
<file path=[Content_Types].xml><?xml version="1.0" encoding="utf-8"?>
<Types xmlns="http://schemas.openxmlformats.org/package/2006/content-types">
  <Default Extension="xml" ContentType="application/xml"/>
  <Default Extension="jpeg" ContentType="image/jpeg"/>
  <Default Extension="tif" ContentType="image/tiff"/>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F57CCE" w14:textId="43E4490E" w:rsidR="009246AD" w:rsidRPr="00663F84" w:rsidRDefault="00641811" w:rsidP="00AB34C5">
      <w:pPr>
        <w:pStyle w:val="BATitle"/>
        <w:jc w:val="left"/>
      </w:pPr>
      <w:r w:rsidRPr="00663F84">
        <w:t xml:space="preserve">A New Low Melting-point Polymorph </w:t>
      </w:r>
      <w:r w:rsidR="00BD788F" w:rsidRPr="00663F84">
        <w:t>of Fenofibrate Prepared via Talc Induced Heterogeneous Nucleation</w:t>
      </w:r>
    </w:p>
    <w:p w14:paraId="11C1A06A" w14:textId="430C8575" w:rsidR="009246AD" w:rsidRPr="00663F84" w:rsidRDefault="00641811" w:rsidP="00AB34C5">
      <w:pPr>
        <w:pStyle w:val="BBAuthorName"/>
        <w:jc w:val="left"/>
      </w:pPr>
      <w:r w:rsidRPr="00663F84">
        <w:t>Pratchaya Tipduangta</w:t>
      </w:r>
      <w:r w:rsidRPr="00663F84">
        <w:rPr>
          <w:vertAlign w:val="superscript"/>
        </w:rPr>
        <w:t>1</w:t>
      </w:r>
      <w:r w:rsidR="00947F0F" w:rsidRPr="00663F84">
        <w:t>,</w:t>
      </w:r>
      <w:r w:rsidR="002D1E2F" w:rsidRPr="00663F84">
        <w:t xml:space="preserve"> Khaled Takieddin</w:t>
      </w:r>
      <w:r w:rsidR="002D1E2F" w:rsidRPr="00663F84">
        <w:rPr>
          <w:vertAlign w:val="superscript"/>
        </w:rPr>
        <w:t>1‡</w:t>
      </w:r>
      <w:r w:rsidR="002D1E2F" w:rsidRPr="00663F84">
        <w:t>,</w:t>
      </w:r>
      <w:r w:rsidRPr="00663F84">
        <w:t xml:space="preserve"> László Fábián</w:t>
      </w:r>
      <w:r w:rsidRPr="00663F84">
        <w:rPr>
          <w:vertAlign w:val="superscript"/>
        </w:rPr>
        <w:t>1</w:t>
      </w:r>
      <w:r w:rsidR="002D1E2F" w:rsidRPr="00663F84">
        <w:rPr>
          <w:vertAlign w:val="superscript"/>
        </w:rPr>
        <w:t>‡</w:t>
      </w:r>
      <w:r w:rsidRPr="00663F84">
        <w:t>, Peter Belton</w:t>
      </w:r>
      <w:r w:rsidRPr="00663F84">
        <w:rPr>
          <w:vertAlign w:val="superscript"/>
        </w:rPr>
        <w:t>2</w:t>
      </w:r>
      <w:r w:rsidRPr="00663F84">
        <w:t xml:space="preserve"> and Sheng Qi</w:t>
      </w:r>
      <w:r w:rsidRPr="00663F84">
        <w:rPr>
          <w:vertAlign w:val="superscript"/>
        </w:rPr>
        <w:t>1</w:t>
      </w:r>
      <w:r w:rsidRPr="00663F84">
        <w:t xml:space="preserve">* </w:t>
      </w:r>
    </w:p>
    <w:p w14:paraId="4C33B11D" w14:textId="77777777" w:rsidR="00641811" w:rsidRPr="00663F84" w:rsidRDefault="00641811" w:rsidP="00641811">
      <w:pPr>
        <w:pStyle w:val="BCAuthorAddress"/>
        <w:spacing w:after="0"/>
        <w:jc w:val="left"/>
      </w:pPr>
      <w:r w:rsidRPr="00663F84">
        <w:t xml:space="preserve">School of Pharmacy University of East Anglia, Norwich, Norfolk, UK, NR4 7TJ </w:t>
      </w:r>
      <w:r w:rsidRPr="00663F84">
        <w:rPr>
          <w:vertAlign w:val="superscript"/>
        </w:rPr>
        <w:t>1</w:t>
      </w:r>
    </w:p>
    <w:p w14:paraId="761E7E9F" w14:textId="77777777" w:rsidR="00641811" w:rsidRPr="00663F84" w:rsidRDefault="00641811" w:rsidP="00641811">
      <w:pPr>
        <w:pStyle w:val="BCAuthorAddress"/>
        <w:spacing w:after="0"/>
        <w:jc w:val="left"/>
      </w:pPr>
      <w:r w:rsidRPr="00663F84">
        <w:t xml:space="preserve">School of Chemistry University of East Anglia, Norwich, Norfolk, UK, NR4 7TJ </w:t>
      </w:r>
      <w:r w:rsidRPr="00663F84">
        <w:rPr>
          <w:vertAlign w:val="superscript"/>
        </w:rPr>
        <w:t>2</w:t>
      </w:r>
    </w:p>
    <w:p w14:paraId="0AEC98D8" w14:textId="77777777" w:rsidR="002D1E2F" w:rsidRPr="00663F84" w:rsidRDefault="002D1E2F" w:rsidP="0041244A">
      <w:pPr>
        <w:pStyle w:val="FACorrespondingAuthorFootnote"/>
        <w:spacing w:after="0"/>
        <w:jc w:val="left"/>
      </w:pPr>
    </w:p>
    <w:p w14:paraId="31B04C58" w14:textId="77777777" w:rsidR="002D1E2F" w:rsidRPr="00663F84" w:rsidRDefault="002D1E2F" w:rsidP="0041244A">
      <w:pPr>
        <w:pStyle w:val="FACorrespondingAuthorFootnote"/>
        <w:spacing w:after="0"/>
        <w:jc w:val="left"/>
      </w:pPr>
    </w:p>
    <w:p w14:paraId="536D9672" w14:textId="77777777" w:rsidR="0041244A" w:rsidRPr="00663F84" w:rsidRDefault="00AB34C5" w:rsidP="0041244A">
      <w:pPr>
        <w:pStyle w:val="FACorrespondingAuthorFootnote"/>
        <w:spacing w:after="0"/>
        <w:jc w:val="left"/>
      </w:pPr>
      <w:r w:rsidRPr="00663F84">
        <w:t>KEYWORDS</w:t>
      </w:r>
      <w:r w:rsidR="00641811" w:rsidRPr="00663F84">
        <w:t xml:space="preserve">: </w:t>
      </w:r>
      <w:r w:rsidRPr="00663F84">
        <w:t xml:space="preserve"> </w:t>
      </w:r>
      <w:r w:rsidR="00641811" w:rsidRPr="00663F84">
        <w:t>fenofibrate, amorphous, heterogeneous nucleation, talc,</w:t>
      </w:r>
      <w:r w:rsidR="0041244A" w:rsidRPr="00663F84">
        <w:t xml:space="preserve"> </w:t>
      </w:r>
      <w:r w:rsidR="00641811" w:rsidRPr="00663F84">
        <w:t>polymorph</w:t>
      </w:r>
    </w:p>
    <w:p w14:paraId="2E318262" w14:textId="77777777" w:rsidR="000C05CC" w:rsidRPr="00663F84" w:rsidRDefault="000C05CC" w:rsidP="00324128">
      <w:pPr>
        <w:pStyle w:val="FACorrespondingAuthorFootnote"/>
        <w:spacing w:after="240"/>
        <w:jc w:val="left"/>
      </w:pPr>
    </w:p>
    <w:p w14:paraId="3C63C3D1" w14:textId="77777777" w:rsidR="00641811" w:rsidRPr="00663F84" w:rsidRDefault="00641811">
      <w:pPr>
        <w:spacing w:after="0"/>
        <w:jc w:val="left"/>
      </w:pPr>
      <w:r w:rsidRPr="00663F84">
        <w:br w:type="page"/>
      </w:r>
    </w:p>
    <w:p w14:paraId="5A5BF713" w14:textId="77777777" w:rsidR="00641811" w:rsidRPr="00663F84" w:rsidRDefault="00AB34C5" w:rsidP="00641811">
      <w:pPr>
        <w:pStyle w:val="BDAbstract"/>
        <w:spacing w:before="0" w:after="0"/>
        <w:rPr>
          <w:b/>
        </w:rPr>
      </w:pPr>
      <w:r w:rsidRPr="00663F84">
        <w:rPr>
          <w:b/>
        </w:rPr>
        <w:lastRenderedPageBreak/>
        <w:t xml:space="preserve">ABSTRACT </w:t>
      </w:r>
    </w:p>
    <w:p w14:paraId="15227F0E" w14:textId="77777777" w:rsidR="0041244A" w:rsidRPr="00663F84" w:rsidRDefault="00641811" w:rsidP="0041244A">
      <w:pPr>
        <w:pStyle w:val="BDAbstract"/>
      </w:pPr>
      <w:r w:rsidRPr="00663F84">
        <w:t xml:space="preserve">Fenofibrate is one of the most commonly prescribed hyperlipidemia agents. Despite its high lipophilicity and ultra-low aqueous solubility, most commercially available formulations are using micronized crystalline fenofibrate form I, which has low dissolution rate and poor oral bioavailability. Little is known about the crystallisation of other polymorphs from supercooled amorphous fenofibrate. This study reports a new fenofibrate polymorph (form III) obtained via a controlled heterogeneous nucleation method using low quantity (1% w/w) of the GRAS oral pharmaceutical excipient, talc. Form III has a low melting point of 50°C and crystallisation of form I immediately occurs after the melting of form III. The microscopic, thermal and spectroscopic characterisations of form III confirmed the distinct molecular packing difference between the new form and other known forms. The discovery of this new form will enrich the understanding of the molecular behaviour of fenofibrate and bring useful insights into the role pharmaceutical excipients in selective crystallisation of pharmaceutical active ingredients.  </w:t>
      </w:r>
    </w:p>
    <w:p w14:paraId="6770E5D2" w14:textId="77777777" w:rsidR="00AB34C5" w:rsidRPr="00663F84" w:rsidRDefault="00AB34C5" w:rsidP="000702AD">
      <w:pPr>
        <w:pStyle w:val="BGKeywords"/>
      </w:pPr>
    </w:p>
    <w:p w14:paraId="712D89CB" w14:textId="77777777" w:rsidR="002D1E2F" w:rsidRPr="00663F84" w:rsidRDefault="002D1E2F">
      <w:pPr>
        <w:spacing w:after="0"/>
        <w:jc w:val="left"/>
      </w:pPr>
      <w:r w:rsidRPr="00663F84">
        <w:br w:type="page"/>
      </w:r>
    </w:p>
    <w:p w14:paraId="7B0C2F26" w14:textId="77777777" w:rsidR="002D1E2F" w:rsidRPr="00663F84" w:rsidRDefault="002D1E2F" w:rsidP="002D1E2F">
      <w:pPr>
        <w:pStyle w:val="TAMainText"/>
        <w:spacing w:after="240"/>
        <w:jc w:val="left"/>
        <w:rPr>
          <w:b/>
        </w:rPr>
      </w:pPr>
      <w:r w:rsidRPr="00663F84">
        <w:rPr>
          <w:b/>
        </w:rPr>
        <w:lastRenderedPageBreak/>
        <w:t>Introduction</w:t>
      </w:r>
    </w:p>
    <w:p w14:paraId="1D79AF21" w14:textId="77777777" w:rsidR="002D1E2F" w:rsidRPr="00663F84" w:rsidRDefault="002D1E2F" w:rsidP="002D1E2F">
      <w:pPr>
        <w:pStyle w:val="TAMainText"/>
        <w:spacing w:after="240"/>
        <w:jc w:val="left"/>
      </w:pPr>
      <w:r w:rsidRPr="00663F84">
        <w:t xml:space="preserve">Fenofibrate is one of the best-known and most prescribed hyperlipidemia therapeutic agents, which was first commercialized in the 1970s. It reduces low density lipoprotein (LDL) and increases high density lipoprotein (HDL) by binding to peroxisome proliferator-activated (PPAR) </w:t>
      </w:r>
      <w:r w:rsidRPr="00663F84">
        <w:rPr>
          <w:rFonts w:hint="eastAsia"/>
        </w:rPr>
        <w:t>α</w:t>
      </w:r>
      <w:r w:rsidRPr="00663F84">
        <w:t xml:space="preserve"> receptors.</w:t>
      </w:r>
      <w:r w:rsidRPr="00663F84">
        <w:rPr>
          <w:vertAlign w:val="superscript"/>
        </w:rPr>
        <w:t>1</w:t>
      </w:r>
      <w:r w:rsidRPr="00663F84">
        <w:t xml:space="preserve"> It is highly lipophilic with a water solubility of circa 0.8 µg/ml.</w:t>
      </w:r>
      <w:r w:rsidRPr="00663F84">
        <w:rPr>
          <w:vertAlign w:val="superscript"/>
        </w:rPr>
        <w:t>2</w:t>
      </w:r>
      <w:r w:rsidRPr="00663F84">
        <w:t xml:space="preserve"> Despite the ultra-low solubility, most current commercial products of fenofibrate contain micronized crystalline fenofibrate. This leads to poor oral absorption and low bioavailability with high inter- and intra- patient variation.</w:t>
      </w:r>
      <w:r w:rsidRPr="00663F84">
        <w:rPr>
          <w:vertAlign w:val="superscript"/>
        </w:rPr>
        <w:t>3</w:t>
      </w:r>
      <w:r w:rsidRPr="00663F84">
        <w:t xml:space="preserve"> The use of amorphous drug or a meta-stable form with higher solubility would improve the bioavailability of fenofibrate and consequently reduce the dose required.</w:t>
      </w:r>
      <w:r w:rsidRPr="00663F84">
        <w:rPr>
          <w:vertAlign w:val="superscript"/>
        </w:rPr>
        <w:t>4</w:t>
      </w:r>
      <w:r w:rsidRPr="00663F84">
        <w:t xml:space="preserve"> This would reduce undesired adverse effects, such as liver function damage.</w:t>
      </w:r>
      <w:r w:rsidRPr="00663F84">
        <w:rPr>
          <w:vertAlign w:val="superscript"/>
        </w:rPr>
        <w:t>5</w:t>
      </w:r>
      <w:r w:rsidRPr="00663F84">
        <w:t xml:space="preserve"> However, the crystallisation behaviour of amorphous fenofibrate is still largely unknown. This shortage of information on the crystallisation and polymorphic transformations of fenofibrate has limited the further exploration of alternative formulations for fenofibrate alone or in novel multi-drug formulations with other drugs such as statins, which has been often prescribed to patients taking fenofibrate. </w:t>
      </w:r>
    </w:p>
    <w:p w14:paraId="6040553C" w14:textId="66CEA518" w:rsidR="002D1E2F" w:rsidRPr="00663F84" w:rsidRDefault="002D1E2F" w:rsidP="002D1E2F">
      <w:pPr>
        <w:pStyle w:val="TAMainText"/>
        <w:spacing w:after="240"/>
        <w:jc w:val="left"/>
      </w:pPr>
      <w:r w:rsidRPr="00663F84">
        <w:t>Up to now two polymorphic forms of fenofibrate have been reported in the literature, form I and form II with melting temperatures of 80°C and 74°C, respectively.</w:t>
      </w:r>
      <w:r w:rsidRPr="00663F84">
        <w:rPr>
          <w:vertAlign w:val="superscript"/>
        </w:rPr>
        <w:t>6</w:t>
      </w:r>
      <w:r w:rsidR="00ED1ACB">
        <w:rPr>
          <w:vertAlign w:val="superscript"/>
        </w:rPr>
        <w:t>-8</w:t>
      </w:r>
      <w:r w:rsidRPr="00663F84">
        <w:t xml:space="preserve"> Form I is the most stable polymorph, which has been used as an active pharmaceutical ingredient in tablet and capsule formulations. Pure crystalline fenofibrate form I can be obtained from the solvent evaporation method, while the metastable form II can be produced by recrystallisation of amorphous fenofibrate from the melt.</w:t>
      </w:r>
      <w:r w:rsidR="00ED1ACB" w:rsidRPr="00ED1ACB">
        <w:rPr>
          <w:vertAlign w:val="superscript"/>
        </w:rPr>
        <w:t xml:space="preserve"> </w:t>
      </w:r>
      <w:r w:rsidR="00ED1ACB">
        <w:rPr>
          <w:vertAlign w:val="superscript"/>
        </w:rPr>
        <w:t>6, 8</w:t>
      </w:r>
      <w:r w:rsidR="00ED1ACB" w:rsidRPr="002D1E2F">
        <w:rPr>
          <w:vertAlign w:val="superscript"/>
        </w:rPr>
        <w:t xml:space="preserve">, </w:t>
      </w:r>
      <w:r w:rsidR="00ED1ACB">
        <w:rPr>
          <w:vertAlign w:val="superscript"/>
        </w:rPr>
        <w:t>9</w:t>
      </w:r>
      <w:r w:rsidRPr="00663F84">
        <w:t xml:space="preserve"> However, the literature on form II is rather confusing, as the X-ray diffraction results of the form II reported by different groups are not consistent.</w:t>
      </w:r>
      <w:r w:rsidR="00ED1ACB" w:rsidRPr="00ED1ACB">
        <w:rPr>
          <w:vertAlign w:val="superscript"/>
        </w:rPr>
        <w:t xml:space="preserve"> </w:t>
      </w:r>
      <w:r w:rsidR="00ED1ACB">
        <w:rPr>
          <w:vertAlign w:val="superscript"/>
        </w:rPr>
        <w:t>8</w:t>
      </w:r>
      <w:r w:rsidR="00ED1ACB" w:rsidRPr="002D1E2F">
        <w:rPr>
          <w:vertAlign w:val="superscript"/>
        </w:rPr>
        <w:t xml:space="preserve">, </w:t>
      </w:r>
      <w:r w:rsidR="00ED1ACB">
        <w:rPr>
          <w:vertAlign w:val="superscript"/>
        </w:rPr>
        <w:t>10</w:t>
      </w:r>
      <w:r w:rsidR="00ED1ACB">
        <w:t xml:space="preserve"> </w:t>
      </w:r>
      <w:r w:rsidRPr="00663F84">
        <w:t xml:space="preserve">The PXRD and DSC data of the meta stable form II obtained using a melt quenching method </w:t>
      </w:r>
      <w:r w:rsidRPr="00663F84">
        <w:lastRenderedPageBreak/>
        <w:t>was first reported by Di Martino and co-workers.</w:t>
      </w:r>
      <w:r w:rsidR="00ED1ACB">
        <w:rPr>
          <w:vertAlign w:val="superscript"/>
        </w:rPr>
        <w:t>8</w:t>
      </w:r>
      <w:r w:rsidRPr="00663F84">
        <w:t xml:space="preserve"> Later, Hienz and co-workers revealed the Raman spectra of the metastable form II.</w:t>
      </w:r>
      <w:r w:rsidRPr="00663F84">
        <w:rPr>
          <w:vertAlign w:val="superscript"/>
        </w:rPr>
        <w:t>6</w:t>
      </w:r>
      <w:r w:rsidRPr="00663F84">
        <w:t xml:space="preserve"> Balendiran and co-workers reported the crystal structure of a new monoclinic form (identified by them as polymorph II), but the PXRD pattern calculated from this form is different from the one reported by other groups.</w:t>
      </w:r>
      <w:r w:rsidR="00ED1ACB">
        <w:rPr>
          <w:vertAlign w:val="superscript"/>
        </w:rPr>
        <w:t>10</w:t>
      </w:r>
      <w:r w:rsidRPr="00663F84">
        <w:t xml:space="preserve"> In order to avoid confusion between these findings, we address the fenofibrate from II from Di Martino and Heinz as from IIa and the one from Balendrain as form IIb.</w:t>
      </w:r>
      <w:r w:rsidR="00ED1ACB" w:rsidRPr="00ED1ACB">
        <w:rPr>
          <w:vertAlign w:val="superscript"/>
        </w:rPr>
        <w:t xml:space="preserve"> </w:t>
      </w:r>
      <w:r w:rsidR="00ED1ACB">
        <w:rPr>
          <w:vertAlign w:val="superscript"/>
        </w:rPr>
        <w:t>6, 8</w:t>
      </w:r>
      <w:r w:rsidR="00ED1ACB" w:rsidRPr="002D1E2F">
        <w:rPr>
          <w:vertAlign w:val="superscript"/>
        </w:rPr>
        <w:t xml:space="preserve">, </w:t>
      </w:r>
      <w:r w:rsidR="00ED1ACB">
        <w:rPr>
          <w:vertAlign w:val="superscript"/>
        </w:rPr>
        <w:t>10</w:t>
      </w:r>
      <w:r w:rsidR="00ED1ACB">
        <w:t xml:space="preserve"> </w:t>
      </w:r>
      <w:r w:rsidRPr="00663F84">
        <w:t>Fenofibrate form IIa usually presents as a minor component along with a dominant polymorph I. Melt-recrystallisation was reported as a method for the preparation of form IIa. Amorphous fenofibrate has a low glass transition temperature (T</w:t>
      </w:r>
      <w:r w:rsidRPr="00663F84">
        <w:rPr>
          <w:vertAlign w:val="subscript"/>
        </w:rPr>
        <w:t>g</w:t>
      </w:r>
      <w:r w:rsidRPr="00663F84">
        <w:t>) at approximately -20</w:t>
      </w:r>
      <w:r w:rsidRPr="00663F84">
        <w:rPr>
          <w:rFonts w:hint="eastAsia"/>
        </w:rPr>
        <w:t>°</w:t>
      </w:r>
      <w:r w:rsidRPr="00663F84">
        <w:t>C. This indicates high molecular mobility at ambient temperature and contributes to the unpredictable crystallisation behaviour of the amorphous drug from melt.</w:t>
      </w:r>
      <w:r w:rsidR="00ED1ACB" w:rsidRPr="00ED1ACB">
        <w:rPr>
          <w:vertAlign w:val="superscript"/>
        </w:rPr>
        <w:t xml:space="preserve"> </w:t>
      </w:r>
      <w:r w:rsidR="00ED1ACB">
        <w:rPr>
          <w:vertAlign w:val="superscript"/>
        </w:rPr>
        <w:t>6, 8</w:t>
      </w:r>
      <w:r w:rsidR="00ED1ACB" w:rsidRPr="002D1E2F">
        <w:rPr>
          <w:vertAlign w:val="superscript"/>
        </w:rPr>
        <w:t xml:space="preserve">, </w:t>
      </w:r>
      <w:r w:rsidR="00ED1ACB">
        <w:rPr>
          <w:vertAlign w:val="superscript"/>
        </w:rPr>
        <w:t>11</w:t>
      </w:r>
      <w:r w:rsidR="00ED1ACB">
        <w:t xml:space="preserve"> </w:t>
      </w:r>
      <w:r w:rsidRPr="00663F84">
        <w:t>Despite the sub-zero T</w:t>
      </w:r>
      <w:r w:rsidRPr="00663F84">
        <w:rPr>
          <w:vertAlign w:val="subscript"/>
        </w:rPr>
        <w:t>g</w:t>
      </w:r>
      <w:r w:rsidRPr="00663F84">
        <w:t>, homogenous nucleation and crystallisation is rare for amorphous fenofibrate obtained from the melt-cool process and heterogeneous crystallisation can be easily induced by a mechanical trigger, such as surface disruption or addition of impurities.</w:t>
      </w:r>
      <w:r w:rsidRPr="00663F84">
        <w:rPr>
          <w:vertAlign w:val="superscript"/>
        </w:rPr>
        <w:t>1</w:t>
      </w:r>
      <w:r w:rsidR="00ED1ACB">
        <w:rPr>
          <w:vertAlign w:val="superscript"/>
        </w:rPr>
        <w:t>2</w:t>
      </w:r>
      <w:r w:rsidRPr="00663F84">
        <w:t xml:space="preserve"> This significant difference between the homogenous and heterogeneous nucleation rates may be partially attributed to the lack of strong intermolecular bonds, such as hydrogen bonding between the drug molecules, as illustrated by the lack of hydrogen bond donors in the molecular structure  as shown in Figure 1. </w:t>
      </w:r>
    </w:p>
    <w:p w14:paraId="1F12CD3E" w14:textId="6D95B4D7" w:rsidR="002D6EFE" w:rsidRPr="00663F84" w:rsidRDefault="00031292" w:rsidP="002D1E2F">
      <w:pPr>
        <w:pStyle w:val="TAMainText"/>
        <w:spacing w:after="240"/>
        <w:jc w:val="left"/>
      </w:pPr>
      <w:r w:rsidRPr="00663F84">
        <w:rPr>
          <w:noProof/>
        </w:rPr>
        <w:lastRenderedPageBreak/>
        <w:drawing>
          <wp:inline distT="0" distB="0" distL="0" distR="0" wp14:anchorId="350ABD90" wp14:editId="52BDDCB1">
            <wp:extent cx="5902687" cy="2592000"/>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02687" cy="2592000"/>
                    </a:xfrm>
                    <a:prstGeom prst="rect">
                      <a:avLst/>
                    </a:prstGeom>
                    <a:noFill/>
                  </pic:spPr>
                </pic:pic>
              </a:graphicData>
            </a:graphic>
          </wp:inline>
        </w:drawing>
      </w:r>
    </w:p>
    <w:p w14:paraId="2F589353" w14:textId="6207169F" w:rsidR="002D6EFE" w:rsidRPr="00663F84" w:rsidRDefault="002D6EFE" w:rsidP="00FF73B8">
      <w:pPr>
        <w:pStyle w:val="VAFigureCaption"/>
      </w:pPr>
      <w:bookmarkStart w:id="0" w:name="_Ref417937220"/>
      <w:r w:rsidRPr="00663F84">
        <w:rPr>
          <w:b/>
        </w:rPr>
        <w:t xml:space="preserve">Figure </w:t>
      </w:r>
      <w:bookmarkEnd w:id="0"/>
      <w:r w:rsidRPr="00663F84">
        <w:rPr>
          <w:b/>
        </w:rPr>
        <w:t>1.</w:t>
      </w:r>
      <w:r w:rsidRPr="00663F84">
        <w:t xml:space="preserve"> </w:t>
      </w:r>
      <w:r w:rsidR="00031292" w:rsidRPr="00663F84">
        <w:t xml:space="preserve">(a) </w:t>
      </w:r>
      <w:r w:rsidR="00D23AB1" w:rsidRPr="00663F84">
        <w:t>Structural formula</w:t>
      </w:r>
      <w:r w:rsidRPr="00663F84">
        <w:t xml:space="preserve"> of fenofibrate</w:t>
      </w:r>
      <w:r w:rsidR="00031292" w:rsidRPr="00663F84">
        <w:t xml:space="preserve"> and (b) structure of</w:t>
      </w:r>
      <w:r w:rsidRPr="00663F84">
        <w:t xml:space="preserve"> </w:t>
      </w:r>
      <w:r w:rsidR="00D23AB1" w:rsidRPr="00663F84">
        <w:t xml:space="preserve">the molecule in </w:t>
      </w:r>
      <w:r w:rsidRPr="00663F84">
        <w:t>form III.</w:t>
      </w:r>
      <w:r w:rsidR="00D23AB1" w:rsidRPr="00663F84">
        <w:t xml:space="preserve"> Displacement ellipsoids are shown at the 50% probability level.</w:t>
      </w:r>
    </w:p>
    <w:p w14:paraId="74189BC9" w14:textId="616748BA" w:rsidR="002D1E2F" w:rsidRPr="00663F84" w:rsidRDefault="002D1E2F" w:rsidP="002D1E2F">
      <w:pPr>
        <w:pStyle w:val="TAMainText"/>
        <w:spacing w:after="240"/>
        <w:jc w:val="left"/>
      </w:pPr>
      <w:r w:rsidRPr="00663F84">
        <w:t>Heterogeneous nucleation and crystallisation induced by mechanical triggers is often extremely difficult to control, whereas the addition of impurity is a much more controllable approach for initiating heterogeneous nucleation and crystallisation. Impurities as small as single molecules can initiate heterogeneous nucleation.</w:t>
      </w:r>
      <w:r w:rsidRPr="00663F84">
        <w:rPr>
          <w:vertAlign w:val="superscript"/>
        </w:rPr>
        <w:t>1</w:t>
      </w:r>
      <w:r w:rsidR="00ED1ACB">
        <w:rPr>
          <w:vertAlign w:val="superscript"/>
        </w:rPr>
        <w:t>3</w:t>
      </w:r>
      <w:r w:rsidRPr="00663F84">
        <w:t xml:space="preserve"> The surface interaction between the impurity and the drug molecules can often be used to control the crystallisation of a certain polymorph.</w:t>
      </w:r>
      <w:r w:rsidRPr="00663F84">
        <w:rPr>
          <w:vertAlign w:val="superscript"/>
        </w:rPr>
        <w:t>1</w:t>
      </w:r>
      <w:r w:rsidR="00ED1ACB">
        <w:rPr>
          <w:vertAlign w:val="superscript"/>
        </w:rPr>
        <w:t>4,15</w:t>
      </w:r>
      <w:r w:rsidRPr="00663F84">
        <w:t xml:space="preserve"> Therefore recently there has been an increased number of reports on using heterogeneous nucleation as a novel means to selectively produce desirable polymorphic forms in the pharmaceutical industry.</w:t>
      </w:r>
      <w:r w:rsidR="00ED1ACB" w:rsidRPr="00ED1ACB">
        <w:rPr>
          <w:vertAlign w:val="superscript"/>
        </w:rPr>
        <w:t xml:space="preserve"> </w:t>
      </w:r>
      <w:r w:rsidR="00ED1ACB" w:rsidRPr="003A1155">
        <w:rPr>
          <w:vertAlign w:val="superscript"/>
        </w:rPr>
        <w:t>1</w:t>
      </w:r>
      <w:r w:rsidR="00ED1ACB">
        <w:rPr>
          <w:vertAlign w:val="superscript"/>
        </w:rPr>
        <w:t>6-19</w:t>
      </w:r>
      <w:r w:rsidR="00ED1ACB" w:rsidRPr="003A1155">
        <w:t xml:space="preserve"> </w:t>
      </w:r>
      <w:r w:rsidRPr="00663F84">
        <w:t>In this study heterogeneous nucleation and crystallisation of fenofibrate from melt by adding a low quantity of a commonly used pharmaceutical tableting excipient, talc (Mg</w:t>
      </w:r>
      <w:r w:rsidRPr="00663F84">
        <w:rPr>
          <w:vertAlign w:val="subscript"/>
        </w:rPr>
        <w:t>3</w:t>
      </w:r>
      <w:r w:rsidRPr="00663F84">
        <w:t>Si</w:t>
      </w:r>
      <w:r w:rsidRPr="00663F84">
        <w:rPr>
          <w:vertAlign w:val="subscript"/>
        </w:rPr>
        <w:t>4</w:t>
      </w:r>
      <w:r w:rsidRPr="00663F84">
        <w:t>O</w:t>
      </w:r>
      <w:r w:rsidRPr="00663F84">
        <w:rPr>
          <w:vertAlign w:val="subscript"/>
        </w:rPr>
        <w:t>10</w:t>
      </w:r>
      <w:r w:rsidRPr="00663F84">
        <w:t>(OH)</w:t>
      </w:r>
      <w:r w:rsidRPr="00663F84">
        <w:rPr>
          <w:vertAlign w:val="subscript"/>
        </w:rPr>
        <w:t>2</w:t>
      </w:r>
      <w:r w:rsidRPr="00663F84">
        <w:t xml:space="preserve">), was explored. Talc is a generally recognised as safe (GRAS) excipient widely used in pharmaceutical oral solid dosages. In this study, it was used to crystallise a new polymorphic form (Form III) of fenofibrate, which has not been reported previously to the best of our knowledge. Full characterisation of form III as well as the thermal </w:t>
      </w:r>
      <w:r w:rsidRPr="00663F84">
        <w:lastRenderedPageBreak/>
        <w:t xml:space="preserve">stability and transformations of this form to other known polymorphs are also described in this study. With the discovery of this new form, the understanding of the molecular behaviour of crystallisation of amorphous fenofibrate is further advanced. This study also demonstrates the prospect of using safe pharmaceutical excipients to selectively crystallise metastable polymorphs of active ingredients. </w:t>
      </w:r>
    </w:p>
    <w:p w14:paraId="6F1D568B" w14:textId="0BF187D5" w:rsidR="002D1E2F" w:rsidRPr="00663F84" w:rsidRDefault="004714E8" w:rsidP="002D1E2F">
      <w:pPr>
        <w:pStyle w:val="TAMainText"/>
        <w:spacing w:after="240"/>
        <w:jc w:val="left"/>
        <w:rPr>
          <w:b/>
        </w:rPr>
      </w:pPr>
      <w:r w:rsidRPr="00663F84">
        <w:rPr>
          <w:b/>
        </w:rPr>
        <w:t>Experimental Section</w:t>
      </w:r>
      <w:r w:rsidR="002D1E2F" w:rsidRPr="00663F84">
        <w:rPr>
          <w:b/>
        </w:rPr>
        <w:t xml:space="preserve"> </w:t>
      </w:r>
    </w:p>
    <w:p w14:paraId="538DFB52" w14:textId="77777777" w:rsidR="002D1E2F" w:rsidRPr="00663F84" w:rsidRDefault="002D1E2F" w:rsidP="002D1E2F">
      <w:pPr>
        <w:pStyle w:val="TAMainText"/>
        <w:spacing w:after="240"/>
        <w:jc w:val="left"/>
        <w:rPr>
          <w:i/>
        </w:rPr>
      </w:pPr>
      <w:r w:rsidRPr="00663F84">
        <w:rPr>
          <w:i/>
        </w:rPr>
        <w:t>Materials</w:t>
      </w:r>
    </w:p>
    <w:p w14:paraId="08EF5721" w14:textId="77777777" w:rsidR="002D1E2F" w:rsidRPr="00663F84" w:rsidRDefault="002D1E2F" w:rsidP="002D1E2F">
      <w:pPr>
        <w:pStyle w:val="TAMainText"/>
        <w:spacing w:after="240"/>
        <w:jc w:val="left"/>
      </w:pPr>
      <w:r w:rsidRPr="00663F84">
        <w:t>Crystalline fenofibrate form I was kindly donated by Merck Serono (Germany). Talc was purchased from Sigma Aldrich (Dorset, UK). The average particle size of the talc particles was stated to be below 70 µm.</w:t>
      </w:r>
    </w:p>
    <w:p w14:paraId="60EE3466" w14:textId="77777777" w:rsidR="002D1E2F" w:rsidRPr="00663F84" w:rsidRDefault="002D1E2F" w:rsidP="002D1E2F">
      <w:pPr>
        <w:pStyle w:val="TAMainText"/>
        <w:spacing w:after="240"/>
        <w:jc w:val="left"/>
        <w:rPr>
          <w:i/>
        </w:rPr>
      </w:pPr>
      <w:r w:rsidRPr="00663F84">
        <w:rPr>
          <w:i/>
        </w:rPr>
        <w:t>Sample Preparation</w:t>
      </w:r>
    </w:p>
    <w:p w14:paraId="2D5D1BBA" w14:textId="77777777" w:rsidR="002D1E2F" w:rsidRPr="00663F84" w:rsidRDefault="002D1E2F" w:rsidP="002D1E2F">
      <w:pPr>
        <w:pStyle w:val="TAMainText"/>
        <w:spacing w:after="240"/>
        <w:jc w:val="left"/>
      </w:pPr>
      <w:r w:rsidRPr="00663F84">
        <w:t>The fenofibrate powders (form I) and talc powders were precisely weighed at proportions of 80:20, 90:10, 95:5 and 99:1. The powders with total weight of approximately 300 mg were transferred to glass vials and physically mixed with a metal spatula. The samples were heated to 100°C until all fenofibrate crystals completely melted. After complete melting, the vials were carefully removed from the heat source and immediately transferred to 0% relative humidity desiccators (using P</w:t>
      </w:r>
      <w:r w:rsidRPr="00663F84">
        <w:rPr>
          <w:vertAlign w:val="subscript"/>
        </w:rPr>
        <w:t>2</w:t>
      </w:r>
      <w:r w:rsidRPr="00663F84">
        <w:t>O</w:t>
      </w:r>
      <w:r w:rsidRPr="00663F84">
        <w:rPr>
          <w:vertAlign w:val="subscript"/>
        </w:rPr>
        <w:t>5</w:t>
      </w:r>
      <w:r w:rsidRPr="00663F84">
        <w:t xml:space="preserve"> as the desiccating agent). The amorphous fenofibrate obtained by cooling the melt and containing talcum powder completely re-crystallised within 24 hours. When preparing form III, caution should be taken, because if the amorphous fenofibrate containing 1% talc experiences any mechanical shock, such as scratching with metal twisters or knocking on the </w:t>
      </w:r>
      <w:r w:rsidRPr="00663F84">
        <w:lastRenderedPageBreak/>
        <w:t>outer side of the glass vial containing the molten fenofibrate, recrystallization of fenofibrate forms I and II could occur instead of form III.</w:t>
      </w:r>
    </w:p>
    <w:p w14:paraId="67FD6CE9" w14:textId="77777777" w:rsidR="002D1E2F" w:rsidRPr="00663F84" w:rsidRDefault="002D1E2F" w:rsidP="002D1E2F">
      <w:pPr>
        <w:pStyle w:val="TAMainText"/>
        <w:spacing w:after="240"/>
        <w:jc w:val="left"/>
        <w:rPr>
          <w:i/>
        </w:rPr>
      </w:pPr>
      <w:r w:rsidRPr="00663F84">
        <w:rPr>
          <w:i/>
        </w:rPr>
        <w:t>Differential Scanning Calorimetry (DSC)</w:t>
      </w:r>
    </w:p>
    <w:p w14:paraId="00480548" w14:textId="77777777" w:rsidR="002D1E2F" w:rsidRPr="00663F84" w:rsidRDefault="002D1E2F" w:rsidP="002D1E2F">
      <w:pPr>
        <w:pStyle w:val="TAMainText"/>
        <w:spacing w:after="240"/>
        <w:jc w:val="left"/>
      </w:pPr>
      <w:r w:rsidRPr="00663F84">
        <w:t>A Q-2000 (TA Instruments, Newcastle, DE, USA), was used to</w:t>
      </w:r>
      <w:r w:rsidR="003A1155" w:rsidRPr="00663F84">
        <w:t xml:space="preserve"> perform DSC experiments. </w:t>
      </w:r>
      <w:r w:rsidR="003A1155" w:rsidRPr="00663F84">
        <w:rPr>
          <w:i/>
        </w:rPr>
        <w:t>N</w:t>
      </w:r>
      <w:r w:rsidR="003A1155" w:rsidRPr="00663F84">
        <w:t>-O</w:t>
      </w:r>
      <w:r w:rsidRPr="00663F84">
        <w:t>ctadacane, indium and tin were used for temperature calibration. The DSC experiments were performed at heating rates of 2, 5, 10 and 20°C.min</w:t>
      </w:r>
      <w:r w:rsidRPr="00663F84">
        <w:rPr>
          <w:vertAlign w:val="superscript"/>
        </w:rPr>
        <w:t>-1</w:t>
      </w:r>
      <w:r w:rsidRPr="00663F84">
        <w:t>. For the modulated temperature DSC study, a heating rate of 2°C/min with modulated amplitude of ±0.318 °C every 60 second was used. The isothermal modulated temperature DSC experiments were conducted at 35, 40 and 45 °C with modulated amplitude ±1 °C every 60 second for 2 hours. A constant nitrogen purge was applied at 50 ml.min</w:t>
      </w:r>
      <w:r w:rsidRPr="00663F84">
        <w:rPr>
          <w:vertAlign w:val="superscript"/>
        </w:rPr>
        <w:t>-1</w:t>
      </w:r>
      <w:r w:rsidRPr="00663F84">
        <w:t xml:space="preserve"> rate. All samples were precisely weighed (1-3 mg) and TA standard aluminum crimped pans were used. Each sample was tested in triplicate.</w:t>
      </w:r>
    </w:p>
    <w:p w14:paraId="65FF5E71" w14:textId="77777777" w:rsidR="002D1E2F" w:rsidRPr="00663F84" w:rsidRDefault="002D1E2F" w:rsidP="002D1E2F">
      <w:pPr>
        <w:pStyle w:val="TAMainText"/>
        <w:spacing w:after="240"/>
        <w:jc w:val="left"/>
        <w:rPr>
          <w:i/>
        </w:rPr>
      </w:pPr>
      <w:r w:rsidRPr="00663F84">
        <w:rPr>
          <w:i/>
        </w:rPr>
        <w:t>Attenuated Total Reflectance Fourier Transform Infrared Spectroscopy (ATR-FTIR)</w:t>
      </w:r>
    </w:p>
    <w:p w14:paraId="10D6F33E" w14:textId="77777777" w:rsidR="002D1E2F" w:rsidRPr="00663F84" w:rsidRDefault="002D1E2F" w:rsidP="002D1E2F">
      <w:pPr>
        <w:pStyle w:val="TAMainText"/>
        <w:spacing w:after="240"/>
        <w:jc w:val="left"/>
      </w:pPr>
      <w:r w:rsidRPr="00663F84">
        <w:t>An IFS 66/S spectrometer (Bruker Optics Ltd., Coventry, U.K.) equipped with a Golden Gate attenuated total reflectance accessory was used to perform infrared spectroscopic studies. A few milligrams of samples were placed on the diamond crystal of the ATR accessory. Each spectrum was taken between 4000 and 550 cm</w:t>
      </w:r>
      <w:r w:rsidRPr="00663F84">
        <w:rPr>
          <w:vertAlign w:val="superscript"/>
        </w:rPr>
        <w:t>-1</w:t>
      </w:r>
      <w:r w:rsidRPr="00663F84">
        <w:t xml:space="preserve"> with 2.0 cm</w:t>
      </w:r>
      <w:r w:rsidRPr="00663F84">
        <w:rPr>
          <w:vertAlign w:val="superscript"/>
        </w:rPr>
        <w:t>-1</w:t>
      </w:r>
      <w:r w:rsidRPr="00663F84">
        <w:t xml:space="preserve"> resolution and 32 scans. All samples were analysed in triplicate. </w:t>
      </w:r>
    </w:p>
    <w:p w14:paraId="213E3963" w14:textId="77777777" w:rsidR="002D1E2F" w:rsidRPr="00663F84" w:rsidRDefault="002D1E2F" w:rsidP="002D1E2F">
      <w:pPr>
        <w:pStyle w:val="TAMainText"/>
        <w:spacing w:after="240"/>
        <w:jc w:val="left"/>
        <w:rPr>
          <w:i/>
        </w:rPr>
      </w:pPr>
      <w:r w:rsidRPr="00663F84">
        <w:rPr>
          <w:i/>
        </w:rPr>
        <w:t>Powder X-ray Diffraction (PXRD)</w:t>
      </w:r>
    </w:p>
    <w:p w14:paraId="6B2C56B7" w14:textId="77777777" w:rsidR="002D1E2F" w:rsidRPr="00663F84" w:rsidRDefault="002D1E2F" w:rsidP="002D1E2F">
      <w:pPr>
        <w:pStyle w:val="TAMainText"/>
        <w:spacing w:after="240"/>
        <w:jc w:val="left"/>
      </w:pPr>
      <w:r w:rsidRPr="00663F84">
        <w:t xml:space="preserve">A Thermo-ARL X’tra diffractometer (Ecublens, Switzerland) was used to perform PXRD experiments at ambient temperature and humidity. The crystalline fenofibrate containing 1% talc was gently crushed with a mortar and a pestle. The crushed powders were transferred to a sample </w:t>
      </w:r>
      <w:r w:rsidRPr="00663F84">
        <w:lastRenderedPageBreak/>
        <w:t>holder. A Cu K</w:t>
      </w:r>
      <w:r w:rsidRPr="00663F84">
        <w:rPr>
          <w:rFonts w:hint="eastAsia"/>
        </w:rPr>
        <w:t>α</w:t>
      </w:r>
      <w:r w:rsidRPr="00663F84">
        <w:t>1 radiation source was used with 45 kV voltage and a current of 40 mA. The angular range was from 5° to 50° (2°</w:t>
      </w:r>
      <w:r w:rsidRPr="00663F84">
        <w:rPr>
          <w:rFonts w:hint="eastAsia"/>
        </w:rPr>
        <w:t>θ</w:t>
      </w:r>
      <w:r w:rsidRPr="00663F84">
        <w:t xml:space="preserve">) with a step size 0.01° and one second per step. </w:t>
      </w:r>
    </w:p>
    <w:p w14:paraId="1F079CD3" w14:textId="77777777" w:rsidR="002D1E2F" w:rsidRPr="00663F84" w:rsidRDefault="002D1E2F" w:rsidP="002D1E2F">
      <w:pPr>
        <w:pStyle w:val="TAMainText"/>
        <w:spacing w:after="240"/>
        <w:jc w:val="left"/>
        <w:rPr>
          <w:i/>
        </w:rPr>
      </w:pPr>
      <w:r w:rsidRPr="00663F84">
        <w:rPr>
          <w:i/>
        </w:rPr>
        <w:t>Scanning Electron Microscopy (SEM)</w:t>
      </w:r>
    </w:p>
    <w:p w14:paraId="02180553" w14:textId="77777777" w:rsidR="002D1E2F" w:rsidRPr="00663F84" w:rsidRDefault="002D1E2F" w:rsidP="002D1E2F">
      <w:pPr>
        <w:pStyle w:val="TAMainText"/>
        <w:spacing w:after="240"/>
        <w:jc w:val="left"/>
      </w:pPr>
      <w:r w:rsidRPr="00663F84">
        <w:t>A JOEL 5900 SEM (Tokyo, Japan) was used to examine the morphologies of talcum and fenofibrate polymorphs I and III. The talcum powders were dispersed in ethanol. A few drops of the suspension were applied on a sample stab and left to dry. The sample stab was sputtered by a gold layer after drying. The fenofibrate form I powders and the crystalline fenofibrate polymorph III were attached to the sample stabs and sputtered by a gold layer before examination by SEM.</w:t>
      </w:r>
    </w:p>
    <w:p w14:paraId="6E90FD3E" w14:textId="77777777" w:rsidR="002D1E2F" w:rsidRPr="00663F84" w:rsidRDefault="002D1E2F" w:rsidP="002D1E2F">
      <w:pPr>
        <w:pStyle w:val="TAMainText"/>
        <w:spacing w:after="240"/>
        <w:jc w:val="left"/>
        <w:rPr>
          <w:i/>
        </w:rPr>
      </w:pPr>
      <w:r w:rsidRPr="00663F84">
        <w:rPr>
          <w:i/>
        </w:rPr>
        <w:t>Single Crystal X-ray Diffraction</w:t>
      </w:r>
    </w:p>
    <w:p w14:paraId="4B50274A" w14:textId="5CD9CEC3" w:rsidR="002D1E2F" w:rsidRPr="00663F84" w:rsidRDefault="002D1E2F" w:rsidP="002D1E2F">
      <w:pPr>
        <w:pStyle w:val="TAMainText"/>
        <w:spacing w:after="240"/>
        <w:jc w:val="left"/>
      </w:pPr>
      <w:r w:rsidRPr="00663F84">
        <w:t>The diffraction experiments were performed using an Oxford Diffraction Xcalibur-3/Sapphire3-CCD diffractometer (Oxford Diffraction Ltd., Oxford, UK) using graphite monochromated Mo-K</w:t>
      </w:r>
      <w:r w:rsidRPr="00663F84">
        <w:rPr>
          <w:rFonts w:hint="eastAsia"/>
        </w:rPr>
        <w:t>α</w:t>
      </w:r>
      <w:r w:rsidRPr="00663F84">
        <w:t xml:space="preserve"> radiation (</w:t>
      </w:r>
      <w:r w:rsidRPr="00663F84">
        <w:rPr>
          <w:rFonts w:hint="eastAsia"/>
        </w:rPr>
        <w:t>λ</w:t>
      </w:r>
      <w:r w:rsidRPr="00663F84">
        <w:t xml:space="preserve">= 0.71073 Å). Crystals of fenofibrate form III were colourless prisms. A single crystal was chiselled out from a solid array of crystals from a melt, mounted on a glass fibre and fixed in the cold nitrogen stream on the diffractometer. Intensity data were measured by thin-slice </w:t>
      </w:r>
      <w:r w:rsidRPr="00663F84">
        <w:rPr>
          <w:rFonts w:hint="eastAsia"/>
        </w:rPr>
        <w:t>ω</w:t>
      </w:r>
      <w:r w:rsidRPr="00663F84">
        <w:t xml:space="preserve">- and </w:t>
      </w:r>
      <w:r w:rsidRPr="00663F84">
        <w:rPr>
          <w:rFonts w:hint="eastAsia"/>
        </w:rPr>
        <w:t>φ</w:t>
      </w:r>
      <w:r w:rsidRPr="00663F84">
        <w:t>-scans at 140K. The diffraction data were processed using the CrysAlisPro-CCD and -RED programs.</w:t>
      </w:r>
      <w:r w:rsidR="001C3AED">
        <w:rPr>
          <w:vertAlign w:val="superscript"/>
        </w:rPr>
        <w:t>20</w:t>
      </w:r>
      <w:r w:rsidRPr="00663F84">
        <w:t xml:space="preserve"> The structure was solved in SHELXT using the dual-space approach and refined with SHELXL as implemented in the ShelXle GUI.</w:t>
      </w:r>
      <w:r w:rsidR="001C3AED">
        <w:rPr>
          <w:vertAlign w:val="superscript"/>
        </w:rPr>
        <w:t>21,22</w:t>
      </w:r>
      <w:r w:rsidRPr="00663F84">
        <w:t xml:space="preserve"> </w:t>
      </w:r>
      <w:r w:rsidR="005205BF" w:rsidRPr="00663F84">
        <w:t>All</w:t>
      </w:r>
      <w:r w:rsidRPr="00663F84">
        <w:t xml:space="preserve"> non-hydrogen atoms were </w:t>
      </w:r>
      <w:r w:rsidR="005205BF" w:rsidRPr="00663F84">
        <w:t xml:space="preserve">located from electron density maps and were </w:t>
      </w:r>
      <w:r w:rsidRPr="00663F84">
        <w:t xml:space="preserve">refined with anisotropic thermal parameters.  Hydrogen atoms were included in idealised positions and </w:t>
      </w:r>
      <w:r w:rsidR="005205BF" w:rsidRPr="00663F84">
        <w:t>were refined with independent isotropic displacement parameters</w:t>
      </w:r>
      <w:r w:rsidRPr="00663F84">
        <w:t xml:space="preserve">.  </w:t>
      </w:r>
      <w:r w:rsidR="00E97327" w:rsidRPr="00663F84">
        <w:t xml:space="preserve">The coordinates of hydrogen atoms were refined in riding mode, while allowing rigid rotations of the methyl groups. </w:t>
      </w:r>
      <w:r w:rsidRPr="00663F84">
        <w:t xml:space="preserve">The geometric </w:t>
      </w:r>
      <w:r w:rsidRPr="00663F84">
        <w:lastRenderedPageBreak/>
        <w:t>measurements in this article were obtained using the programs PLATON and OLEX2.</w:t>
      </w:r>
      <w:r w:rsidR="001C3AED">
        <w:rPr>
          <w:vertAlign w:val="superscript"/>
        </w:rPr>
        <w:t>23, 24</w:t>
      </w:r>
      <w:r w:rsidRPr="00663F84">
        <w:t xml:space="preserve"> The graphical illustrations were created using Mercury.</w:t>
      </w:r>
      <w:r w:rsidR="001C3AED">
        <w:rPr>
          <w:vertAlign w:val="superscript"/>
        </w:rPr>
        <w:t>25</w:t>
      </w:r>
    </w:p>
    <w:p w14:paraId="5D0024B6" w14:textId="77777777" w:rsidR="002D1E2F" w:rsidRPr="00663F84" w:rsidRDefault="002D1E2F" w:rsidP="002D1E2F">
      <w:pPr>
        <w:pStyle w:val="TAMainText"/>
        <w:spacing w:after="240"/>
        <w:jc w:val="left"/>
        <w:rPr>
          <w:b/>
        </w:rPr>
      </w:pPr>
      <w:r w:rsidRPr="00663F84">
        <w:rPr>
          <w:b/>
        </w:rPr>
        <w:t xml:space="preserve">Results and Discussion </w:t>
      </w:r>
    </w:p>
    <w:p w14:paraId="698D4A5C" w14:textId="77777777" w:rsidR="002D1E2F" w:rsidRPr="00663F84" w:rsidRDefault="002D1E2F" w:rsidP="002D1E2F">
      <w:pPr>
        <w:pStyle w:val="TAMainText"/>
        <w:spacing w:after="240"/>
        <w:jc w:val="left"/>
        <w:rPr>
          <w:i/>
        </w:rPr>
      </w:pPr>
      <w:r w:rsidRPr="00663F84">
        <w:rPr>
          <w:i/>
        </w:rPr>
        <w:t>Crystallisation condition optimization for form III</w:t>
      </w:r>
    </w:p>
    <w:p w14:paraId="6C6A8901" w14:textId="77777777" w:rsidR="002D1E2F" w:rsidRPr="00663F84" w:rsidRDefault="002D1E2F" w:rsidP="002D1E2F">
      <w:pPr>
        <w:pStyle w:val="TAMainText"/>
        <w:spacing w:after="240"/>
        <w:jc w:val="left"/>
      </w:pPr>
      <w:r w:rsidRPr="00663F84">
        <w:t xml:space="preserve">The nucleation and crystallisation of form III is strongly affected by the talc concentration suspended in the molten fenofibrate. As seen in Figure 2, the crystallisation of form III, which has a distinct low melting point of approximately 50°C, only occurred when the talc concentration was 1% (w/w). The absence of a glass transition in the DSC result confirmed that the material was fully crystallised. Following the melting of form III, exothermic crystallisation occurred immediately at 57.6°C. The product of crystallisation is confirmed to be form I as a form I melting is observed at 80°C with a melting enthalpy of 89.8±0.6 J/g. </w:t>
      </w:r>
    </w:p>
    <w:p w14:paraId="124F1282" w14:textId="77777777" w:rsidR="00C54700" w:rsidRPr="00663F84" w:rsidRDefault="00C54700" w:rsidP="002D1E2F">
      <w:pPr>
        <w:pStyle w:val="TAMainText"/>
        <w:spacing w:after="240"/>
        <w:jc w:val="left"/>
      </w:pPr>
    </w:p>
    <w:p w14:paraId="7E85C895" w14:textId="77777777" w:rsidR="00C54700" w:rsidRPr="00663F84" w:rsidRDefault="00C54700" w:rsidP="002D1E2F">
      <w:pPr>
        <w:pStyle w:val="TAMainText"/>
        <w:spacing w:after="240"/>
        <w:jc w:val="left"/>
      </w:pPr>
    </w:p>
    <w:p w14:paraId="4E16E68B" w14:textId="7A6A5E6B" w:rsidR="002D6EFE" w:rsidRPr="00663F84" w:rsidRDefault="00C54700" w:rsidP="002D1E2F">
      <w:pPr>
        <w:pStyle w:val="TAMainText"/>
        <w:spacing w:after="240"/>
        <w:jc w:val="left"/>
      </w:pPr>
      <w:r w:rsidRPr="00663F84">
        <w:rPr>
          <w:noProof/>
        </w:rPr>
        <w:lastRenderedPageBreak/>
        <w:drawing>
          <wp:inline distT="0" distB="0" distL="0" distR="0" wp14:anchorId="59D122BB" wp14:editId="78A8FAB4">
            <wp:extent cx="5943600" cy="3810000"/>
            <wp:effectExtent l="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810000"/>
                    </a:xfrm>
                    <a:prstGeom prst="rect">
                      <a:avLst/>
                    </a:prstGeom>
                    <a:noFill/>
                    <a:ln>
                      <a:noFill/>
                    </a:ln>
                  </pic:spPr>
                </pic:pic>
              </a:graphicData>
            </a:graphic>
          </wp:inline>
        </w:drawing>
      </w:r>
    </w:p>
    <w:p w14:paraId="5F975403" w14:textId="77777777" w:rsidR="002D6EFE" w:rsidRPr="00663F84" w:rsidRDefault="002D6EFE" w:rsidP="00FF73B8">
      <w:pPr>
        <w:pStyle w:val="VAFigureCaption"/>
        <w:rPr>
          <w:b/>
          <w:bCs/>
        </w:rPr>
      </w:pPr>
      <w:r w:rsidRPr="00663F84">
        <w:rPr>
          <w:b/>
        </w:rPr>
        <w:t>Figure 2.</w:t>
      </w:r>
      <w:r w:rsidRPr="00663F84">
        <w:t xml:space="preserve"> DSC thermograms of fenofibrate crystallised from the melt containing (A) 1% w/w, (B) 5% w/w, (C) 10% w/w and (D) 20% w/w talc </w:t>
      </w:r>
    </w:p>
    <w:p w14:paraId="4B7ED80C" w14:textId="0A92BEC2" w:rsidR="002D1E2F" w:rsidRPr="00663F84" w:rsidRDefault="002D1E2F" w:rsidP="002D1E2F">
      <w:pPr>
        <w:pStyle w:val="TAMainText"/>
        <w:spacing w:after="240"/>
        <w:jc w:val="left"/>
      </w:pPr>
      <w:r w:rsidRPr="00663F84">
        <w:t>The uses of higher talc concentrations greater than 1% resulted in the crystallisation of mixtures of the meta-stable form IIa (melting point of approximately 74°C) and the stable form I (melting point of approximately 80°C). Judging by the enthalpy values of the peaks associated with forms I and IIa, more form I was crystallised than form IIa consistently in the samples containing 5-20% talc.</w:t>
      </w:r>
      <w:r w:rsidR="00C163D0">
        <w:rPr>
          <w:vertAlign w:val="superscript"/>
        </w:rPr>
        <w:t>7</w:t>
      </w:r>
      <w:r w:rsidRPr="00663F84">
        <w:t xml:space="preserve"> The fact that little change is seen in the ratio of the resulting form I and form IIa suggests that the talc concentration is not relevant to polymorphic form selection between form I and form IIa, but it has a unique effect on the nucleation and growth of form III. At talc concentrations above 1% talc particles were acting as any non-specific foreign solid to </w:t>
      </w:r>
      <w:r w:rsidRPr="00663F84">
        <w:lastRenderedPageBreak/>
        <w:t xml:space="preserve">induce the heterogeneous nucleation of form I with a low level of nucleation of meta-stable form IIa. </w:t>
      </w:r>
    </w:p>
    <w:p w14:paraId="5C331FD8" w14:textId="77777777" w:rsidR="002D1E2F" w:rsidRPr="00663F84" w:rsidRDefault="002D1E2F" w:rsidP="002D1E2F">
      <w:pPr>
        <w:pStyle w:val="TAMainText"/>
        <w:spacing w:after="240"/>
        <w:jc w:val="left"/>
      </w:pPr>
      <w:r w:rsidRPr="00663F84">
        <w:t xml:space="preserve">It is important to emphasize that careful control of the crystallisation conditions is extremely important for obtaining form III with high purity. In our experiments, the absence of humidity and complete avoidance of any mechanical shock were important to increase the chance of crystallising the new form III with high purity. As shown in Figure 3, despite the addition of 1% talc and cooling and storing the sample at 0% RH, a low level of a mechanical shock (i.e. the container bumped against the wall of the desiccator) could cause the failure of form III crystallisation and resulted in a mixture of forms I and IIa crystallising. </w:t>
      </w:r>
    </w:p>
    <w:p w14:paraId="6E06FE0A" w14:textId="14FE7F3B" w:rsidR="00BD6D0F" w:rsidRDefault="00703974" w:rsidP="00663D6A">
      <w:pPr>
        <w:pStyle w:val="VAFigureCaption"/>
        <w:rPr>
          <w:b/>
          <w:szCs w:val="28"/>
        </w:rPr>
      </w:pPr>
      <w:bookmarkStart w:id="1" w:name="_Ref417663832"/>
      <w:r w:rsidRPr="00703974">
        <w:drawing>
          <wp:inline distT="0" distB="0" distL="0" distR="0" wp14:anchorId="7F7D8CB3" wp14:editId="4C17867C">
            <wp:extent cx="5943600" cy="3048000"/>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048000"/>
                    </a:xfrm>
                    <a:prstGeom prst="rect">
                      <a:avLst/>
                    </a:prstGeom>
                    <a:noFill/>
                    <a:ln>
                      <a:noFill/>
                    </a:ln>
                  </pic:spPr>
                </pic:pic>
              </a:graphicData>
            </a:graphic>
          </wp:inline>
        </w:drawing>
      </w:r>
      <w:bookmarkStart w:id="2" w:name="_GoBack"/>
      <w:bookmarkEnd w:id="2"/>
    </w:p>
    <w:p w14:paraId="12D69030" w14:textId="5B5201E4" w:rsidR="004944D1" w:rsidRPr="00663F84" w:rsidRDefault="004944D1" w:rsidP="00663D6A">
      <w:pPr>
        <w:pStyle w:val="VAFigureCaption"/>
        <w:rPr>
          <w:b/>
          <w:noProof/>
        </w:rPr>
      </w:pPr>
      <w:r w:rsidRPr="00663F84">
        <w:rPr>
          <w:b/>
          <w:szCs w:val="28"/>
        </w:rPr>
        <w:t xml:space="preserve">Figure </w:t>
      </w:r>
      <w:bookmarkEnd w:id="1"/>
      <w:r w:rsidRPr="00663F84">
        <w:rPr>
          <w:b/>
          <w:szCs w:val="28"/>
        </w:rPr>
        <w:t>3.</w:t>
      </w:r>
      <w:r w:rsidRPr="00663F84">
        <w:rPr>
          <w:szCs w:val="28"/>
        </w:rPr>
        <w:t xml:space="preserve"> </w:t>
      </w:r>
      <w:r w:rsidRPr="00663F84">
        <w:rPr>
          <w:noProof/>
        </w:rPr>
        <w:t>Optical images of crystalline fenofibrate containing 1% talc which were obtained from the melt-cooling process: (A) crystallisation initated by mechanical shock resulting a mixture of forms I and II</w:t>
      </w:r>
      <w:r w:rsidR="00A9049D" w:rsidRPr="00663F84">
        <w:rPr>
          <w:noProof/>
        </w:rPr>
        <w:t>a</w:t>
      </w:r>
      <w:r w:rsidRPr="00663F84">
        <w:rPr>
          <w:noProof/>
        </w:rPr>
        <w:t xml:space="preserve"> with form I being the dominating form and (B) non-disruptive spontaneous cry</w:t>
      </w:r>
      <w:r w:rsidR="00A9049D" w:rsidRPr="00663F84">
        <w:rPr>
          <w:noProof/>
        </w:rPr>
        <w:t xml:space="preserve">stallization of </w:t>
      </w:r>
      <w:r w:rsidRPr="00663F84">
        <w:rPr>
          <w:noProof/>
        </w:rPr>
        <w:t xml:space="preserve">form III </w:t>
      </w:r>
      <w:r w:rsidR="00A9049D" w:rsidRPr="00663F84">
        <w:rPr>
          <w:noProof/>
        </w:rPr>
        <w:t>in the presence of talc.</w:t>
      </w:r>
    </w:p>
    <w:p w14:paraId="785D0382" w14:textId="77777777" w:rsidR="002D1E2F" w:rsidRPr="00663F84" w:rsidRDefault="002D1E2F" w:rsidP="002D1E2F">
      <w:pPr>
        <w:pStyle w:val="TAMainText"/>
        <w:spacing w:after="240"/>
        <w:jc w:val="left"/>
        <w:rPr>
          <w:i/>
        </w:rPr>
      </w:pPr>
      <w:r w:rsidRPr="00663F84">
        <w:rPr>
          <w:i/>
        </w:rPr>
        <w:lastRenderedPageBreak/>
        <w:t>Physicochemical characterisation of fenofibrate form III</w:t>
      </w:r>
    </w:p>
    <w:p w14:paraId="235C8F0F" w14:textId="4B2BAA0E" w:rsidR="002D1E2F" w:rsidRPr="00663F84" w:rsidRDefault="002D1E2F" w:rsidP="002D1E2F">
      <w:pPr>
        <w:pStyle w:val="TAMainText"/>
        <w:spacing w:after="240"/>
        <w:jc w:val="left"/>
      </w:pPr>
      <w:r w:rsidRPr="00663F84">
        <w:t>The morphology and spectroscopic features of the new fenofibrate form III were further characterized using SEM, PXRD, HSM and ATR-FTIR. Figure 3 demonstrates the macroscopic difference between the appearance of a form I/form IIa mixture and form III. The form</w:t>
      </w:r>
      <w:r w:rsidR="003A1155" w:rsidRPr="00663F84">
        <w:t>s</w:t>
      </w:r>
      <w:r w:rsidRPr="00663F84">
        <w:t xml:space="preserve"> I and IIa mixture shows the presence of fine crystals. Form III, on the contrary, shows a flat and radiating habit of a mass of slender crystals. Macroscopically, form III is semi-translucent. Figure 4 further confirms the significant crystal habit difference between the form III and the stable form I.  The SEM image of form I reveals large triclinic shape form I crystals, which agrees well with the literature.</w:t>
      </w:r>
      <w:r w:rsidR="00FB7328">
        <w:rPr>
          <w:vertAlign w:val="superscript"/>
        </w:rPr>
        <w:t>6</w:t>
      </w:r>
      <w:r w:rsidRPr="00663F84">
        <w:rPr>
          <w:vertAlign w:val="superscript"/>
        </w:rPr>
        <w:t xml:space="preserve">, </w:t>
      </w:r>
      <w:r w:rsidR="00FB7328">
        <w:rPr>
          <w:vertAlign w:val="superscript"/>
        </w:rPr>
        <w:t>10</w:t>
      </w:r>
      <w:r w:rsidRPr="00663F84">
        <w:t xml:space="preserve"> The radiating habit is further confirmed by the SEM image of form III. </w:t>
      </w:r>
    </w:p>
    <w:p w14:paraId="4C664BD7" w14:textId="0D9116A7" w:rsidR="004944D1" w:rsidRPr="00663F84" w:rsidRDefault="004944D1" w:rsidP="002D1E2F">
      <w:pPr>
        <w:pStyle w:val="TAMainText"/>
        <w:spacing w:after="240"/>
        <w:jc w:val="left"/>
      </w:pPr>
      <w:r w:rsidRPr="00663F84">
        <w:rPr>
          <w:noProof/>
        </w:rPr>
        <w:drawing>
          <wp:inline distT="0" distB="0" distL="0" distR="0" wp14:anchorId="121EC303" wp14:editId="412C025C">
            <wp:extent cx="5731510" cy="2893695"/>
            <wp:effectExtent l="19050" t="0" r="254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3 new fen.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2893695"/>
                    </a:xfrm>
                    <a:prstGeom prst="rect">
                      <a:avLst/>
                    </a:prstGeom>
                  </pic:spPr>
                </pic:pic>
              </a:graphicData>
            </a:graphic>
          </wp:inline>
        </w:drawing>
      </w:r>
    </w:p>
    <w:p w14:paraId="431980B1" w14:textId="77777777" w:rsidR="004944D1" w:rsidRPr="00663F84" w:rsidRDefault="004944D1" w:rsidP="00FF73B8">
      <w:pPr>
        <w:pStyle w:val="VAFigureCaption"/>
        <w:rPr>
          <w:szCs w:val="28"/>
        </w:rPr>
      </w:pPr>
      <w:bookmarkStart w:id="3" w:name="_Ref417663880"/>
      <w:r w:rsidRPr="00663F84">
        <w:rPr>
          <w:b/>
          <w:szCs w:val="28"/>
        </w:rPr>
        <w:t xml:space="preserve">Figure </w:t>
      </w:r>
      <w:bookmarkEnd w:id="3"/>
      <w:r w:rsidRPr="00663F84">
        <w:rPr>
          <w:b/>
          <w:szCs w:val="28"/>
        </w:rPr>
        <w:t>4.</w:t>
      </w:r>
      <w:r w:rsidRPr="00663F84">
        <w:rPr>
          <w:szCs w:val="28"/>
        </w:rPr>
        <w:t xml:space="preserve"> </w:t>
      </w:r>
      <w:r w:rsidRPr="00663F84">
        <w:t>SEM images of (A</w:t>
      </w:r>
      <w:r w:rsidRPr="00663F84">
        <w:rPr>
          <w:rFonts w:hint="cs"/>
          <w:rtl/>
          <w:cs/>
        </w:rPr>
        <w:t xml:space="preserve"> </w:t>
      </w:r>
      <w:r w:rsidRPr="00663F84">
        <w:t>and B) talc powders, (C and D) fenofibrate power polymorph I as received and (E and F) form III crystallised in the presence of 1% talc.</w:t>
      </w:r>
      <w:r w:rsidRPr="00663F84">
        <w:rPr>
          <w:rtl/>
          <w:cs/>
        </w:rPr>
        <w:t xml:space="preserve"> </w:t>
      </w:r>
    </w:p>
    <w:p w14:paraId="17B98469" w14:textId="77777777" w:rsidR="004944D1" w:rsidRPr="00663F84" w:rsidRDefault="004944D1" w:rsidP="002D1E2F">
      <w:pPr>
        <w:pStyle w:val="TAMainText"/>
        <w:spacing w:after="240"/>
        <w:jc w:val="left"/>
      </w:pPr>
    </w:p>
    <w:p w14:paraId="30E8FD9B" w14:textId="15D3894B" w:rsidR="002D1E2F" w:rsidRPr="00663F84" w:rsidRDefault="002D1E2F" w:rsidP="002D1E2F">
      <w:pPr>
        <w:pStyle w:val="TAMainText"/>
        <w:spacing w:after="240"/>
        <w:jc w:val="left"/>
      </w:pPr>
      <w:r w:rsidRPr="00663F84">
        <w:lastRenderedPageBreak/>
        <w:t xml:space="preserve">The ATR-FTIR results (Figure 5) of form III show a clear fingerprint of form III, which is distinctively different from the known form I. The functional groups associated with the vibrational bands shown in the IR spectra are summarized in Table 1. We assigned only the peaks that show shifts among the polymorphs, and did not attempt a full peak assignment. </w:t>
      </w:r>
    </w:p>
    <w:p w14:paraId="446AEA41" w14:textId="463B1007" w:rsidR="004944D1" w:rsidRPr="00663F84" w:rsidRDefault="004944D1" w:rsidP="002D1E2F">
      <w:pPr>
        <w:pStyle w:val="TAMainText"/>
        <w:spacing w:after="240"/>
        <w:jc w:val="left"/>
      </w:pPr>
      <w:r w:rsidRPr="00663F84">
        <w:rPr>
          <w:noProof/>
        </w:rPr>
        <w:drawing>
          <wp:inline distT="0" distB="0" distL="0" distR="0" wp14:anchorId="62E2C61D" wp14:editId="30D7441E">
            <wp:extent cx="5731510" cy="3292386"/>
            <wp:effectExtent l="0" t="0" r="0" b="10160"/>
            <wp:docPr id="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3292386"/>
                    </a:xfrm>
                    <a:prstGeom prst="rect">
                      <a:avLst/>
                    </a:prstGeom>
                    <a:noFill/>
                    <a:ln>
                      <a:noFill/>
                    </a:ln>
                  </pic:spPr>
                </pic:pic>
              </a:graphicData>
            </a:graphic>
          </wp:inline>
        </w:drawing>
      </w:r>
    </w:p>
    <w:p w14:paraId="23ADA817" w14:textId="77777777" w:rsidR="004944D1" w:rsidRPr="00663F84" w:rsidRDefault="004944D1" w:rsidP="00FF73B8">
      <w:pPr>
        <w:pStyle w:val="VAFigureCaption"/>
      </w:pPr>
      <w:bookmarkStart w:id="4" w:name="_Ref417663901"/>
      <w:r w:rsidRPr="00663F84">
        <w:rPr>
          <w:b/>
        </w:rPr>
        <w:t xml:space="preserve">Figure </w:t>
      </w:r>
      <w:bookmarkEnd w:id="4"/>
      <w:r w:rsidRPr="00663F84">
        <w:rPr>
          <w:b/>
        </w:rPr>
        <w:t>5.</w:t>
      </w:r>
      <w:r w:rsidRPr="00663F84">
        <w:t xml:space="preserve"> The comparison of ATR-FTIR spectra of fenofibrate polymorphic from I and the form III: (a) spectra of 3175 to 2800 cm</w:t>
      </w:r>
      <w:r w:rsidRPr="00663F84">
        <w:rPr>
          <w:vertAlign w:val="superscript"/>
        </w:rPr>
        <w:t>-1</w:t>
      </w:r>
      <w:r w:rsidRPr="00663F84">
        <w:t xml:space="preserve"> region,</w:t>
      </w:r>
      <w:r w:rsidRPr="00663F84">
        <w:rPr>
          <w:vertAlign w:val="superscript"/>
        </w:rPr>
        <w:t xml:space="preserve"> </w:t>
      </w:r>
      <w:r w:rsidRPr="00663F84">
        <w:t>(b) spectra of 1850 to 1350 cm</w:t>
      </w:r>
      <w:r w:rsidRPr="00663F84">
        <w:rPr>
          <w:vertAlign w:val="superscript"/>
        </w:rPr>
        <w:t xml:space="preserve">-1 </w:t>
      </w:r>
      <w:r w:rsidRPr="00663F84">
        <w:t>region and (c) spectra of 1350 to 550 cm</w:t>
      </w:r>
      <w:r w:rsidRPr="00663F84">
        <w:rPr>
          <w:vertAlign w:val="superscript"/>
        </w:rPr>
        <w:t xml:space="preserve">-1 </w:t>
      </w:r>
      <w:r w:rsidRPr="00663F84">
        <w:t xml:space="preserve">region. The differences between </w:t>
      </w:r>
      <w:r w:rsidRPr="00663F84">
        <w:rPr>
          <w:rFonts w:cs="Angsana New"/>
          <w:szCs w:val="30"/>
        </w:rPr>
        <w:t>form</w:t>
      </w:r>
      <w:r w:rsidRPr="00663F84">
        <w:t xml:space="preserve"> I and form III spectra are highlighted in the dash-lined boxes.</w:t>
      </w:r>
    </w:p>
    <w:p w14:paraId="58162F41" w14:textId="77777777" w:rsidR="004944D1" w:rsidRPr="00663F84" w:rsidRDefault="004944D1" w:rsidP="002D6EFE">
      <w:pPr>
        <w:pStyle w:val="Caption"/>
        <w:spacing w:line="480" w:lineRule="auto"/>
        <w:jc w:val="both"/>
        <w:rPr>
          <w:rFonts w:ascii="Times" w:eastAsia="Times New Roman" w:hAnsi="Times" w:cs="Times New Roman"/>
          <w:b w:val="0"/>
          <w:bCs w:val="0"/>
          <w:color w:val="auto"/>
          <w:sz w:val="24"/>
          <w:szCs w:val="20"/>
          <w:lang w:val="en-US" w:eastAsia="en-US"/>
        </w:rPr>
      </w:pPr>
    </w:p>
    <w:p w14:paraId="661FB397" w14:textId="77777777" w:rsidR="004944D1" w:rsidRPr="00663F84" w:rsidRDefault="004944D1" w:rsidP="002D6EFE">
      <w:pPr>
        <w:pStyle w:val="Caption"/>
        <w:spacing w:line="480" w:lineRule="auto"/>
        <w:jc w:val="both"/>
        <w:rPr>
          <w:rFonts w:ascii="Times" w:eastAsia="Times New Roman" w:hAnsi="Times" w:cs="Times New Roman"/>
          <w:b w:val="0"/>
          <w:bCs w:val="0"/>
          <w:color w:val="auto"/>
          <w:sz w:val="24"/>
          <w:szCs w:val="20"/>
          <w:lang w:val="en-US" w:eastAsia="en-US"/>
        </w:rPr>
      </w:pPr>
    </w:p>
    <w:p w14:paraId="6939A608" w14:textId="77777777" w:rsidR="004944D1" w:rsidRPr="00663F84" w:rsidRDefault="004944D1" w:rsidP="002D6EFE">
      <w:pPr>
        <w:pStyle w:val="Caption"/>
        <w:spacing w:line="480" w:lineRule="auto"/>
        <w:jc w:val="both"/>
        <w:rPr>
          <w:rFonts w:ascii="Times" w:eastAsia="Times New Roman" w:hAnsi="Times" w:cs="Times New Roman"/>
          <w:b w:val="0"/>
          <w:bCs w:val="0"/>
          <w:color w:val="auto"/>
          <w:sz w:val="24"/>
          <w:szCs w:val="20"/>
          <w:lang w:val="en-US" w:eastAsia="en-US"/>
        </w:rPr>
      </w:pPr>
    </w:p>
    <w:p w14:paraId="7555DDE6" w14:textId="77777777" w:rsidR="002D6EFE" w:rsidRPr="00663F84" w:rsidRDefault="002D6EFE" w:rsidP="002D6EFE">
      <w:pPr>
        <w:pStyle w:val="Caption"/>
        <w:spacing w:line="480" w:lineRule="auto"/>
        <w:jc w:val="both"/>
        <w:rPr>
          <w:rFonts w:ascii="Times New Roman" w:hAnsi="Times New Roman" w:cs="Times New Roman"/>
          <w:color w:val="auto"/>
          <w:sz w:val="24"/>
          <w:szCs w:val="24"/>
        </w:rPr>
      </w:pPr>
      <w:r w:rsidRPr="00663F84">
        <w:rPr>
          <w:rFonts w:ascii="Times New Roman" w:hAnsi="Times New Roman" w:cs="Times New Roman"/>
          <w:color w:val="auto"/>
          <w:sz w:val="24"/>
          <w:szCs w:val="24"/>
        </w:rPr>
        <w:lastRenderedPageBreak/>
        <w:t xml:space="preserve">Table </w:t>
      </w:r>
      <w:r w:rsidRPr="00663F84">
        <w:rPr>
          <w:rFonts w:ascii="Times New Roman" w:hAnsi="Times New Roman" w:cs="Times New Roman"/>
          <w:color w:val="auto"/>
          <w:sz w:val="24"/>
          <w:szCs w:val="24"/>
        </w:rPr>
        <w:fldChar w:fldCharType="begin"/>
      </w:r>
      <w:r w:rsidRPr="00663F84">
        <w:rPr>
          <w:rFonts w:ascii="Times New Roman" w:hAnsi="Times New Roman" w:cs="Times New Roman"/>
          <w:color w:val="auto"/>
          <w:sz w:val="24"/>
          <w:szCs w:val="24"/>
        </w:rPr>
        <w:instrText xml:space="preserve"> SEQ Table \* ARABIC </w:instrText>
      </w:r>
      <w:r w:rsidRPr="00663F84">
        <w:rPr>
          <w:rFonts w:ascii="Times New Roman" w:hAnsi="Times New Roman" w:cs="Times New Roman"/>
          <w:color w:val="auto"/>
          <w:sz w:val="24"/>
          <w:szCs w:val="24"/>
        </w:rPr>
        <w:fldChar w:fldCharType="separate"/>
      </w:r>
      <w:r w:rsidRPr="00663F84">
        <w:rPr>
          <w:rFonts w:ascii="Times New Roman" w:hAnsi="Times New Roman" w:cs="Times New Roman"/>
          <w:noProof/>
          <w:color w:val="auto"/>
          <w:sz w:val="24"/>
          <w:szCs w:val="24"/>
        </w:rPr>
        <w:t>1</w:t>
      </w:r>
      <w:r w:rsidRPr="00663F84">
        <w:rPr>
          <w:rFonts w:ascii="Times New Roman" w:hAnsi="Times New Roman" w:cs="Times New Roman"/>
          <w:color w:val="auto"/>
          <w:sz w:val="24"/>
          <w:szCs w:val="24"/>
        </w:rPr>
        <w:fldChar w:fldCharType="end"/>
      </w:r>
      <w:r w:rsidRPr="00663F84">
        <w:rPr>
          <w:rFonts w:ascii="Times New Roman" w:hAnsi="Times New Roman" w:cs="Times New Roman"/>
          <w:color w:val="auto"/>
          <w:sz w:val="24"/>
          <w:szCs w:val="24"/>
        </w:rPr>
        <w:t xml:space="preserve">. </w:t>
      </w:r>
      <w:r w:rsidRPr="00663F84">
        <w:rPr>
          <w:rFonts w:ascii="Times New Roman" w:hAnsi="Times New Roman" w:cs="Times New Roman"/>
          <w:b w:val="0"/>
          <w:bCs w:val="0"/>
          <w:color w:val="auto"/>
          <w:sz w:val="24"/>
          <w:szCs w:val="24"/>
        </w:rPr>
        <w:t>Assignments of the ATR-FTIR peaks of amorphous fenofibrate, fenofibrate form I, form IIa and form III</w:t>
      </w:r>
    </w:p>
    <w:tbl>
      <w:tblPr>
        <w:tblStyle w:val="LightShading"/>
        <w:tblW w:w="8330" w:type="dxa"/>
        <w:tblBorders>
          <w:insideH w:val="single" w:sz="4" w:space="0" w:color="auto"/>
          <w:insideV w:val="single" w:sz="4" w:space="0" w:color="auto"/>
        </w:tblBorders>
        <w:tblLook w:val="04A0" w:firstRow="1" w:lastRow="0" w:firstColumn="1" w:lastColumn="0" w:noHBand="0" w:noVBand="1"/>
      </w:tblPr>
      <w:tblGrid>
        <w:gridCol w:w="2568"/>
        <w:gridCol w:w="1416"/>
        <w:gridCol w:w="1416"/>
        <w:gridCol w:w="1350"/>
        <w:gridCol w:w="1580"/>
      </w:tblGrid>
      <w:tr w:rsidR="002D6EFE" w:rsidRPr="00663F84" w14:paraId="5DA718BC" w14:textId="77777777" w:rsidTr="00AA6311">
        <w:trPr>
          <w:cnfStyle w:val="100000000000" w:firstRow="1" w:lastRow="0" w:firstColumn="0" w:lastColumn="0" w:oddVBand="0" w:evenVBand="0" w:oddHBand="0" w:evenHBand="0" w:firstRowFirstColumn="0" w:firstRowLastColumn="0" w:lastRowFirstColumn="0" w:lastRowLastColumn="0"/>
          <w:trHeight w:val="489"/>
        </w:trPr>
        <w:tc>
          <w:tcPr>
            <w:cnfStyle w:val="001000000000" w:firstRow="0" w:lastRow="0" w:firstColumn="1" w:lastColumn="0" w:oddVBand="0" w:evenVBand="0" w:oddHBand="0" w:evenHBand="0" w:firstRowFirstColumn="0" w:firstRowLastColumn="0" w:lastRowFirstColumn="0" w:lastRowLastColumn="0"/>
            <w:tcW w:w="2760" w:type="dxa"/>
            <w:vMerge w:val="restart"/>
            <w:tcBorders>
              <w:top w:val="none" w:sz="0" w:space="0" w:color="auto"/>
              <w:left w:val="none" w:sz="0" w:space="0" w:color="auto"/>
              <w:bottom w:val="single" w:sz="4" w:space="0" w:color="auto"/>
              <w:right w:val="none" w:sz="0" w:space="0" w:color="auto"/>
            </w:tcBorders>
            <w:hideMark/>
          </w:tcPr>
          <w:p w14:paraId="7A2EC267" w14:textId="77777777" w:rsidR="002D6EFE" w:rsidRPr="00663F84" w:rsidRDefault="002D6EFE" w:rsidP="00AA6311">
            <w:pPr>
              <w:keepNext/>
              <w:spacing w:after="0"/>
            </w:pPr>
            <w:r w:rsidRPr="00663F84">
              <w:t xml:space="preserve">Band assignment </w:t>
            </w:r>
          </w:p>
        </w:tc>
        <w:tc>
          <w:tcPr>
            <w:tcW w:w="5570" w:type="dxa"/>
            <w:gridSpan w:val="4"/>
            <w:tcBorders>
              <w:top w:val="none" w:sz="0" w:space="0" w:color="auto"/>
              <w:left w:val="none" w:sz="0" w:space="0" w:color="auto"/>
              <w:bottom w:val="single" w:sz="4" w:space="0" w:color="auto"/>
              <w:right w:val="none" w:sz="0" w:space="0" w:color="auto"/>
            </w:tcBorders>
          </w:tcPr>
          <w:p w14:paraId="6EE4E160" w14:textId="77777777" w:rsidR="002D6EFE" w:rsidRPr="00663F84" w:rsidRDefault="002D6EFE" w:rsidP="00AA6311">
            <w:pPr>
              <w:keepNext/>
              <w:spacing w:after="0"/>
              <w:jc w:val="center"/>
              <w:cnfStyle w:val="100000000000" w:firstRow="1" w:lastRow="0" w:firstColumn="0" w:lastColumn="0" w:oddVBand="0" w:evenVBand="0" w:oddHBand="0" w:evenHBand="0" w:firstRowFirstColumn="0" w:firstRowLastColumn="0" w:lastRowFirstColumn="0" w:lastRowLastColumn="0"/>
            </w:pPr>
            <w:r w:rsidRPr="00663F84">
              <w:t>Peak position (cm</w:t>
            </w:r>
            <w:r w:rsidRPr="00663F84">
              <w:rPr>
                <w:vertAlign w:val="superscript"/>
              </w:rPr>
              <w:t>-1</w:t>
            </w:r>
            <w:r w:rsidRPr="00663F84">
              <w:t>)</w:t>
            </w:r>
          </w:p>
        </w:tc>
      </w:tr>
      <w:tr w:rsidR="002D6EFE" w:rsidRPr="00663F84" w14:paraId="18A088BD" w14:textId="77777777" w:rsidTr="00AA6311">
        <w:trPr>
          <w:cnfStyle w:val="000000100000" w:firstRow="0" w:lastRow="0" w:firstColumn="0" w:lastColumn="0" w:oddVBand="0" w:evenVBand="0" w:oddHBand="1" w:evenHBand="0" w:firstRowFirstColumn="0" w:firstRowLastColumn="0" w:lastRowFirstColumn="0" w:lastRowLastColumn="0"/>
          <w:trHeight w:val="656"/>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auto"/>
              <w:bottom w:val="single" w:sz="4" w:space="0" w:color="auto"/>
              <w:right w:val="single" w:sz="4" w:space="0" w:color="auto"/>
            </w:tcBorders>
            <w:hideMark/>
          </w:tcPr>
          <w:p w14:paraId="6E6CBDAF" w14:textId="77777777" w:rsidR="002D6EFE" w:rsidRPr="00663F84" w:rsidRDefault="002D6EFE" w:rsidP="00AA6311">
            <w:pPr>
              <w:keepNext/>
              <w:spacing w:after="0"/>
            </w:pPr>
          </w:p>
        </w:tc>
        <w:tc>
          <w:tcPr>
            <w:tcW w:w="1330" w:type="dxa"/>
            <w:tcBorders>
              <w:top w:val="single" w:sz="4" w:space="0" w:color="auto"/>
              <w:left w:val="single" w:sz="4" w:space="0" w:color="auto"/>
              <w:bottom w:val="single" w:sz="4" w:space="0" w:color="auto"/>
              <w:right w:val="single" w:sz="4" w:space="0" w:color="auto"/>
            </w:tcBorders>
            <w:hideMark/>
          </w:tcPr>
          <w:p w14:paraId="5CB5D729" w14:textId="77777777" w:rsidR="002D6EFE" w:rsidRPr="00663F84" w:rsidRDefault="002D6EFE" w:rsidP="00AA6311">
            <w:pPr>
              <w:keepNext/>
              <w:spacing w:after="0"/>
              <w:jc w:val="center"/>
              <w:cnfStyle w:val="000000100000" w:firstRow="0" w:lastRow="0" w:firstColumn="0" w:lastColumn="0" w:oddVBand="0" w:evenVBand="0" w:oddHBand="1" w:evenHBand="0" w:firstRowFirstColumn="0" w:firstRowLastColumn="0" w:lastRowFirstColumn="0" w:lastRowLastColumn="0"/>
            </w:pPr>
            <w:r w:rsidRPr="00663F84">
              <w:rPr>
                <w:i/>
                <w:iCs/>
              </w:rPr>
              <w:t>Amorphous fenofibrate</w:t>
            </w:r>
          </w:p>
        </w:tc>
        <w:tc>
          <w:tcPr>
            <w:tcW w:w="1330" w:type="dxa"/>
            <w:tcBorders>
              <w:top w:val="single" w:sz="4" w:space="0" w:color="auto"/>
              <w:left w:val="single" w:sz="4" w:space="0" w:color="auto"/>
              <w:bottom w:val="single" w:sz="4" w:space="0" w:color="auto"/>
              <w:right w:val="single" w:sz="4" w:space="0" w:color="auto"/>
            </w:tcBorders>
            <w:hideMark/>
          </w:tcPr>
          <w:p w14:paraId="470C3203"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rPr>
                <w:i/>
                <w:iCs/>
              </w:rPr>
              <w:t>Fenofibrate form I</w:t>
            </w:r>
            <w:r w:rsidRPr="00663F84">
              <w:t xml:space="preserve"> </w:t>
            </w:r>
          </w:p>
        </w:tc>
        <w:tc>
          <w:tcPr>
            <w:tcW w:w="1301" w:type="dxa"/>
            <w:tcBorders>
              <w:top w:val="single" w:sz="4" w:space="0" w:color="auto"/>
              <w:left w:val="single" w:sz="4" w:space="0" w:color="auto"/>
              <w:bottom w:val="single" w:sz="4" w:space="0" w:color="auto"/>
              <w:right w:val="single" w:sz="4" w:space="0" w:color="auto"/>
            </w:tcBorders>
          </w:tcPr>
          <w:p w14:paraId="39E76911" w14:textId="77777777" w:rsidR="002D6EFE" w:rsidRPr="00663F84" w:rsidRDefault="002D6EFE" w:rsidP="00AA6311">
            <w:pPr>
              <w:keepNext/>
              <w:spacing w:after="0"/>
              <w:jc w:val="center"/>
              <w:cnfStyle w:val="000000100000" w:firstRow="0" w:lastRow="0" w:firstColumn="0" w:lastColumn="0" w:oddVBand="0" w:evenVBand="0" w:oddHBand="1" w:evenHBand="0" w:firstRowFirstColumn="0" w:firstRowLastColumn="0" w:lastRowFirstColumn="0" w:lastRowLastColumn="0"/>
              <w:rPr>
                <w:i/>
                <w:iCs/>
              </w:rPr>
            </w:pPr>
            <w:r w:rsidRPr="00663F84">
              <w:rPr>
                <w:i/>
                <w:iCs/>
              </w:rPr>
              <w:t>Fenofibrate form IIa</w:t>
            </w:r>
            <w:r w:rsidRPr="00663F84">
              <w:rPr>
                <w:i/>
                <w:iCs/>
                <w:vertAlign w:val="superscript"/>
              </w:rPr>
              <w:t>6a</w:t>
            </w:r>
          </w:p>
        </w:tc>
        <w:tc>
          <w:tcPr>
            <w:tcW w:w="1609" w:type="dxa"/>
            <w:tcBorders>
              <w:top w:val="single" w:sz="4" w:space="0" w:color="auto"/>
              <w:left w:val="single" w:sz="4" w:space="0" w:color="auto"/>
              <w:bottom w:val="single" w:sz="4" w:space="0" w:color="auto"/>
            </w:tcBorders>
            <w:hideMark/>
          </w:tcPr>
          <w:p w14:paraId="7DB6920E" w14:textId="77777777" w:rsidR="002D6EFE" w:rsidRPr="00663F84" w:rsidRDefault="002D6EFE" w:rsidP="00AA6311">
            <w:pPr>
              <w:keepNext/>
              <w:spacing w:after="0"/>
              <w:jc w:val="center"/>
              <w:cnfStyle w:val="000000100000" w:firstRow="0" w:lastRow="0" w:firstColumn="0" w:lastColumn="0" w:oddVBand="0" w:evenVBand="0" w:oddHBand="1" w:evenHBand="0" w:firstRowFirstColumn="0" w:firstRowLastColumn="0" w:lastRowFirstColumn="0" w:lastRowLastColumn="0"/>
              <w:rPr>
                <w:i/>
                <w:iCs/>
              </w:rPr>
            </w:pPr>
            <w:r w:rsidRPr="00663F84">
              <w:rPr>
                <w:i/>
                <w:iCs/>
              </w:rPr>
              <w:t>Fenofibrate</w:t>
            </w:r>
          </w:p>
          <w:p w14:paraId="600E1DF7" w14:textId="77777777" w:rsidR="002D6EFE" w:rsidRPr="00663F84" w:rsidRDefault="002D6EFE" w:rsidP="00AA6311">
            <w:pPr>
              <w:keepNext/>
              <w:spacing w:after="0"/>
              <w:jc w:val="center"/>
              <w:cnfStyle w:val="000000100000" w:firstRow="0" w:lastRow="0" w:firstColumn="0" w:lastColumn="0" w:oddVBand="0" w:evenVBand="0" w:oddHBand="1" w:evenHBand="0" w:firstRowFirstColumn="0" w:firstRowLastColumn="0" w:lastRowFirstColumn="0" w:lastRowLastColumn="0"/>
            </w:pPr>
            <w:r w:rsidRPr="00663F84">
              <w:rPr>
                <w:i/>
                <w:iCs/>
              </w:rPr>
              <w:t>form III</w:t>
            </w:r>
          </w:p>
        </w:tc>
      </w:tr>
      <w:tr w:rsidR="002D6EFE" w:rsidRPr="00663F84" w14:paraId="7DB1CA0D" w14:textId="77777777" w:rsidTr="00AA6311">
        <w:trPr>
          <w:trHeight w:val="447"/>
        </w:trPr>
        <w:tc>
          <w:tcPr>
            <w:cnfStyle w:val="001000000000" w:firstRow="0" w:lastRow="0" w:firstColumn="1" w:lastColumn="0" w:oddVBand="0" w:evenVBand="0" w:oddHBand="0" w:evenHBand="0" w:firstRowFirstColumn="0" w:firstRowLastColumn="0" w:lastRowFirstColumn="0" w:lastRowLastColumn="0"/>
            <w:tcW w:w="2760" w:type="dxa"/>
            <w:tcBorders>
              <w:top w:val="single" w:sz="4" w:space="0" w:color="auto"/>
            </w:tcBorders>
            <w:hideMark/>
          </w:tcPr>
          <w:p w14:paraId="61AA85BD" w14:textId="77777777" w:rsidR="002D6EFE" w:rsidRPr="00663F84" w:rsidRDefault="002D6EFE" w:rsidP="00AA6311">
            <w:pPr>
              <w:keepNext/>
              <w:spacing w:after="0"/>
            </w:pPr>
            <w:r w:rsidRPr="00663F84">
              <w:t xml:space="preserve">Aromatic =C-H and C=C stretching vibration </w:t>
            </w:r>
          </w:p>
        </w:tc>
        <w:tc>
          <w:tcPr>
            <w:tcW w:w="1330" w:type="dxa"/>
            <w:tcBorders>
              <w:top w:val="single" w:sz="4" w:space="0" w:color="auto"/>
            </w:tcBorders>
            <w:hideMark/>
          </w:tcPr>
          <w:p w14:paraId="65D97DA6"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3070</w:t>
            </w:r>
          </w:p>
        </w:tc>
        <w:tc>
          <w:tcPr>
            <w:tcW w:w="1330" w:type="dxa"/>
            <w:tcBorders>
              <w:top w:val="single" w:sz="4" w:space="0" w:color="auto"/>
            </w:tcBorders>
            <w:hideMark/>
          </w:tcPr>
          <w:p w14:paraId="63B628E9"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3071,</w:t>
            </w:r>
          </w:p>
          <w:p w14:paraId="5E4C6A27"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3055,</w:t>
            </w:r>
          </w:p>
          <w:p w14:paraId="34914F82"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3034</w:t>
            </w:r>
          </w:p>
        </w:tc>
        <w:tc>
          <w:tcPr>
            <w:tcW w:w="1301" w:type="dxa"/>
            <w:tcBorders>
              <w:top w:val="single" w:sz="4" w:space="0" w:color="auto"/>
            </w:tcBorders>
          </w:tcPr>
          <w:p w14:paraId="45A3F2F0"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w:t>
            </w:r>
          </w:p>
        </w:tc>
        <w:tc>
          <w:tcPr>
            <w:tcW w:w="1609" w:type="dxa"/>
            <w:tcBorders>
              <w:top w:val="single" w:sz="4" w:space="0" w:color="auto"/>
            </w:tcBorders>
            <w:hideMark/>
          </w:tcPr>
          <w:p w14:paraId="3DABAA51"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 xml:space="preserve">3068,3015 </w:t>
            </w:r>
          </w:p>
        </w:tc>
      </w:tr>
      <w:tr w:rsidR="002D6EFE" w:rsidRPr="00663F84" w14:paraId="5328A4B9" w14:textId="77777777" w:rsidTr="00AA6311">
        <w:trPr>
          <w:cnfStyle w:val="000000100000" w:firstRow="0" w:lastRow="0" w:firstColumn="0" w:lastColumn="0" w:oddVBand="0" w:evenVBand="0" w:oddHBand="1"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2760" w:type="dxa"/>
            <w:hideMark/>
          </w:tcPr>
          <w:p w14:paraId="28A152C1" w14:textId="77777777" w:rsidR="002D6EFE" w:rsidRPr="00663F84" w:rsidRDefault="002D6EFE" w:rsidP="00AA6311">
            <w:pPr>
              <w:keepNext/>
              <w:spacing w:after="0"/>
            </w:pPr>
            <w:r w:rsidRPr="00663F84">
              <w:t xml:space="preserve">C-H stretching of isopropyl group </w:t>
            </w:r>
          </w:p>
        </w:tc>
        <w:tc>
          <w:tcPr>
            <w:tcW w:w="1330" w:type="dxa"/>
            <w:hideMark/>
          </w:tcPr>
          <w:p w14:paraId="4FF07DAB"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2982,2938</w:t>
            </w:r>
          </w:p>
        </w:tc>
        <w:tc>
          <w:tcPr>
            <w:tcW w:w="1330" w:type="dxa"/>
            <w:hideMark/>
          </w:tcPr>
          <w:p w14:paraId="5811F4DE"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2985,2937</w:t>
            </w:r>
          </w:p>
        </w:tc>
        <w:tc>
          <w:tcPr>
            <w:tcW w:w="1301" w:type="dxa"/>
          </w:tcPr>
          <w:p w14:paraId="43EBCA21"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w:t>
            </w:r>
          </w:p>
        </w:tc>
        <w:tc>
          <w:tcPr>
            <w:tcW w:w="1609" w:type="dxa"/>
            <w:hideMark/>
          </w:tcPr>
          <w:p w14:paraId="47B639E4"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2978,</w:t>
            </w:r>
          </w:p>
          <w:p w14:paraId="34D7BADE"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 xml:space="preserve">2939,2876 </w:t>
            </w:r>
          </w:p>
        </w:tc>
      </w:tr>
      <w:tr w:rsidR="002D6EFE" w:rsidRPr="00663F84" w14:paraId="2B68FC34" w14:textId="77777777" w:rsidTr="00AA6311">
        <w:trPr>
          <w:trHeight w:val="447"/>
        </w:trPr>
        <w:tc>
          <w:tcPr>
            <w:cnfStyle w:val="001000000000" w:firstRow="0" w:lastRow="0" w:firstColumn="1" w:lastColumn="0" w:oddVBand="0" w:evenVBand="0" w:oddHBand="0" w:evenHBand="0" w:firstRowFirstColumn="0" w:firstRowLastColumn="0" w:lastRowFirstColumn="0" w:lastRowLastColumn="0"/>
            <w:tcW w:w="2760" w:type="dxa"/>
            <w:hideMark/>
          </w:tcPr>
          <w:p w14:paraId="59443163" w14:textId="77777777" w:rsidR="002D6EFE" w:rsidRPr="00663F84" w:rsidRDefault="002D6EFE" w:rsidP="00AA6311">
            <w:pPr>
              <w:keepNext/>
              <w:spacing w:after="0"/>
            </w:pPr>
            <w:r w:rsidRPr="00663F84">
              <w:t>O</w:t>
            </w:r>
            <w:r w:rsidRPr="00663F84">
              <w:rPr>
                <w:vertAlign w:val="subscript"/>
              </w:rPr>
              <w:t>3</w:t>
            </w:r>
            <w:r w:rsidRPr="00663F84">
              <w:t>-C</w:t>
            </w:r>
            <w:r w:rsidRPr="00663F84">
              <w:rPr>
                <w:vertAlign w:val="subscript"/>
              </w:rPr>
              <w:t>17</w:t>
            </w:r>
            <w:r w:rsidRPr="00663F84">
              <w:t xml:space="preserve"> ester carbonyl stretching</w:t>
            </w:r>
          </w:p>
        </w:tc>
        <w:tc>
          <w:tcPr>
            <w:tcW w:w="1330" w:type="dxa"/>
            <w:hideMark/>
          </w:tcPr>
          <w:p w14:paraId="28277730"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1728</w:t>
            </w:r>
          </w:p>
        </w:tc>
        <w:tc>
          <w:tcPr>
            <w:tcW w:w="1330" w:type="dxa"/>
            <w:hideMark/>
          </w:tcPr>
          <w:p w14:paraId="0D142636"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1726</w:t>
            </w:r>
          </w:p>
        </w:tc>
        <w:tc>
          <w:tcPr>
            <w:tcW w:w="1301" w:type="dxa"/>
          </w:tcPr>
          <w:p w14:paraId="590A9AD1"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1718</w:t>
            </w:r>
          </w:p>
        </w:tc>
        <w:tc>
          <w:tcPr>
            <w:tcW w:w="1609" w:type="dxa"/>
            <w:hideMark/>
          </w:tcPr>
          <w:p w14:paraId="06E21C6B"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 xml:space="preserve">1726 </w:t>
            </w:r>
          </w:p>
        </w:tc>
      </w:tr>
      <w:tr w:rsidR="002D6EFE" w:rsidRPr="00663F84" w14:paraId="372A9246" w14:textId="77777777" w:rsidTr="00AA6311">
        <w:trPr>
          <w:cnfStyle w:val="000000100000" w:firstRow="0" w:lastRow="0" w:firstColumn="0" w:lastColumn="0" w:oddVBand="0" w:evenVBand="0" w:oddHBand="1"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2760" w:type="dxa"/>
            <w:hideMark/>
          </w:tcPr>
          <w:p w14:paraId="75A02DBB" w14:textId="77777777" w:rsidR="002D6EFE" w:rsidRPr="00663F84" w:rsidRDefault="002D6EFE" w:rsidP="00AA6311">
            <w:pPr>
              <w:keepNext/>
              <w:spacing w:after="0"/>
            </w:pPr>
            <w:r w:rsidRPr="00663F84">
              <w:t>O</w:t>
            </w:r>
            <w:r w:rsidRPr="00663F84">
              <w:rPr>
                <w:vertAlign w:val="subscript"/>
              </w:rPr>
              <w:t>1</w:t>
            </w:r>
            <w:r w:rsidRPr="00663F84">
              <w:t>-C</w:t>
            </w:r>
            <w:r w:rsidRPr="00663F84">
              <w:rPr>
                <w:vertAlign w:val="subscript"/>
              </w:rPr>
              <w:t>7</w:t>
            </w:r>
            <w:r w:rsidRPr="00663F84">
              <w:t xml:space="preserve"> carbonyl stretching</w:t>
            </w:r>
          </w:p>
        </w:tc>
        <w:tc>
          <w:tcPr>
            <w:tcW w:w="1330" w:type="dxa"/>
            <w:hideMark/>
          </w:tcPr>
          <w:p w14:paraId="1D074CC8"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1654</w:t>
            </w:r>
          </w:p>
        </w:tc>
        <w:tc>
          <w:tcPr>
            <w:tcW w:w="1330" w:type="dxa"/>
            <w:hideMark/>
          </w:tcPr>
          <w:p w14:paraId="3C195339"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1650</w:t>
            </w:r>
          </w:p>
        </w:tc>
        <w:tc>
          <w:tcPr>
            <w:tcW w:w="1301" w:type="dxa"/>
          </w:tcPr>
          <w:p w14:paraId="329A7EE2"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1648</w:t>
            </w:r>
          </w:p>
        </w:tc>
        <w:tc>
          <w:tcPr>
            <w:tcW w:w="1609" w:type="dxa"/>
            <w:hideMark/>
          </w:tcPr>
          <w:p w14:paraId="6C028163"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 xml:space="preserve">1650 </w:t>
            </w:r>
          </w:p>
        </w:tc>
      </w:tr>
      <w:tr w:rsidR="002D6EFE" w:rsidRPr="00663F84" w14:paraId="0FEB941F" w14:textId="77777777" w:rsidTr="00AA6311">
        <w:trPr>
          <w:trHeight w:val="447"/>
        </w:trPr>
        <w:tc>
          <w:tcPr>
            <w:cnfStyle w:val="001000000000" w:firstRow="0" w:lastRow="0" w:firstColumn="1" w:lastColumn="0" w:oddVBand="0" w:evenVBand="0" w:oddHBand="0" w:evenHBand="0" w:firstRowFirstColumn="0" w:firstRowLastColumn="0" w:lastRowFirstColumn="0" w:lastRowLastColumn="0"/>
            <w:tcW w:w="2760" w:type="dxa"/>
            <w:hideMark/>
          </w:tcPr>
          <w:p w14:paraId="773A6310" w14:textId="77777777" w:rsidR="002D6EFE" w:rsidRPr="00663F84" w:rsidRDefault="002D6EFE" w:rsidP="00AA6311">
            <w:pPr>
              <w:keepNext/>
              <w:spacing w:after="0"/>
            </w:pPr>
            <w:r w:rsidRPr="00663F84">
              <w:t xml:space="preserve">-C=C- benzene ring stretching </w:t>
            </w:r>
          </w:p>
        </w:tc>
        <w:tc>
          <w:tcPr>
            <w:tcW w:w="1330" w:type="dxa"/>
            <w:hideMark/>
          </w:tcPr>
          <w:p w14:paraId="15F762A3"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1505,1466</w:t>
            </w:r>
          </w:p>
        </w:tc>
        <w:tc>
          <w:tcPr>
            <w:tcW w:w="1330" w:type="dxa"/>
            <w:hideMark/>
          </w:tcPr>
          <w:p w14:paraId="4E8FCA93"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1520,1463</w:t>
            </w:r>
          </w:p>
        </w:tc>
        <w:tc>
          <w:tcPr>
            <w:tcW w:w="1301" w:type="dxa"/>
          </w:tcPr>
          <w:p w14:paraId="7D5B4E8D"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1598</w:t>
            </w:r>
          </w:p>
        </w:tc>
        <w:tc>
          <w:tcPr>
            <w:tcW w:w="1609" w:type="dxa"/>
            <w:hideMark/>
          </w:tcPr>
          <w:p w14:paraId="32E17FAB"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 xml:space="preserve">1506,1484 </w:t>
            </w:r>
          </w:p>
        </w:tc>
      </w:tr>
      <w:tr w:rsidR="002D6EFE" w:rsidRPr="00663F84" w14:paraId="019AAA0C" w14:textId="77777777" w:rsidTr="00AA6311">
        <w:trPr>
          <w:cnfStyle w:val="000000100000" w:firstRow="0" w:lastRow="0" w:firstColumn="0" w:lastColumn="0" w:oddVBand="0" w:evenVBand="0" w:oddHBand="1"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2760" w:type="dxa"/>
            <w:hideMark/>
          </w:tcPr>
          <w:p w14:paraId="5B9E2A4C" w14:textId="77777777" w:rsidR="002D6EFE" w:rsidRPr="00663F84" w:rsidRDefault="002D6EFE" w:rsidP="00AA6311">
            <w:pPr>
              <w:keepNext/>
              <w:spacing w:after="0"/>
              <w:rPr>
                <w:vertAlign w:val="superscript"/>
              </w:rPr>
            </w:pPr>
            <w:r w:rsidRPr="00663F84">
              <w:t>C</w:t>
            </w:r>
            <w:r w:rsidRPr="00663F84">
              <w:rPr>
                <w:vertAlign w:val="subscript"/>
              </w:rPr>
              <w:t>14</w:t>
            </w:r>
            <w:r w:rsidRPr="00663F84">
              <w:t>-O</w:t>
            </w:r>
            <w:r w:rsidRPr="00663F84">
              <w:rPr>
                <w:vertAlign w:val="subscript"/>
              </w:rPr>
              <w:t>2</w:t>
            </w:r>
            <w:r w:rsidRPr="00663F84">
              <w:t xml:space="preserve"> , CH</w:t>
            </w:r>
            <w:r w:rsidRPr="00663F84">
              <w:rPr>
                <w:vertAlign w:val="subscript"/>
              </w:rPr>
              <w:t xml:space="preserve">3 </w:t>
            </w:r>
            <w:r w:rsidRPr="00663F84">
              <w:t>bending (C</w:t>
            </w:r>
            <w:r w:rsidRPr="00663F84">
              <w:rPr>
                <w:vertAlign w:val="subscript"/>
              </w:rPr>
              <w:t xml:space="preserve">16 </w:t>
            </w:r>
            <w:r w:rsidRPr="00663F84">
              <w:t>and C</w:t>
            </w:r>
            <w:r w:rsidRPr="00663F84">
              <w:rPr>
                <w:vertAlign w:val="subscript"/>
              </w:rPr>
              <w:t xml:space="preserve">15 </w:t>
            </w:r>
            <w:r w:rsidRPr="00663F84">
              <w:t>)</w:t>
            </w:r>
          </w:p>
        </w:tc>
        <w:tc>
          <w:tcPr>
            <w:tcW w:w="1330" w:type="dxa"/>
            <w:hideMark/>
          </w:tcPr>
          <w:p w14:paraId="5DC998EC"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1143</w:t>
            </w:r>
          </w:p>
        </w:tc>
        <w:tc>
          <w:tcPr>
            <w:tcW w:w="1330" w:type="dxa"/>
            <w:hideMark/>
          </w:tcPr>
          <w:p w14:paraId="19FC847B"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1143</w:t>
            </w:r>
          </w:p>
        </w:tc>
        <w:tc>
          <w:tcPr>
            <w:tcW w:w="1301" w:type="dxa"/>
          </w:tcPr>
          <w:p w14:paraId="077327FF"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1148</w:t>
            </w:r>
          </w:p>
        </w:tc>
        <w:tc>
          <w:tcPr>
            <w:tcW w:w="1609" w:type="dxa"/>
            <w:hideMark/>
          </w:tcPr>
          <w:p w14:paraId="67D215C9"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 xml:space="preserve">1148 </w:t>
            </w:r>
          </w:p>
        </w:tc>
      </w:tr>
      <w:tr w:rsidR="002D6EFE" w:rsidRPr="00663F84" w14:paraId="0CDBD247" w14:textId="77777777" w:rsidTr="00AA6311">
        <w:trPr>
          <w:trHeight w:val="447"/>
        </w:trPr>
        <w:tc>
          <w:tcPr>
            <w:cnfStyle w:val="001000000000" w:firstRow="0" w:lastRow="0" w:firstColumn="1" w:lastColumn="0" w:oddVBand="0" w:evenVBand="0" w:oddHBand="0" w:evenHBand="0" w:firstRowFirstColumn="0" w:firstRowLastColumn="0" w:lastRowFirstColumn="0" w:lastRowLastColumn="0"/>
            <w:tcW w:w="2760" w:type="dxa"/>
            <w:hideMark/>
          </w:tcPr>
          <w:p w14:paraId="257A42A9" w14:textId="77777777" w:rsidR="002D6EFE" w:rsidRPr="00663F84" w:rsidRDefault="002D6EFE" w:rsidP="00AA6311">
            <w:pPr>
              <w:keepNext/>
              <w:spacing w:after="0"/>
            </w:pPr>
            <w:r w:rsidRPr="00663F84">
              <w:t xml:space="preserve">Aryl ether </w:t>
            </w:r>
          </w:p>
        </w:tc>
        <w:tc>
          <w:tcPr>
            <w:tcW w:w="1330" w:type="dxa"/>
            <w:hideMark/>
          </w:tcPr>
          <w:p w14:paraId="5E5C1EFE"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1284</w:t>
            </w:r>
          </w:p>
        </w:tc>
        <w:tc>
          <w:tcPr>
            <w:tcW w:w="1330" w:type="dxa"/>
            <w:hideMark/>
          </w:tcPr>
          <w:p w14:paraId="0F1DD433"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1285</w:t>
            </w:r>
          </w:p>
        </w:tc>
        <w:tc>
          <w:tcPr>
            <w:tcW w:w="1301" w:type="dxa"/>
          </w:tcPr>
          <w:p w14:paraId="06626320"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w:t>
            </w:r>
          </w:p>
        </w:tc>
        <w:tc>
          <w:tcPr>
            <w:tcW w:w="1609" w:type="dxa"/>
            <w:hideMark/>
          </w:tcPr>
          <w:p w14:paraId="078177C1"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 xml:space="preserve">1284 </w:t>
            </w:r>
          </w:p>
        </w:tc>
      </w:tr>
      <w:tr w:rsidR="002D6EFE" w:rsidRPr="00663F84" w14:paraId="3017528B" w14:textId="77777777" w:rsidTr="00AA6311">
        <w:trPr>
          <w:cnfStyle w:val="000000100000" w:firstRow="0" w:lastRow="0" w:firstColumn="0" w:lastColumn="0" w:oddVBand="0" w:evenVBand="0" w:oddHBand="1" w:evenHBand="0" w:firstRowFirstColumn="0" w:firstRowLastColumn="0" w:lastRowFirstColumn="0" w:lastRowLastColumn="0"/>
          <w:trHeight w:val="894"/>
        </w:trPr>
        <w:tc>
          <w:tcPr>
            <w:cnfStyle w:val="001000000000" w:firstRow="0" w:lastRow="0" w:firstColumn="1" w:lastColumn="0" w:oddVBand="0" w:evenVBand="0" w:oddHBand="0" w:evenHBand="0" w:firstRowFirstColumn="0" w:firstRowLastColumn="0" w:lastRowFirstColumn="0" w:lastRowLastColumn="0"/>
            <w:tcW w:w="2760" w:type="dxa"/>
            <w:hideMark/>
          </w:tcPr>
          <w:p w14:paraId="681E92E1" w14:textId="77777777" w:rsidR="002D6EFE" w:rsidRPr="00663F84" w:rsidRDefault="002D6EFE" w:rsidP="00AA6311">
            <w:pPr>
              <w:keepNext/>
              <w:spacing w:after="0"/>
            </w:pPr>
            <w:r w:rsidRPr="00663F84">
              <w:t>Aromatic =C-H in plane deformation vibration</w:t>
            </w:r>
          </w:p>
        </w:tc>
        <w:tc>
          <w:tcPr>
            <w:tcW w:w="1330" w:type="dxa"/>
            <w:hideMark/>
          </w:tcPr>
          <w:p w14:paraId="77F5BE91"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1248,</w:t>
            </w:r>
          </w:p>
          <w:p w14:paraId="299CB20B"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1172,1116,</w:t>
            </w:r>
            <w:r w:rsidRPr="00663F84">
              <w:br/>
              <w:t>1014,972</w:t>
            </w:r>
          </w:p>
        </w:tc>
        <w:tc>
          <w:tcPr>
            <w:tcW w:w="1330" w:type="dxa"/>
            <w:hideMark/>
          </w:tcPr>
          <w:p w14:paraId="7B672317"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1247,</w:t>
            </w:r>
          </w:p>
          <w:p w14:paraId="3EBA140E"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1173,1117,</w:t>
            </w:r>
            <w:r w:rsidRPr="00663F84">
              <w:br/>
              <w:t>1014,975</w:t>
            </w:r>
          </w:p>
        </w:tc>
        <w:tc>
          <w:tcPr>
            <w:tcW w:w="1301" w:type="dxa"/>
          </w:tcPr>
          <w:p w14:paraId="03A029BE"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1303</w:t>
            </w:r>
          </w:p>
        </w:tc>
        <w:tc>
          <w:tcPr>
            <w:tcW w:w="1609" w:type="dxa"/>
            <w:hideMark/>
          </w:tcPr>
          <w:p w14:paraId="326E0A88"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1247,</w:t>
            </w:r>
          </w:p>
          <w:p w14:paraId="4296D933" w14:textId="77777777" w:rsidR="002D6EFE" w:rsidRPr="00663F84" w:rsidRDefault="002D6EFE" w:rsidP="00AA6311">
            <w:pPr>
              <w:keepNext/>
              <w:spacing w:after="0"/>
              <w:cnfStyle w:val="000000100000" w:firstRow="0" w:lastRow="0" w:firstColumn="0" w:lastColumn="0" w:oddVBand="0" w:evenVBand="0" w:oddHBand="1" w:evenHBand="0" w:firstRowFirstColumn="0" w:firstRowLastColumn="0" w:lastRowFirstColumn="0" w:lastRowLastColumn="0"/>
            </w:pPr>
            <w:r w:rsidRPr="00663F84">
              <w:t xml:space="preserve">1179,1104, 1014, 983 </w:t>
            </w:r>
          </w:p>
        </w:tc>
      </w:tr>
      <w:tr w:rsidR="002D6EFE" w:rsidRPr="00663F84" w14:paraId="3FC84ABA" w14:textId="77777777" w:rsidTr="00AA6311">
        <w:trPr>
          <w:trHeight w:val="894"/>
        </w:trPr>
        <w:tc>
          <w:tcPr>
            <w:cnfStyle w:val="001000000000" w:firstRow="0" w:lastRow="0" w:firstColumn="1" w:lastColumn="0" w:oddVBand="0" w:evenVBand="0" w:oddHBand="0" w:evenHBand="0" w:firstRowFirstColumn="0" w:firstRowLastColumn="0" w:lastRowFirstColumn="0" w:lastRowLastColumn="0"/>
            <w:tcW w:w="2760" w:type="dxa"/>
            <w:hideMark/>
          </w:tcPr>
          <w:p w14:paraId="09C6703F" w14:textId="77777777" w:rsidR="002D6EFE" w:rsidRPr="00663F84" w:rsidRDefault="002D6EFE" w:rsidP="00AA6311">
            <w:pPr>
              <w:keepNext/>
              <w:spacing w:after="0"/>
            </w:pPr>
            <w:r w:rsidRPr="00663F84">
              <w:t>Aromatic =C-H out of plane deformation vibration</w:t>
            </w:r>
          </w:p>
        </w:tc>
        <w:tc>
          <w:tcPr>
            <w:tcW w:w="1330" w:type="dxa"/>
            <w:hideMark/>
          </w:tcPr>
          <w:p w14:paraId="1CCCDAE2"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852,838,679</w:t>
            </w:r>
          </w:p>
        </w:tc>
        <w:tc>
          <w:tcPr>
            <w:tcW w:w="1330" w:type="dxa"/>
            <w:hideMark/>
          </w:tcPr>
          <w:p w14:paraId="79F5DA34"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860,844,680</w:t>
            </w:r>
          </w:p>
        </w:tc>
        <w:tc>
          <w:tcPr>
            <w:tcW w:w="1301" w:type="dxa"/>
          </w:tcPr>
          <w:p w14:paraId="67C0EF61"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w:t>
            </w:r>
          </w:p>
        </w:tc>
        <w:tc>
          <w:tcPr>
            <w:tcW w:w="1609" w:type="dxa"/>
            <w:hideMark/>
          </w:tcPr>
          <w:p w14:paraId="6FAC4B0E" w14:textId="77777777" w:rsidR="002D6EFE" w:rsidRPr="00663F84" w:rsidRDefault="002D6EFE" w:rsidP="00AA6311">
            <w:pPr>
              <w:keepNext/>
              <w:spacing w:after="0"/>
              <w:cnfStyle w:val="000000000000" w:firstRow="0" w:lastRow="0" w:firstColumn="0" w:lastColumn="0" w:oddVBand="0" w:evenVBand="0" w:oddHBand="0" w:evenHBand="0" w:firstRowFirstColumn="0" w:firstRowLastColumn="0" w:lastRowFirstColumn="0" w:lastRowLastColumn="0"/>
            </w:pPr>
            <w:r w:rsidRPr="00663F84">
              <w:t xml:space="preserve">849,829,675 </w:t>
            </w:r>
          </w:p>
        </w:tc>
      </w:tr>
    </w:tbl>
    <w:p w14:paraId="01E7981E" w14:textId="77777777" w:rsidR="002D6EFE" w:rsidRPr="00663F84" w:rsidRDefault="002D6EFE" w:rsidP="002D6EFE">
      <w:pPr>
        <w:pStyle w:val="ListParagraph"/>
        <w:keepNext/>
        <w:spacing w:after="0" w:line="240" w:lineRule="auto"/>
        <w:jc w:val="both"/>
      </w:pPr>
    </w:p>
    <w:p w14:paraId="2CC36282" w14:textId="77777777" w:rsidR="002D6EFE" w:rsidRPr="00663F84" w:rsidRDefault="002D6EFE" w:rsidP="002D6EFE">
      <w:pPr>
        <w:pStyle w:val="TAMainText"/>
        <w:spacing w:after="240"/>
        <w:ind w:firstLine="0"/>
        <w:jc w:val="left"/>
      </w:pPr>
    </w:p>
    <w:p w14:paraId="5EA6E420" w14:textId="05AFC49F" w:rsidR="002D1E2F" w:rsidRPr="00663F84" w:rsidRDefault="002D1E2F" w:rsidP="002D1E2F">
      <w:pPr>
        <w:pStyle w:val="TAMainText"/>
        <w:spacing w:after="240"/>
        <w:jc w:val="left"/>
      </w:pPr>
      <w:r w:rsidRPr="00663F84">
        <w:t>The clear and sharp PXRD diffraction pattern of form III with the absence of a background halo indicates that the form III obtained by the method described in this study has a reasonably high purity and are distinctively different from the known stable form I (as seen in Figure 6) and form IIa pattern reported by Di Martino and co-workers.</w:t>
      </w:r>
      <w:r w:rsidR="00FB7328">
        <w:rPr>
          <w:vertAlign w:val="superscript"/>
        </w:rPr>
        <w:t>8</w:t>
      </w:r>
      <w:r w:rsidRPr="00663F84">
        <w:t xml:space="preserve"> The major diffraction angles (2</w:t>
      </w:r>
      <w:r w:rsidRPr="00663F84">
        <w:rPr>
          <w:rFonts w:hint="eastAsia"/>
        </w:rPr>
        <w:t>θ</w:t>
      </w:r>
      <w:r w:rsidRPr="00663F84">
        <w:t xml:space="preserve">) are at 9.13, 9.53, 11.38, 12.9, 13.12, 14.83, 15.05, 16.83, 19.44, 19.81, 20.27, 23.12, 25.5, 26.37, 29.17, 30.6°. ATR-FTIR </w:t>
      </w:r>
      <w:r w:rsidR="00F54890" w:rsidRPr="00663F84">
        <w:t xml:space="preserve">is sensitive to changes of inter- and intra-molecular interactions between </w:t>
      </w:r>
      <w:r w:rsidR="00F54890" w:rsidRPr="00663F84">
        <w:lastRenderedPageBreak/>
        <w:t>function groups</w:t>
      </w:r>
      <w:r w:rsidR="000406CF" w:rsidRPr="00663F84">
        <w:t>,</w:t>
      </w:r>
      <w:r w:rsidR="00F54890" w:rsidRPr="00663F84">
        <w:t xml:space="preserve"> </w:t>
      </w:r>
      <w:r w:rsidR="000406CF" w:rsidRPr="00663F84">
        <w:t>while</w:t>
      </w:r>
      <w:r w:rsidRPr="00663F84">
        <w:t xml:space="preserve"> PXRD </w:t>
      </w:r>
      <w:r w:rsidR="002A440F" w:rsidRPr="00663F84">
        <w:t>is</w:t>
      </w:r>
      <w:r w:rsidRPr="00663F84">
        <w:t xml:space="preserve"> highly sensitive to molecular packing arrangements. Therefore, </w:t>
      </w:r>
      <w:r w:rsidR="002A440F" w:rsidRPr="00663F84">
        <w:t>the</w:t>
      </w:r>
      <w:r w:rsidRPr="00663F84">
        <w:t xml:space="preserve"> </w:t>
      </w:r>
      <w:r w:rsidR="002A440F" w:rsidRPr="00663F84">
        <w:t xml:space="preserve">changes observed in the </w:t>
      </w:r>
      <w:r w:rsidRPr="00663F84">
        <w:t xml:space="preserve">results </w:t>
      </w:r>
      <w:r w:rsidR="002A440F" w:rsidRPr="00663F84">
        <w:t xml:space="preserve">of ATR-FTIR and PXRD </w:t>
      </w:r>
      <w:r w:rsidR="000406CF" w:rsidRPr="00663F84">
        <w:t xml:space="preserve">both </w:t>
      </w:r>
      <w:r w:rsidRPr="00663F84">
        <w:t xml:space="preserve">confirm the successful crystallisation of the </w:t>
      </w:r>
      <w:r w:rsidR="000406CF" w:rsidRPr="00663F84">
        <w:t xml:space="preserve">new </w:t>
      </w:r>
      <w:r w:rsidRPr="00663F84">
        <w:t>fenofibrate polymorph</w:t>
      </w:r>
      <w:r w:rsidR="000406CF" w:rsidRPr="00663F84">
        <w:t>,</w:t>
      </w:r>
      <w:r w:rsidRPr="00663F84">
        <w:t xml:space="preserve"> form III. </w:t>
      </w:r>
    </w:p>
    <w:p w14:paraId="40A65EA2" w14:textId="548D41E7" w:rsidR="004944D1" w:rsidRPr="00663F84" w:rsidRDefault="006B1C05" w:rsidP="006B1C05">
      <w:pPr>
        <w:pStyle w:val="TAMainText"/>
        <w:spacing w:after="240"/>
        <w:jc w:val="left"/>
      </w:pPr>
      <w:r w:rsidRPr="00663F84">
        <w:rPr>
          <w:noProof/>
        </w:rPr>
        <w:drawing>
          <wp:inline distT="0" distB="0" distL="0" distR="0" wp14:anchorId="73A44A4A" wp14:editId="39865EDE">
            <wp:extent cx="5943600" cy="2236754"/>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236754"/>
                    </a:xfrm>
                    <a:prstGeom prst="rect">
                      <a:avLst/>
                    </a:prstGeom>
                    <a:noFill/>
                    <a:ln>
                      <a:noFill/>
                    </a:ln>
                  </pic:spPr>
                </pic:pic>
              </a:graphicData>
            </a:graphic>
          </wp:inline>
        </w:drawing>
      </w:r>
      <w:bookmarkStart w:id="5" w:name="_Ref417663980"/>
      <w:r w:rsidR="004944D1" w:rsidRPr="00663F84">
        <w:rPr>
          <w:b/>
          <w:szCs w:val="32"/>
        </w:rPr>
        <w:t xml:space="preserve">Figure </w:t>
      </w:r>
      <w:bookmarkEnd w:id="5"/>
      <w:r w:rsidR="004944D1" w:rsidRPr="00663F84">
        <w:rPr>
          <w:b/>
          <w:szCs w:val="32"/>
        </w:rPr>
        <w:t>6.</w:t>
      </w:r>
      <w:r w:rsidR="004944D1" w:rsidRPr="00663F84">
        <w:rPr>
          <w:szCs w:val="32"/>
        </w:rPr>
        <w:t xml:space="preserve"> </w:t>
      </w:r>
      <w:r w:rsidR="004944D1" w:rsidRPr="00663F84">
        <w:t>PXRD diffraction patterns of (a) pure talc, (b) fenofibrate form III and (c) form I</w:t>
      </w:r>
    </w:p>
    <w:p w14:paraId="333E39DC" w14:textId="77777777" w:rsidR="004944D1" w:rsidRPr="00663F84" w:rsidRDefault="004944D1" w:rsidP="002D1E2F">
      <w:pPr>
        <w:pStyle w:val="TAMainText"/>
        <w:spacing w:after="240"/>
        <w:jc w:val="left"/>
      </w:pPr>
    </w:p>
    <w:p w14:paraId="438A9ABB" w14:textId="77777777" w:rsidR="002D1E2F" w:rsidRPr="00663F84" w:rsidRDefault="002D1E2F" w:rsidP="002D1E2F">
      <w:pPr>
        <w:pStyle w:val="TAMainText"/>
        <w:spacing w:after="240"/>
        <w:jc w:val="left"/>
        <w:rPr>
          <w:i/>
        </w:rPr>
      </w:pPr>
      <w:r w:rsidRPr="00663F84">
        <w:rPr>
          <w:i/>
        </w:rPr>
        <w:t xml:space="preserve">Crystal structure of fenofibrate form III </w:t>
      </w:r>
    </w:p>
    <w:p w14:paraId="375EE27C" w14:textId="79AF72DA" w:rsidR="002D1E2F" w:rsidRPr="00663F84" w:rsidRDefault="00442B64" w:rsidP="002D1E2F">
      <w:pPr>
        <w:pStyle w:val="TAMainText"/>
        <w:spacing w:after="240"/>
        <w:jc w:val="left"/>
      </w:pPr>
      <w:r w:rsidRPr="00663F84">
        <w:rPr>
          <w:rFonts w:ascii="Times New Roman" w:hAnsi="Times New Roman"/>
          <w:szCs w:val="24"/>
        </w:rPr>
        <w:t>In this section the crystal structure of form III will be presented and compared to the crystal structures of forms I and IIb. The basic crystallographic parameters of these forms are given in Table 2. The structure of form IIa has not been reported so far.</w:t>
      </w:r>
    </w:p>
    <w:p w14:paraId="4E236DC3" w14:textId="77777777" w:rsidR="00D1369F" w:rsidRPr="00663F84" w:rsidRDefault="00D1369F" w:rsidP="00D1369F">
      <w:pPr>
        <w:spacing w:line="480" w:lineRule="auto"/>
        <w:rPr>
          <w:rFonts w:ascii="Times New Roman" w:hAnsi="Times New Roman"/>
          <w:szCs w:val="24"/>
        </w:rPr>
      </w:pPr>
      <w:r w:rsidRPr="00663F84">
        <w:rPr>
          <w:rFonts w:ascii="Times New Roman" w:hAnsi="Times New Roman"/>
          <w:b/>
          <w:bCs/>
          <w:szCs w:val="24"/>
        </w:rPr>
        <w:t xml:space="preserve">Table 2. </w:t>
      </w:r>
      <w:r w:rsidRPr="00663F84">
        <w:rPr>
          <w:rFonts w:ascii="Times New Roman" w:hAnsi="Times New Roman"/>
          <w:bCs/>
          <w:szCs w:val="24"/>
        </w:rPr>
        <w:t>Crystallographic parameters of the different polymorphic forms of fenofibrate.</w:t>
      </w:r>
    </w:p>
    <w:tbl>
      <w:tblPr>
        <w:tblStyle w:val="ListTable7Colorful1"/>
        <w:tblW w:w="8613" w:type="dxa"/>
        <w:tblLayout w:type="fixed"/>
        <w:tblLook w:val="04A0" w:firstRow="1" w:lastRow="0" w:firstColumn="1" w:lastColumn="0" w:noHBand="0" w:noVBand="1"/>
      </w:tblPr>
      <w:tblGrid>
        <w:gridCol w:w="2070"/>
        <w:gridCol w:w="2149"/>
        <w:gridCol w:w="2268"/>
        <w:gridCol w:w="2126"/>
      </w:tblGrid>
      <w:tr w:rsidR="002D6EFE" w:rsidRPr="00663F84" w14:paraId="1977C71A" w14:textId="77777777" w:rsidTr="002D6EFE">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070" w:type="dxa"/>
            <w:tcBorders>
              <w:top w:val="single" w:sz="4" w:space="0" w:color="auto"/>
            </w:tcBorders>
            <w:noWrap/>
            <w:hideMark/>
          </w:tcPr>
          <w:p w14:paraId="4036ACF4"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rPr>
              <w:t>Parameter</w:t>
            </w:r>
          </w:p>
        </w:tc>
        <w:tc>
          <w:tcPr>
            <w:tcW w:w="2149" w:type="dxa"/>
            <w:tcBorders>
              <w:top w:val="single" w:sz="4" w:space="0" w:color="auto"/>
            </w:tcBorders>
            <w:noWrap/>
            <w:hideMark/>
          </w:tcPr>
          <w:p w14:paraId="0C95E1B0" w14:textId="77777777" w:rsidR="00D1369F" w:rsidRPr="00663F84" w:rsidRDefault="00D1369F" w:rsidP="00AA631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63F84">
              <w:rPr>
                <w:rFonts w:ascii="Times New Roman" w:eastAsia="Times New Roman" w:hAnsi="Times New Roman" w:cs="Times New Roman"/>
                <w:color w:val="000000"/>
              </w:rPr>
              <w:t>Form I</w:t>
            </w:r>
            <w:r w:rsidRPr="00663F84">
              <w:rPr>
                <w:rFonts w:ascii="Times New Roman" w:eastAsia="Times New Roman" w:hAnsi="Times New Roman" w:cs="Times New Roman"/>
                <w:color w:val="000000"/>
                <w:vertAlign w:val="superscript"/>
              </w:rPr>
              <w:t>18</w:t>
            </w:r>
          </w:p>
        </w:tc>
        <w:tc>
          <w:tcPr>
            <w:tcW w:w="2268" w:type="dxa"/>
            <w:tcBorders>
              <w:top w:val="single" w:sz="4" w:space="0" w:color="auto"/>
            </w:tcBorders>
          </w:tcPr>
          <w:p w14:paraId="6CFFD6A1" w14:textId="77777777" w:rsidR="00D1369F" w:rsidRPr="00663F84" w:rsidRDefault="00D1369F" w:rsidP="00AA631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63F84">
              <w:rPr>
                <w:rFonts w:ascii="Times New Roman" w:eastAsia="Times New Roman" w:hAnsi="Times New Roman" w:cs="Times New Roman"/>
                <w:color w:val="000000"/>
              </w:rPr>
              <w:t>Form IIb</w:t>
            </w:r>
            <w:r w:rsidRPr="00663F84">
              <w:rPr>
                <w:rFonts w:ascii="Times New Roman" w:eastAsia="Times New Roman" w:hAnsi="Times New Roman" w:cs="Times New Roman"/>
                <w:noProof/>
                <w:color w:val="000000"/>
                <w:vertAlign w:val="superscript"/>
              </w:rPr>
              <w:t>8</w:t>
            </w:r>
          </w:p>
        </w:tc>
        <w:tc>
          <w:tcPr>
            <w:tcW w:w="2126" w:type="dxa"/>
            <w:tcBorders>
              <w:top w:val="single" w:sz="4" w:space="0" w:color="auto"/>
            </w:tcBorders>
            <w:noWrap/>
            <w:hideMark/>
          </w:tcPr>
          <w:p w14:paraId="2DD9D972" w14:textId="77777777" w:rsidR="00D1369F" w:rsidRPr="00663F84" w:rsidRDefault="00D1369F" w:rsidP="00AA631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63F84">
              <w:rPr>
                <w:rFonts w:ascii="Times New Roman" w:eastAsia="Times New Roman" w:hAnsi="Times New Roman" w:cs="Times New Roman"/>
                <w:color w:val="000000"/>
              </w:rPr>
              <w:t>Form III</w:t>
            </w:r>
          </w:p>
        </w:tc>
      </w:tr>
      <w:tr w:rsidR="002D6EFE" w:rsidRPr="00663F84" w14:paraId="09B84FA1" w14:textId="77777777" w:rsidTr="002D6E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000000" w:themeColor="text1"/>
              <w:bottom w:val="single" w:sz="4" w:space="0" w:color="auto"/>
            </w:tcBorders>
            <w:noWrap/>
            <w:hideMark/>
          </w:tcPr>
          <w:p w14:paraId="231DFE5F"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n-US"/>
              </w:rPr>
              <w:t>Lattice system</w:t>
            </w:r>
          </w:p>
        </w:tc>
        <w:tc>
          <w:tcPr>
            <w:tcW w:w="2149" w:type="dxa"/>
            <w:tcBorders>
              <w:top w:val="single" w:sz="4" w:space="0" w:color="000000" w:themeColor="text1"/>
              <w:bottom w:val="single" w:sz="4" w:space="0" w:color="auto"/>
            </w:tcBorders>
            <w:noWrap/>
            <w:hideMark/>
          </w:tcPr>
          <w:p w14:paraId="50B458C1"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n-US"/>
              </w:rPr>
              <w:t>Triclinic</w:t>
            </w:r>
          </w:p>
        </w:tc>
        <w:tc>
          <w:tcPr>
            <w:tcW w:w="2268" w:type="dxa"/>
            <w:tcBorders>
              <w:top w:val="single" w:sz="4" w:space="0" w:color="000000" w:themeColor="text1"/>
              <w:bottom w:val="single" w:sz="4" w:space="0" w:color="auto"/>
            </w:tcBorders>
          </w:tcPr>
          <w:p w14:paraId="31BDC093"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Monoclnic</w:t>
            </w:r>
          </w:p>
        </w:tc>
        <w:tc>
          <w:tcPr>
            <w:tcW w:w="2126" w:type="dxa"/>
            <w:tcBorders>
              <w:top w:val="single" w:sz="4" w:space="0" w:color="000000" w:themeColor="text1"/>
              <w:bottom w:val="single" w:sz="4" w:space="0" w:color="auto"/>
            </w:tcBorders>
            <w:noWrap/>
            <w:hideMark/>
          </w:tcPr>
          <w:p w14:paraId="5791A6C9"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Triclinic</w:t>
            </w:r>
          </w:p>
        </w:tc>
      </w:tr>
      <w:tr w:rsidR="002D6EFE" w:rsidRPr="00663F84" w14:paraId="29D08683" w14:textId="77777777" w:rsidTr="002D6EFE">
        <w:trPr>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7ED38876"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n-US"/>
              </w:rPr>
              <w:t>Space group</w:t>
            </w:r>
          </w:p>
        </w:tc>
        <w:tc>
          <w:tcPr>
            <w:tcW w:w="2149" w:type="dxa"/>
            <w:tcBorders>
              <w:top w:val="single" w:sz="4" w:space="0" w:color="auto"/>
              <w:bottom w:val="single" w:sz="4" w:space="0" w:color="auto"/>
            </w:tcBorders>
            <w:noWrap/>
            <w:hideMark/>
          </w:tcPr>
          <w:p w14:paraId="142700D2"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P-1</w:t>
            </w:r>
          </w:p>
        </w:tc>
        <w:tc>
          <w:tcPr>
            <w:tcW w:w="2268" w:type="dxa"/>
            <w:tcBorders>
              <w:top w:val="single" w:sz="4" w:space="0" w:color="auto"/>
              <w:bottom w:val="single" w:sz="4" w:space="0" w:color="auto"/>
            </w:tcBorders>
          </w:tcPr>
          <w:p w14:paraId="375725C5"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P21/n</w:t>
            </w:r>
          </w:p>
        </w:tc>
        <w:tc>
          <w:tcPr>
            <w:tcW w:w="2126" w:type="dxa"/>
            <w:tcBorders>
              <w:top w:val="single" w:sz="4" w:space="0" w:color="auto"/>
              <w:bottom w:val="single" w:sz="4" w:space="0" w:color="auto"/>
            </w:tcBorders>
            <w:noWrap/>
            <w:hideMark/>
          </w:tcPr>
          <w:p w14:paraId="2550DA39"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P-1</w:t>
            </w:r>
          </w:p>
        </w:tc>
      </w:tr>
      <w:tr w:rsidR="002D6EFE" w:rsidRPr="00663F84" w14:paraId="1BB236A4" w14:textId="77777777" w:rsidTr="002D6E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3FC52635"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n-US"/>
              </w:rPr>
              <w:t>a (Å)</w:t>
            </w:r>
          </w:p>
        </w:tc>
        <w:tc>
          <w:tcPr>
            <w:tcW w:w="2149" w:type="dxa"/>
            <w:tcBorders>
              <w:top w:val="single" w:sz="4" w:space="0" w:color="auto"/>
              <w:bottom w:val="single" w:sz="4" w:space="0" w:color="auto"/>
            </w:tcBorders>
            <w:noWrap/>
            <w:hideMark/>
          </w:tcPr>
          <w:p w14:paraId="09579833"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8.1325</w:t>
            </w:r>
          </w:p>
        </w:tc>
        <w:tc>
          <w:tcPr>
            <w:tcW w:w="2268" w:type="dxa"/>
            <w:tcBorders>
              <w:top w:val="single" w:sz="4" w:space="0" w:color="auto"/>
              <w:bottom w:val="single" w:sz="4" w:space="0" w:color="auto"/>
            </w:tcBorders>
          </w:tcPr>
          <w:p w14:paraId="007680F2"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13.619</w:t>
            </w:r>
          </w:p>
        </w:tc>
        <w:tc>
          <w:tcPr>
            <w:tcW w:w="2126" w:type="dxa"/>
            <w:tcBorders>
              <w:top w:val="single" w:sz="4" w:space="0" w:color="auto"/>
              <w:bottom w:val="single" w:sz="4" w:space="0" w:color="auto"/>
            </w:tcBorders>
            <w:noWrap/>
            <w:hideMark/>
          </w:tcPr>
          <w:p w14:paraId="5D3D8207"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9.4803(6)</w:t>
            </w:r>
          </w:p>
        </w:tc>
      </w:tr>
      <w:tr w:rsidR="002D6EFE" w:rsidRPr="00663F84" w14:paraId="2A6C3E67" w14:textId="77777777" w:rsidTr="002D6EFE">
        <w:trPr>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1EE6E654"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n-US"/>
              </w:rPr>
              <w:t>b (Å)</w:t>
            </w:r>
          </w:p>
        </w:tc>
        <w:tc>
          <w:tcPr>
            <w:tcW w:w="2149" w:type="dxa"/>
            <w:tcBorders>
              <w:top w:val="single" w:sz="4" w:space="0" w:color="auto"/>
              <w:bottom w:val="single" w:sz="4" w:space="0" w:color="auto"/>
            </w:tcBorders>
            <w:noWrap/>
            <w:hideMark/>
          </w:tcPr>
          <w:p w14:paraId="1B1EF990"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8.2391</w:t>
            </w:r>
          </w:p>
        </w:tc>
        <w:tc>
          <w:tcPr>
            <w:tcW w:w="2268" w:type="dxa"/>
            <w:tcBorders>
              <w:top w:val="single" w:sz="4" w:space="0" w:color="auto"/>
              <w:bottom w:val="single" w:sz="4" w:space="0" w:color="auto"/>
            </w:tcBorders>
          </w:tcPr>
          <w:p w14:paraId="0E58C303"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7.554</w:t>
            </w:r>
          </w:p>
        </w:tc>
        <w:tc>
          <w:tcPr>
            <w:tcW w:w="2126" w:type="dxa"/>
            <w:tcBorders>
              <w:top w:val="single" w:sz="4" w:space="0" w:color="auto"/>
              <w:bottom w:val="single" w:sz="4" w:space="0" w:color="auto"/>
            </w:tcBorders>
            <w:noWrap/>
            <w:hideMark/>
          </w:tcPr>
          <w:p w14:paraId="7E3DF851"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9.7605(6)</w:t>
            </w:r>
          </w:p>
        </w:tc>
      </w:tr>
      <w:tr w:rsidR="002D6EFE" w:rsidRPr="00663F84" w14:paraId="7E8F1097" w14:textId="77777777" w:rsidTr="002D6E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15A2BC61"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n-US"/>
              </w:rPr>
              <w:lastRenderedPageBreak/>
              <w:t>c (Å)</w:t>
            </w:r>
          </w:p>
        </w:tc>
        <w:tc>
          <w:tcPr>
            <w:tcW w:w="2149" w:type="dxa"/>
            <w:tcBorders>
              <w:top w:val="single" w:sz="4" w:space="0" w:color="auto"/>
              <w:bottom w:val="single" w:sz="4" w:space="0" w:color="auto"/>
            </w:tcBorders>
            <w:noWrap/>
            <w:hideMark/>
          </w:tcPr>
          <w:p w14:paraId="1F21893E"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14.399</w:t>
            </w:r>
          </w:p>
        </w:tc>
        <w:tc>
          <w:tcPr>
            <w:tcW w:w="2268" w:type="dxa"/>
            <w:tcBorders>
              <w:top w:val="single" w:sz="4" w:space="0" w:color="auto"/>
              <w:bottom w:val="single" w:sz="4" w:space="0" w:color="auto"/>
            </w:tcBorders>
          </w:tcPr>
          <w:p w14:paraId="649AC53F"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17.88</w:t>
            </w:r>
          </w:p>
        </w:tc>
        <w:tc>
          <w:tcPr>
            <w:tcW w:w="2126" w:type="dxa"/>
            <w:tcBorders>
              <w:top w:val="single" w:sz="4" w:space="0" w:color="auto"/>
              <w:bottom w:val="single" w:sz="4" w:space="0" w:color="auto"/>
            </w:tcBorders>
            <w:noWrap/>
            <w:hideMark/>
          </w:tcPr>
          <w:p w14:paraId="208DE4CB"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10.9327(8)</w:t>
            </w:r>
          </w:p>
        </w:tc>
      </w:tr>
      <w:tr w:rsidR="002D6EFE" w:rsidRPr="00663F84" w14:paraId="2F3E1081" w14:textId="77777777" w:rsidTr="002D6EFE">
        <w:trPr>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517C70AF"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l-GR"/>
              </w:rPr>
              <w:t>α (°)</w:t>
            </w:r>
          </w:p>
        </w:tc>
        <w:tc>
          <w:tcPr>
            <w:tcW w:w="2149" w:type="dxa"/>
            <w:tcBorders>
              <w:top w:val="single" w:sz="4" w:space="0" w:color="auto"/>
              <w:bottom w:val="single" w:sz="4" w:space="0" w:color="auto"/>
            </w:tcBorders>
            <w:noWrap/>
            <w:hideMark/>
          </w:tcPr>
          <w:p w14:paraId="2DFBBEEB"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93.978</w:t>
            </w:r>
          </w:p>
        </w:tc>
        <w:tc>
          <w:tcPr>
            <w:tcW w:w="2268" w:type="dxa"/>
            <w:tcBorders>
              <w:top w:val="single" w:sz="4" w:space="0" w:color="auto"/>
              <w:bottom w:val="single" w:sz="4" w:space="0" w:color="auto"/>
            </w:tcBorders>
          </w:tcPr>
          <w:p w14:paraId="2DD812F1"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90</w:t>
            </w:r>
          </w:p>
        </w:tc>
        <w:tc>
          <w:tcPr>
            <w:tcW w:w="2126" w:type="dxa"/>
            <w:tcBorders>
              <w:top w:val="single" w:sz="4" w:space="0" w:color="auto"/>
              <w:bottom w:val="single" w:sz="4" w:space="0" w:color="auto"/>
            </w:tcBorders>
            <w:noWrap/>
            <w:hideMark/>
          </w:tcPr>
          <w:p w14:paraId="555B6BA9"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110.840(6)</w:t>
            </w:r>
          </w:p>
        </w:tc>
      </w:tr>
      <w:tr w:rsidR="002D6EFE" w:rsidRPr="00663F84" w14:paraId="32E31200" w14:textId="77777777" w:rsidTr="002D6E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7B0C0418"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l-GR"/>
              </w:rPr>
              <w:t>β (°)</w:t>
            </w:r>
          </w:p>
        </w:tc>
        <w:tc>
          <w:tcPr>
            <w:tcW w:w="2149" w:type="dxa"/>
            <w:tcBorders>
              <w:top w:val="single" w:sz="4" w:space="0" w:color="auto"/>
              <w:bottom w:val="single" w:sz="4" w:space="0" w:color="auto"/>
            </w:tcBorders>
            <w:noWrap/>
            <w:hideMark/>
          </w:tcPr>
          <w:p w14:paraId="170607C1"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105.748</w:t>
            </w:r>
          </w:p>
        </w:tc>
        <w:tc>
          <w:tcPr>
            <w:tcW w:w="2268" w:type="dxa"/>
            <w:tcBorders>
              <w:top w:val="single" w:sz="4" w:space="0" w:color="auto"/>
              <w:bottom w:val="single" w:sz="4" w:space="0" w:color="auto"/>
            </w:tcBorders>
          </w:tcPr>
          <w:p w14:paraId="5D64347A"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92.35</w:t>
            </w:r>
          </w:p>
        </w:tc>
        <w:tc>
          <w:tcPr>
            <w:tcW w:w="2126" w:type="dxa"/>
            <w:tcBorders>
              <w:top w:val="single" w:sz="4" w:space="0" w:color="auto"/>
              <w:bottom w:val="single" w:sz="4" w:space="0" w:color="auto"/>
            </w:tcBorders>
            <w:noWrap/>
            <w:hideMark/>
          </w:tcPr>
          <w:p w14:paraId="683E2374"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90.352(5)</w:t>
            </w:r>
          </w:p>
        </w:tc>
      </w:tr>
      <w:tr w:rsidR="002D6EFE" w:rsidRPr="00663F84" w14:paraId="1AE16EA5" w14:textId="77777777" w:rsidTr="002D6EFE">
        <w:trPr>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4C366350"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l-GR"/>
              </w:rPr>
              <w:t>γ (°)</w:t>
            </w:r>
          </w:p>
        </w:tc>
        <w:tc>
          <w:tcPr>
            <w:tcW w:w="2149" w:type="dxa"/>
            <w:tcBorders>
              <w:top w:val="single" w:sz="4" w:space="0" w:color="auto"/>
              <w:bottom w:val="single" w:sz="4" w:space="0" w:color="auto"/>
            </w:tcBorders>
            <w:noWrap/>
            <w:hideMark/>
          </w:tcPr>
          <w:p w14:paraId="5D8CE1AE"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95.854</w:t>
            </w:r>
          </w:p>
        </w:tc>
        <w:tc>
          <w:tcPr>
            <w:tcW w:w="2268" w:type="dxa"/>
            <w:tcBorders>
              <w:top w:val="single" w:sz="4" w:space="0" w:color="auto"/>
              <w:bottom w:val="single" w:sz="4" w:space="0" w:color="auto"/>
            </w:tcBorders>
          </w:tcPr>
          <w:p w14:paraId="00BAC674"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90</w:t>
            </w:r>
          </w:p>
        </w:tc>
        <w:tc>
          <w:tcPr>
            <w:tcW w:w="2126" w:type="dxa"/>
            <w:tcBorders>
              <w:top w:val="single" w:sz="4" w:space="0" w:color="auto"/>
              <w:bottom w:val="single" w:sz="4" w:space="0" w:color="auto"/>
            </w:tcBorders>
            <w:noWrap/>
            <w:hideMark/>
          </w:tcPr>
          <w:p w14:paraId="185BF562"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99.701(5)</w:t>
            </w:r>
          </w:p>
        </w:tc>
      </w:tr>
      <w:tr w:rsidR="002D6EFE" w:rsidRPr="00663F84" w14:paraId="01BD1387" w14:textId="77777777" w:rsidTr="002D6E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555E7E34"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n-US"/>
              </w:rPr>
              <w:t>Cell volume</w:t>
            </w:r>
          </w:p>
        </w:tc>
        <w:tc>
          <w:tcPr>
            <w:tcW w:w="2149" w:type="dxa"/>
            <w:tcBorders>
              <w:top w:val="single" w:sz="4" w:space="0" w:color="auto"/>
              <w:bottom w:val="single" w:sz="4" w:space="0" w:color="auto"/>
            </w:tcBorders>
            <w:noWrap/>
            <w:hideMark/>
          </w:tcPr>
          <w:p w14:paraId="251C7350"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919.03</w:t>
            </w:r>
          </w:p>
        </w:tc>
        <w:tc>
          <w:tcPr>
            <w:tcW w:w="2268" w:type="dxa"/>
            <w:tcBorders>
              <w:top w:val="single" w:sz="4" w:space="0" w:color="auto"/>
              <w:bottom w:val="single" w:sz="4" w:space="0" w:color="auto"/>
            </w:tcBorders>
          </w:tcPr>
          <w:p w14:paraId="4F807AC2"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1837.909</w:t>
            </w:r>
          </w:p>
        </w:tc>
        <w:tc>
          <w:tcPr>
            <w:tcW w:w="2126" w:type="dxa"/>
            <w:tcBorders>
              <w:top w:val="single" w:sz="4" w:space="0" w:color="auto"/>
              <w:bottom w:val="single" w:sz="4" w:space="0" w:color="auto"/>
            </w:tcBorders>
            <w:noWrap/>
            <w:hideMark/>
          </w:tcPr>
          <w:p w14:paraId="0EF2553F"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929.53(11)</w:t>
            </w:r>
          </w:p>
        </w:tc>
      </w:tr>
      <w:tr w:rsidR="002D6EFE" w:rsidRPr="00663F84" w14:paraId="3D7099DB" w14:textId="77777777" w:rsidTr="002D6EFE">
        <w:trPr>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4DA2DA04"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n-US"/>
              </w:rPr>
              <w:t>Density</w:t>
            </w:r>
          </w:p>
        </w:tc>
        <w:tc>
          <w:tcPr>
            <w:tcW w:w="2149" w:type="dxa"/>
            <w:tcBorders>
              <w:top w:val="single" w:sz="4" w:space="0" w:color="auto"/>
              <w:bottom w:val="single" w:sz="4" w:space="0" w:color="auto"/>
            </w:tcBorders>
            <w:noWrap/>
            <w:hideMark/>
          </w:tcPr>
          <w:p w14:paraId="7B92993A"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1.285</w:t>
            </w:r>
          </w:p>
        </w:tc>
        <w:tc>
          <w:tcPr>
            <w:tcW w:w="2268" w:type="dxa"/>
            <w:tcBorders>
              <w:top w:val="single" w:sz="4" w:space="0" w:color="auto"/>
              <w:bottom w:val="single" w:sz="4" w:space="0" w:color="auto"/>
            </w:tcBorders>
          </w:tcPr>
          <w:p w14:paraId="420D4BBE"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1.304</w:t>
            </w:r>
          </w:p>
        </w:tc>
        <w:tc>
          <w:tcPr>
            <w:tcW w:w="2126" w:type="dxa"/>
            <w:tcBorders>
              <w:top w:val="single" w:sz="4" w:space="0" w:color="auto"/>
              <w:bottom w:val="single" w:sz="4" w:space="0" w:color="auto"/>
            </w:tcBorders>
            <w:noWrap/>
            <w:hideMark/>
          </w:tcPr>
          <w:p w14:paraId="131F93AA"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1.289(2)</w:t>
            </w:r>
          </w:p>
        </w:tc>
      </w:tr>
      <w:tr w:rsidR="002D6EFE" w:rsidRPr="00663F84" w14:paraId="1E2EDAB0" w14:textId="77777777" w:rsidTr="002D6E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23CB29C5"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n-US"/>
              </w:rPr>
              <w:t>Crystal size (mm)</w:t>
            </w:r>
          </w:p>
        </w:tc>
        <w:tc>
          <w:tcPr>
            <w:tcW w:w="2149" w:type="dxa"/>
            <w:tcBorders>
              <w:top w:val="single" w:sz="4" w:space="0" w:color="auto"/>
              <w:bottom w:val="single" w:sz="4" w:space="0" w:color="auto"/>
            </w:tcBorders>
            <w:noWrap/>
            <w:hideMark/>
          </w:tcPr>
          <w:p w14:paraId="440E41C8"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0.55 x 0.50 x 0.44</w:t>
            </w:r>
          </w:p>
        </w:tc>
        <w:tc>
          <w:tcPr>
            <w:tcW w:w="2268" w:type="dxa"/>
            <w:tcBorders>
              <w:top w:val="single" w:sz="4" w:space="0" w:color="auto"/>
              <w:bottom w:val="single" w:sz="4" w:space="0" w:color="auto"/>
            </w:tcBorders>
          </w:tcPr>
          <w:p w14:paraId="71FE7FFA"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0.55 × 0.30 × 0.25</w:t>
            </w:r>
          </w:p>
        </w:tc>
        <w:tc>
          <w:tcPr>
            <w:tcW w:w="2126" w:type="dxa"/>
            <w:tcBorders>
              <w:top w:val="single" w:sz="4" w:space="0" w:color="auto"/>
              <w:bottom w:val="single" w:sz="4" w:space="0" w:color="auto"/>
            </w:tcBorders>
            <w:noWrap/>
            <w:hideMark/>
          </w:tcPr>
          <w:p w14:paraId="4B80905B"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0.12 x 0.15 x 0.34</w:t>
            </w:r>
          </w:p>
        </w:tc>
      </w:tr>
      <w:tr w:rsidR="002D6EFE" w:rsidRPr="00663F84" w14:paraId="60FCA4B8" w14:textId="77777777" w:rsidTr="002D6EFE">
        <w:trPr>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06884D6F"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n-US"/>
              </w:rPr>
              <w:t>Z</w:t>
            </w:r>
          </w:p>
        </w:tc>
        <w:tc>
          <w:tcPr>
            <w:tcW w:w="2149" w:type="dxa"/>
            <w:tcBorders>
              <w:top w:val="single" w:sz="4" w:space="0" w:color="auto"/>
              <w:bottom w:val="single" w:sz="4" w:space="0" w:color="auto"/>
            </w:tcBorders>
            <w:noWrap/>
            <w:hideMark/>
          </w:tcPr>
          <w:p w14:paraId="360F5758"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2</w:t>
            </w:r>
          </w:p>
        </w:tc>
        <w:tc>
          <w:tcPr>
            <w:tcW w:w="2268" w:type="dxa"/>
            <w:tcBorders>
              <w:top w:val="single" w:sz="4" w:space="0" w:color="auto"/>
              <w:bottom w:val="single" w:sz="4" w:space="0" w:color="auto"/>
            </w:tcBorders>
          </w:tcPr>
          <w:p w14:paraId="05969168"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4</w:t>
            </w:r>
          </w:p>
        </w:tc>
        <w:tc>
          <w:tcPr>
            <w:tcW w:w="2126" w:type="dxa"/>
            <w:tcBorders>
              <w:top w:val="single" w:sz="4" w:space="0" w:color="auto"/>
              <w:bottom w:val="single" w:sz="4" w:space="0" w:color="auto"/>
            </w:tcBorders>
            <w:noWrap/>
            <w:hideMark/>
          </w:tcPr>
          <w:p w14:paraId="7C54EC5D"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2</w:t>
            </w:r>
          </w:p>
        </w:tc>
      </w:tr>
      <w:tr w:rsidR="002D6EFE" w:rsidRPr="00663F84" w14:paraId="770D5A80" w14:textId="77777777" w:rsidTr="002D6E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57480746"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n-US"/>
              </w:rPr>
              <w:t>R</w:t>
            </w:r>
          </w:p>
        </w:tc>
        <w:tc>
          <w:tcPr>
            <w:tcW w:w="2149" w:type="dxa"/>
            <w:tcBorders>
              <w:top w:val="single" w:sz="4" w:space="0" w:color="auto"/>
              <w:bottom w:val="single" w:sz="4" w:space="0" w:color="auto"/>
            </w:tcBorders>
            <w:noWrap/>
            <w:hideMark/>
          </w:tcPr>
          <w:p w14:paraId="014BFFDF"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0.0418</w:t>
            </w:r>
          </w:p>
        </w:tc>
        <w:tc>
          <w:tcPr>
            <w:tcW w:w="2268" w:type="dxa"/>
            <w:tcBorders>
              <w:top w:val="single" w:sz="4" w:space="0" w:color="auto"/>
              <w:bottom w:val="single" w:sz="4" w:space="0" w:color="auto"/>
            </w:tcBorders>
          </w:tcPr>
          <w:p w14:paraId="5BA3AFA7"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3.55</w:t>
            </w:r>
          </w:p>
        </w:tc>
        <w:tc>
          <w:tcPr>
            <w:tcW w:w="2126" w:type="dxa"/>
            <w:tcBorders>
              <w:top w:val="single" w:sz="4" w:space="0" w:color="auto"/>
              <w:bottom w:val="single" w:sz="4" w:space="0" w:color="auto"/>
            </w:tcBorders>
            <w:noWrap/>
            <w:hideMark/>
          </w:tcPr>
          <w:p w14:paraId="319688DD"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0.0653</w:t>
            </w:r>
          </w:p>
        </w:tc>
      </w:tr>
      <w:tr w:rsidR="002D6EFE" w:rsidRPr="00663F84" w14:paraId="2A6C28DA" w14:textId="77777777" w:rsidTr="002D6EFE">
        <w:trPr>
          <w:trHeight w:val="345"/>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5655E6FF"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n-US"/>
              </w:rPr>
              <w:t>wR</w:t>
            </w:r>
            <w:r w:rsidRPr="00663F84">
              <w:rPr>
                <w:rFonts w:ascii="Times New Roman" w:eastAsia="Times New Roman" w:hAnsi="Times New Roman" w:cs="Times New Roman"/>
                <w:b/>
                <w:bCs/>
                <w:color w:val="000000"/>
                <w:szCs w:val="24"/>
                <w:vertAlign w:val="subscript"/>
                <w:lang w:val="en-US"/>
              </w:rPr>
              <w:t>2</w:t>
            </w:r>
          </w:p>
        </w:tc>
        <w:tc>
          <w:tcPr>
            <w:tcW w:w="2149" w:type="dxa"/>
            <w:tcBorders>
              <w:top w:val="single" w:sz="4" w:space="0" w:color="auto"/>
              <w:bottom w:val="single" w:sz="4" w:space="0" w:color="auto"/>
            </w:tcBorders>
            <w:noWrap/>
            <w:hideMark/>
          </w:tcPr>
          <w:p w14:paraId="388BA046"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0.105</w:t>
            </w:r>
          </w:p>
        </w:tc>
        <w:tc>
          <w:tcPr>
            <w:tcW w:w="2268" w:type="dxa"/>
            <w:tcBorders>
              <w:top w:val="single" w:sz="4" w:space="0" w:color="auto"/>
              <w:bottom w:val="single" w:sz="4" w:space="0" w:color="auto"/>
            </w:tcBorders>
          </w:tcPr>
          <w:p w14:paraId="5F907CE3"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0.0897</w:t>
            </w:r>
          </w:p>
        </w:tc>
        <w:tc>
          <w:tcPr>
            <w:tcW w:w="2126" w:type="dxa"/>
            <w:tcBorders>
              <w:top w:val="single" w:sz="4" w:space="0" w:color="auto"/>
              <w:bottom w:val="single" w:sz="4" w:space="0" w:color="auto"/>
            </w:tcBorders>
            <w:noWrap/>
            <w:hideMark/>
          </w:tcPr>
          <w:p w14:paraId="4513FA0A"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0.149</w:t>
            </w:r>
          </w:p>
        </w:tc>
      </w:tr>
      <w:tr w:rsidR="002D6EFE" w:rsidRPr="00663F84" w14:paraId="72AFEA4C" w14:textId="77777777" w:rsidTr="002D6E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hideMark/>
          </w:tcPr>
          <w:p w14:paraId="1267F729" w14:textId="77777777" w:rsidR="00D1369F" w:rsidRPr="00663F84" w:rsidRDefault="00D1369F" w:rsidP="00AA6311">
            <w:pPr>
              <w:rPr>
                <w:rFonts w:ascii="Times New Roman" w:eastAsia="Times New Roman" w:hAnsi="Times New Roman" w:cs="Times New Roman"/>
                <w:color w:val="000000"/>
              </w:rPr>
            </w:pPr>
            <w:r w:rsidRPr="00663F84">
              <w:rPr>
                <w:rFonts w:ascii="Times New Roman" w:eastAsia="Times New Roman" w:hAnsi="Times New Roman" w:cs="Times New Roman"/>
                <w:color w:val="000000"/>
                <w:lang w:val="en-US"/>
              </w:rPr>
              <w:t>Goodness of fit</w:t>
            </w:r>
          </w:p>
        </w:tc>
        <w:tc>
          <w:tcPr>
            <w:tcW w:w="2149" w:type="dxa"/>
            <w:tcBorders>
              <w:top w:val="single" w:sz="4" w:space="0" w:color="auto"/>
              <w:bottom w:val="single" w:sz="4" w:space="0" w:color="auto"/>
            </w:tcBorders>
            <w:noWrap/>
            <w:hideMark/>
          </w:tcPr>
          <w:p w14:paraId="398189B5"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1.035</w:t>
            </w:r>
          </w:p>
        </w:tc>
        <w:tc>
          <w:tcPr>
            <w:tcW w:w="2268" w:type="dxa"/>
            <w:tcBorders>
              <w:top w:val="single" w:sz="4" w:space="0" w:color="auto"/>
              <w:bottom w:val="single" w:sz="4" w:space="0" w:color="auto"/>
            </w:tcBorders>
          </w:tcPr>
          <w:p w14:paraId="398CA5DE"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1.026</w:t>
            </w:r>
          </w:p>
        </w:tc>
        <w:tc>
          <w:tcPr>
            <w:tcW w:w="2126" w:type="dxa"/>
            <w:tcBorders>
              <w:top w:val="single" w:sz="4" w:space="0" w:color="auto"/>
              <w:bottom w:val="single" w:sz="4" w:space="0" w:color="auto"/>
            </w:tcBorders>
            <w:noWrap/>
            <w:hideMark/>
          </w:tcPr>
          <w:p w14:paraId="63C40991" w14:textId="77777777" w:rsidR="00D1369F" w:rsidRPr="00663F84" w:rsidRDefault="00D1369F" w:rsidP="00AA631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1.016</w:t>
            </w:r>
          </w:p>
        </w:tc>
      </w:tr>
      <w:tr w:rsidR="002D6EFE" w:rsidRPr="00663F84" w14:paraId="69B06FA7" w14:textId="77777777" w:rsidTr="002D6EFE">
        <w:trPr>
          <w:trHeight w:val="30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bottom w:val="single" w:sz="4" w:space="0" w:color="auto"/>
            </w:tcBorders>
            <w:noWrap/>
          </w:tcPr>
          <w:p w14:paraId="61BC51A7" w14:textId="77777777" w:rsidR="00D1369F" w:rsidRPr="00663F84" w:rsidRDefault="00D1369F" w:rsidP="00AA6311">
            <w:pPr>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Temperature (K)</w:t>
            </w:r>
          </w:p>
        </w:tc>
        <w:tc>
          <w:tcPr>
            <w:tcW w:w="2149" w:type="dxa"/>
            <w:tcBorders>
              <w:top w:val="single" w:sz="4" w:space="0" w:color="auto"/>
              <w:bottom w:val="single" w:sz="4" w:space="0" w:color="auto"/>
            </w:tcBorders>
            <w:noWrap/>
          </w:tcPr>
          <w:p w14:paraId="1095712D"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193</w:t>
            </w:r>
          </w:p>
        </w:tc>
        <w:tc>
          <w:tcPr>
            <w:tcW w:w="2268" w:type="dxa"/>
            <w:tcBorders>
              <w:top w:val="single" w:sz="4" w:space="0" w:color="auto"/>
              <w:bottom w:val="single" w:sz="4" w:space="0" w:color="auto"/>
            </w:tcBorders>
          </w:tcPr>
          <w:p w14:paraId="50238857"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100</w:t>
            </w:r>
          </w:p>
        </w:tc>
        <w:tc>
          <w:tcPr>
            <w:tcW w:w="2126" w:type="dxa"/>
            <w:tcBorders>
              <w:top w:val="single" w:sz="4" w:space="0" w:color="auto"/>
              <w:bottom w:val="single" w:sz="4" w:space="0" w:color="auto"/>
            </w:tcBorders>
            <w:noWrap/>
          </w:tcPr>
          <w:p w14:paraId="7E3245E5" w14:textId="77777777" w:rsidR="00D1369F" w:rsidRPr="00663F84" w:rsidRDefault="00D1369F" w:rsidP="00AA631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663F84">
              <w:rPr>
                <w:rFonts w:ascii="Times New Roman" w:eastAsia="Times New Roman" w:hAnsi="Times New Roman" w:cs="Times New Roman"/>
                <w:color w:val="000000"/>
                <w:lang w:val="en-US"/>
              </w:rPr>
              <w:t>140</w:t>
            </w:r>
          </w:p>
        </w:tc>
      </w:tr>
    </w:tbl>
    <w:p w14:paraId="30B85779" w14:textId="77777777" w:rsidR="00D1369F" w:rsidRPr="00663F84" w:rsidRDefault="00D1369F" w:rsidP="002D6EFE">
      <w:pPr>
        <w:pStyle w:val="TAMainText"/>
        <w:spacing w:after="240"/>
        <w:ind w:firstLine="0"/>
        <w:jc w:val="left"/>
      </w:pPr>
    </w:p>
    <w:p w14:paraId="2B0095D3" w14:textId="3C5B6927" w:rsidR="002D1E2F" w:rsidRPr="00663F84" w:rsidRDefault="00442B64" w:rsidP="002D1E2F">
      <w:pPr>
        <w:pStyle w:val="TAMainText"/>
        <w:spacing w:after="240"/>
        <w:jc w:val="left"/>
      </w:pPr>
      <w:r w:rsidRPr="00663F84">
        <w:rPr>
          <w:rFonts w:ascii="Times New Roman" w:hAnsi="Times New Roman"/>
          <w:szCs w:val="24"/>
        </w:rPr>
        <w:t>The fenofibrate molecule can be divided into two main parts: the two aromatic rings linked by a keto group and the flexible aliphatic tail (Figure 1). The angle between the planes of the two aromatic rings is 48.62(7)</w:t>
      </w:r>
      <w:r w:rsidRPr="00663F84">
        <w:rPr>
          <w:rFonts w:ascii="Times New Roman" w:hAnsi="Times New Roman"/>
          <w:bCs/>
          <w:iCs/>
          <w:szCs w:val="24"/>
          <w:lang w:val="en"/>
        </w:rPr>
        <w:t>° in form I</w:t>
      </w:r>
      <w:r w:rsidRPr="00663F84">
        <w:rPr>
          <w:rFonts w:ascii="Times New Roman" w:hAnsi="Times New Roman"/>
          <w:szCs w:val="24"/>
        </w:rPr>
        <w:t>, 45.73(9)</w:t>
      </w:r>
      <w:r w:rsidRPr="00663F84">
        <w:rPr>
          <w:rFonts w:ascii="Times New Roman" w:hAnsi="Times New Roman"/>
          <w:bCs/>
          <w:iCs/>
          <w:szCs w:val="24"/>
          <w:lang w:val="en"/>
        </w:rPr>
        <w:t xml:space="preserve">° in form III and 53.73° in form IIb. The aliphatic chain is not fully extended in any of the polymorphs, but folded back towards the aromatic rings. </w:t>
      </w:r>
      <w:r w:rsidRPr="00663F84">
        <w:rPr>
          <w:rFonts w:ascii="Times New Roman" w:hAnsi="Times New Roman"/>
          <w:szCs w:val="24"/>
        </w:rPr>
        <w:t xml:space="preserve">This slight folding appears to be stabilised by intramolecular CH…O interaction between an aromatic hydrogen atom and the carbonyl oxygen atoms of the ester group in both forms I and III (the H…O distance is </w:t>
      </w:r>
      <w:r w:rsidRPr="00663F84">
        <w:rPr>
          <w:rFonts w:ascii="Times New Roman" w:hAnsi="Times New Roman"/>
          <w:i/>
          <w:szCs w:val="24"/>
        </w:rPr>
        <w:t>ca</w:t>
      </w:r>
      <w:r w:rsidRPr="00663F84">
        <w:rPr>
          <w:rFonts w:ascii="Times New Roman" w:hAnsi="Times New Roman"/>
          <w:szCs w:val="24"/>
        </w:rPr>
        <w:t xml:space="preserve"> 2.80 Å in both forms, the C-H…O angle is 145</w:t>
      </w:r>
      <w:r w:rsidRPr="00663F84">
        <w:rPr>
          <w:rFonts w:ascii="Calibri" w:hAnsi="Calibri"/>
          <w:szCs w:val="24"/>
        </w:rPr>
        <w:t>°</w:t>
      </w:r>
      <w:r w:rsidRPr="00663F84">
        <w:rPr>
          <w:rFonts w:ascii="Times New Roman" w:hAnsi="Times New Roman"/>
          <w:szCs w:val="24"/>
        </w:rPr>
        <w:t>; see Figure 1).</w:t>
      </w:r>
    </w:p>
    <w:p w14:paraId="50808376" w14:textId="06D7BC8C" w:rsidR="002D1E2F" w:rsidRPr="00663F84" w:rsidRDefault="00442B64" w:rsidP="002D1E2F">
      <w:pPr>
        <w:pStyle w:val="TAMainText"/>
        <w:spacing w:after="240"/>
        <w:jc w:val="left"/>
      </w:pPr>
      <w:r w:rsidRPr="00663F84">
        <w:rPr>
          <w:rFonts w:ascii="Times New Roman" w:hAnsi="Times New Roman"/>
          <w:szCs w:val="24"/>
        </w:rPr>
        <w:t>As the parameters suggest, the conformation of the fenofibrate molecules in forms I and III shows a close similarity. The orientation of the tail group relative to the aromatic rings is markedly different in form IIb compared to forms I and III (Figure 7), but similar to the conformation of fenofibric acid in its crystal</w:t>
      </w:r>
      <w:r w:rsidR="002D1E2F" w:rsidRPr="00663F84">
        <w:t>.</w:t>
      </w:r>
      <w:r w:rsidR="00FB7328">
        <w:rPr>
          <w:vertAlign w:val="superscript"/>
        </w:rPr>
        <w:t>10</w:t>
      </w:r>
    </w:p>
    <w:p w14:paraId="454A2053" w14:textId="1714ADE0" w:rsidR="004944D1" w:rsidRPr="00663F84" w:rsidRDefault="00D23AB1" w:rsidP="000406CF">
      <w:pPr>
        <w:pStyle w:val="TAMainText"/>
        <w:spacing w:after="240"/>
        <w:jc w:val="center"/>
      </w:pPr>
      <w:r w:rsidRPr="00663F84">
        <w:rPr>
          <w:rFonts w:ascii="Times New Roman" w:hAnsi="Times New Roman"/>
          <w:noProof/>
          <w:szCs w:val="32"/>
        </w:rPr>
        <w:lastRenderedPageBreak/>
        <w:drawing>
          <wp:inline distT="0" distB="0" distL="0" distR="0" wp14:anchorId="05D7D6B7" wp14:editId="4454E5D3">
            <wp:extent cx="3017520" cy="30175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7.tif"/>
                    <pic:cNvPicPr/>
                  </pic:nvPicPr>
                  <pic:blipFill>
                    <a:blip r:embed="rId14">
                      <a:extLst>
                        <a:ext uri="{28A0092B-C50C-407E-A947-70E740481C1C}">
                          <a14:useLocalDpi xmlns:a14="http://schemas.microsoft.com/office/drawing/2010/main" val="0"/>
                        </a:ext>
                      </a:extLst>
                    </a:blip>
                    <a:stretch>
                      <a:fillRect/>
                    </a:stretch>
                  </pic:blipFill>
                  <pic:spPr>
                    <a:xfrm>
                      <a:off x="0" y="0"/>
                      <a:ext cx="3017520" cy="3017520"/>
                    </a:xfrm>
                    <a:prstGeom prst="rect">
                      <a:avLst/>
                    </a:prstGeom>
                  </pic:spPr>
                </pic:pic>
              </a:graphicData>
            </a:graphic>
          </wp:inline>
        </w:drawing>
      </w:r>
    </w:p>
    <w:p w14:paraId="3E8000AF" w14:textId="0A021815" w:rsidR="004944D1" w:rsidRPr="00663F84" w:rsidRDefault="004944D1" w:rsidP="00FF73B8">
      <w:pPr>
        <w:pStyle w:val="VAFigureCaption"/>
        <w:rPr>
          <w:rFonts w:ascii="Times New Roman" w:hAnsi="Times New Roman"/>
          <w:b/>
          <w:bCs/>
          <w:szCs w:val="32"/>
        </w:rPr>
      </w:pPr>
      <w:r w:rsidRPr="00663F84">
        <w:rPr>
          <w:rFonts w:ascii="Times New Roman" w:hAnsi="Times New Roman"/>
          <w:b/>
          <w:szCs w:val="32"/>
        </w:rPr>
        <w:t>Figure 7.</w:t>
      </w:r>
      <w:r w:rsidRPr="00663F84">
        <w:t xml:space="preserve"> </w:t>
      </w:r>
      <w:r w:rsidR="00D23AB1" w:rsidRPr="00663F84">
        <w:t>Overlay of the molecular conformation of form III with form I (green) and form IIb (blue).</w:t>
      </w:r>
    </w:p>
    <w:p w14:paraId="52437AF3" w14:textId="3E94953B" w:rsidR="002D1E2F" w:rsidRPr="00663F84" w:rsidRDefault="00442B64" w:rsidP="00442B64">
      <w:pPr>
        <w:pStyle w:val="TAMainText"/>
        <w:spacing w:after="240"/>
        <w:jc w:val="left"/>
        <w:rPr>
          <w:rFonts w:ascii="Times New Roman" w:hAnsi="Times New Roman"/>
          <w:szCs w:val="24"/>
        </w:rPr>
      </w:pPr>
      <w:r w:rsidRPr="00663F84">
        <w:rPr>
          <w:rFonts w:ascii="Times New Roman" w:hAnsi="Times New Roman"/>
          <w:szCs w:val="24"/>
        </w:rPr>
        <w:t xml:space="preserve">Form I, the most stable form, shows two very short intermolecular CH…O interactions between one hydrogen atom from both aromatic rings and the ester carbonyl group. The corresponding H…O distances, 2.49 Å and 2.61 Å, are more than 0.1 Å shorter than the sum of the atomic van der Waals radii, while the C-H…O angles are 128° and 172°, respectively. These interactions form a layer (Figure 8a) parallel to (001), which is supported by another, slightly longer CH…O(ketone) interaction (H…O: 2.62 Å, C-H..O: 156°). The layers are connected to each other through further CH…O interactions, formed between isopropyl methyl groups and ketone carbonyl oxygen atoms (2.67 Å, 134°), and offset </w:t>
      </w:r>
      <w:r w:rsidRPr="00663F84">
        <w:rPr>
          <w:rFonts w:ascii="Times New Roman" w:hAnsi="Times New Roman"/>
          <w:i/>
          <w:szCs w:val="24"/>
        </w:rPr>
        <w:t>π</w:t>
      </w:r>
      <w:r w:rsidRPr="00663F84">
        <w:rPr>
          <w:rFonts w:ascii="Times New Roman" w:hAnsi="Times New Roman"/>
          <w:szCs w:val="24"/>
        </w:rPr>
        <w:t>-</w:t>
      </w:r>
      <w:r w:rsidRPr="00663F84">
        <w:rPr>
          <w:rFonts w:ascii="Times New Roman" w:hAnsi="Times New Roman"/>
          <w:i/>
          <w:szCs w:val="24"/>
        </w:rPr>
        <w:t xml:space="preserve">π </w:t>
      </w:r>
      <w:r w:rsidRPr="00663F84">
        <w:rPr>
          <w:rFonts w:ascii="Times New Roman" w:hAnsi="Times New Roman"/>
          <w:szCs w:val="24"/>
        </w:rPr>
        <w:t>interactions between parallel chlorbenzene rings at an interplanar distance of 3.5116(6) Å (Figure 8b). The interlayer CH…O interactions also facilitate the efficient packing of the isopropyl groups.</w:t>
      </w:r>
    </w:p>
    <w:p w14:paraId="4FA70B05" w14:textId="6E3D7A99" w:rsidR="004944D1" w:rsidRPr="00663F84" w:rsidRDefault="00D23AB1" w:rsidP="00D23AB1">
      <w:pPr>
        <w:pStyle w:val="TAMainText"/>
        <w:spacing w:after="240"/>
        <w:jc w:val="center"/>
      </w:pPr>
      <w:r w:rsidRPr="00663F84">
        <w:rPr>
          <w:rFonts w:ascii="Times New Roman" w:hAnsi="Times New Roman"/>
          <w:b/>
          <w:bCs/>
          <w:noProof/>
          <w:szCs w:val="32"/>
        </w:rPr>
        <w:lastRenderedPageBreak/>
        <w:drawing>
          <wp:inline distT="0" distB="0" distL="0" distR="0" wp14:anchorId="75316685" wp14:editId="0336F40E">
            <wp:extent cx="3017520" cy="5486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8.tif"/>
                    <pic:cNvPicPr/>
                  </pic:nvPicPr>
                  <pic:blipFill>
                    <a:blip r:embed="rId15">
                      <a:extLst>
                        <a:ext uri="{28A0092B-C50C-407E-A947-70E740481C1C}">
                          <a14:useLocalDpi xmlns:a14="http://schemas.microsoft.com/office/drawing/2010/main" val="0"/>
                        </a:ext>
                      </a:extLst>
                    </a:blip>
                    <a:stretch>
                      <a:fillRect/>
                    </a:stretch>
                  </pic:blipFill>
                  <pic:spPr>
                    <a:xfrm>
                      <a:off x="0" y="0"/>
                      <a:ext cx="3017520" cy="5486400"/>
                    </a:xfrm>
                    <a:prstGeom prst="rect">
                      <a:avLst/>
                    </a:prstGeom>
                  </pic:spPr>
                </pic:pic>
              </a:graphicData>
            </a:graphic>
          </wp:inline>
        </w:drawing>
      </w:r>
    </w:p>
    <w:p w14:paraId="388A510C" w14:textId="26F6613A" w:rsidR="00442B64" w:rsidRPr="00663F84" w:rsidRDefault="00442B64" w:rsidP="00FF73B8">
      <w:pPr>
        <w:pStyle w:val="VAFigureCaption"/>
      </w:pPr>
      <w:r w:rsidRPr="00663F84">
        <w:rPr>
          <w:b/>
        </w:rPr>
        <w:t>Figure 8.</w:t>
      </w:r>
      <w:r w:rsidRPr="00663F84">
        <w:t xml:space="preserve"> Intermolecular interactions in form I: (a) layers formed by CH…O interactions (b) offset </w:t>
      </w:r>
      <w:r w:rsidRPr="00663F84">
        <w:rPr>
          <w:rFonts w:hint="eastAsia"/>
        </w:rPr>
        <w:t>π</w:t>
      </w:r>
      <w:r w:rsidRPr="00663F84">
        <w:t>-</w:t>
      </w:r>
      <w:r w:rsidRPr="00663F84">
        <w:rPr>
          <w:rFonts w:hint="eastAsia"/>
        </w:rPr>
        <w:t>π</w:t>
      </w:r>
      <w:r w:rsidRPr="00663F84">
        <w:t xml:space="preserve"> interactions and CH…O linked dimers that connect the layers.</w:t>
      </w:r>
    </w:p>
    <w:p w14:paraId="01D08F87" w14:textId="3D32A789" w:rsidR="002D1E2F" w:rsidRPr="00663F84" w:rsidRDefault="00442B64" w:rsidP="002D1E2F">
      <w:pPr>
        <w:pStyle w:val="TAMainText"/>
        <w:spacing w:after="240"/>
        <w:jc w:val="left"/>
      </w:pPr>
      <w:r w:rsidRPr="00663F84">
        <w:rPr>
          <w:rFonts w:ascii="Times New Roman" w:hAnsi="Times New Roman"/>
          <w:szCs w:val="24"/>
        </w:rPr>
        <w:t>Similarly to form I, the molecules of form III are linked into layers by CH…O bonds parallel to the crystallographic (100) plane (Figure 9). The interaction between a hydrogen of the isopropyl group and the ketone carbonyl group of an adjacent molecule [H…O distance: 2.56 Å; C-H…O angle: 160</w:t>
      </w:r>
      <w:r w:rsidRPr="00663F84">
        <w:rPr>
          <w:rFonts w:ascii="Times New Roman" w:hAnsi="Times New Roman"/>
          <w:bCs/>
          <w:iCs/>
          <w:szCs w:val="24"/>
          <w:lang w:val="en"/>
        </w:rPr>
        <w:t>°] generates a chain that is shared between forms I and III (diagonal in Figures 8a and 9a)</w:t>
      </w:r>
      <w:r w:rsidRPr="00663F84">
        <w:rPr>
          <w:rFonts w:ascii="Times New Roman" w:hAnsi="Times New Roman"/>
          <w:szCs w:val="24"/>
        </w:rPr>
        <w:t xml:space="preserve">. The aromatic hydrogen to ester carbonyl contacts of form I are replaced by </w:t>
      </w:r>
      <w:r w:rsidRPr="00663F84">
        <w:rPr>
          <w:rFonts w:ascii="Times New Roman" w:hAnsi="Times New Roman"/>
          <w:szCs w:val="24"/>
        </w:rPr>
        <w:lastRenderedPageBreak/>
        <w:t xml:space="preserve">another isopropyl to ketone CH…O bond in form III. These interactions lead to remarkably similar layers in forms I and III, which, however, are not superimposable. The relative positions of the molecules perpendicular to the plane of Figures 8a and 9a are different in the two forms. A further shared interaction between forms I and III is the offset </w:t>
      </w:r>
      <w:r w:rsidRPr="00663F84">
        <w:rPr>
          <w:rFonts w:ascii="Times New Roman" w:hAnsi="Times New Roman"/>
          <w:i/>
          <w:szCs w:val="24"/>
        </w:rPr>
        <w:t>π</w:t>
      </w:r>
      <w:r w:rsidRPr="00663F84">
        <w:rPr>
          <w:rFonts w:ascii="Times New Roman" w:hAnsi="Times New Roman"/>
          <w:szCs w:val="24"/>
        </w:rPr>
        <w:t>-</w:t>
      </w:r>
      <w:r w:rsidRPr="00663F84">
        <w:rPr>
          <w:rFonts w:ascii="Times New Roman" w:hAnsi="Times New Roman"/>
          <w:i/>
          <w:szCs w:val="24"/>
        </w:rPr>
        <w:t xml:space="preserve">π </w:t>
      </w:r>
      <w:r w:rsidRPr="00663F84">
        <w:rPr>
          <w:rFonts w:ascii="Times New Roman" w:hAnsi="Times New Roman"/>
          <w:szCs w:val="24"/>
        </w:rPr>
        <w:t>interaction of the chlorobenzene rings, which links pairs of layers. In form III this interaction is formed with an interplanar distance of 3.5719(8) Å. The layers are further connected through an interaction that involves a short repulsive hydrogen–hydrogen contact (2.25 Å) between the central aromatic rings of inversion related molecules (Figure 9b). Presumably, this contact can form, because its unfavourable effect is compensated by a pair of long CH…O interactions (2.92 Å, 162</w:t>
      </w:r>
      <w:r w:rsidRPr="00663F84">
        <w:rPr>
          <w:rFonts w:ascii="Calibri" w:hAnsi="Calibri"/>
          <w:szCs w:val="24"/>
        </w:rPr>
        <w:t>°</w:t>
      </w:r>
      <w:r w:rsidRPr="00663F84">
        <w:rPr>
          <w:rFonts w:ascii="Times New Roman" w:hAnsi="Times New Roman"/>
          <w:szCs w:val="24"/>
        </w:rPr>
        <w:t>). This set of contacts replaces the dimeric rings formed through the CH…O</w:t>
      </w:r>
      <w:r w:rsidR="00663D6A" w:rsidRPr="00663F84">
        <w:rPr>
          <w:rFonts w:ascii="Times New Roman" w:hAnsi="Times New Roman"/>
          <w:szCs w:val="24"/>
        </w:rPr>
        <w:t xml:space="preserve"> </w:t>
      </w:r>
      <w:r w:rsidRPr="00663F84">
        <w:rPr>
          <w:rFonts w:ascii="Times New Roman" w:hAnsi="Times New Roman"/>
          <w:szCs w:val="24"/>
        </w:rPr>
        <w:t>(ketone) bonds in form I (Figure 8b), so a clearly favourable interaction is replaced by a strained one, which explains the low stability of form III. The presence of similar layers in forms I and III is consistent with the observed ease of polymorphic transformation from form III to I (see below).</w:t>
      </w:r>
      <w:r w:rsidR="002D1E2F" w:rsidRPr="00663F84">
        <w:t xml:space="preserve"> </w:t>
      </w:r>
    </w:p>
    <w:p w14:paraId="46E3E69F" w14:textId="416132B4" w:rsidR="00442B64" w:rsidRPr="00663F84" w:rsidRDefault="00FF73B8" w:rsidP="00FF73B8">
      <w:pPr>
        <w:spacing w:after="0" w:line="480" w:lineRule="auto"/>
        <w:jc w:val="center"/>
        <w:rPr>
          <w:rFonts w:ascii="Times New Roman" w:hAnsi="Times New Roman"/>
          <w:b/>
          <w:szCs w:val="32"/>
        </w:rPr>
      </w:pPr>
      <w:r w:rsidRPr="00663F84">
        <w:rPr>
          <w:rFonts w:ascii="Times New Roman" w:hAnsi="Times New Roman"/>
          <w:noProof/>
          <w:szCs w:val="32"/>
        </w:rPr>
        <w:lastRenderedPageBreak/>
        <w:drawing>
          <wp:inline distT="0" distB="0" distL="0" distR="0" wp14:anchorId="48E2FB82" wp14:editId="46D77514">
            <wp:extent cx="3017520" cy="454152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9.tif"/>
                    <pic:cNvPicPr/>
                  </pic:nvPicPr>
                  <pic:blipFill>
                    <a:blip r:embed="rId16">
                      <a:extLst>
                        <a:ext uri="{28A0092B-C50C-407E-A947-70E740481C1C}">
                          <a14:useLocalDpi xmlns:a14="http://schemas.microsoft.com/office/drawing/2010/main" val="0"/>
                        </a:ext>
                      </a:extLst>
                    </a:blip>
                    <a:stretch>
                      <a:fillRect/>
                    </a:stretch>
                  </pic:blipFill>
                  <pic:spPr>
                    <a:xfrm>
                      <a:off x="0" y="0"/>
                      <a:ext cx="3017520" cy="4541520"/>
                    </a:xfrm>
                    <a:prstGeom prst="rect">
                      <a:avLst/>
                    </a:prstGeom>
                  </pic:spPr>
                </pic:pic>
              </a:graphicData>
            </a:graphic>
          </wp:inline>
        </w:drawing>
      </w:r>
    </w:p>
    <w:p w14:paraId="27DACB7F" w14:textId="015577DC" w:rsidR="004944D1" w:rsidRPr="00663F84" w:rsidRDefault="004944D1" w:rsidP="00FF73B8">
      <w:pPr>
        <w:pStyle w:val="VAFigureCaption"/>
      </w:pPr>
      <w:r w:rsidRPr="00663F84">
        <w:rPr>
          <w:b/>
        </w:rPr>
        <w:t>Figure 9.</w:t>
      </w:r>
      <w:r w:rsidRPr="00663F84">
        <w:t xml:space="preserve"> </w:t>
      </w:r>
      <w:r w:rsidR="00442B64" w:rsidRPr="00663F84">
        <w:t xml:space="preserve">Intermolecular interactions in form III: (a) layer formed by CH…O interactions (b) offset </w:t>
      </w:r>
      <w:r w:rsidR="00442B64" w:rsidRPr="00663F84">
        <w:rPr>
          <w:rFonts w:hint="eastAsia"/>
        </w:rPr>
        <w:t>π</w:t>
      </w:r>
      <w:r w:rsidR="00442B64" w:rsidRPr="00663F84">
        <w:t>-</w:t>
      </w:r>
      <w:r w:rsidR="00442B64" w:rsidRPr="00663F84">
        <w:rPr>
          <w:rFonts w:hint="eastAsia"/>
        </w:rPr>
        <w:t>π</w:t>
      </w:r>
      <w:r w:rsidR="00442B64" w:rsidRPr="00663F84">
        <w:t xml:space="preserve"> interactions and CH…O linked dimers that connect the layers.</w:t>
      </w:r>
    </w:p>
    <w:p w14:paraId="391ED9F4" w14:textId="00B61C95" w:rsidR="002D1E2F" w:rsidRPr="00663F84" w:rsidRDefault="0017545D" w:rsidP="002D1E2F">
      <w:pPr>
        <w:pStyle w:val="TAMainText"/>
        <w:spacing w:after="240"/>
        <w:jc w:val="left"/>
      </w:pPr>
      <w:r w:rsidRPr="00663F84">
        <w:rPr>
          <w:rFonts w:ascii="Times New Roman" w:hAnsi="Times New Roman"/>
          <w:szCs w:val="24"/>
        </w:rPr>
        <w:t>The crystal packing of form IIb has been discussed in detail by Balendrian et al.</w:t>
      </w:r>
      <w:r w:rsidR="00E87108">
        <w:rPr>
          <w:rFonts w:ascii="Times New Roman" w:hAnsi="Times New Roman"/>
          <w:szCs w:val="24"/>
          <w:vertAlign w:val="superscript"/>
        </w:rPr>
        <w:t>10</w:t>
      </w:r>
      <w:r w:rsidRPr="00663F84">
        <w:rPr>
          <w:rFonts w:ascii="Times New Roman" w:hAnsi="Times New Roman"/>
          <w:szCs w:val="24"/>
        </w:rPr>
        <w:t xml:space="preserve"> and, as expected from the different conformations, it is clearly distinct from both from I and III (Figures S1 and S2, Supporting Information). The only feature we wish to highlight is the presence of dimers linked by CH…O interactions between the isopropyl and ketone groups and supported by the ‘embrace’ of the alkyl chains (Figure S3, Supporting Information). This interaction closely resembles the dimers present in form I, but replaced by a strained contact in form III, which gives support to the proposed link between these structural motifs and polymorph stability.</w:t>
      </w:r>
    </w:p>
    <w:p w14:paraId="6F9C2A0D" w14:textId="46B055D5" w:rsidR="002D1E2F" w:rsidRPr="00663F84" w:rsidRDefault="002D1E2F" w:rsidP="002D1E2F">
      <w:pPr>
        <w:pStyle w:val="TAMainText"/>
        <w:spacing w:after="240"/>
        <w:jc w:val="left"/>
        <w:rPr>
          <w:i/>
        </w:rPr>
      </w:pPr>
      <w:r w:rsidRPr="00663F84">
        <w:rPr>
          <w:i/>
        </w:rPr>
        <w:lastRenderedPageBreak/>
        <w:t>Epitaxy</w:t>
      </w:r>
    </w:p>
    <w:p w14:paraId="55061F58" w14:textId="1ECD7FF5" w:rsidR="002D1E2F" w:rsidRPr="00663F84" w:rsidRDefault="002D1E2F" w:rsidP="002D1E2F">
      <w:pPr>
        <w:pStyle w:val="TAMainText"/>
        <w:spacing w:after="240"/>
        <w:jc w:val="left"/>
      </w:pPr>
      <w:r w:rsidRPr="00663F84">
        <w:t>The mechanism by which talc induces the crystallisation of form III is not clear, but we hypothesise that it may be related to heterogeneous nucleation on the surface of talc particles. Talc is a mineral crystal exhibiting basal cleavage, which exposes the (001) face.</w:t>
      </w:r>
      <w:r w:rsidR="00E87108">
        <w:rPr>
          <w:vertAlign w:val="superscript"/>
        </w:rPr>
        <w:t>27</w:t>
      </w:r>
      <w:r w:rsidRPr="00663F84">
        <w:t xml:space="preserve"> Increasing the talc concentration in our mixtures may have increased the chance of aggregation of talc particles, thereby reducing the relative amount of accessible (001) talc surfaces. </w:t>
      </w:r>
    </w:p>
    <w:p w14:paraId="66ED5F17" w14:textId="6C7843F3" w:rsidR="002D1E2F" w:rsidRPr="00663F84" w:rsidRDefault="002D1E2F" w:rsidP="002D1E2F">
      <w:pPr>
        <w:pStyle w:val="TAMainText"/>
        <w:spacing w:after="240"/>
        <w:jc w:val="left"/>
      </w:pPr>
      <w:r w:rsidRPr="00663F84">
        <w:t>Two-dimensional epitaxy has been successfully applied to control polymorphism in the past,</w:t>
      </w:r>
      <w:r w:rsidR="00D1369F" w:rsidRPr="00663F84">
        <w:rPr>
          <w:vertAlign w:val="superscript"/>
        </w:rPr>
        <w:t>2</w:t>
      </w:r>
      <w:r w:rsidR="00E87108">
        <w:rPr>
          <w:vertAlign w:val="superscript"/>
        </w:rPr>
        <w:t>9</w:t>
      </w:r>
      <w:r w:rsidRPr="00663F84">
        <w:t xml:space="preserve"> So, we decided to check whether an epitaxial relationship between talc and form III exists. This could explain the preferential nucleation and growth of form III in the presence of talc. The method of Ward and co-workers was used to identify possible matches between the dominant (001) face of talc,</w:t>
      </w:r>
      <w:r w:rsidR="00E87108">
        <w:rPr>
          <w:vertAlign w:val="superscript"/>
        </w:rPr>
        <w:t>28, 30</w:t>
      </w:r>
      <w:r w:rsidRPr="00663F84">
        <w:t xml:space="preserve"> also see SEM and polymorphs I and III. For both forms, the best overlay on talc was possible with their respective (100) faces (Figure 10</w:t>
      </w:r>
      <w:r w:rsidR="0017545D" w:rsidRPr="00663F84">
        <w:t xml:space="preserve"> and Figure S4 Supporting Information</w:t>
      </w:r>
      <w:r w:rsidRPr="00663F84">
        <w:t>). The geometrical match between the two lattices is much better in the case of form III, suggesting that this form could preferentially nucleate on the surface of talc crystallites.</w:t>
      </w:r>
    </w:p>
    <w:p w14:paraId="0B978FDC" w14:textId="32CB9F04" w:rsidR="004944D1" w:rsidRPr="00663F84" w:rsidRDefault="00FF73B8" w:rsidP="0017545D">
      <w:pPr>
        <w:jc w:val="center"/>
      </w:pPr>
      <w:r w:rsidRPr="00663F84">
        <w:rPr>
          <w:noProof/>
        </w:rPr>
        <w:drawing>
          <wp:inline distT="0" distB="0" distL="0" distR="0" wp14:anchorId="48A0292E" wp14:editId="4358A38D">
            <wp:extent cx="2743200" cy="2743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10.tif"/>
                    <pic:cNvPicPr/>
                  </pic:nvPicPr>
                  <pic:blipFill>
                    <a:blip r:embed="rId17">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24B02694" w14:textId="3DD357F5" w:rsidR="004944D1" w:rsidRPr="00663F84" w:rsidRDefault="00442B64" w:rsidP="00FF73B8">
      <w:pPr>
        <w:pStyle w:val="VAFigureCaption"/>
        <w:rPr>
          <w:b/>
        </w:rPr>
      </w:pPr>
      <w:r w:rsidRPr="00663F84">
        <w:rPr>
          <w:b/>
        </w:rPr>
        <w:lastRenderedPageBreak/>
        <w:t>Figure 10.</w:t>
      </w:r>
      <w:r w:rsidRPr="00663F84">
        <w:t xml:space="preserve"> Optimal lattice overlay between the (001) plane of talc (black) and the (100) plane of form III (red). The points of a 1 x 3 form III superlattice approximately coincide with the talc lattice, suggesting a possible expitaxial relationship between the two. The two-dimensional lattice parameters used for talc were a</w:t>
      </w:r>
      <w:r w:rsidRPr="00663F84">
        <w:rPr>
          <w:vertAlign w:val="subscript"/>
        </w:rPr>
        <w:t>1</w:t>
      </w:r>
      <w:r w:rsidRPr="00663F84">
        <w:t xml:space="preserve"> = 5.29 Å, a</w:t>
      </w:r>
      <w:r w:rsidRPr="00663F84">
        <w:rPr>
          <w:vertAlign w:val="subscript"/>
        </w:rPr>
        <w:t>2</w:t>
      </w:r>
      <w:r w:rsidRPr="00663F84">
        <w:t xml:space="preserve"> = 9.18 Å, </w:t>
      </w:r>
      <w:r w:rsidRPr="00663F84">
        <w:rPr>
          <w:rFonts w:hint="eastAsia"/>
        </w:rPr>
        <w:t>α</w:t>
      </w:r>
      <w:r w:rsidRPr="00663F84">
        <w:t xml:space="preserve"> = 90.03°, while for form III b</w:t>
      </w:r>
      <w:r w:rsidRPr="00663F84">
        <w:rPr>
          <w:vertAlign w:val="subscript"/>
        </w:rPr>
        <w:t>1</w:t>
      </w:r>
      <w:r w:rsidRPr="00663F84">
        <w:t xml:space="preserve"> = 9.76 Å, b</w:t>
      </w:r>
      <w:r w:rsidRPr="00663F84">
        <w:rPr>
          <w:vertAlign w:val="subscript"/>
        </w:rPr>
        <w:t>2</w:t>
      </w:r>
      <w:r w:rsidRPr="00663F84">
        <w:t xml:space="preserve"> = 10.93 Å, </w:t>
      </w:r>
      <w:r w:rsidRPr="00663F84">
        <w:rPr>
          <w:rFonts w:hint="eastAsia"/>
        </w:rPr>
        <w:t>β</w:t>
      </w:r>
      <w:r w:rsidRPr="00663F84">
        <w:t xml:space="preserve"> = 110.8°. The optimal azimuthal angle was found to be </w:t>
      </w:r>
      <w:r w:rsidRPr="00663F84">
        <w:rPr>
          <w:rFonts w:hint="eastAsia"/>
        </w:rPr>
        <w:t>θ</w:t>
      </w:r>
      <w:r w:rsidRPr="00663F84">
        <w:t xml:space="preserve"> = 69.3°.</w:t>
      </w:r>
    </w:p>
    <w:p w14:paraId="3B65D351" w14:textId="77777777" w:rsidR="002D1E2F" w:rsidRPr="00663F84" w:rsidRDefault="002D1E2F" w:rsidP="002D1E2F">
      <w:pPr>
        <w:pStyle w:val="TAMainText"/>
        <w:spacing w:after="240"/>
        <w:jc w:val="left"/>
      </w:pPr>
    </w:p>
    <w:p w14:paraId="4C689BB9" w14:textId="77777777" w:rsidR="002D1E2F" w:rsidRPr="00663F84" w:rsidRDefault="002D1E2F" w:rsidP="002D1E2F">
      <w:pPr>
        <w:pStyle w:val="TAMainText"/>
        <w:spacing w:after="240"/>
        <w:jc w:val="left"/>
        <w:rPr>
          <w:i/>
        </w:rPr>
      </w:pPr>
      <w:r w:rsidRPr="00663F84">
        <w:rPr>
          <w:i/>
        </w:rPr>
        <w:t>Investigating the stability of fenofibrate form III</w:t>
      </w:r>
    </w:p>
    <w:p w14:paraId="642AE51E" w14:textId="53437DE3" w:rsidR="002D1E2F" w:rsidRPr="00663F84" w:rsidRDefault="001F6CC6" w:rsidP="002D1E2F">
      <w:pPr>
        <w:pStyle w:val="TAMainText"/>
        <w:spacing w:after="240"/>
        <w:jc w:val="left"/>
      </w:pPr>
      <w:r w:rsidRPr="00663F84">
        <w:t>No change observed in the thermal decomposition behavior of form III in comparison to form I (Figure S5, Supporting Information). This indicates good</w:t>
      </w:r>
      <w:r w:rsidR="008C5E72" w:rsidRPr="00663F84">
        <w:t xml:space="preserve"> chemical stability of form III. </w:t>
      </w:r>
      <w:r w:rsidR="002D1E2F" w:rsidRPr="00663F84">
        <w:t>It was observed that fenofibrate form III converts to its more stable polymorphic forms, I and IIa. This polymorphic transformation can be triggered by increased temperature, crystal damage and aging. The meta-stable nature of the form III is obvious, as the melting of form III is followed by immediate crystallization of form I, as seen in Figure 2. MTDSC experiments on form III revealed a hidden exothermic event at approximately 48°C prior to th</w:t>
      </w:r>
      <w:r w:rsidR="008C5E72" w:rsidRPr="00663F84">
        <w:t>e melting of form III (Figure S6</w:t>
      </w:r>
      <w:r w:rsidR="002D1E2F" w:rsidRPr="00663F84">
        <w:t xml:space="preserve"> Supporting Information). Isothermal MTDSC experiments were conducted at 35, 40 and 45°C to further investigate the effect of temperature on this polymorphic transformation. Small surges of reversing C</w:t>
      </w:r>
      <w:r w:rsidR="002D1E2F" w:rsidRPr="00663F84">
        <w:rPr>
          <w:vertAlign w:val="subscript"/>
        </w:rPr>
        <w:t>p</w:t>
      </w:r>
      <w:r w:rsidR="002D1E2F" w:rsidRPr="00663F84">
        <w:t xml:space="preserve"> signals were observed at the beginning of every experiment, followed by gradual decrease of reversing C</w:t>
      </w:r>
      <w:r w:rsidR="002D1E2F" w:rsidRPr="00663F84">
        <w:rPr>
          <w:vertAlign w:val="subscript"/>
        </w:rPr>
        <w:t>p</w:t>
      </w:r>
      <w:r w:rsidR="002D1E2F" w:rsidRPr="00663F84">
        <w:t xml:space="preserve"> until reaching the equilibrium state (Figure 11a). The reversing C</w:t>
      </w:r>
      <w:r w:rsidR="002D1E2F" w:rsidRPr="00663F84">
        <w:rPr>
          <w:vertAlign w:val="subscript"/>
        </w:rPr>
        <w:t>p</w:t>
      </w:r>
      <w:r w:rsidR="002D1E2F" w:rsidRPr="00663F84">
        <w:t xml:space="preserve"> of the isothermal samples at 45 and 40 °C returned to their equilibrium values within 17±9 and 53±16 min, respectively. Meanwhile, the 35°C isothermal sample demonstrated a consistently flat reversing C</w:t>
      </w:r>
      <w:r w:rsidR="002D1E2F" w:rsidRPr="00663F84">
        <w:rPr>
          <w:vertAlign w:val="subscript"/>
        </w:rPr>
        <w:t>p</w:t>
      </w:r>
      <w:r w:rsidR="002D1E2F" w:rsidRPr="00663F84">
        <w:t xml:space="preserve"> signal. These observations suggested that a polymorphic transformation occurred during the isothermal experiments above 35°C, in which the kinetics of </w:t>
      </w:r>
      <w:r w:rsidR="002D1E2F" w:rsidRPr="00663F84">
        <w:lastRenderedPageBreak/>
        <w:t>the transformation were temperature dependent. To confirm the polymorphic conversion phenomenon, the samples were examined by standard DSC after the isothermal experiment finished (Figure 11b). The melting peaks of form I at 80°C and small melting peaks of from IIa at 74°C were observed after annealing the samples at 40 and 45°C. This confirmed that the observation of reverse C</w:t>
      </w:r>
      <w:r w:rsidR="002D1E2F" w:rsidRPr="00663F84">
        <w:rPr>
          <w:vertAlign w:val="subscript"/>
        </w:rPr>
        <w:t>p</w:t>
      </w:r>
      <w:r w:rsidR="002D1E2F" w:rsidRPr="00663F84">
        <w:t xml:space="preserve"> changes during the isothermal MTDSC experiments is an evidence of polymorphic transformation. A melting peak with reduced enthalpy value of form III was still present for the sample annealed at 35°C, accompanied by an immediate exothermic recrystallization and melting of from I. </w:t>
      </w:r>
    </w:p>
    <w:p w14:paraId="14C4C799" w14:textId="785ABD3C" w:rsidR="004944D1" w:rsidRPr="00663F84" w:rsidRDefault="004944D1" w:rsidP="002D1E2F">
      <w:pPr>
        <w:pStyle w:val="TAMainText"/>
        <w:spacing w:after="240"/>
        <w:jc w:val="left"/>
      </w:pPr>
      <w:r w:rsidRPr="00663F84">
        <w:rPr>
          <w:noProof/>
        </w:rPr>
        <w:lastRenderedPageBreak/>
        <w:drawing>
          <wp:inline distT="0" distB="0" distL="0" distR="0" wp14:anchorId="4C1AA9FF" wp14:editId="35F87793">
            <wp:extent cx="4485652" cy="5760000"/>
            <wp:effectExtent l="0" t="0" r="10160" b="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a:extLst>
                        <a:ext uri="{28A0092B-C50C-407E-A947-70E740481C1C}">
                          <a14:useLocalDpi xmlns:a14="http://schemas.microsoft.com/office/drawing/2010/main" val="0"/>
                        </a:ext>
                      </a:extLst>
                    </a:blip>
                    <a:srcRect t="8245"/>
                    <a:stretch/>
                  </pic:blipFill>
                  <pic:spPr bwMode="auto">
                    <a:xfrm>
                      <a:off x="0" y="0"/>
                      <a:ext cx="4485652" cy="5760000"/>
                    </a:xfrm>
                    <a:prstGeom prst="rect">
                      <a:avLst/>
                    </a:prstGeom>
                    <a:noFill/>
                    <a:ln>
                      <a:noFill/>
                    </a:ln>
                    <a:extLst>
                      <a:ext uri="{53640926-AAD7-44d8-BBD7-CCE9431645EC}">
                        <a14:shadowObscured xmlns:a14="http://schemas.microsoft.com/office/drawing/2010/main"/>
                      </a:ext>
                    </a:extLst>
                  </pic:spPr>
                </pic:pic>
              </a:graphicData>
            </a:graphic>
          </wp:inline>
        </w:drawing>
      </w:r>
    </w:p>
    <w:p w14:paraId="18101760" w14:textId="08C1A055" w:rsidR="004944D1" w:rsidRPr="00663F84" w:rsidRDefault="004944D1" w:rsidP="00FF73B8">
      <w:pPr>
        <w:pStyle w:val="VAFigureCaption"/>
      </w:pPr>
      <w:r w:rsidRPr="00663F84">
        <w:rPr>
          <w:b/>
          <w:szCs w:val="32"/>
        </w:rPr>
        <w:t>Figure 11.</w:t>
      </w:r>
      <w:r w:rsidRPr="00663F84">
        <w:rPr>
          <w:szCs w:val="32"/>
        </w:rPr>
        <w:t xml:space="preserve"> (</w:t>
      </w:r>
      <w:r w:rsidRPr="00663F84">
        <w:rPr>
          <w:rFonts w:cs="Angsana New"/>
          <w:szCs w:val="32"/>
          <w:lang w:bidi="th-TH"/>
        </w:rPr>
        <w:t>a</w:t>
      </w:r>
      <w:r w:rsidRPr="00663F84">
        <w:rPr>
          <w:szCs w:val="32"/>
        </w:rPr>
        <w:t xml:space="preserve">) Isothermal </w:t>
      </w:r>
      <w:r w:rsidRPr="00663F84">
        <w:t>MTDSC thermograms of fenofibrate form III at 45, 40 and 35°C and (b) the DSC heating of the form III after isothermed at 45, 40 and 35°C for 2 hours.</w:t>
      </w:r>
    </w:p>
    <w:p w14:paraId="5CA492BA" w14:textId="359FB272" w:rsidR="002D1E2F" w:rsidRPr="00663F84" w:rsidRDefault="002D1E2F" w:rsidP="002D1E2F">
      <w:pPr>
        <w:pStyle w:val="TAMainText"/>
        <w:spacing w:after="240"/>
        <w:jc w:val="left"/>
      </w:pPr>
      <w:r w:rsidRPr="00663F84">
        <w:t xml:space="preserve">In order to investigate whether DSC sample preparation had an effect on the transition, crystalline form III was milled in a mortar and then examined using standard DSC after different time intervals (2 and 5 hours after being milled). The melting enthalpies of form III significantly decreased after the sample was milled and gradually declined until a complete conversion to </w:t>
      </w:r>
      <w:r w:rsidRPr="00663F84">
        <w:lastRenderedPageBreak/>
        <w:t>form I after 5 hours (Figure S</w:t>
      </w:r>
      <w:r w:rsidR="008C5E72" w:rsidRPr="00663F84">
        <w:t>7</w:t>
      </w:r>
      <w:r w:rsidRPr="00663F84">
        <w:t xml:space="preserve"> Supporting Information). Finally, we investigated the stability of the intact crystalline form III on aging. Some small opaque spots were observed on the crystals on day 1, which later completely consumed the translucent crystals (Figure 12). The DSC thermogram in Figure 12 shows that the opaque crystal obtained after 2 day aging was dominated by form I with a minor component of form IIa.   </w:t>
      </w:r>
    </w:p>
    <w:p w14:paraId="0730A57D" w14:textId="0275EA1B" w:rsidR="004944D1" w:rsidRPr="00663F84" w:rsidRDefault="00C54700" w:rsidP="002D1E2F">
      <w:pPr>
        <w:pStyle w:val="TAMainText"/>
        <w:spacing w:after="240"/>
        <w:jc w:val="left"/>
      </w:pPr>
      <w:r w:rsidRPr="00663F84">
        <w:rPr>
          <w:noProof/>
        </w:rPr>
        <w:drawing>
          <wp:inline distT="0" distB="0" distL="0" distR="0" wp14:anchorId="4631B6EC" wp14:editId="4BD707A9">
            <wp:extent cx="5943600" cy="4098032"/>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4098032"/>
                    </a:xfrm>
                    <a:prstGeom prst="rect">
                      <a:avLst/>
                    </a:prstGeom>
                    <a:noFill/>
                    <a:ln>
                      <a:noFill/>
                    </a:ln>
                  </pic:spPr>
                </pic:pic>
              </a:graphicData>
            </a:graphic>
          </wp:inline>
        </w:drawing>
      </w:r>
    </w:p>
    <w:p w14:paraId="3CEAB733" w14:textId="24320AFA" w:rsidR="004944D1" w:rsidRPr="00663F84" w:rsidRDefault="004944D1" w:rsidP="000406CF">
      <w:pPr>
        <w:pStyle w:val="VAFigureCaption"/>
      </w:pPr>
      <w:bookmarkStart w:id="6" w:name="_Ref417668924"/>
      <w:r w:rsidRPr="00663F84">
        <w:rPr>
          <w:b/>
        </w:rPr>
        <w:t xml:space="preserve">Figure </w:t>
      </w:r>
      <w:bookmarkEnd w:id="6"/>
      <w:r w:rsidRPr="00663F84">
        <w:rPr>
          <w:b/>
        </w:rPr>
        <w:t>12.</w:t>
      </w:r>
      <w:r w:rsidRPr="00663F84">
        <w:t xml:space="preserve"> Appearances of aged fenofibrate form III under 0% RH at room temperature for different periods of time and the corresponding DSC thermogram of the sample aged for 2 days.</w:t>
      </w:r>
    </w:p>
    <w:p w14:paraId="309DD9D0" w14:textId="77777777" w:rsidR="002D1E2F" w:rsidRPr="00663F84" w:rsidRDefault="002D1E2F" w:rsidP="002D1E2F">
      <w:pPr>
        <w:pStyle w:val="TAMainText"/>
        <w:spacing w:after="240"/>
        <w:jc w:val="left"/>
      </w:pPr>
      <w:r w:rsidRPr="00663F84">
        <w:t xml:space="preserve">To summarise, the polymorphic conversion of fenofibrate from III can proceed through melt-recrystallisation, can be induced by increased temperatures or mechanical triggers and occurs spontaneously on aging.  Melt recrystallisation results in a complete conversion of form III to </w:t>
      </w:r>
      <w:r w:rsidRPr="00663F84">
        <w:lastRenderedPageBreak/>
        <w:t xml:space="preserve">form I. Annealing fenofibrate form III samples below their melting point and milling both led to a crystalline mixture of fenofibrate forms dominated by form I with form IIa as minor product. Aging of intact form III crystals formed a mixture of forms I and IIa in which the amount of form IIa was greater than in samples which were subjected to annealing or milling. The polymorphic conversion pathways of the fenofibrate form III is summarised in Figure 13. </w:t>
      </w:r>
    </w:p>
    <w:p w14:paraId="7FC1EA1D" w14:textId="533DD064" w:rsidR="004944D1" w:rsidRPr="00663F84" w:rsidRDefault="004944D1" w:rsidP="002D1E2F">
      <w:pPr>
        <w:pStyle w:val="TAMainText"/>
        <w:spacing w:after="240"/>
        <w:jc w:val="left"/>
      </w:pPr>
      <w:r w:rsidRPr="00663F84">
        <w:rPr>
          <w:rFonts w:ascii="Times New Roman" w:hAnsi="Times New Roman"/>
          <w:noProof/>
          <w:color w:val="000000" w:themeColor="text1"/>
          <w:szCs w:val="24"/>
        </w:rPr>
        <w:drawing>
          <wp:inline distT="0" distB="0" distL="0" distR="0" wp14:anchorId="05706187" wp14:editId="435A1950">
            <wp:extent cx="5731510" cy="2043430"/>
            <wp:effectExtent l="0" t="0" r="8890" b="0"/>
            <wp:docPr id="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2043430"/>
                    </a:xfrm>
                    <a:prstGeom prst="rect">
                      <a:avLst/>
                    </a:prstGeom>
                    <a:noFill/>
                    <a:ln>
                      <a:noFill/>
                    </a:ln>
                  </pic:spPr>
                </pic:pic>
              </a:graphicData>
            </a:graphic>
          </wp:inline>
        </w:drawing>
      </w:r>
    </w:p>
    <w:p w14:paraId="44EDAA5B" w14:textId="6CAD3CA6" w:rsidR="004944D1" w:rsidRPr="00663F84" w:rsidRDefault="004944D1" w:rsidP="000406CF">
      <w:pPr>
        <w:pStyle w:val="VAFigureCaption"/>
      </w:pPr>
      <w:r w:rsidRPr="00663F84">
        <w:rPr>
          <w:b/>
        </w:rPr>
        <w:t>Figure 13.</w:t>
      </w:r>
      <w:r w:rsidRPr="00663F84">
        <w:t xml:space="preserve"> A schematic diagram depicts a fenofibrate form III preparation and polymorphic transformation pathways of the metastable polymorphs to the form I and IIa.</w:t>
      </w:r>
    </w:p>
    <w:p w14:paraId="121EDC14" w14:textId="77777777" w:rsidR="004944D1" w:rsidRPr="00663F84" w:rsidRDefault="004944D1" w:rsidP="002D1E2F">
      <w:pPr>
        <w:pStyle w:val="TAMainText"/>
        <w:spacing w:after="240"/>
        <w:jc w:val="left"/>
      </w:pPr>
    </w:p>
    <w:p w14:paraId="32B9DE26" w14:textId="01F48174" w:rsidR="002D1E2F" w:rsidRPr="00663F84" w:rsidRDefault="004714E8" w:rsidP="002D1E2F">
      <w:pPr>
        <w:pStyle w:val="TAMainText"/>
        <w:spacing w:after="240"/>
        <w:jc w:val="left"/>
        <w:rPr>
          <w:b/>
        </w:rPr>
      </w:pPr>
      <w:r w:rsidRPr="00663F84">
        <w:rPr>
          <w:b/>
        </w:rPr>
        <w:t>Conclusion</w:t>
      </w:r>
    </w:p>
    <w:p w14:paraId="1F8C2CA0" w14:textId="77777777" w:rsidR="002D1E2F" w:rsidRPr="00663F84" w:rsidRDefault="002D1E2F" w:rsidP="002D1E2F">
      <w:pPr>
        <w:pStyle w:val="TAMainText"/>
        <w:spacing w:after="240"/>
        <w:jc w:val="left"/>
      </w:pPr>
      <w:r w:rsidRPr="00663F84">
        <w:t xml:space="preserve">This study described a heterogeneous crystallisation method to obtain a new fenofibrate polymorph, form III, with high purity. A low quantity (1%) of pharmaceutical grade talc was used to induce the crystallisation of form III, which can tentatively be explained by an epitaxial relationship between talc and form III. This new form has a very low melting point of 50°C, exhibits high thermal instability and converts to the stable polymorph I and to form IIa via melt-recrystallisation, on heating, milling and aging. Full microscopic, thermal, spectroscopic and </w:t>
      </w:r>
      <w:r w:rsidRPr="00663F84">
        <w:lastRenderedPageBreak/>
        <w:t>structural characterizations of polymorph III were conducted to explain its formation and properties. This work highlights the importance of testing excipient effects on drug polymorphism, as a new, metastable form could be formed through interaction with a well-known, chemically inert excipient.</w:t>
      </w:r>
    </w:p>
    <w:p w14:paraId="5F98C147" w14:textId="77777777" w:rsidR="00DD6DBB" w:rsidRPr="00663F84" w:rsidRDefault="00DD6DBB" w:rsidP="00DD6DBB">
      <w:pPr>
        <w:pStyle w:val="FACorrespondingAuthorFootnote"/>
        <w:spacing w:after="0"/>
        <w:jc w:val="left"/>
      </w:pPr>
      <w:r w:rsidRPr="00663F84">
        <w:t>AUTHOR INFORMATION</w:t>
      </w:r>
    </w:p>
    <w:p w14:paraId="023BA1C1" w14:textId="77777777" w:rsidR="00DD6DBB" w:rsidRPr="00663F84" w:rsidRDefault="00DD6DBB" w:rsidP="004E7185">
      <w:pPr>
        <w:pStyle w:val="FAAuthorInfoSubtitle"/>
      </w:pPr>
      <w:r w:rsidRPr="00663F84">
        <w:t>Corresponding Author</w:t>
      </w:r>
      <w:r w:rsidR="002D1E2F" w:rsidRPr="00663F84">
        <w:t>: Sheng Qi sheng.qi@uea.ac.uk</w:t>
      </w:r>
    </w:p>
    <w:p w14:paraId="44B91E3D" w14:textId="77777777" w:rsidR="00C10EE0" w:rsidRPr="00663F84" w:rsidRDefault="00C10EE0" w:rsidP="00DD6DBB">
      <w:pPr>
        <w:pStyle w:val="FAAuthorInfoSubtitle"/>
      </w:pPr>
      <w:r w:rsidRPr="00663F84">
        <w:t>Author Contributions</w:t>
      </w:r>
    </w:p>
    <w:p w14:paraId="0CC9DBB0" w14:textId="77777777" w:rsidR="00C10EE0" w:rsidRPr="00663F84" w:rsidRDefault="00C10EE0" w:rsidP="00DD6DBB">
      <w:pPr>
        <w:pStyle w:val="StyleFACorrespondingAuthorFootnote7pt"/>
        <w:spacing w:after="240" w:line="480" w:lineRule="auto"/>
        <w:rPr>
          <w:rFonts w:ascii="Times" w:hAnsi="Times"/>
          <w:kern w:val="0"/>
          <w:sz w:val="24"/>
        </w:rPr>
      </w:pPr>
      <w:r w:rsidRPr="00663F84">
        <w:rPr>
          <w:rFonts w:ascii="Times" w:hAnsi="Times"/>
          <w:kern w:val="0"/>
          <w:sz w:val="24"/>
        </w:rPr>
        <w:t>The manuscript was written throug</w:t>
      </w:r>
      <w:r w:rsidR="00DD6DBB" w:rsidRPr="00663F84">
        <w:rPr>
          <w:rFonts w:ascii="Times" w:hAnsi="Times"/>
          <w:kern w:val="0"/>
          <w:sz w:val="24"/>
        </w:rPr>
        <w:t xml:space="preserve">h contributions of all authors. </w:t>
      </w:r>
      <w:r w:rsidRPr="00663F84">
        <w:rPr>
          <w:rFonts w:ascii="Times" w:hAnsi="Times"/>
          <w:kern w:val="0"/>
          <w:sz w:val="24"/>
        </w:rPr>
        <w:t>All authors have given approval to the final version of the manuscript.</w:t>
      </w:r>
      <w:r w:rsidR="00DD6DBB" w:rsidRPr="00663F84">
        <w:rPr>
          <w:rFonts w:ascii="Times" w:hAnsi="Times"/>
          <w:kern w:val="0"/>
          <w:sz w:val="24"/>
        </w:rPr>
        <w:t xml:space="preserve"> </w:t>
      </w:r>
      <w:r w:rsidRPr="00663F84">
        <w:rPr>
          <w:rFonts w:ascii="Times" w:hAnsi="Times"/>
          <w:kern w:val="0"/>
          <w:sz w:val="24"/>
        </w:rPr>
        <w:t>‡Thes</w:t>
      </w:r>
      <w:r w:rsidR="002D1E2F" w:rsidRPr="00663F84">
        <w:rPr>
          <w:rFonts w:ascii="Times" w:hAnsi="Times"/>
          <w:kern w:val="0"/>
          <w:sz w:val="24"/>
        </w:rPr>
        <w:t xml:space="preserve">e authors contributed equally. </w:t>
      </w:r>
    </w:p>
    <w:p w14:paraId="36FDAB08" w14:textId="77777777" w:rsidR="00DD6DBB" w:rsidRPr="00663F84" w:rsidRDefault="00DD6DBB" w:rsidP="000B5610">
      <w:pPr>
        <w:pStyle w:val="TDAcknowledgments"/>
        <w:spacing w:before="0" w:after="0"/>
        <w:ind w:firstLine="0"/>
        <w:jc w:val="left"/>
      </w:pPr>
      <w:r w:rsidRPr="00663F84">
        <w:t>ACKNOWLEDGMENT</w:t>
      </w:r>
    </w:p>
    <w:p w14:paraId="3C971F4F" w14:textId="77777777" w:rsidR="009246AD" w:rsidRPr="00663F84" w:rsidRDefault="00641811" w:rsidP="000B5610">
      <w:pPr>
        <w:pStyle w:val="TDAcknowledgments"/>
        <w:spacing w:before="0" w:after="240"/>
        <w:ind w:firstLine="0"/>
        <w:jc w:val="left"/>
      </w:pPr>
      <w:r w:rsidRPr="00663F84">
        <w:t>We wish to thank the EU INTERREG IVA 2 Mers Seas Zeën Cross-border Cooperation Programme for funding. We would like to thanks to Dr David Hughes from the School of Chemistry, University of East Anglia for his kind support with the single crystal experiment.</w:t>
      </w:r>
    </w:p>
    <w:p w14:paraId="1470E140" w14:textId="5F1449E1" w:rsidR="00C043D7" w:rsidRPr="00663F84" w:rsidRDefault="00C043D7" w:rsidP="00C043D7">
      <w:pPr>
        <w:spacing w:line="480" w:lineRule="auto"/>
        <w:rPr>
          <w:caps/>
        </w:rPr>
      </w:pPr>
      <w:r w:rsidRPr="00663F84">
        <w:rPr>
          <w:caps/>
        </w:rPr>
        <w:t>Supporting Information</w:t>
      </w:r>
    </w:p>
    <w:p w14:paraId="6BF72505" w14:textId="6BBAA95E" w:rsidR="00C043D7" w:rsidRPr="00663F84" w:rsidRDefault="00C043D7" w:rsidP="00C043D7">
      <w:pPr>
        <w:spacing w:line="480" w:lineRule="auto"/>
      </w:pPr>
      <w:r w:rsidRPr="00663F84">
        <w:t xml:space="preserve">Crystal packing diagrams of fenofirabte forms I, IIb and III; intermolecular CH…O interactions in </w:t>
      </w:r>
      <w:r w:rsidR="000E4C79" w:rsidRPr="00663F84">
        <w:t xml:space="preserve">fenofibrate </w:t>
      </w:r>
      <w:r w:rsidRPr="00663F84">
        <w:t xml:space="preserve">form IIb; optimal lattice overlay between the (001) plane of talc and the (100) plane of fenofibrate </w:t>
      </w:r>
      <w:r w:rsidR="000E4C79" w:rsidRPr="00663F84">
        <w:t>form  and</w:t>
      </w:r>
      <w:r w:rsidRPr="00663F84">
        <w:t>; thermal stability of form III measured by TGA</w:t>
      </w:r>
      <w:r w:rsidR="000E4C79" w:rsidRPr="00663F84">
        <w:t>, MTDSC and DSC are all presented in the supporting information document.</w:t>
      </w:r>
      <w:r w:rsidRPr="00663F84">
        <w:t xml:space="preserve"> This material is available free of charge via the Internet at </w:t>
      </w:r>
      <w:hyperlink r:id="rId21" w:history="1">
        <w:r w:rsidRPr="00663F84">
          <w:rPr>
            <w:rStyle w:val="Hyperlink"/>
          </w:rPr>
          <w:t>http://pubs.acs.org</w:t>
        </w:r>
      </w:hyperlink>
      <w:r w:rsidRPr="00663F84">
        <w:t xml:space="preserve"> </w:t>
      </w:r>
    </w:p>
    <w:p w14:paraId="0C98E588" w14:textId="77777777" w:rsidR="00DD6DBB" w:rsidRPr="00663F84" w:rsidRDefault="00DD6DBB" w:rsidP="00C043D7">
      <w:pPr>
        <w:pStyle w:val="TFReferencesSection"/>
        <w:spacing w:after="0"/>
        <w:ind w:firstLine="0"/>
      </w:pPr>
      <w:r w:rsidRPr="00663F84">
        <w:t>REFERENCES</w:t>
      </w:r>
    </w:p>
    <w:p w14:paraId="2A71EB4C" w14:textId="77777777" w:rsidR="00ED1ACB" w:rsidRDefault="00ED1ACB" w:rsidP="00ED1ACB">
      <w:pPr>
        <w:pStyle w:val="TFReferencesSection"/>
        <w:spacing w:after="240"/>
        <w:jc w:val="left"/>
      </w:pPr>
      <w:r>
        <w:lastRenderedPageBreak/>
        <w:t>(1)</w:t>
      </w:r>
      <w:r>
        <w:tab/>
        <w:t>Chapman, M. J., Fibrates in 2003: therapeutic action in atherogenic dyslipidaemia and future perspectives. Atherosclerosis 2003, 171, 1-13.</w:t>
      </w:r>
    </w:p>
    <w:p w14:paraId="6F5C9C72" w14:textId="77777777" w:rsidR="00ED1ACB" w:rsidRDefault="00ED1ACB" w:rsidP="00ED1ACB">
      <w:pPr>
        <w:pStyle w:val="TFReferencesSection"/>
        <w:spacing w:after="240"/>
        <w:jc w:val="left"/>
      </w:pPr>
      <w:r>
        <w:t>(2)</w:t>
      </w:r>
      <w:r>
        <w:tab/>
        <w:t>Jamzad, S.; Fassihi, R., Role of surfactant and pH on dissolution properties of fenofibrate and glipizide—a technical note. Aaps Pharmscitech 2006, 7, E17-E22.</w:t>
      </w:r>
    </w:p>
    <w:p w14:paraId="4EEAB973" w14:textId="77777777" w:rsidR="00ED1ACB" w:rsidRDefault="00ED1ACB" w:rsidP="00ED1ACB">
      <w:pPr>
        <w:pStyle w:val="TFReferencesSection"/>
        <w:spacing w:after="240"/>
        <w:jc w:val="left"/>
      </w:pPr>
      <w:r>
        <w:t>(3)</w:t>
      </w:r>
      <w:r>
        <w:tab/>
        <w:t>Tran, T. H.; Ramasamy, T.; Truong, D. H.; Choi, H.-G.; Yong, C. S.; Kim, J. O., Preparation and Characterization of Fenofibrate-Loaded Nanostructured Lipid Carriers for Oral Bioavailability Enhancement. Aaps Pharmscitech 2014, 15, 1509-1515.</w:t>
      </w:r>
    </w:p>
    <w:p w14:paraId="1DD94A52" w14:textId="77777777" w:rsidR="00ED1ACB" w:rsidRDefault="00ED1ACB" w:rsidP="00ED1ACB">
      <w:pPr>
        <w:pStyle w:val="TFReferencesSection"/>
        <w:spacing w:after="240"/>
        <w:jc w:val="left"/>
      </w:pPr>
      <w:r>
        <w:t>(4)</w:t>
      </w:r>
      <w:r>
        <w:tab/>
        <w:t>Cha, K.-H.; Cho, K.-J.; Kim, M.-S.; Kim, J.-S.; Park, H. J.; Park, J.; Cho, W.; Park, J.-S.; Hwang, S.-J., Enhancement of the dissolution rate and bioavailability of fenofibrate by a melt-adsorption method using supercritical carbon dioxide. Int. J. Nanomed 2012, 7, 5565.</w:t>
      </w:r>
    </w:p>
    <w:p w14:paraId="3404E197" w14:textId="77777777" w:rsidR="00ED1ACB" w:rsidRDefault="00ED1ACB" w:rsidP="00ED1ACB">
      <w:pPr>
        <w:pStyle w:val="TFReferencesSection"/>
        <w:spacing w:after="240"/>
        <w:jc w:val="left"/>
      </w:pPr>
      <w:r>
        <w:t>(5)</w:t>
      </w:r>
      <w:r>
        <w:tab/>
        <w:t>Huang, J.; Wigent, R. J.; Bentzley, C. M.; Schwartz, J. B., Nifedipine solid dispersion in microparticles of ammonio methacrylate copolymer and ethylcellulose binary blend for controlled drug delivery: Effect of drug loading on release kinetics. Int. J. Pharm 2006, 319, 44-54.</w:t>
      </w:r>
    </w:p>
    <w:p w14:paraId="3A4F215E" w14:textId="2934EC5A" w:rsidR="00ED1ACB" w:rsidRDefault="00761730" w:rsidP="00ED1ACB">
      <w:pPr>
        <w:pStyle w:val="TFReferencesSection"/>
        <w:spacing w:after="240"/>
        <w:jc w:val="left"/>
      </w:pPr>
      <w:r>
        <w:t>(6)</w:t>
      </w:r>
      <w:r>
        <w:tab/>
      </w:r>
      <w:r w:rsidR="00ED1ACB">
        <w:t>Heinz, A.; Gordon, K. C.; McGoverin, C. M.; Rades, T.; Strachan, C. J., Understanding the solid-state forms of fenofibrate–a spectroscopic and computational study. European Journal of Pharmaceutics and Biopharmaceutics 2009, 71, 100-108.</w:t>
      </w:r>
    </w:p>
    <w:p w14:paraId="08BFDFE1" w14:textId="49A00376" w:rsidR="00ED1ACB" w:rsidRDefault="00ED1ACB" w:rsidP="00ED1ACB">
      <w:pPr>
        <w:pStyle w:val="TFReferencesSection"/>
        <w:spacing w:after="240"/>
        <w:jc w:val="left"/>
      </w:pPr>
      <w:r>
        <w:t xml:space="preserve">(7) </w:t>
      </w:r>
      <w:r>
        <w:tab/>
        <w:t xml:space="preserve">Górniak, A.; Wojakowska, A.; Karolewicz, B.; Pluta, J., Phase diagram and dissolution studies of the fenofibrate–acetylsalicylic acid system. J. Therm. Anal. Calorim 2011, 104, 1195-1200. </w:t>
      </w:r>
    </w:p>
    <w:p w14:paraId="43FC6E37" w14:textId="6E5C0D36" w:rsidR="00ED1ACB" w:rsidRDefault="00ED1ACB" w:rsidP="00ED1ACB">
      <w:pPr>
        <w:pStyle w:val="TFReferencesSection"/>
        <w:spacing w:after="240"/>
        <w:jc w:val="left"/>
      </w:pPr>
      <w:r>
        <w:lastRenderedPageBreak/>
        <w:t xml:space="preserve">(8) </w:t>
      </w:r>
      <w:r w:rsidR="00761730">
        <w:tab/>
      </w:r>
      <w:r>
        <w:t>Di Martino, P.; Palmieri, G.; Martelli, S., Evidence of a metastable form of fenofibrate. Die Pharmazie 2000, 55, 625-626.</w:t>
      </w:r>
    </w:p>
    <w:p w14:paraId="461D05A7" w14:textId="77777777" w:rsidR="00ED1ACB" w:rsidRDefault="00ED1ACB" w:rsidP="00ED1ACB">
      <w:pPr>
        <w:pStyle w:val="TFReferencesSection"/>
        <w:spacing w:after="240"/>
        <w:jc w:val="left"/>
      </w:pPr>
      <w:r>
        <w:t>(9)</w:t>
      </w:r>
      <w:r>
        <w:tab/>
        <w:t>Watterson, S.; Hudson, S.; Svärd, M.; Rasmuson, Å. C., Thermodynamics of fenofibrate and solubility in pure organic solvents. Fluid Phase Equilib. 2014, 367, 143-150.</w:t>
      </w:r>
    </w:p>
    <w:p w14:paraId="626EB10E" w14:textId="08ED390A" w:rsidR="00ED1ACB" w:rsidRDefault="00ED1ACB" w:rsidP="00ED1ACB">
      <w:pPr>
        <w:pStyle w:val="TFReferencesSection"/>
        <w:spacing w:after="240"/>
        <w:jc w:val="left"/>
      </w:pPr>
      <w:r>
        <w:t>(10)</w:t>
      </w:r>
      <w:r>
        <w:tab/>
        <w:t>Balendiran, G. K.; Rath, N.; Kotheimer, A.; Miller, C.; Zeller, M.; Rath, N. P., Biomolecular Chemistry of Isopropyl Fibrates. J. Pharm. Sci. 2012, 101, 1555-1569.</w:t>
      </w:r>
    </w:p>
    <w:p w14:paraId="4B8B5AAD" w14:textId="77777777" w:rsidR="00ED1ACB" w:rsidRDefault="00ED1ACB" w:rsidP="00ED1ACB">
      <w:pPr>
        <w:pStyle w:val="TFReferencesSection"/>
        <w:spacing w:after="240"/>
        <w:jc w:val="left"/>
      </w:pPr>
      <w:r>
        <w:t>(11)</w:t>
      </w:r>
      <w:r>
        <w:tab/>
        <w:t>Zhou, D.; Zhang, G. G. Z.; Law, D.; Grant, D. J. W.; Schmitt, E. A., Physical stability of amorphous pharmaceuticals: Importance of configurational thermodynamic quantities and molecular mobility. J. Pharm. Sci. 2002, 91, 1863-1872.</w:t>
      </w:r>
    </w:p>
    <w:p w14:paraId="3C226A9A" w14:textId="77777777" w:rsidR="00ED1ACB" w:rsidRDefault="00ED1ACB" w:rsidP="00ED1ACB">
      <w:pPr>
        <w:pStyle w:val="TFReferencesSection"/>
        <w:spacing w:after="240"/>
        <w:jc w:val="left"/>
      </w:pPr>
      <w:r>
        <w:t>(12)</w:t>
      </w:r>
      <w:r>
        <w:tab/>
        <w:t>Yang, Z. Development of methods to predict and enhance the physical stability of hot melt extruded solid dispersion. University of East Anglia, 2013.</w:t>
      </w:r>
    </w:p>
    <w:p w14:paraId="0F6061ED" w14:textId="6E207DDE" w:rsidR="00ED1ACB" w:rsidRDefault="00ED1ACB" w:rsidP="00ED1ACB">
      <w:pPr>
        <w:pStyle w:val="TFReferencesSection"/>
        <w:spacing w:after="240"/>
        <w:jc w:val="left"/>
      </w:pPr>
      <w:r>
        <w:t>(13)</w:t>
      </w:r>
      <w:r>
        <w:tab/>
        <w:t>Sear, R. P., Heterogeneous and homogeneous nucleation compared: Rapid nucleation on microscopic impurities. J. Phys. Chem. B 2006, 110, 4985-4989.</w:t>
      </w:r>
    </w:p>
    <w:p w14:paraId="7F997B9D" w14:textId="36AC7126" w:rsidR="00ED1ACB" w:rsidRDefault="00ED1ACB" w:rsidP="00ED1ACB">
      <w:pPr>
        <w:pStyle w:val="TFReferencesSection"/>
        <w:spacing w:after="240"/>
        <w:jc w:val="left"/>
      </w:pPr>
      <w:r>
        <w:t>(1</w:t>
      </w:r>
      <w:r w:rsidR="00B21CDD">
        <w:t>4)</w:t>
      </w:r>
      <w:r w:rsidR="00B21CDD">
        <w:tab/>
      </w:r>
      <w:r>
        <w:t xml:space="preserve">Takenaka, H.; Kawashima, Y.; Lin, S. Y., Polymorphism of spray-dried microencapsulated sulfamethoxazole with cellulose acetate phthalate and colloidal silica, montmorillonite, or talc. J. Pharm. Sci. 1981, 70, 1256-1260. </w:t>
      </w:r>
    </w:p>
    <w:p w14:paraId="3E2830EB" w14:textId="77777777" w:rsidR="00ED1ACB" w:rsidRDefault="00ED1ACB" w:rsidP="00ED1ACB">
      <w:pPr>
        <w:pStyle w:val="TFReferencesSection"/>
        <w:spacing w:after="240"/>
        <w:jc w:val="left"/>
      </w:pPr>
      <w:r>
        <w:t xml:space="preserve">(15) </w:t>
      </w:r>
      <w:r>
        <w:tab/>
        <w:t>Poornachary, S. K.; Chow, P. S.; Tan, R. B. H., Influence of Solution Speciation of Impurities on Polymorphic Nucleation in Glycine. Cryst. Growth Des. 2007, 8, 179-185.</w:t>
      </w:r>
    </w:p>
    <w:p w14:paraId="26E97D04" w14:textId="77777777" w:rsidR="00ED1ACB" w:rsidRDefault="00ED1ACB" w:rsidP="00ED1ACB">
      <w:pPr>
        <w:pStyle w:val="TFReferencesSection"/>
        <w:spacing w:after="240"/>
        <w:jc w:val="left"/>
      </w:pPr>
      <w:r>
        <w:lastRenderedPageBreak/>
        <w:t>(16)</w:t>
      </w:r>
      <w:r>
        <w:tab/>
        <w:t xml:space="preserve"> Parambil, J. V.; Poornachary, S. K.; Tan, R. B.; Heng, J. Y., Template-induced polymorphic selectivity: the effects of surface chemistry and solute concentration on carbamazepine crystallisation. CrystEngComm 2014, 16, 4927-4930. </w:t>
      </w:r>
    </w:p>
    <w:p w14:paraId="666DCD87" w14:textId="77777777" w:rsidR="00ED1ACB" w:rsidRDefault="00ED1ACB" w:rsidP="00ED1ACB">
      <w:pPr>
        <w:pStyle w:val="TFReferencesSection"/>
        <w:spacing w:after="240"/>
        <w:jc w:val="left"/>
      </w:pPr>
      <w:r>
        <w:t xml:space="preserve">(17) </w:t>
      </w:r>
      <w:r>
        <w:tab/>
        <w:t xml:space="preserve">Chadwick, K.; Myerson, A.; Trout, B., Polymorphic control by heterogeneous nucleation-A new method for selecting crystalline substrates. CrystEngComm 2011, 13, 6625-6627. </w:t>
      </w:r>
    </w:p>
    <w:p w14:paraId="1D72B466" w14:textId="77777777" w:rsidR="00ED1ACB" w:rsidRDefault="00ED1ACB" w:rsidP="00ED1ACB">
      <w:pPr>
        <w:pStyle w:val="TFReferencesSection"/>
        <w:spacing w:after="240"/>
        <w:jc w:val="left"/>
      </w:pPr>
      <w:r>
        <w:t xml:space="preserve">(18) </w:t>
      </w:r>
      <w:r>
        <w:tab/>
        <w:t xml:space="preserve">Caridi, A.; Kulkarni, S. A.; Di Profio, G.; Curcio, E.; ter Horst, J. H., Template-Induced Nucleation of Isonicotinamide Polymorphs. Cryst. Growth Des. 2014, 14, 1135-1141. </w:t>
      </w:r>
    </w:p>
    <w:p w14:paraId="547F664D" w14:textId="77777777" w:rsidR="00ED1ACB" w:rsidRDefault="00ED1ACB" w:rsidP="00ED1ACB">
      <w:pPr>
        <w:pStyle w:val="TFReferencesSection"/>
        <w:spacing w:after="240"/>
        <w:jc w:val="left"/>
      </w:pPr>
      <w:r>
        <w:t xml:space="preserve">(19) </w:t>
      </w:r>
      <w:r>
        <w:tab/>
        <w:t>Boukerche, M.; Mangin, D.; Klein, J. P.; Monnier, O.; Hoff, C., Inducing the stable polymorph using heterogeneous primary nucleation. Chem. Eng. Res. Des. 2010, 88, 1474-1478.</w:t>
      </w:r>
    </w:p>
    <w:p w14:paraId="01C3666B" w14:textId="39C912CA" w:rsidR="00641811" w:rsidRPr="00663F84" w:rsidRDefault="00ED1ACB" w:rsidP="00ED1ACB">
      <w:pPr>
        <w:pStyle w:val="TFReferencesSection"/>
        <w:spacing w:after="240"/>
        <w:jc w:val="left"/>
      </w:pPr>
      <w:r>
        <w:t>(20</w:t>
      </w:r>
      <w:r w:rsidR="00641811" w:rsidRPr="00663F84">
        <w:t>)</w:t>
      </w:r>
      <w:r w:rsidR="00641811" w:rsidRPr="00663F84">
        <w:tab/>
        <w:t>Programs CrysAlisPro. Oxford Diffraction Ltd: Abingdon, UK, 2010.</w:t>
      </w:r>
    </w:p>
    <w:p w14:paraId="1FE5CC78" w14:textId="1A15B217" w:rsidR="00ED1ACB" w:rsidRDefault="00550DDE" w:rsidP="00641811">
      <w:pPr>
        <w:pStyle w:val="TFReferencesSection"/>
        <w:spacing w:after="240"/>
        <w:jc w:val="left"/>
      </w:pPr>
      <w:r>
        <w:t>(21</w:t>
      </w:r>
      <w:r w:rsidR="00ED1ACB">
        <w:t>)</w:t>
      </w:r>
      <w:r w:rsidR="00ED1ACB">
        <w:tab/>
      </w:r>
      <w:r w:rsidR="00641811" w:rsidRPr="00663F84">
        <w:t>Sheldrick, G. M., SHELXT– Integrated space-group and crystal-structure determination. Acta Crystallogr</w:t>
      </w:r>
      <w:r w:rsidR="00B025FC" w:rsidRPr="00663F84">
        <w:t>.,</w:t>
      </w:r>
      <w:r w:rsidR="00641811" w:rsidRPr="00663F84">
        <w:t xml:space="preserve"> Sec</w:t>
      </w:r>
      <w:r w:rsidR="00B025FC" w:rsidRPr="00663F84">
        <w:t>t.</w:t>
      </w:r>
      <w:r w:rsidR="00ED1ACB">
        <w:t xml:space="preserve"> A 2015, 71 (1), 3-8.</w:t>
      </w:r>
      <w:r w:rsidR="00641811" w:rsidRPr="00663F84">
        <w:t xml:space="preserve"> </w:t>
      </w:r>
    </w:p>
    <w:p w14:paraId="403CC1E1" w14:textId="24FA9908" w:rsidR="00641811" w:rsidRPr="00663F84" w:rsidRDefault="00550DDE" w:rsidP="00641811">
      <w:pPr>
        <w:pStyle w:val="TFReferencesSection"/>
        <w:spacing w:after="240"/>
        <w:jc w:val="left"/>
      </w:pPr>
      <w:r>
        <w:t>(22</w:t>
      </w:r>
      <w:r w:rsidR="00641811" w:rsidRPr="00663F84">
        <w:t xml:space="preserve">) </w:t>
      </w:r>
      <w:r>
        <w:tab/>
      </w:r>
      <w:r w:rsidR="00641811" w:rsidRPr="00663F84">
        <w:t>Hübschle, C. B.; Sheldrick, G. M.; Dittrich, B., ShelXle: a Qt graphical us</w:t>
      </w:r>
      <w:r w:rsidR="00B025FC" w:rsidRPr="00663F84">
        <w:t>er interface for SHELXL. J.</w:t>
      </w:r>
      <w:r w:rsidR="00641811" w:rsidRPr="00663F84">
        <w:t xml:space="preserve"> </w:t>
      </w:r>
      <w:r w:rsidR="00B025FC" w:rsidRPr="00663F84">
        <w:t>A</w:t>
      </w:r>
      <w:r w:rsidR="00641811" w:rsidRPr="00663F84">
        <w:t>ppl</w:t>
      </w:r>
      <w:r w:rsidR="00B025FC" w:rsidRPr="00663F84">
        <w:t>. C</w:t>
      </w:r>
      <w:r w:rsidR="00206B64" w:rsidRPr="00663F84">
        <w:t>rystallogr</w:t>
      </w:r>
      <w:r w:rsidR="00B025FC" w:rsidRPr="00663F84">
        <w:t>.</w:t>
      </w:r>
      <w:r w:rsidR="00206B64" w:rsidRPr="00663F84">
        <w:t xml:space="preserve"> 2011, 44</w:t>
      </w:r>
      <w:r w:rsidR="00641811" w:rsidRPr="00663F84">
        <w:t>, 1281-1284.</w:t>
      </w:r>
    </w:p>
    <w:p w14:paraId="7F3CFE9E" w14:textId="39D7CBD6" w:rsidR="001C3AED" w:rsidRDefault="001C3AED" w:rsidP="00641811">
      <w:pPr>
        <w:pStyle w:val="TFReferencesSection"/>
        <w:spacing w:after="240"/>
        <w:jc w:val="left"/>
      </w:pPr>
      <w:r>
        <w:t>(23)</w:t>
      </w:r>
      <w:r>
        <w:tab/>
      </w:r>
      <w:r w:rsidR="00641811" w:rsidRPr="00663F84">
        <w:t>Spek, A. L., Structure validation in chemical crystallography. Acta Crystallographica Section D: Biologi</w:t>
      </w:r>
      <w:r w:rsidR="00B21CDD">
        <w:t>cal Crystallography 2009, 65</w:t>
      </w:r>
      <w:r>
        <w:t>, 148-155.</w:t>
      </w:r>
      <w:r w:rsidR="00641811" w:rsidRPr="00663F84">
        <w:t xml:space="preserve"> </w:t>
      </w:r>
    </w:p>
    <w:p w14:paraId="75E6B89E" w14:textId="61900FFF" w:rsidR="00641811" w:rsidRPr="00663F84" w:rsidRDefault="001C3AED" w:rsidP="001C3AED">
      <w:pPr>
        <w:pStyle w:val="TFReferencesSection"/>
        <w:spacing w:after="240"/>
        <w:ind w:firstLine="0"/>
        <w:jc w:val="left"/>
      </w:pPr>
      <w:r>
        <w:t xml:space="preserve">   (24</w:t>
      </w:r>
      <w:r w:rsidR="00641811" w:rsidRPr="00663F84">
        <w:t xml:space="preserve">) </w:t>
      </w:r>
      <w:r>
        <w:tab/>
      </w:r>
      <w:r w:rsidR="00641811" w:rsidRPr="00663F84">
        <w:t xml:space="preserve">Dolomanov, O. V.; Bourhis, L. J.; Gildea, R. J.; Howard, J. A.; Puschmann, H., OLEX2: a complete structure solution, refinement and analysis program. </w:t>
      </w:r>
      <w:r w:rsidR="00B025FC" w:rsidRPr="00663F84">
        <w:t>J. Appl. Crystallogr.</w:t>
      </w:r>
      <w:r w:rsidR="00206B64" w:rsidRPr="00663F84">
        <w:t xml:space="preserve"> 2009, 42</w:t>
      </w:r>
      <w:r w:rsidR="00641811" w:rsidRPr="00663F84">
        <w:t>, 339-341.</w:t>
      </w:r>
    </w:p>
    <w:p w14:paraId="2F457B1D" w14:textId="3AE98693" w:rsidR="00641811" w:rsidRPr="00663F84" w:rsidRDefault="001C3AED" w:rsidP="00641811">
      <w:pPr>
        <w:pStyle w:val="TFReferencesSection"/>
        <w:spacing w:after="240"/>
        <w:jc w:val="left"/>
      </w:pPr>
      <w:r>
        <w:t>(25</w:t>
      </w:r>
      <w:r w:rsidR="00641811" w:rsidRPr="00663F84">
        <w:t>)</w:t>
      </w:r>
      <w:r w:rsidR="00641811" w:rsidRPr="00663F84">
        <w:tab/>
        <w:t xml:space="preserve">Macrae, C. F.; Bruno, I. J.; Chisholm, J. A.; Edgington, P. R.; McCabe, P.; Pidcock, E.; Rodriguez-Monge, L.; Taylor, R.; Streek, J. v.; Wood, P. A., Mercury CSD 2.0–new features for the visualization and investigation of crystal structures. </w:t>
      </w:r>
      <w:r w:rsidR="00B025FC" w:rsidRPr="00663F84">
        <w:t>J. Appl. Crystallogr.</w:t>
      </w:r>
      <w:r w:rsidR="00206B64" w:rsidRPr="00663F84">
        <w:t xml:space="preserve"> 2008, 41</w:t>
      </w:r>
      <w:r w:rsidR="00641811" w:rsidRPr="00663F84">
        <w:t>, 466-470.</w:t>
      </w:r>
    </w:p>
    <w:p w14:paraId="1790C8CD" w14:textId="460B9F3B" w:rsidR="00D1369F" w:rsidRPr="00663F84" w:rsidRDefault="001C3AED" w:rsidP="00D1369F">
      <w:pPr>
        <w:pStyle w:val="TFReferencesSection"/>
        <w:spacing w:after="240"/>
        <w:jc w:val="left"/>
      </w:pPr>
      <w:r>
        <w:t>(26</w:t>
      </w:r>
      <w:r w:rsidR="00D1369F" w:rsidRPr="00663F84">
        <w:t>)</w:t>
      </w:r>
      <w:r w:rsidR="00D1369F" w:rsidRPr="00663F84">
        <w:tab/>
        <w:t>Henry, R.; Zhang, G.; Gao, Y.; Buckner, I., Fenofibrate. Acta Crystallogr</w:t>
      </w:r>
      <w:r w:rsidR="00B025FC" w:rsidRPr="00663F84">
        <w:t>.,</w:t>
      </w:r>
      <w:r w:rsidR="00D1369F" w:rsidRPr="00663F84">
        <w:t xml:space="preserve"> Sect</w:t>
      </w:r>
      <w:r w:rsidR="00B025FC" w:rsidRPr="00663F84">
        <w:t>.</w:t>
      </w:r>
      <w:r w:rsidR="00D1369F" w:rsidRPr="00663F84">
        <w:t xml:space="preserve"> E: Struc</w:t>
      </w:r>
      <w:r w:rsidR="00B025FC" w:rsidRPr="00663F84">
        <w:t>t. Rep.</w:t>
      </w:r>
      <w:r w:rsidR="00206B64" w:rsidRPr="00663F84">
        <w:t xml:space="preserve"> Online 2003, 59</w:t>
      </w:r>
      <w:r w:rsidR="00D1369F" w:rsidRPr="00663F84">
        <w:t>, 699-700.</w:t>
      </w:r>
    </w:p>
    <w:p w14:paraId="2600B66E" w14:textId="77777777" w:rsidR="001C3AED" w:rsidRDefault="001C3AED" w:rsidP="00D1369F">
      <w:pPr>
        <w:pStyle w:val="TFReferencesSection"/>
        <w:spacing w:after="240"/>
        <w:jc w:val="left"/>
      </w:pPr>
      <w:r>
        <w:t>(27)</w:t>
      </w:r>
      <w:r>
        <w:tab/>
      </w:r>
      <w:r w:rsidR="00641811" w:rsidRPr="00663F84">
        <w:t>Haubruge, H. G.; Daussin, R.; Jonas, A. M.; Legras, R.; Wittmann, J. C.; Lotz, B., Epitaxial Nucleation of Poly(ethylene terephthalate) by Talc:</w:t>
      </w:r>
      <w:r w:rsidR="00641811" w:rsidRPr="00663F84">
        <w:rPr>
          <w:rFonts w:ascii="Times New Roman" w:hAnsi="Times New Roman"/>
        </w:rPr>
        <w:t> </w:t>
      </w:r>
      <w:r w:rsidR="00641811" w:rsidRPr="00663F84">
        <w:t xml:space="preserve"> Structure at the Lattice and Lamellar Scal</w:t>
      </w:r>
      <w:r w:rsidR="00206B64" w:rsidRPr="00663F84">
        <w:t>es. Macromolecules 2003, 36</w:t>
      </w:r>
      <w:r w:rsidR="00641811" w:rsidRPr="00663F84">
        <w:t xml:space="preserve">, </w:t>
      </w:r>
      <w:r>
        <w:t>4452-4456.</w:t>
      </w:r>
      <w:r w:rsidR="00641811" w:rsidRPr="00663F84">
        <w:t xml:space="preserve"> </w:t>
      </w:r>
    </w:p>
    <w:p w14:paraId="28741BF8" w14:textId="70D26511" w:rsidR="00641811" w:rsidRPr="00663F84" w:rsidRDefault="001C3AED" w:rsidP="00D1369F">
      <w:pPr>
        <w:pStyle w:val="TFReferencesSection"/>
        <w:spacing w:after="240"/>
        <w:jc w:val="left"/>
      </w:pPr>
      <w:r>
        <w:t>(28</w:t>
      </w:r>
      <w:r w:rsidR="00641811" w:rsidRPr="00663F84">
        <w:t xml:space="preserve">) </w:t>
      </w:r>
      <w:r>
        <w:tab/>
      </w:r>
      <w:r w:rsidR="00641811" w:rsidRPr="00663F84">
        <w:t>Rayner, J., The crystal structure of talc. Clays Clay Miner</w:t>
      </w:r>
      <w:r w:rsidR="00834336" w:rsidRPr="00663F84">
        <w:t xml:space="preserve">. </w:t>
      </w:r>
      <w:r w:rsidR="00641811" w:rsidRPr="00663F84">
        <w:t>1973, 21, 103-114.</w:t>
      </w:r>
    </w:p>
    <w:p w14:paraId="0961B51D" w14:textId="00630569" w:rsidR="00641811" w:rsidRPr="00663F84" w:rsidRDefault="001C3AED" w:rsidP="00641811">
      <w:pPr>
        <w:pStyle w:val="TFReferencesSection"/>
        <w:spacing w:after="240"/>
        <w:jc w:val="left"/>
      </w:pPr>
      <w:r>
        <w:t>(29</w:t>
      </w:r>
      <w:r w:rsidR="00641811" w:rsidRPr="00663F84">
        <w:t>)</w:t>
      </w:r>
      <w:r w:rsidR="00641811" w:rsidRPr="00663F84">
        <w:tab/>
        <w:t>Mitchell, C. A.; Yu, L.; Ward, M. D., Selective Nucleation and Discovery of Organic Polymorphs through Epitaxy with Single Crystal Substrates. J</w:t>
      </w:r>
      <w:r w:rsidR="00834336" w:rsidRPr="00663F84">
        <w:t>.</w:t>
      </w:r>
      <w:r w:rsidR="00641811" w:rsidRPr="00663F84">
        <w:t xml:space="preserve"> Am</w:t>
      </w:r>
      <w:r w:rsidR="00834336" w:rsidRPr="00663F84">
        <w:t>.</w:t>
      </w:r>
      <w:r w:rsidR="00206B64" w:rsidRPr="00663F84">
        <w:t xml:space="preserve"> Chem</w:t>
      </w:r>
      <w:r w:rsidR="00834336" w:rsidRPr="00663F84">
        <w:t>.</w:t>
      </w:r>
      <w:r w:rsidR="00206B64" w:rsidRPr="00663F84">
        <w:t xml:space="preserve"> Soc</w:t>
      </w:r>
      <w:r w:rsidR="00834336" w:rsidRPr="00663F84">
        <w:t>.</w:t>
      </w:r>
      <w:r w:rsidR="00206B64" w:rsidRPr="00663F84">
        <w:t xml:space="preserve"> 2001, 123</w:t>
      </w:r>
      <w:r w:rsidR="00641811" w:rsidRPr="00663F84">
        <w:t>, 10830-10839.</w:t>
      </w:r>
    </w:p>
    <w:p w14:paraId="046DDFF9" w14:textId="4F4C11FB" w:rsidR="00641811" w:rsidRDefault="001C3AED" w:rsidP="00641811">
      <w:pPr>
        <w:pStyle w:val="TFReferencesSection"/>
        <w:spacing w:after="240"/>
        <w:jc w:val="left"/>
      </w:pPr>
      <w:r>
        <w:t>(30</w:t>
      </w:r>
      <w:r w:rsidR="00641811" w:rsidRPr="00663F84">
        <w:t>)</w:t>
      </w:r>
      <w:r w:rsidR="00641811" w:rsidRPr="00663F84">
        <w:tab/>
        <w:t>Last, J. A.; Hooks, D. E.; Hillier, A. C.; Ward, M. D., The Physicochemical Origins of Coincident Epitaxy in Molecular Overlayers:</w:t>
      </w:r>
      <w:r w:rsidR="00641811" w:rsidRPr="00663F84">
        <w:rPr>
          <w:rFonts w:ascii="Times New Roman" w:hAnsi="Times New Roman"/>
        </w:rPr>
        <w:t> </w:t>
      </w:r>
      <w:r w:rsidR="00641811" w:rsidRPr="00663F84">
        <w:t xml:space="preserve"> Lattice Modeling vs </w:t>
      </w:r>
      <w:r w:rsidR="00834336" w:rsidRPr="00663F84">
        <w:t>Potential Energy Calculations.  J.</w:t>
      </w:r>
      <w:r w:rsidR="00641811" w:rsidRPr="00663F84">
        <w:t xml:space="preserve"> Phy</w:t>
      </w:r>
      <w:r w:rsidR="00206B64" w:rsidRPr="00663F84">
        <w:t>s</w:t>
      </w:r>
      <w:r w:rsidR="00834336" w:rsidRPr="00663F84">
        <w:t>.</w:t>
      </w:r>
      <w:r w:rsidR="00206B64" w:rsidRPr="00663F84">
        <w:t xml:space="preserve"> Chem</w:t>
      </w:r>
      <w:r w:rsidR="00834336" w:rsidRPr="00663F84">
        <w:t>.</w:t>
      </w:r>
      <w:r w:rsidR="00206B64" w:rsidRPr="00663F84">
        <w:t xml:space="preserve"> B 1999, 103</w:t>
      </w:r>
      <w:r w:rsidR="00641811" w:rsidRPr="00663F84">
        <w:t>, 6723-6733.</w:t>
      </w:r>
    </w:p>
    <w:p w14:paraId="0635FD0C" w14:textId="77777777" w:rsidR="0041244A" w:rsidRDefault="0041244A" w:rsidP="0041244A">
      <w:pPr>
        <w:pStyle w:val="TFReferencesSection"/>
        <w:spacing w:after="240"/>
        <w:ind w:firstLine="0"/>
        <w:jc w:val="left"/>
      </w:pPr>
    </w:p>
    <w:p w14:paraId="318C982B" w14:textId="77777777" w:rsidR="00663F84" w:rsidRDefault="00663F84">
      <w:pPr>
        <w:spacing w:after="0"/>
        <w:jc w:val="left"/>
        <w:rPr>
          <w:b/>
        </w:rPr>
      </w:pPr>
      <w:r>
        <w:rPr>
          <w:b/>
        </w:rPr>
        <w:br w:type="page"/>
      </w:r>
    </w:p>
    <w:p w14:paraId="56173864" w14:textId="77777777" w:rsidR="00A4492B" w:rsidRDefault="00A4492B" w:rsidP="000B5610">
      <w:pPr>
        <w:pStyle w:val="SNSynopsisTOC"/>
        <w:spacing w:after="240"/>
        <w:jc w:val="left"/>
        <w:rPr>
          <w:b/>
        </w:rPr>
      </w:pPr>
      <w:r w:rsidRPr="00A4492B">
        <w:rPr>
          <w:b/>
        </w:rPr>
        <w:t xml:space="preserve">For Table of Contents Use Only </w:t>
      </w:r>
    </w:p>
    <w:p w14:paraId="1D340496" w14:textId="63DB80B1" w:rsidR="00A4492B" w:rsidRDefault="00A4492B" w:rsidP="000B5610">
      <w:pPr>
        <w:pStyle w:val="SNSynopsisTOC"/>
        <w:spacing w:after="240"/>
        <w:jc w:val="left"/>
      </w:pPr>
      <w:r w:rsidRPr="00A4492B">
        <w:t>A New Low Melting-point Polymorph of Fenofibrate Prepared via Talc Induced Heterogeneous Nucleation</w:t>
      </w:r>
    </w:p>
    <w:p w14:paraId="0BF97A83" w14:textId="77777777" w:rsidR="00A4492B" w:rsidRPr="00663F84" w:rsidRDefault="00A4492B" w:rsidP="00A4492B">
      <w:pPr>
        <w:pStyle w:val="BBAuthorName"/>
        <w:jc w:val="left"/>
      </w:pPr>
      <w:r w:rsidRPr="00663F84">
        <w:t>Pratchaya Tipduangta</w:t>
      </w:r>
      <w:r w:rsidRPr="00663F84">
        <w:rPr>
          <w:vertAlign w:val="superscript"/>
        </w:rPr>
        <w:t>1</w:t>
      </w:r>
      <w:r w:rsidRPr="00663F84">
        <w:t>, Khaled Takieddin</w:t>
      </w:r>
      <w:r w:rsidRPr="00663F84">
        <w:rPr>
          <w:vertAlign w:val="superscript"/>
        </w:rPr>
        <w:t>1‡</w:t>
      </w:r>
      <w:r w:rsidRPr="00663F84">
        <w:t>, László Fábián</w:t>
      </w:r>
      <w:r w:rsidRPr="00663F84">
        <w:rPr>
          <w:vertAlign w:val="superscript"/>
        </w:rPr>
        <w:t>1‡</w:t>
      </w:r>
      <w:r w:rsidRPr="00663F84">
        <w:t>, Peter Belton</w:t>
      </w:r>
      <w:r w:rsidRPr="00663F84">
        <w:rPr>
          <w:vertAlign w:val="superscript"/>
        </w:rPr>
        <w:t>2</w:t>
      </w:r>
      <w:r w:rsidRPr="00663F84">
        <w:t xml:space="preserve"> and Sheng Qi</w:t>
      </w:r>
      <w:r w:rsidRPr="00663F84">
        <w:rPr>
          <w:vertAlign w:val="superscript"/>
        </w:rPr>
        <w:t>1</w:t>
      </w:r>
      <w:r w:rsidRPr="00663F84">
        <w:t xml:space="preserve">* </w:t>
      </w:r>
    </w:p>
    <w:p w14:paraId="0D2335E5" w14:textId="5660EE27" w:rsidR="00C80A34" w:rsidRDefault="006A5B02" w:rsidP="000B5610">
      <w:pPr>
        <w:pStyle w:val="SNSynopsisTOC"/>
        <w:spacing w:after="240"/>
        <w:jc w:val="left"/>
      </w:pPr>
      <w:r w:rsidRPr="006A5B02">
        <w:rPr>
          <w:noProof/>
        </w:rPr>
        <w:drawing>
          <wp:inline distT="0" distB="0" distL="0" distR="0" wp14:anchorId="71A71157" wp14:editId="62468100">
            <wp:extent cx="5943600" cy="4266166"/>
            <wp:effectExtent l="0" t="0" r="0" b="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4266166"/>
                    </a:xfrm>
                    <a:prstGeom prst="rect">
                      <a:avLst/>
                    </a:prstGeom>
                    <a:noFill/>
                    <a:ln>
                      <a:noFill/>
                    </a:ln>
                  </pic:spPr>
                </pic:pic>
              </a:graphicData>
            </a:graphic>
          </wp:inline>
        </w:drawing>
      </w:r>
    </w:p>
    <w:p w14:paraId="293B5BEE" w14:textId="352F6B2D" w:rsidR="00A4492B" w:rsidRDefault="00A4492B" w:rsidP="000B5610">
      <w:pPr>
        <w:pStyle w:val="SNSynopsisTOC"/>
        <w:spacing w:after="240"/>
        <w:jc w:val="left"/>
      </w:pPr>
      <w:r w:rsidRPr="00A4492B">
        <w:t>This study describes a heterogeneous crystallisation method by adding talc to obtain a new fenofibrate polymorph, form III. This work highlights the importance of testing excipient effects on drug polymorphism, as a new, metastable form could be formed through interaction with a well-known, chemically inert excipient.</w:t>
      </w:r>
    </w:p>
    <w:sectPr w:rsidR="00A4492B" w:rsidSect="000B5610">
      <w:footerReference w:type="even" r:id="rId23"/>
      <w:footerReference w:type="default" r:id="rId24"/>
      <w:type w:val="continuous"/>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D20235" w14:textId="77777777" w:rsidR="00A005D0" w:rsidRDefault="00A005D0">
      <w:r>
        <w:separator/>
      </w:r>
    </w:p>
  </w:endnote>
  <w:endnote w:type="continuationSeparator" w:id="0">
    <w:p w14:paraId="5151A492" w14:textId="77777777" w:rsidR="00A005D0" w:rsidRDefault="00A00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New York">
    <w:altName w:val="Times New Roman"/>
    <w:panose1 w:val="000000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no Pro">
    <w:altName w:val="Goudy Old Style"/>
    <w:charset w:val="00"/>
    <w:family w:val="auto"/>
    <w:pitch w:val="default"/>
  </w:font>
  <w:font w:name="Calibri">
    <w:panose1 w:val="020F0502020204030204"/>
    <w:charset w:val="00"/>
    <w:family w:val="auto"/>
    <w:pitch w:val="variable"/>
    <w:sig w:usb0="E10002FF" w:usb1="4000ACFF" w:usb2="00000009" w:usb3="00000000" w:csb0="0000019F" w:csb1="00000000"/>
  </w:font>
  <w:font w:name="Cordia New">
    <w:altName w:val="Optima ExtraBlack"/>
    <w:panose1 w:val="00000000000000000000"/>
    <w:charset w:val="DE"/>
    <w:family w:val="roman"/>
    <w:notTrueType/>
    <w:pitch w:val="variable"/>
    <w:sig w:usb0="01000001" w:usb1="00000000" w:usb2="00000000" w:usb3="00000000" w:csb0="00010000"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Angsana New">
    <w:altName w:val="Optima ExtraBlack"/>
    <w:panose1 w:val="00000000000000000000"/>
    <w:charset w:val="DE"/>
    <w:family w:val="roman"/>
    <w:notTrueType/>
    <w:pitch w:val="variable"/>
    <w:sig w:usb0="01000001" w:usb1="00000000" w:usb2="00000000" w:usb3="00000000" w:csb0="00010000"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5A8708" w14:textId="77777777" w:rsidR="00442B64" w:rsidRDefault="00442B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8FB29BB" w14:textId="77777777" w:rsidR="00442B64" w:rsidRDefault="00442B6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067A9A" w14:textId="77777777" w:rsidR="00442B64" w:rsidRDefault="00442B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03974">
      <w:rPr>
        <w:rStyle w:val="PageNumber"/>
        <w:noProof/>
      </w:rPr>
      <w:t>12</w:t>
    </w:r>
    <w:r>
      <w:rPr>
        <w:rStyle w:val="PageNumber"/>
      </w:rPr>
      <w:fldChar w:fldCharType="end"/>
    </w:r>
  </w:p>
  <w:p w14:paraId="1B9A1B12" w14:textId="77777777" w:rsidR="00442B64" w:rsidRDefault="00442B6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9B3AF6" w14:textId="77777777" w:rsidR="00A005D0" w:rsidRDefault="00A005D0">
      <w:r>
        <w:separator/>
      </w:r>
    </w:p>
  </w:footnote>
  <w:footnote w:type="continuationSeparator" w:id="0">
    <w:p w14:paraId="54433BF8" w14:textId="77777777" w:rsidR="00A005D0" w:rsidRDefault="00A005D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3">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4">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5">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6">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7">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abstractNumId w:val="6"/>
  </w:num>
  <w:num w:numId="2">
    <w:abstractNumId w:val="4"/>
  </w:num>
  <w:num w:numId="3">
    <w:abstractNumId w:val="7"/>
  </w:num>
  <w:num w:numId="4">
    <w:abstractNumId w:val="5"/>
  </w:num>
  <w:num w:numId="5">
    <w:abstractNumId w:val="3"/>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811"/>
    <w:rsid w:val="00031292"/>
    <w:rsid w:val="000406CF"/>
    <w:rsid w:val="0004450F"/>
    <w:rsid w:val="0005660F"/>
    <w:rsid w:val="000702AD"/>
    <w:rsid w:val="000B5610"/>
    <w:rsid w:val="000C05CC"/>
    <w:rsid w:val="000E4C79"/>
    <w:rsid w:val="0017545D"/>
    <w:rsid w:val="00195ACA"/>
    <w:rsid w:val="001A7A90"/>
    <w:rsid w:val="001B160B"/>
    <w:rsid w:val="001C3AED"/>
    <w:rsid w:val="001E404F"/>
    <w:rsid w:val="001F6CC6"/>
    <w:rsid w:val="00206B64"/>
    <w:rsid w:val="00212B1D"/>
    <w:rsid w:val="00227792"/>
    <w:rsid w:val="00271A02"/>
    <w:rsid w:val="002A440F"/>
    <w:rsid w:val="002A7493"/>
    <w:rsid w:val="002C3431"/>
    <w:rsid w:val="002D1E2F"/>
    <w:rsid w:val="002D6EFE"/>
    <w:rsid w:val="00324128"/>
    <w:rsid w:val="003664E9"/>
    <w:rsid w:val="003679A1"/>
    <w:rsid w:val="003A1155"/>
    <w:rsid w:val="003B4AF3"/>
    <w:rsid w:val="003E1F76"/>
    <w:rsid w:val="0041244A"/>
    <w:rsid w:val="00442B64"/>
    <w:rsid w:val="004714E8"/>
    <w:rsid w:val="00475FD2"/>
    <w:rsid w:val="004944D1"/>
    <w:rsid w:val="004E7185"/>
    <w:rsid w:val="005205BF"/>
    <w:rsid w:val="00525F19"/>
    <w:rsid w:val="005326F9"/>
    <w:rsid w:val="00550DDE"/>
    <w:rsid w:val="005553EF"/>
    <w:rsid w:val="00591A57"/>
    <w:rsid w:val="005D0C10"/>
    <w:rsid w:val="00641811"/>
    <w:rsid w:val="006455A5"/>
    <w:rsid w:val="00663D6A"/>
    <w:rsid w:val="00663F84"/>
    <w:rsid w:val="00672FB3"/>
    <w:rsid w:val="006A5B02"/>
    <w:rsid w:val="006B1C05"/>
    <w:rsid w:val="006B2581"/>
    <w:rsid w:val="006D356B"/>
    <w:rsid w:val="00703974"/>
    <w:rsid w:val="00727A9D"/>
    <w:rsid w:val="00761730"/>
    <w:rsid w:val="007629D3"/>
    <w:rsid w:val="00794616"/>
    <w:rsid w:val="007E1145"/>
    <w:rsid w:val="008047DE"/>
    <w:rsid w:val="00834336"/>
    <w:rsid w:val="008655C0"/>
    <w:rsid w:val="008C5E72"/>
    <w:rsid w:val="00912169"/>
    <w:rsid w:val="0092037A"/>
    <w:rsid w:val="009246AD"/>
    <w:rsid w:val="00947F0F"/>
    <w:rsid w:val="009508C6"/>
    <w:rsid w:val="009975BF"/>
    <w:rsid w:val="009F2E7E"/>
    <w:rsid w:val="00A005D0"/>
    <w:rsid w:val="00A02D62"/>
    <w:rsid w:val="00A1450E"/>
    <w:rsid w:val="00A20EB5"/>
    <w:rsid w:val="00A4492B"/>
    <w:rsid w:val="00A764EF"/>
    <w:rsid w:val="00A9049D"/>
    <w:rsid w:val="00AA6311"/>
    <w:rsid w:val="00AB34C5"/>
    <w:rsid w:val="00AF7F6A"/>
    <w:rsid w:val="00B025FC"/>
    <w:rsid w:val="00B05A88"/>
    <w:rsid w:val="00B21CDD"/>
    <w:rsid w:val="00B37A97"/>
    <w:rsid w:val="00B753DC"/>
    <w:rsid w:val="00B7618D"/>
    <w:rsid w:val="00BD2C44"/>
    <w:rsid w:val="00BD6D0F"/>
    <w:rsid w:val="00BD788F"/>
    <w:rsid w:val="00C043D7"/>
    <w:rsid w:val="00C10EE0"/>
    <w:rsid w:val="00C12556"/>
    <w:rsid w:val="00C163D0"/>
    <w:rsid w:val="00C54700"/>
    <w:rsid w:val="00C6170A"/>
    <w:rsid w:val="00C80A34"/>
    <w:rsid w:val="00D1369F"/>
    <w:rsid w:val="00D23AB1"/>
    <w:rsid w:val="00D32E24"/>
    <w:rsid w:val="00DD6DBB"/>
    <w:rsid w:val="00E074F2"/>
    <w:rsid w:val="00E16342"/>
    <w:rsid w:val="00E51AB7"/>
    <w:rsid w:val="00E54558"/>
    <w:rsid w:val="00E87108"/>
    <w:rsid w:val="00E91482"/>
    <w:rsid w:val="00E96302"/>
    <w:rsid w:val="00E97327"/>
    <w:rsid w:val="00ED1ACB"/>
    <w:rsid w:val="00F134F5"/>
    <w:rsid w:val="00F47B85"/>
    <w:rsid w:val="00F54890"/>
    <w:rsid w:val="00F5645C"/>
    <w:rsid w:val="00F801ED"/>
    <w:rsid w:val="00FB7328"/>
    <w:rsid w:val="00FD13BF"/>
    <w:rsid w:val="00FE6219"/>
    <w:rsid w:val="00FF2D4B"/>
    <w:rsid w:val="00FF73B8"/>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3EB01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ew York" w:eastAsia="Times New Roman" w:hAnsi="New York"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uiPriority="35"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jc w:val="both"/>
    </w:pPr>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paragraph" w:styleId="BodyText">
    <w:name w:val="Body Text"/>
    <w:basedOn w:val="Normal"/>
    <w:pPr>
      <w:jc w:val="center"/>
    </w:pPr>
    <w:rPr>
      <w:b/>
      <w:sz w:val="40"/>
    </w:rPr>
  </w:style>
  <w:style w:type="paragraph" w:styleId="FootnoteText">
    <w:name w:val="footnote text"/>
    <w:basedOn w:val="Normal"/>
    <w:next w:val="TFReferencesSection"/>
    <w:semiHidden/>
  </w:style>
  <w:style w:type="paragraph" w:customStyle="1" w:styleId="TFReferencesSection">
    <w:name w:val="TF_References_Section"/>
    <w:basedOn w:val="Normal"/>
    <w:pPr>
      <w:spacing w:line="480" w:lineRule="auto"/>
      <w:ind w:firstLine="187"/>
    </w:pPr>
  </w:style>
  <w:style w:type="paragraph" w:customStyle="1" w:styleId="TAMainText">
    <w:name w:val="TA_Main_Text"/>
    <w:basedOn w:val="Normal"/>
    <w:pPr>
      <w:spacing w:after="0" w:line="480" w:lineRule="auto"/>
      <w:ind w:firstLine="202"/>
    </w:pPr>
  </w:style>
  <w:style w:type="paragraph" w:customStyle="1" w:styleId="BATitle">
    <w:name w:val="BA_Title"/>
    <w:basedOn w:val="Normal"/>
    <w:next w:val="BBAuthorName"/>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pPr>
      <w:spacing w:after="240" w:line="480" w:lineRule="auto"/>
      <w:jc w:val="center"/>
    </w:pPr>
    <w:rPr>
      <w:i/>
    </w:rPr>
  </w:style>
  <w:style w:type="paragraph" w:customStyle="1" w:styleId="BCAuthorAddress">
    <w:name w:val="BC_Author_Address"/>
    <w:basedOn w:val="Normal"/>
    <w:next w:val="BIEmailAddress"/>
    <w:pPr>
      <w:spacing w:after="240" w:line="480" w:lineRule="auto"/>
      <w:jc w:val="center"/>
    </w:pPr>
  </w:style>
  <w:style w:type="paragraph" w:customStyle="1" w:styleId="BIEmailAddress">
    <w:name w:val="BI_Email_Address"/>
    <w:basedOn w:val="Normal"/>
    <w:next w:val="AIReceivedDate"/>
    <w:pPr>
      <w:spacing w:line="480" w:lineRule="auto"/>
    </w:pPr>
  </w:style>
  <w:style w:type="paragraph" w:customStyle="1" w:styleId="AIReceivedDate">
    <w:name w:val="AI_Received_Date"/>
    <w:basedOn w:val="Normal"/>
    <w:next w:val="BDAbstract"/>
    <w:pPr>
      <w:spacing w:after="240" w:line="480" w:lineRule="auto"/>
    </w:pPr>
    <w:rPr>
      <w:b/>
    </w:rPr>
  </w:style>
  <w:style w:type="paragraph" w:customStyle="1" w:styleId="BDAbstract">
    <w:name w:val="BD_Abstract"/>
    <w:basedOn w:val="Normal"/>
    <w:next w:val="TAMainText"/>
    <w:pPr>
      <w:spacing w:before="360" w:after="360" w:line="480" w:lineRule="auto"/>
    </w:pPr>
  </w:style>
  <w:style w:type="paragraph" w:customStyle="1" w:styleId="TDAcknowledgments">
    <w:name w:val="TD_Acknowledgments"/>
    <w:basedOn w:val="Normal"/>
    <w:next w:val="Normal"/>
    <w:pPr>
      <w:spacing w:before="200" w:line="480" w:lineRule="auto"/>
      <w:ind w:firstLine="202"/>
    </w:pPr>
  </w:style>
  <w:style w:type="paragraph" w:customStyle="1" w:styleId="TESupportingInformation">
    <w:name w:val="TE_Supporting_Information"/>
    <w:basedOn w:val="Normal"/>
    <w:next w:val="Normal"/>
    <w:pPr>
      <w:spacing w:line="480" w:lineRule="auto"/>
      <w:ind w:firstLine="187"/>
    </w:pPr>
  </w:style>
  <w:style w:type="paragraph" w:customStyle="1" w:styleId="VCSchemeTitle">
    <w:name w:val="VC_Scheme_Title"/>
    <w:basedOn w:val="Normal"/>
    <w:next w:val="Normal"/>
    <w:pPr>
      <w:spacing w:line="480" w:lineRule="auto"/>
    </w:pPr>
  </w:style>
  <w:style w:type="paragraph" w:customStyle="1" w:styleId="VDTableTitle">
    <w:name w:val="VD_Table_Title"/>
    <w:basedOn w:val="Normal"/>
    <w:next w:val="Normal"/>
    <w:pPr>
      <w:spacing w:line="480" w:lineRule="auto"/>
    </w:pPr>
  </w:style>
  <w:style w:type="paragraph" w:customStyle="1" w:styleId="VAFigureCaption">
    <w:name w:val="VA_Figure_Caption"/>
    <w:basedOn w:val="Normal"/>
    <w:next w:val="Normal"/>
    <w:pPr>
      <w:spacing w:line="480" w:lineRule="auto"/>
    </w:pPr>
  </w:style>
  <w:style w:type="paragraph" w:customStyle="1" w:styleId="VBChartTitle">
    <w:name w:val="VB_Chart_Title"/>
    <w:basedOn w:val="Normal"/>
    <w:next w:val="Normal"/>
    <w:pPr>
      <w:spacing w:line="480" w:lineRule="auto"/>
    </w:pPr>
  </w:style>
  <w:style w:type="paragraph" w:customStyle="1" w:styleId="FETableFootnote">
    <w:name w:val="FE_Table_Footnote"/>
    <w:basedOn w:val="Normal"/>
    <w:next w:val="Normal"/>
    <w:pPr>
      <w:ind w:firstLine="187"/>
    </w:pPr>
  </w:style>
  <w:style w:type="paragraph" w:customStyle="1" w:styleId="FCChartFootnote">
    <w:name w:val="FC_Chart_Footnote"/>
    <w:basedOn w:val="Normal"/>
    <w:next w:val="Normal"/>
    <w:pPr>
      <w:ind w:firstLine="187"/>
    </w:pPr>
  </w:style>
  <w:style w:type="paragraph" w:customStyle="1" w:styleId="FDSchemeFootnote">
    <w:name w:val="FD_Scheme_Footnote"/>
    <w:basedOn w:val="Normal"/>
    <w:next w:val="Normal"/>
    <w:pPr>
      <w:ind w:firstLine="187"/>
    </w:pPr>
  </w:style>
  <w:style w:type="paragraph" w:customStyle="1" w:styleId="TCTableBody">
    <w:name w:val="TC_Table_Body"/>
    <w:basedOn w:val="Normal"/>
  </w:style>
  <w:style w:type="paragraph" w:customStyle="1" w:styleId="AFTitleRunningHead">
    <w:name w:val="AF_Title_Running_Head"/>
    <w:basedOn w:val="Normal"/>
    <w:next w:val="TAMainText"/>
    <w:pPr>
      <w:spacing w:line="480" w:lineRule="auto"/>
    </w:pPr>
  </w:style>
  <w:style w:type="paragraph" w:customStyle="1" w:styleId="BEAuthorBiography">
    <w:name w:val="BE_Author_Biography"/>
    <w:basedOn w:val="Normal"/>
    <w:pPr>
      <w:spacing w:line="480" w:lineRule="auto"/>
    </w:pPr>
  </w:style>
  <w:style w:type="paragraph" w:customStyle="1" w:styleId="FACorrespondingAuthorFootnote">
    <w:name w:val="FA_Corresponding_Author_Footnote"/>
    <w:basedOn w:val="Normal"/>
    <w:next w:val="TAMainText"/>
    <w:pPr>
      <w:spacing w:line="480" w:lineRule="auto"/>
    </w:pPr>
  </w:style>
  <w:style w:type="paragraph" w:customStyle="1" w:styleId="SNSynopsisTOC">
    <w:name w:val="SN_Synopsis_TOC"/>
    <w:basedOn w:val="Normal"/>
    <w:pPr>
      <w:spacing w:line="480" w:lineRule="auto"/>
    </w:pPr>
  </w:style>
  <w:style w:type="character" w:styleId="Hyperlink">
    <w:name w:val="Hyperlink"/>
    <w:rPr>
      <w:color w:val="0000FF"/>
      <w:u w:val="single"/>
    </w:rPr>
  </w:style>
  <w:style w:type="paragraph" w:styleId="Footer">
    <w:name w:val="footer"/>
    <w:basedOn w:val="Normal"/>
    <w:pPr>
      <w:tabs>
        <w:tab w:val="center" w:pos="4320"/>
        <w:tab w:val="right" w:pos="8640"/>
      </w:tabs>
    </w:pPr>
  </w:style>
  <w:style w:type="paragraph" w:customStyle="1" w:styleId="BGKeywords">
    <w:name w:val="BG_Keywords"/>
    <w:basedOn w:val="Normal"/>
    <w:pPr>
      <w:spacing w:line="480" w:lineRule="auto"/>
    </w:pPr>
  </w:style>
  <w:style w:type="paragraph" w:customStyle="1" w:styleId="BHBriefs">
    <w:name w:val="BH_Briefs"/>
    <w:basedOn w:val="Normal"/>
    <w:pPr>
      <w:spacing w:line="480" w:lineRule="auto"/>
    </w:pPr>
  </w:style>
  <w:style w:type="character" w:styleId="PageNumber">
    <w:name w:val="page number"/>
    <w:basedOn w:val="DefaultParagraphFont"/>
  </w:style>
  <w:style w:type="paragraph" w:styleId="BalloonText">
    <w:name w:val="Balloon Text"/>
    <w:basedOn w:val="Normal"/>
    <w:semiHidden/>
    <w:rsid w:val="00E96302"/>
    <w:rPr>
      <w:rFonts w:ascii="Tahoma" w:hAnsi="Tahoma" w:cs="Tahoma"/>
      <w:sz w:val="16"/>
      <w:szCs w:val="16"/>
    </w:rPr>
  </w:style>
  <w:style w:type="paragraph" w:customStyle="1" w:styleId="StyleFACorrespondingAuthorFootnote7pt">
    <w:name w:val="Style FA_Corresponding_Author_Footnote + 7 pt"/>
    <w:basedOn w:val="Normal"/>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Normal"/>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table" w:customStyle="1" w:styleId="ListTable7Colorful1">
    <w:name w:val="List Table 7 Colorful1"/>
    <w:basedOn w:val="TableNormal"/>
    <w:uiPriority w:val="52"/>
    <w:rsid w:val="00D1369F"/>
    <w:rPr>
      <w:rFonts w:asciiTheme="minorHAnsi" w:eastAsiaTheme="minorHAnsi" w:hAnsiTheme="minorHAnsi" w:cstheme="minorBidi"/>
      <w:color w:val="000000" w:themeColor="text1"/>
      <w:sz w:val="22"/>
      <w:szCs w:val="22"/>
      <w:lang w:val="en-GB"/>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stParagraph">
    <w:name w:val="List Paragraph"/>
    <w:basedOn w:val="Normal"/>
    <w:uiPriority w:val="34"/>
    <w:qFormat/>
    <w:rsid w:val="002D6EFE"/>
    <w:pPr>
      <w:spacing w:line="276" w:lineRule="auto"/>
      <w:ind w:left="720"/>
      <w:contextualSpacing/>
      <w:jc w:val="left"/>
    </w:pPr>
    <w:rPr>
      <w:rFonts w:asciiTheme="minorHAnsi" w:eastAsiaTheme="minorEastAsia" w:hAnsiTheme="minorHAnsi" w:cstheme="minorBidi"/>
      <w:sz w:val="22"/>
      <w:szCs w:val="22"/>
      <w:lang w:val="en-GB" w:eastAsia="en-GB"/>
    </w:rPr>
  </w:style>
  <w:style w:type="paragraph" w:styleId="Caption">
    <w:name w:val="caption"/>
    <w:basedOn w:val="Normal"/>
    <w:next w:val="Normal"/>
    <w:uiPriority w:val="35"/>
    <w:unhideWhenUsed/>
    <w:qFormat/>
    <w:rsid w:val="002D6EFE"/>
    <w:pPr>
      <w:jc w:val="left"/>
    </w:pPr>
    <w:rPr>
      <w:rFonts w:asciiTheme="minorHAnsi" w:eastAsiaTheme="minorEastAsia" w:hAnsiTheme="minorHAnsi" w:cstheme="minorBidi"/>
      <w:b/>
      <w:bCs/>
      <w:color w:val="4F81BD" w:themeColor="accent1"/>
      <w:sz w:val="18"/>
      <w:szCs w:val="22"/>
      <w:lang w:val="en-GB" w:eastAsia="en-GB"/>
    </w:rPr>
  </w:style>
  <w:style w:type="table" w:styleId="LightShading">
    <w:name w:val="Light Shading"/>
    <w:basedOn w:val="TableNormal"/>
    <w:uiPriority w:val="60"/>
    <w:rsid w:val="002D6EFE"/>
    <w:rPr>
      <w:rFonts w:asciiTheme="minorHAnsi" w:eastAsiaTheme="minorEastAsia" w:hAnsiTheme="minorHAnsi" w:cstheme="minorBidi"/>
      <w:color w:val="000000" w:themeColor="text1" w:themeShade="BF"/>
      <w:sz w:val="22"/>
      <w:szCs w:val="22"/>
      <w:lang w:val="en-GB" w:eastAsia="en-GB"/>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CommentReference">
    <w:name w:val="annotation reference"/>
    <w:basedOn w:val="DefaultParagraphFont"/>
    <w:semiHidden/>
    <w:unhideWhenUsed/>
    <w:rsid w:val="000406CF"/>
    <w:rPr>
      <w:sz w:val="16"/>
      <w:szCs w:val="16"/>
    </w:rPr>
  </w:style>
  <w:style w:type="paragraph" w:styleId="CommentText">
    <w:name w:val="annotation text"/>
    <w:basedOn w:val="Normal"/>
    <w:link w:val="CommentTextChar"/>
    <w:semiHidden/>
    <w:unhideWhenUsed/>
    <w:rsid w:val="000406CF"/>
    <w:rPr>
      <w:sz w:val="20"/>
    </w:rPr>
  </w:style>
  <w:style w:type="character" w:customStyle="1" w:styleId="CommentTextChar">
    <w:name w:val="Comment Text Char"/>
    <w:basedOn w:val="DefaultParagraphFont"/>
    <w:link w:val="CommentText"/>
    <w:semiHidden/>
    <w:rsid w:val="000406CF"/>
    <w:rPr>
      <w:rFonts w:ascii="Times" w:hAnsi="Times"/>
    </w:rPr>
  </w:style>
  <w:style w:type="paragraph" w:styleId="CommentSubject">
    <w:name w:val="annotation subject"/>
    <w:basedOn w:val="CommentText"/>
    <w:next w:val="CommentText"/>
    <w:link w:val="CommentSubjectChar"/>
    <w:semiHidden/>
    <w:unhideWhenUsed/>
    <w:rsid w:val="000406CF"/>
    <w:rPr>
      <w:b/>
      <w:bCs/>
    </w:rPr>
  </w:style>
  <w:style w:type="character" w:customStyle="1" w:styleId="CommentSubjectChar">
    <w:name w:val="Comment Subject Char"/>
    <w:basedOn w:val="CommentTextChar"/>
    <w:link w:val="CommentSubject"/>
    <w:semiHidden/>
    <w:rsid w:val="000406CF"/>
    <w:rPr>
      <w:rFonts w:ascii="Times" w:hAnsi="Times"/>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Times New Roman" w:hAnsi="New York"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uiPriority="35"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jc w:val="both"/>
    </w:pPr>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paragraph" w:styleId="BodyText">
    <w:name w:val="Body Text"/>
    <w:basedOn w:val="Normal"/>
    <w:pPr>
      <w:jc w:val="center"/>
    </w:pPr>
    <w:rPr>
      <w:b/>
      <w:sz w:val="40"/>
    </w:rPr>
  </w:style>
  <w:style w:type="paragraph" w:styleId="FootnoteText">
    <w:name w:val="footnote text"/>
    <w:basedOn w:val="Normal"/>
    <w:next w:val="TFReferencesSection"/>
    <w:semiHidden/>
  </w:style>
  <w:style w:type="paragraph" w:customStyle="1" w:styleId="TFReferencesSection">
    <w:name w:val="TF_References_Section"/>
    <w:basedOn w:val="Normal"/>
    <w:pPr>
      <w:spacing w:line="480" w:lineRule="auto"/>
      <w:ind w:firstLine="187"/>
    </w:pPr>
  </w:style>
  <w:style w:type="paragraph" w:customStyle="1" w:styleId="TAMainText">
    <w:name w:val="TA_Main_Text"/>
    <w:basedOn w:val="Normal"/>
    <w:pPr>
      <w:spacing w:after="0" w:line="480" w:lineRule="auto"/>
      <w:ind w:firstLine="202"/>
    </w:pPr>
  </w:style>
  <w:style w:type="paragraph" w:customStyle="1" w:styleId="BATitle">
    <w:name w:val="BA_Title"/>
    <w:basedOn w:val="Normal"/>
    <w:next w:val="BBAuthorName"/>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pPr>
      <w:spacing w:after="240" w:line="480" w:lineRule="auto"/>
      <w:jc w:val="center"/>
    </w:pPr>
    <w:rPr>
      <w:i/>
    </w:rPr>
  </w:style>
  <w:style w:type="paragraph" w:customStyle="1" w:styleId="BCAuthorAddress">
    <w:name w:val="BC_Author_Address"/>
    <w:basedOn w:val="Normal"/>
    <w:next w:val="BIEmailAddress"/>
    <w:pPr>
      <w:spacing w:after="240" w:line="480" w:lineRule="auto"/>
      <w:jc w:val="center"/>
    </w:pPr>
  </w:style>
  <w:style w:type="paragraph" w:customStyle="1" w:styleId="BIEmailAddress">
    <w:name w:val="BI_Email_Address"/>
    <w:basedOn w:val="Normal"/>
    <w:next w:val="AIReceivedDate"/>
    <w:pPr>
      <w:spacing w:line="480" w:lineRule="auto"/>
    </w:pPr>
  </w:style>
  <w:style w:type="paragraph" w:customStyle="1" w:styleId="AIReceivedDate">
    <w:name w:val="AI_Received_Date"/>
    <w:basedOn w:val="Normal"/>
    <w:next w:val="BDAbstract"/>
    <w:pPr>
      <w:spacing w:after="240" w:line="480" w:lineRule="auto"/>
    </w:pPr>
    <w:rPr>
      <w:b/>
    </w:rPr>
  </w:style>
  <w:style w:type="paragraph" w:customStyle="1" w:styleId="BDAbstract">
    <w:name w:val="BD_Abstract"/>
    <w:basedOn w:val="Normal"/>
    <w:next w:val="TAMainText"/>
    <w:pPr>
      <w:spacing w:before="360" w:after="360" w:line="480" w:lineRule="auto"/>
    </w:pPr>
  </w:style>
  <w:style w:type="paragraph" w:customStyle="1" w:styleId="TDAcknowledgments">
    <w:name w:val="TD_Acknowledgments"/>
    <w:basedOn w:val="Normal"/>
    <w:next w:val="Normal"/>
    <w:pPr>
      <w:spacing w:before="200" w:line="480" w:lineRule="auto"/>
      <w:ind w:firstLine="202"/>
    </w:pPr>
  </w:style>
  <w:style w:type="paragraph" w:customStyle="1" w:styleId="TESupportingInformation">
    <w:name w:val="TE_Supporting_Information"/>
    <w:basedOn w:val="Normal"/>
    <w:next w:val="Normal"/>
    <w:pPr>
      <w:spacing w:line="480" w:lineRule="auto"/>
      <w:ind w:firstLine="187"/>
    </w:pPr>
  </w:style>
  <w:style w:type="paragraph" w:customStyle="1" w:styleId="VCSchemeTitle">
    <w:name w:val="VC_Scheme_Title"/>
    <w:basedOn w:val="Normal"/>
    <w:next w:val="Normal"/>
    <w:pPr>
      <w:spacing w:line="480" w:lineRule="auto"/>
    </w:pPr>
  </w:style>
  <w:style w:type="paragraph" w:customStyle="1" w:styleId="VDTableTitle">
    <w:name w:val="VD_Table_Title"/>
    <w:basedOn w:val="Normal"/>
    <w:next w:val="Normal"/>
    <w:pPr>
      <w:spacing w:line="480" w:lineRule="auto"/>
    </w:pPr>
  </w:style>
  <w:style w:type="paragraph" w:customStyle="1" w:styleId="VAFigureCaption">
    <w:name w:val="VA_Figure_Caption"/>
    <w:basedOn w:val="Normal"/>
    <w:next w:val="Normal"/>
    <w:pPr>
      <w:spacing w:line="480" w:lineRule="auto"/>
    </w:pPr>
  </w:style>
  <w:style w:type="paragraph" w:customStyle="1" w:styleId="VBChartTitle">
    <w:name w:val="VB_Chart_Title"/>
    <w:basedOn w:val="Normal"/>
    <w:next w:val="Normal"/>
    <w:pPr>
      <w:spacing w:line="480" w:lineRule="auto"/>
    </w:pPr>
  </w:style>
  <w:style w:type="paragraph" w:customStyle="1" w:styleId="FETableFootnote">
    <w:name w:val="FE_Table_Footnote"/>
    <w:basedOn w:val="Normal"/>
    <w:next w:val="Normal"/>
    <w:pPr>
      <w:ind w:firstLine="187"/>
    </w:pPr>
  </w:style>
  <w:style w:type="paragraph" w:customStyle="1" w:styleId="FCChartFootnote">
    <w:name w:val="FC_Chart_Footnote"/>
    <w:basedOn w:val="Normal"/>
    <w:next w:val="Normal"/>
    <w:pPr>
      <w:ind w:firstLine="187"/>
    </w:pPr>
  </w:style>
  <w:style w:type="paragraph" w:customStyle="1" w:styleId="FDSchemeFootnote">
    <w:name w:val="FD_Scheme_Footnote"/>
    <w:basedOn w:val="Normal"/>
    <w:next w:val="Normal"/>
    <w:pPr>
      <w:ind w:firstLine="187"/>
    </w:pPr>
  </w:style>
  <w:style w:type="paragraph" w:customStyle="1" w:styleId="TCTableBody">
    <w:name w:val="TC_Table_Body"/>
    <w:basedOn w:val="Normal"/>
  </w:style>
  <w:style w:type="paragraph" w:customStyle="1" w:styleId="AFTitleRunningHead">
    <w:name w:val="AF_Title_Running_Head"/>
    <w:basedOn w:val="Normal"/>
    <w:next w:val="TAMainText"/>
    <w:pPr>
      <w:spacing w:line="480" w:lineRule="auto"/>
    </w:pPr>
  </w:style>
  <w:style w:type="paragraph" w:customStyle="1" w:styleId="BEAuthorBiography">
    <w:name w:val="BE_Author_Biography"/>
    <w:basedOn w:val="Normal"/>
    <w:pPr>
      <w:spacing w:line="480" w:lineRule="auto"/>
    </w:pPr>
  </w:style>
  <w:style w:type="paragraph" w:customStyle="1" w:styleId="FACorrespondingAuthorFootnote">
    <w:name w:val="FA_Corresponding_Author_Footnote"/>
    <w:basedOn w:val="Normal"/>
    <w:next w:val="TAMainText"/>
    <w:pPr>
      <w:spacing w:line="480" w:lineRule="auto"/>
    </w:pPr>
  </w:style>
  <w:style w:type="paragraph" w:customStyle="1" w:styleId="SNSynopsisTOC">
    <w:name w:val="SN_Synopsis_TOC"/>
    <w:basedOn w:val="Normal"/>
    <w:pPr>
      <w:spacing w:line="480" w:lineRule="auto"/>
    </w:pPr>
  </w:style>
  <w:style w:type="character" w:styleId="Hyperlink">
    <w:name w:val="Hyperlink"/>
    <w:rPr>
      <w:color w:val="0000FF"/>
      <w:u w:val="single"/>
    </w:rPr>
  </w:style>
  <w:style w:type="paragraph" w:styleId="Footer">
    <w:name w:val="footer"/>
    <w:basedOn w:val="Normal"/>
    <w:pPr>
      <w:tabs>
        <w:tab w:val="center" w:pos="4320"/>
        <w:tab w:val="right" w:pos="8640"/>
      </w:tabs>
    </w:pPr>
  </w:style>
  <w:style w:type="paragraph" w:customStyle="1" w:styleId="BGKeywords">
    <w:name w:val="BG_Keywords"/>
    <w:basedOn w:val="Normal"/>
    <w:pPr>
      <w:spacing w:line="480" w:lineRule="auto"/>
    </w:pPr>
  </w:style>
  <w:style w:type="paragraph" w:customStyle="1" w:styleId="BHBriefs">
    <w:name w:val="BH_Briefs"/>
    <w:basedOn w:val="Normal"/>
    <w:pPr>
      <w:spacing w:line="480" w:lineRule="auto"/>
    </w:pPr>
  </w:style>
  <w:style w:type="character" w:styleId="PageNumber">
    <w:name w:val="page number"/>
    <w:basedOn w:val="DefaultParagraphFont"/>
  </w:style>
  <w:style w:type="paragraph" w:styleId="BalloonText">
    <w:name w:val="Balloon Text"/>
    <w:basedOn w:val="Normal"/>
    <w:semiHidden/>
    <w:rsid w:val="00E96302"/>
    <w:rPr>
      <w:rFonts w:ascii="Tahoma" w:hAnsi="Tahoma" w:cs="Tahoma"/>
      <w:sz w:val="16"/>
      <w:szCs w:val="16"/>
    </w:rPr>
  </w:style>
  <w:style w:type="paragraph" w:customStyle="1" w:styleId="StyleFACorrespondingAuthorFootnote7pt">
    <w:name w:val="Style FA_Corresponding_Author_Footnote + 7 pt"/>
    <w:basedOn w:val="Normal"/>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Normal"/>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table" w:customStyle="1" w:styleId="ListTable7Colorful1">
    <w:name w:val="List Table 7 Colorful1"/>
    <w:basedOn w:val="TableNormal"/>
    <w:uiPriority w:val="52"/>
    <w:rsid w:val="00D1369F"/>
    <w:rPr>
      <w:rFonts w:asciiTheme="minorHAnsi" w:eastAsiaTheme="minorHAnsi" w:hAnsiTheme="minorHAnsi" w:cstheme="minorBidi"/>
      <w:color w:val="000000" w:themeColor="text1"/>
      <w:sz w:val="22"/>
      <w:szCs w:val="22"/>
      <w:lang w:val="en-GB"/>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stParagraph">
    <w:name w:val="List Paragraph"/>
    <w:basedOn w:val="Normal"/>
    <w:uiPriority w:val="34"/>
    <w:qFormat/>
    <w:rsid w:val="002D6EFE"/>
    <w:pPr>
      <w:spacing w:line="276" w:lineRule="auto"/>
      <w:ind w:left="720"/>
      <w:contextualSpacing/>
      <w:jc w:val="left"/>
    </w:pPr>
    <w:rPr>
      <w:rFonts w:asciiTheme="minorHAnsi" w:eastAsiaTheme="minorEastAsia" w:hAnsiTheme="minorHAnsi" w:cstheme="minorBidi"/>
      <w:sz w:val="22"/>
      <w:szCs w:val="22"/>
      <w:lang w:val="en-GB" w:eastAsia="en-GB"/>
    </w:rPr>
  </w:style>
  <w:style w:type="paragraph" w:styleId="Caption">
    <w:name w:val="caption"/>
    <w:basedOn w:val="Normal"/>
    <w:next w:val="Normal"/>
    <w:uiPriority w:val="35"/>
    <w:unhideWhenUsed/>
    <w:qFormat/>
    <w:rsid w:val="002D6EFE"/>
    <w:pPr>
      <w:jc w:val="left"/>
    </w:pPr>
    <w:rPr>
      <w:rFonts w:asciiTheme="minorHAnsi" w:eastAsiaTheme="minorEastAsia" w:hAnsiTheme="minorHAnsi" w:cstheme="minorBidi"/>
      <w:b/>
      <w:bCs/>
      <w:color w:val="4F81BD" w:themeColor="accent1"/>
      <w:sz w:val="18"/>
      <w:szCs w:val="22"/>
      <w:lang w:val="en-GB" w:eastAsia="en-GB"/>
    </w:rPr>
  </w:style>
  <w:style w:type="table" w:styleId="LightShading">
    <w:name w:val="Light Shading"/>
    <w:basedOn w:val="TableNormal"/>
    <w:uiPriority w:val="60"/>
    <w:rsid w:val="002D6EFE"/>
    <w:rPr>
      <w:rFonts w:asciiTheme="minorHAnsi" w:eastAsiaTheme="minorEastAsia" w:hAnsiTheme="minorHAnsi" w:cstheme="minorBidi"/>
      <w:color w:val="000000" w:themeColor="text1" w:themeShade="BF"/>
      <w:sz w:val="22"/>
      <w:szCs w:val="22"/>
      <w:lang w:val="en-GB" w:eastAsia="en-GB"/>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CommentReference">
    <w:name w:val="annotation reference"/>
    <w:basedOn w:val="DefaultParagraphFont"/>
    <w:semiHidden/>
    <w:unhideWhenUsed/>
    <w:rsid w:val="000406CF"/>
    <w:rPr>
      <w:sz w:val="16"/>
      <w:szCs w:val="16"/>
    </w:rPr>
  </w:style>
  <w:style w:type="paragraph" w:styleId="CommentText">
    <w:name w:val="annotation text"/>
    <w:basedOn w:val="Normal"/>
    <w:link w:val="CommentTextChar"/>
    <w:semiHidden/>
    <w:unhideWhenUsed/>
    <w:rsid w:val="000406CF"/>
    <w:rPr>
      <w:sz w:val="20"/>
    </w:rPr>
  </w:style>
  <w:style w:type="character" w:customStyle="1" w:styleId="CommentTextChar">
    <w:name w:val="Comment Text Char"/>
    <w:basedOn w:val="DefaultParagraphFont"/>
    <w:link w:val="CommentText"/>
    <w:semiHidden/>
    <w:rsid w:val="000406CF"/>
    <w:rPr>
      <w:rFonts w:ascii="Times" w:hAnsi="Times"/>
    </w:rPr>
  </w:style>
  <w:style w:type="paragraph" w:styleId="CommentSubject">
    <w:name w:val="annotation subject"/>
    <w:basedOn w:val="CommentText"/>
    <w:next w:val="CommentText"/>
    <w:link w:val="CommentSubjectChar"/>
    <w:semiHidden/>
    <w:unhideWhenUsed/>
    <w:rsid w:val="000406CF"/>
    <w:rPr>
      <w:b/>
      <w:bCs/>
    </w:rPr>
  </w:style>
  <w:style w:type="character" w:customStyle="1" w:styleId="CommentSubjectChar">
    <w:name w:val="Comment Subject Char"/>
    <w:basedOn w:val="CommentTextChar"/>
    <w:link w:val="CommentSubject"/>
    <w:semiHidden/>
    <w:rsid w:val="000406CF"/>
    <w:rPr>
      <w:rFonts w:ascii="Times" w:hAnsi="Times"/>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5975765">
      <w:bodyDiv w:val="1"/>
      <w:marLeft w:val="0"/>
      <w:marRight w:val="0"/>
      <w:marTop w:val="0"/>
      <w:marBottom w:val="0"/>
      <w:divBdr>
        <w:top w:val="none" w:sz="0" w:space="0" w:color="auto"/>
        <w:left w:val="none" w:sz="0" w:space="0" w:color="auto"/>
        <w:bottom w:val="none" w:sz="0" w:space="0" w:color="auto"/>
        <w:right w:val="none" w:sz="0" w:space="0" w:color="auto"/>
      </w:divBdr>
    </w:div>
    <w:div w:id="1885629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emf"/><Relationship Id="rId20" Type="http://schemas.openxmlformats.org/officeDocument/2006/relationships/image" Target="media/image13.emf"/><Relationship Id="rId21" Type="http://schemas.openxmlformats.org/officeDocument/2006/relationships/hyperlink" Target="http://pubs.acs.org" TargetMode="External"/><Relationship Id="rId22" Type="http://schemas.openxmlformats.org/officeDocument/2006/relationships/image" Target="media/image14.emf"/><Relationship Id="rId23" Type="http://schemas.openxmlformats.org/officeDocument/2006/relationships/footer" Target="footer1.xml"/><Relationship Id="rId24" Type="http://schemas.openxmlformats.org/officeDocument/2006/relationships/footer" Target="footer2.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emf"/><Relationship Id="rId13" Type="http://schemas.openxmlformats.org/officeDocument/2006/relationships/image" Target="media/image6.png"/><Relationship Id="rId14" Type="http://schemas.openxmlformats.org/officeDocument/2006/relationships/image" Target="media/image7.tif"/><Relationship Id="rId15" Type="http://schemas.openxmlformats.org/officeDocument/2006/relationships/image" Target="media/image8.tif"/><Relationship Id="rId16" Type="http://schemas.openxmlformats.org/officeDocument/2006/relationships/image" Target="media/image9.tif"/><Relationship Id="rId17" Type="http://schemas.openxmlformats.org/officeDocument/2006/relationships/image" Target="media/image10.tif"/><Relationship Id="rId18" Type="http://schemas.openxmlformats.org/officeDocument/2006/relationships/image" Target="media/image11.emf"/><Relationship Id="rId19" Type="http://schemas.openxmlformats.org/officeDocument/2006/relationships/image" Target="media/image12.emf"/><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238</TotalTime>
  <Pages>30</Pages>
  <Words>5373</Words>
  <Characters>31918</Characters>
  <Application>Microsoft Macintosh Word</Application>
  <DocSecurity>0</DocSecurity>
  <Lines>559</Lines>
  <Paragraphs>162</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37129</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creator>Sheng Qi</dc:creator>
  <cp:lastModifiedBy>Sheng Qi</cp:lastModifiedBy>
  <cp:revision>25</cp:revision>
  <cp:lastPrinted>2008-06-11T21:33:00Z</cp:lastPrinted>
  <dcterms:created xsi:type="dcterms:W3CDTF">2015-08-14T15:05:00Z</dcterms:created>
  <dcterms:modified xsi:type="dcterms:W3CDTF">2015-09-03T16:38:00Z</dcterms:modified>
</cp:coreProperties>
</file>