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6EDD" w:rsidRPr="00206D24" w:rsidRDefault="0029059D" w:rsidP="00141659">
      <w:pPr>
        <w:pStyle w:val="BATitle"/>
      </w:pPr>
      <w:r>
        <w:t>C</w:t>
      </w:r>
      <w:r w:rsidR="00A045AF" w:rsidRPr="00A045AF">
        <w:t xml:space="preserve">atalytic Protein Film Electrochemistry Provides </w:t>
      </w:r>
      <w:r w:rsidR="00727687">
        <w:t>a</w:t>
      </w:r>
      <w:r w:rsidR="00A045AF" w:rsidRPr="00A045AF">
        <w:t xml:space="preserve"> Direct Measure of the T</w:t>
      </w:r>
      <w:r w:rsidR="0004371B">
        <w:t>etrathionate/T</w:t>
      </w:r>
      <w:r w:rsidR="00A045AF" w:rsidRPr="00A045AF">
        <w:t>hiosulfate Reduction Potential</w:t>
      </w:r>
    </w:p>
    <w:p w:rsidR="00A66EDD" w:rsidRPr="00206D24" w:rsidRDefault="00206D24" w:rsidP="000E75E3">
      <w:pPr>
        <w:pStyle w:val="BBAuthorName"/>
        <w:rPr>
          <w:vertAlign w:val="superscript"/>
        </w:rPr>
      </w:pPr>
      <w:r>
        <w:t xml:space="preserve">Julia </w:t>
      </w:r>
      <w:r w:rsidR="008F4249">
        <w:t xml:space="preserve">M. </w:t>
      </w:r>
      <w:r>
        <w:t>Kurth*</w:t>
      </w:r>
      <w:r>
        <w:rPr>
          <w:vertAlign w:val="superscript"/>
        </w:rPr>
        <w:t>1</w:t>
      </w:r>
      <w:r w:rsidR="0022197F">
        <w:t xml:space="preserve">, </w:t>
      </w:r>
      <w:r>
        <w:t>Christiane Dahl</w:t>
      </w:r>
      <w:r>
        <w:rPr>
          <w:vertAlign w:val="superscript"/>
        </w:rPr>
        <w:t>1</w:t>
      </w:r>
      <w:r>
        <w:t xml:space="preserve">, Julea </w:t>
      </w:r>
      <w:r w:rsidR="005B08A6">
        <w:t xml:space="preserve">N. </w:t>
      </w:r>
      <w:r>
        <w:t>Butt</w:t>
      </w:r>
      <w:r w:rsidR="00122A18">
        <w:t>*</w:t>
      </w:r>
      <w:r>
        <w:rPr>
          <w:vertAlign w:val="superscript"/>
        </w:rPr>
        <w:t>2</w:t>
      </w:r>
    </w:p>
    <w:p w:rsidR="00A66EDD" w:rsidRDefault="00206D24" w:rsidP="00835CBD">
      <w:pPr>
        <w:pStyle w:val="BCAuthorAddress"/>
        <w:rPr>
          <w:lang w:val="de-DE"/>
        </w:rPr>
      </w:pPr>
      <w:r>
        <w:rPr>
          <w:vertAlign w:val="superscript"/>
          <w:lang w:val="de-DE"/>
        </w:rPr>
        <w:t>1</w:t>
      </w:r>
      <w:r w:rsidRPr="00206D24">
        <w:rPr>
          <w:lang w:val="de-DE"/>
        </w:rPr>
        <w:t>Institut für Mikrobiologie &amp; Biotec</w:t>
      </w:r>
      <w:r>
        <w:rPr>
          <w:lang w:val="de-DE"/>
        </w:rPr>
        <w:t>hnologie, Rheinische Friedrich-W</w:t>
      </w:r>
      <w:r w:rsidRPr="00206D24">
        <w:rPr>
          <w:lang w:val="de-DE"/>
        </w:rPr>
        <w:t>il</w:t>
      </w:r>
      <w:r>
        <w:rPr>
          <w:lang w:val="de-DE"/>
        </w:rPr>
        <w:t>helms-Universität Bonn, Meckenh</w:t>
      </w:r>
      <w:r w:rsidRPr="00206D24">
        <w:rPr>
          <w:lang w:val="de-DE"/>
        </w:rPr>
        <w:t xml:space="preserve">eimer Allee 168, D-53115 Bonn, </w:t>
      </w:r>
      <w:r>
        <w:rPr>
          <w:lang w:val="de-DE"/>
        </w:rPr>
        <w:t>G</w:t>
      </w:r>
      <w:r w:rsidRPr="00206D24">
        <w:rPr>
          <w:lang w:val="de-DE"/>
        </w:rPr>
        <w:t>ermany</w:t>
      </w:r>
      <w:r>
        <w:rPr>
          <w:lang w:val="de-DE"/>
        </w:rPr>
        <w:t xml:space="preserve">. </w:t>
      </w:r>
    </w:p>
    <w:p w:rsidR="00A66EDD" w:rsidRDefault="005B08A6" w:rsidP="000D3726">
      <w:pPr>
        <w:rPr>
          <w:rFonts w:ascii="Arno Pro" w:hAnsi="Arno Pro"/>
          <w:sz w:val="20"/>
        </w:rPr>
      </w:pPr>
      <w:r w:rsidRPr="005B08A6">
        <w:rPr>
          <w:rFonts w:ascii="Arno Pro" w:hAnsi="Arno Pro"/>
          <w:sz w:val="20"/>
          <w:vertAlign w:val="superscript"/>
        </w:rPr>
        <w:t>2</w:t>
      </w:r>
      <w:r w:rsidRPr="005B08A6">
        <w:rPr>
          <w:rFonts w:ascii="Arno Pro" w:hAnsi="Arno Pro"/>
          <w:sz w:val="20"/>
        </w:rPr>
        <w:t xml:space="preserve">Centre for Molecular and Structural Biochemistry, School of Chemistry and School of Biological Sciences, </w:t>
      </w:r>
      <w:r w:rsidR="0004371B">
        <w:rPr>
          <w:rFonts w:ascii="Arno Pro" w:hAnsi="Arno Pro"/>
          <w:sz w:val="20"/>
        </w:rPr>
        <w:t xml:space="preserve">         </w:t>
      </w:r>
      <w:r w:rsidR="00FA2EED">
        <w:rPr>
          <w:rFonts w:ascii="Arno Pro" w:hAnsi="Arno Pro"/>
          <w:sz w:val="20"/>
        </w:rPr>
        <w:t xml:space="preserve">         </w:t>
      </w:r>
      <w:r w:rsidR="00030760">
        <w:rPr>
          <w:rFonts w:ascii="Arno Pro" w:hAnsi="Arno Pro"/>
          <w:sz w:val="20"/>
        </w:rPr>
        <w:t xml:space="preserve">              </w:t>
      </w:r>
      <w:r w:rsidRPr="005B08A6">
        <w:rPr>
          <w:rFonts w:ascii="Arno Pro" w:hAnsi="Arno Pro"/>
          <w:sz w:val="20"/>
        </w:rPr>
        <w:t>University of East Anglia, Norwich Research Park, Norwich NR4 7TJ, U.K.</w:t>
      </w:r>
    </w:p>
    <w:p w:rsidR="00874854" w:rsidRPr="000D3726" w:rsidRDefault="00874854" w:rsidP="000D3726">
      <w:pPr>
        <w:rPr>
          <w:rFonts w:ascii="Arno Pro" w:hAnsi="Arno Pro"/>
          <w:sz w:val="20"/>
        </w:rPr>
        <w:sectPr w:rsidR="00874854" w:rsidRPr="000D3726" w:rsidSect="00984F9E">
          <w:footerReference w:type="even" r:id="rId9"/>
          <w:footerReference w:type="default" r:id="rId10"/>
          <w:type w:val="continuous"/>
          <w:pgSz w:w="12240" w:h="15840" w:code="1"/>
          <w:pgMar w:top="720" w:right="1094" w:bottom="720" w:left="1094" w:header="720" w:footer="720" w:gutter="0"/>
          <w:cols w:space="720"/>
          <w:titlePg/>
        </w:sectPr>
      </w:pPr>
    </w:p>
    <w:p w:rsidR="00552A07" w:rsidRPr="002A4962" w:rsidRDefault="00552A07" w:rsidP="002A4962">
      <w:pPr>
        <w:pStyle w:val="BDAbstract"/>
        <w:pBdr>
          <w:bottom w:val="single" w:sz="4" w:space="0" w:color="auto"/>
        </w:pBdr>
        <w:rPr>
          <w:sz w:val="18"/>
          <w:szCs w:val="18"/>
        </w:rPr>
      </w:pPr>
      <w:r w:rsidRPr="006F7C24">
        <w:rPr>
          <w:rStyle w:val="BDAbstractTitleChar"/>
        </w:rPr>
        <w:lastRenderedPageBreak/>
        <w:t>ABSTRACT</w:t>
      </w:r>
      <w:r w:rsidR="006532A9" w:rsidRPr="006F7C24">
        <w:rPr>
          <w:rStyle w:val="BDAbstractTitleChar"/>
        </w:rPr>
        <w:t>:</w:t>
      </w:r>
      <w:r w:rsidR="00BA7DC3">
        <w:rPr>
          <w:rStyle w:val="BDAbstractTitleChar"/>
        </w:rPr>
        <w:t xml:space="preserve"> </w:t>
      </w:r>
      <w:r w:rsidR="006F7C24" w:rsidRPr="002A4962">
        <w:rPr>
          <w:rStyle w:val="BDAbstractTitleChar"/>
          <w:b w:val="0"/>
          <w:sz w:val="18"/>
          <w:szCs w:val="18"/>
        </w:rPr>
        <w:t>T</w:t>
      </w:r>
      <w:r w:rsidR="006F7C24" w:rsidRPr="002A4962">
        <w:rPr>
          <w:sz w:val="18"/>
          <w:szCs w:val="18"/>
        </w:rPr>
        <w:t>he tetrathionate/thiosulfate interconversion is a two-electron process</w:t>
      </w:r>
      <w:r w:rsidR="005B6F4E" w:rsidRPr="002A4962">
        <w:rPr>
          <w:sz w:val="18"/>
          <w:szCs w:val="18"/>
        </w:rPr>
        <w:t xml:space="preserve">: </w:t>
      </w:r>
      <w:r w:rsidR="000D3726" w:rsidRPr="002A4962">
        <w:rPr>
          <w:sz w:val="18"/>
          <w:szCs w:val="18"/>
        </w:rPr>
        <w:t>S</w:t>
      </w:r>
      <w:r w:rsidR="000D3726" w:rsidRPr="002A4962">
        <w:rPr>
          <w:sz w:val="18"/>
          <w:szCs w:val="18"/>
          <w:vertAlign w:val="subscript"/>
        </w:rPr>
        <w:t>4</w:t>
      </w:r>
      <w:r w:rsidR="000D3726" w:rsidRPr="002A4962">
        <w:rPr>
          <w:sz w:val="18"/>
          <w:szCs w:val="18"/>
        </w:rPr>
        <w:t>O</w:t>
      </w:r>
      <w:r w:rsidR="000D3726" w:rsidRPr="002A4962">
        <w:rPr>
          <w:sz w:val="18"/>
          <w:szCs w:val="18"/>
          <w:vertAlign w:val="subscript"/>
        </w:rPr>
        <w:t>6</w:t>
      </w:r>
      <w:r w:rsidR="000D3726" w:rsidRPr="002A4962">
        <w:rPr>
          <w:sz w:val="18"/>
          <w:szCs w:val="18"/>
          <w:vertAlign w:val="superscript"/>
        </w:rPr>
        <w:t xml:space="preserve">2- </w:t>
      </w:r>
      <w:r w:rsidR="000D3726" w:rsidRPr="002A4962">
        <w:rPr>
          <w:sz w:val="18"/>
          <w:szCs w:val="18"/>
        </w:rPr>
        <w:t>+ 2</w:t>
      </w:r>
      <w:r w:rsidR="00EA6821">
        <w:rPr>
          <w:sz w:val="18"/>
          <w:szCs w:val="18"/>
        </w:rPr>
        <w:t xml:space="preserve"> </w:t>
      </w:r>
      <w:r w:rsidR="000D3726" w:rsidRPr="002A4962">
        <w:rPr>
          <w:sz w:val="18"/>
          <w:szCs w:val="18"/>
        </w:rPr>
        <w:t>e</w:t>
      </w:r>
      <w:r w:rsidR="000D3726" w:rsidRPr="00F13E51">
        <w:rPr>
          <w:sz w:val="18"/>
          <w:szCs w:val="18"/>
          <w:vertAlign w:val="superscript"/>
        </w:rPr>
        <w:t>-</w:t>
      </w:r>
      <w:r w:rsidR="000D3726" w:rsidRPr="002A4962">
        <w:rPr>
          <w:sz w:val="18"/>
          <w:szCs w:val="18"/>
        </w:rPr>
        <w:t xml:space="preserve"> </w:t>
      </w:r>
      <w:r w:rsidR="000D3726" w:rsidRPr="002A4962">
        <w:rPr>
          <w:rFonts w:ascii="Times New Roman" w:hAnsi="Times New Roman"/>
          <w:sz w:val="18"/>
          <w:szCs w:val="18"/>
        </w:rPr>
        <w:t>↔</w:t>
      </w:r>
      <w:r w:rsidR="006F7C24" w:rsidRPr="002A4962">
        <w:rPr>
          <w:sz w:val="18"/>
          <w:szCs w:val="18"/>
        </w:rPr>
        <w:t xml:space="preserve"> </w:t>
      </w:r>
      <w:r w:rsidR="00F13E51">
        <w:rPr>
          <w:sz w:val="18"/>
          <w:szCs w:val="18"/>
        </w:rPr>
        <w:t xml:space="preserve">2 </w:t>
      </w:r>
      <w:r w:rsidR="000D3726" w:rsidRPr="002A4962">
        <w:rPr>
          <w:sz w:val="18"/>
          <w:szCs w:val="18"/>
        </w:rPr>
        <w:t>S</w:t>
      </w:r>
      <w:r w:rsidR="000D3726" w:rsidRPr="002A4962">
        <w:rPr>
          <w:sz w:val="18"/>
          <w:szCs w:val="18"/>
          <w:vertAlign w:val="subscript"/>
        </w:rPr>
        <w:t>2</w:t>
      </w:r>
      <w:r w:rsidR="000D3726" w:rsidRPr="002A4962">
        <w:rPr>
          <w:sz w:val="18"/>
          <w:szCs w:val="18"/>
        </w:rPr>
        <w:t>O</w:t>
      </w:r>
      <w:r w:rsidR="000D3726" w:rsidRPr="002A4962">
        <w:rPr>
          <w:sz w:val="18"/>
          <w:szCs w:val="18"/>
          <w:vertAlign w:val="subscript"/>
        </w:rPr>
        <w:t>3</w:t>
      </w:r>
      <w:r w:rsidR="000D3726" w:rsidRPr="002A4962">
        <w:rPr>
          <w:sz w:val="18"/>
          <w:szCs w:val="18"/>
          <w:vertAlign w:val="superscript"/>
        </w:rPr>
        <w:t>2-</w:t>
      </w:r>
      <w:r w:rsidR="000D3726" w:rsidRPr="002A4962">
        <w:rPr>
          <w:sz w:val="18"/>
          <w:szCs w:val="18"/>
        </w:rPr>
        <w:t xml:space="preserve">. </w:t>
      </w:r>
      <w:r w:rsidR="00616136">
        <w:rPr>
          <w:sz w:val="18"/>
          <w:szCs w:val="18"/>
        </w:rPr>
        <w:t>Both</w:t>
      </w:r>
      <w:r w:rsidR="00A61630" w:rsidRPr="002A4962">
        <w:rPr>
          <w:sz w:val="18"/>
          <w:szCs w:val="18"/>
        </w:rPr>
        <w:t xml:space="preserve"> transfor</w:t>
      </w:r>
      <w:r w:rsidR="0067018C">
        <w:rPr>
          <w:sz w:val="18"/>
          <w:szCs w:val="18"/>
        </w:rPr>
        <w:softHyphen/>
      </w:r>
      <w:r w:rsidR="00A61630" w:rsidRPr="002A4962">
        <w:rPr>
          <w:sz w:val="18"/>
          <w:szCs w:val="18"/>
        </w:rPr>
        <w:t xml:space="preserve">mations </w:t>
      </w:r>
      <w:r w:rsidR="0021417C">
        <w:rPr>
          <w:sz w:val="18"/>
          <w:szCs w:val="18"/>
        </w:rPr>
        <w:t xml:space="preserve">can </w:t>
      </w:r>
      <w:r w:rsidR="00A61630" w:rsidRPr="002A4962">
        <w:rPr>
          <w:sz w:val="18"/>
          <w:szCs w:val="18"/>
        </w:rPr>
        <w:t>support b</w:t>
      </w:r>
      <w:r w:rsidR="006E79E6" w:rsidRPr="002A4962">
        <w:rPr>
          <w:sz w:val="18"/>
          <w:szCs w:val="18"/>
        </w:rPr>
        <w:t>acterial growth</w:t>
      </w:r>
      <w:r w:rsidR="009F5DBF">
        <w:rPr>
          <w:sz w:val="18"/>
          <w:szCs w:val="18"/>
        </w:rPr>
        <w:t xml:space="preserve"> since </w:t>
      </w:r>
      <w:r w:rsidR="006E79E6" w:rsidRPr="002A4962">
        <w:rPr>
          <w:sz w:val="18"/>
          <w:szCs w:val="18"/>
        </w:rPr>
        <w:t>S</w:t>
      </w:r>
      <w:r w:rsidR="006E79E6" w:rsidRPr="002A4962">
        <w:rPr>
          <w:sz w:val="18"/>
          <w:szCs w:val="18"/>
          <w:vertAlign w:val="subscript"/>
        </w:rPr>
        <w:t>2</w:t>
      </w:r>
      <w:r w:rsidR="006E79E6" w:rsidRPr="002A4962">
        <w:rPr>
          <w:sz w:val="18"/>
          <w:szCs w:val="18"/>
        </w:rPr>
        <w:t>O</w:t>
      </w:r>
      <w:r w:rsidR="006E79E6" w:rsidRPr="002A4962">
        <w:rPr>
          <w:sz w:val="18"/>
          <w:szCs w:val="18"/>
          <w:vertAlign w:val="subscript"/>
        </w:rPr>
        <w:t>3</w:t>
      </w:r>
      <w:r w:rsidR="006E79E6" w:rsidRPr="002A4962">
        <w:rPr>
          <w:sz w:val="18"/>
          <w:szCs w:val="18"/>
          <w:vertAlign w:val="superscript"/>
        </w:rPr>
        <w:t>2-</w:t>
      </w:r>
      <w:r w:rsidR="006E79E6" w:rsidRPr="002A4962">
        <w:rPr>
          <w:sz w:val="18"/>
          <w:szCs w:val="18"/>
        </w:rPr>
        <w:t xml:space="preserve"> provid</w:t>
      </w:r>
      <w:r w:rsidR="009F5DBF">
        <w:rPr>
          <w:sz w:val="18"/>
          <w:szCs w:val="18"/>
        </w:rPr>
        <w:t>es</w:t>
      </w:r>
      <w:r w:rsidR="006E79E6" w:rsidRPr="002A4962">
        <w:rPr>
          <w:sz w:val="18"/>
          <w:szCs w:val="18"/>
        </w:rPr>
        <w:t xml:space="preserve"> a</w:t>
      </w:r>
      <w:r w:rsidR="009F5DBF">
        <w:rPr>
          <w:sz w:val="18"/>
          <w:szCs w:val="18"/>
        </w:rPr>
        <w:t xml:space="preserve">n energy </w:t>
      </w:r>
      <w:r w:rsidR="00F00586">
        <w:rPr>
          <w:sz w:val="18"/>
          <w:szCs w:val="18"/>
        </w:rPr>
        <w:t xml:space="preserve">source </w:t>
      </w:r>
      <w:r w:rsidR="006E79E6" w:rsidRPr="002A4962">
        <w:rPr>
          <w:sz w:val="18"/>
          <w:szCs w:val="18"/>
        </w:rPr>
        <w:t>while S</w:t>
      </w:r>
      <w:r w:rsidR="006E79E6" w:rsidRPr="002A4962">
        <w:rPr>
          <w:sz w:val="18"/>
          <w:szCs w:val="18"/>
          <w:vertAlign w:val="subscript"/>
        </w:rPr>
        <w:t>4</w:t>
      </w:r>
      <w:r w:rsidR="006E79E6" w:rsidRPr="002A4962">
        <w:rPr>
          <w:sz w:val="18"/>
          <w:szCs w:val="18"/>
        </w:rPr>
        <w:t>O</w:t>
      </w:r>
      <w:r w:rsidR="006E79E6" w:rsidRPr="002A4962">
        <w:rPr>
          <w:sz w:val="18"/>
          <w:szCs w:val="18"/>
          <w:vertAlign w:val="subscript"/>
        </w:rPr>
        <w:t>6</w:t>
      </w:r>
      <w:r w:rsidR="006E79E6" w:rsidRPr="002A4962">
        <w:rPr>
          <w:sz w:val="18"/>
          <w:szCs w:val="18"/>
          <w:vertAlign w:val="superscript"/>
        </w:rPr>
        <w:t xml:space="preserve">2- </w:t>
      </w:r>
      <w:r w:rsidR="009F5DBF">
        <w:rPr>
          <w:sz w:val="18"/>
          <w:szCs w:val="18"/>
        </w:rPr>
        <w:t>s</w:t>
      </w:r>
      <w:r w:rsidR="006E79E6" w:rsidRPr="002A4962">
        <w:rPr>
          <w:sz w:val="18"/>
          <w:szCs w:val="18"/>
        </w:rPr>
        <w:t xml:space="preserve">erves as respiratory electron acceptor. Interest in the corresponding </w:t>
      </w:r>
      <w:r w:rsidR="000D3726" w:rsidRPr="002A4962">
        <w:rPr>
          <w:sz w:val="18"/>
          <w:szCs w:val="18"/>
        </w:rPr>
        <w:t>S</w:t>
      </w:r>
      <w:r w:rsidR="000D3726" w:rsidRPr="002A4962">
        <w:rPr>
          <w:sz w:val="18"/>
          <w:szCs w:val="18"/>
          <w:vertAlign w:val="subscript"/>
        </w:rPr>
        <w:t>2</w:t>
      </w:r>
      <w:r w:rsidR="000D3726" w:rsidRPr="002A4962">
        <w:rPr>
          <w:sz w:val="18"/>
          <w:szCs w:val="18"/>
        </w:rPr>
        <w:t>O</w:t>
      </w:r>
      <w:r w:rsidR="000D3726" w:rsidRPr="002A4962">
        <w:rPr>
          <w:sz w:val="18"/>
          <w:szCs w:val="18"/>
          <w:vertAlign w:val="subscript"/>
        </w:rPr>
        <w:t>3</w:t>
      </w:r>
      <w:r w:rsidR="000D3726" w:rsidRPr="002A4962">
        <w:rPr>
          <w:sz w:val="18"/>
          <w:szCs w:val="18"/>
          <w:vertAlign w:val="superscript"/>
        </w:rPr>
        <w:t>2-</w:t>
      </w:r>
      <w:r w:rsidR="006F7C24" w:rsidRPr="002A4962">
        <w:rPr>
          <w:sz w:val="18"/>
          <w:szCs w:val="18"/>
        </w:rPr>
        <w:t xml:space="preserve"> </w:t>
      </w:r>
      <w:r w:rsidR="00A12610" w:rsidRPr="002A4962">
        <w:rPr>
          <w:sz w:val="18"/>
          <w:szCs w:val="18"/>
        </w:rPr>
        <w:t xml:space="preserve">oxidation </w:t>
      </w:r>
      <w:r w:rsidR="006E79E6" w:rsidRPr="002A4962">
        <w:rPr>
          <w:sz w:val="18"/>
          <w:szCs w:val="18"/>
        </w:rPr>
        <w:t xml:space="preserve">also arises from </w:t>
      </w:r>
      <w:r w:rsidR="00A12610" w:rsidRPr="002A4962">
        <w:rPr>
          <w:sz w:val="18"/>
          <w:szCs w:val="18"/>
        </w:rPr>
        <w:t xml:space="preserve">its </w:t>
      </w:r>
      <w:r w:rsidR="009F5DBF">
        <w:rPr>
          <w:sz w:val="18"/>
          <w:szCs w:val="18"/>
        </w:rPr>
        <w:t>widespread</w:t>
      </w:r>
      <w:r w:rsidR="00A61630" w:rsidRPr="002A4962">
        <w:rPr>
          <w:sz w:val="18"/>
          <w:szCs w:val="18"/>
        </w:rPr>
        <w:t xml:space="preserve"> </w:t>
      </w:r>
      <w:r w:rsidR="00A12610" w:rsidRPr="002A4962">
        <w:rPr>
          <w:sz w:val="18"/>
          <w:szCs w:val="18"/>
        </w:rPr>
        <w:t xml:space="preserve">use in </w:t>
      </w:r>
      <w:r w:rsidR="006E79E6" w:rsidRPr="002A4962">
        <w:rPr>
          <w:sz w:val="18"/>
          <w:szCs w:val="18"/>
        </w:rPr>
        <w:t xml:space="preserve">volumetric analysis of </w:t>
      </w:r>
      <w:r w:rsidR="006F7C24" w:rsidRPr="002A4962">
        <w:rPr>
          <w:sz w:val="18"/>
          <w:szCs w:val="18"/>
        </w:rPr>
        <w:t xml:space="preserve">oxidizing agents </w:t>
      </w:r>
      <w:r w:rsidR="006E79E6" w:rsidRPr="002A4962">
        <w:rPr>
          <w:sz w:val="18"/>
          <w:szCs w:val="18"/>
        </w:rPr>
        <w:t xml:space="preserve">and </w:t>
      </w:r>
      <w:r w:rsidR="000D3726" w:rsidRPr="002A4962">
        <w:rPr>
          <w:sz w:val="18"/>
          <w:szCs w:val="18"/>
        </w:rPr>
        <w:t>bleach</w:t>
      </w:r>
      <w:r w:rsidR="00FA2EED">
        <w:rPr>
          <w:sz w:val="18"/>
          <w:szCs w:val="18"/>
        </w:rPr>
        <w:t xml:space="preserve"> </w:t>
      </w:r>
      <w:r w:rsidR="00030760">
        <w:rPr>
          <w:sz w:val="18"/>
          <w:szCs w:val="18"/>
        </w:rPr>
        <w:t>n</w:t>
      </w:r>
      <w:r w:rsidR="00FA2EED">
        <w:rPr>
          <w:sz w:val="18"/>
          <w:szCs w:val="18"/>
        </w:rPr>
        <w:t xml:space="preserve">eutralization during </w:t>
      </w:r>
      <w:r w:rsidR="006F7C24" w:rsidRPr="002A4962">
        <w:rPr>
          <w:sz w:val="18"/>
          <w:szCs w:val="18"/>
        </w:rPr>
        <w:t xml:space="preserve">water-treatment. Here we report protein film electrochemistry </w:t>
      </w:r>
      <w:r w:rsidR="006E79E6" w:rsidRPr="002A4962">
        <w:rPr>
          <w:sz w:val="18"/>
          <w:szCs w:val="18"/>
        </w:rPr>
        <w:t>that</w:t>
      </w:r>
      <w:r w:rsidR="00D727E8" w:rsidRPr="002A4962">
        <w:rPr>
          <w:sz w:val="18"/>
          <w:szCs w:val="18"/>
        </w:rPr>
        <w:t xml:space="preserve"> define</w:t>
      </w:r>
      <w:r w:rsidR="006E79E6" w:rsidRPr="002A4962">
        <w:rPr>
          <w:sz w:val="18"/>
          <w:szCs w:val="18"/>
        </w:rPr>
        <w:t>s</w:t>
      </w:r>
      <w:r w:rsidR="006F7C24" w:rsidRPr="002A4962">
        <w:rPr>
          <w:sz w:val="18"/>
          <w:szCs w:val="18"/>
        </w:rPr>
        <w:t xml:space="preserve"> the </w:t>
      </w:r>
      <w:r w:rsidR="006E79E6" w:rsidRPr="002A4962">
        <w:rPr>
          <w:sz w:val="18"/>
          <w:szCs w:val="18"/>
        </w:rPr>
        <w:t xml:space="preserve">reduction </w:t>
      </w:r>
      <w:r w:rsidR="006F7C24" w:rsidRPr="002A4962">
        <w:rPr>
          <w:sz w:val="18"/>
          <w:szCs w:val="18"/>
        </w:rPr>
        <w:t xml:space="preserve">potential of the </w:t>
      </w:r>
      <w:r w:rsidR="000D3726" w:rsidRPr="002A4962">
        <w:rPr>
          <w:sz w:val="18"/>
          <w:szCs w:val="18"/>
        </w:rPr>
        <w:t>S</w:t>
      </w:r>
      <w:r w:rsidR="000D3726" w:rsidRPr="002A4962">
        <w:rPr>
          <w:sz w:val="18"/>
          <w:szCs w:val="18"/>
          <w:vertAlign w:val="subscript"/>
        </w:rPr>
        <w:t>4</w:t>
      </w:r>
      <w:r w:rsidR="000D3726" w:rsidRPr="002A4962">
        <w:rPr>
          <w:sz w:val="18"/>
          <w:szCs w:val="18"/>
        </w:rPr>
        <w:t>O</w:t>
      </w:r>
      <w:r w:rsidR="000D3726" w:rsidRPr="002A4962">
        <w:rPr>
          <w:sz w:val="18"/>
          <w:szCs w:val="18"/>
          <w:vertAlign w:val="subscript"/>
        </w:rPr>
        <w:t>6</w:t>
      </w:r>
      <w:r w:rsidR="000D3726" w:rsidRPr="002A4962">
        <w:rPr>
          <w:sz w:val="18"/>
          <w:szCs w:val="18"/>
          <w:vertAlign w:val="superscript"/>
        </w:rPr>
        <w:t>2-</w:t>
      </w:r>
      <w:r w:rsidR="000D3726" w:rsidRPr="002A4962">
        <w:rPr>
          <w:sz w:val="18"/>
          <w:szCs w:val="18"/>
        </w:rPr>
        <w:t>/S</w:t>
      </w:r>
      <w:r w:rsidR="000D3726" w:rsidRPr="002A4962">
        <w:rPr>
          <w:sz w:val="18"/>
          <w:szCs w:val="18"/>
          <w:vertAlign w:val="subscript"/>
        </w:rPr>
        <w:t>2</w:t>
      </w:r>
      <w:r w:rsidR="000D3726" w:rsidRPr="002A4962">
        <w:rPr>
          <w:sz w:val="18"/>
          <w:szCs w:val="18"/>
        </w:rPr>
        <w:t>O</w:t>
      </w:r>
      <w:r w:rsidR="000D3726" w:rsidRPr="002A4962">
        <w:rPr>
          <w:sz w:val="18"/>
          <w:szCs w:val="18"/>
          <w:vertAlign w:val="subscript"/>
        </w:rPr>
        <w:t>3</w:t>
      </w:r>
      <w:r w:rsidR="000D3726" w:rsidRPr="002A4962">
        <w:rPr>
          <w:sz w:val="18"/>
          <w:szCs w:val="18"/>
          <w:vertAlign w:val="superscript"/>
        </w:rPr>
        <w:t>2-</w:t>
      </w:r>
      <w:r w:rsidR="000D3726" w:rsidRPr="002A4962">
        <w:rPr>
          <w:sz w:val="18"/>
          <w:szCs w:val="18"/>
        </w:rPr>
        <w:t xml:space="preserve"> c</w:t>
      </w:r>
      <w:r w:rsidR="006F7C24" w:rsidRPr="002A4962">
        <w:rPr>
          <w:sz w:val="18"/>
          <w:szCs w:val="18"/>
        </w:rPr>
        <w:t xml:space="preserve">ouple. </w:t>
      </w:r>
      <w:r w:rsidR="000D3726" w:rsidRPr="006B293E">
        <w:rPr>
          <w:sz w:val="18"/>
          <w:szCs w:val="18"/>
        </w:rPr>
        <w:t xml:space="preserve">The </w:t>
      </w:r>
      <w:r w:rsidR="00D727E8" w:rsidRPr="006B293E">
        <w:rPr>
          <w:sz w:val="18"/>
          <w:szCs w:val="18"/>
        </w:rPr>
        <w:t>rele</w:t>
      </w:r>
      <w:r w:rsidR="007F0510">
        <w:rPr>
          <w:sz w:val="18"/>
          <w:szCs w:val="18"/>
        </w:rPr>
        <w:t xml:space="preserve">vant </w:t>
      </w:r>
      <w:r w:rsidR="006F7C24" w:rsidRPr="006B293E">
        <w:rPr>
          <w:sz w:val="18"/>
          <w:szCs w:val="18"/>
        </w:rPr>
        <w:t>interconversion is not reversible at inert electrodes</w:t>
      </w:r>
      <w:r w:rsidR="009F5DBF">
        <w:rPr>
          <w:sz w:val="18"/>
          <w:szCs w:val="18"/>
        </w:rPr>
        <w:t xml:space="preserve">. </w:t>
      </w:r>
      <w:r w:rsidR="006F7C24" w:rsidRPr="006B293E">
        <w:rPr>
          <w:sz w:val="18"/>
          <w:szCs w:val="18"/>
        </w:rPr>
        <w:t>However</w:t>
      </w:r>
      <w:r w:rsidR="00FA2EED">
        <w:rPr>
          <w:sz w:val="18"/>
          <w:szCs w:val="18"/>
        </w:rPr>
        <w:t>,</w:t>
      </w:r>
      <w:r w:rsidR="00A61630" w:rsidRPr="006B293E">
        <w:rPr>
          <w:sz w:val="18"/>
          <w:szCs w:val="18"/>
        </w:rPr>
        <w:t xml:space="preserve"> </w:t>
      </w:r>
      <w:r w:rsidR="009F5DBF">
        <w:rPr>
          <w:sz w:val="18"/>
          <w:szCs w:val="18"/>
        </w:rPr>
        <w:t xml:space="preserve">facile reduction of </w:t>
      </w:r>
      <w:r w:rsidR="00A61630" w:rsidRPr="006B293E">
        <w:rPr>
          <w:sz w:val="18"/>
          <w:szCs w:val="18"/>
        </w:rPr>
        <w:t>S</w:t>
      </w:r>
      <w:r w:rsidR="00A61630" w:rsidRPr="006B293E">
        <w:rPr>
          <w:sz w:val="18"/>
          <w:szCs w:val="18"/>
          <w:vertAlign w:val="subscript"/>
        </w:rPr>
        <w:t>4</w:t>
      </w:r>
      <w:r w:rsidR="00A61630" w:rsidRPr="006B293E">
        <w:rPr>
          <w:sz w:val="18"/>
          <w:szCs w:val="18"/>
        </w:rPr>
        <w:t>O</w:t>
      </w:r>
      <w:r w:rsidR="00A61630" w:rsidRPr="006B293E">
        <w:rPr>
          <w:sz w:val="18"/>
          <w:szCs w:val="18"/>
          <w:vertAlign w:val="subscript"/>
        </w:rPr>
        <w:t>6</w:t>
      </w:r>
      <w:r w:rsidR="00A61630" w:rsidRPr="006B293E">
        <w:rPr>
          <w:sz w:val="18"/>
          <w:szCs w:val="18"/>
          <w:vertAlign w:val="superscript"/>
        </w:rPr>
        <w:t>2-</w:t>
      </w:r>
      <w:r w:rsidR="00A61630" w:rsidRPr="006B293E">
        <w:rPr>
          <w:sz w:val="18"/>
          <w:szCs w:val="18"/>
        </w:rPr>
        <w:t xml:space="preserve"> to S</w:t>
      </w:r>
      <w:r w:rsidR="00A61630" w:rsidRPr="006B293E">
        <w:rPr>
          <w:sz w:val="18"/>
          <w:szCs w:val="18"/>
          <w:vertAlign w:val="subscript"/>
        </w:rPr>
        <w:t>2</w:t>
      </w:r>
      <w:r w:rsidR="00A61630" w:rsidRPr="006B293E">
        <w:rPr>
          <w:sz w:val="18"/>
          <w:szCs w:val="18"/>
        </w:rPr>
        <w:t>O</w:t>
      </w:r>
      <w:r w:rsidR="00A61630" w:rsidRPr="006B293E">
        <w:rPr>
          <w:sz w:val="18"/>
          <w:szCs w:val="18"/>
          <w:vertAlign w:val="subscript"/>
        </w:rPr>
        <w:t>3</w:t>
      </w:r>
      <w:r w:rsidR="00A61630" w:rsidRPr="006B293E">
        <w:rPr>
          <w:sz w:val="18"/>
          <w:szCs w:val="18"/>
          <w:vertAlign w:val="superscript"/>
        </w:rPr>
        <w:t>2-</w:t>
      </w:r>
      <w:r w:rsidR="00FA2EED">
        <w:rPr>
          <w:sz w:val="18"/>
          <w:szCs w:val="18"/>
        </w:rPr>
        <w:t xml:space="preserve"> and </w:t>
      </w:r>
      <w:r w:rsidR="00A61630" w:rsidRPr="006B293E">
        <w:rPr>
          <w:sz w:val="18"/>
          <w:szCs w:val="18"/>
        </w:rPr>
        <w:t xml:space="preserve">the reverse reaction are catalyzed by </w:t>
      </w:r>
      <w:r w:rsidR="006F7C24" w:rsidRPr="006B293E">
        <w:rPr>
          <w:sz w:val="18"/>
          <w:szCs w:val="18"/>
        </w:rPr>
        <w:t>enzymes</w:t>
      </w:r>
      <w:r w:rsidR="004A3DB0">
        <w:rPr>
          <w:sz w:val="18"/>
          <w:szCs w:val="18"/>
        </w:rPr>
        <w:t xml:space="preserve"> of</w:t>
      </w:r>
      <w:r w:rsidR="006F7C24" w:rsidRPr="006B293E">
        <w:rPr>
          <w:sz w:val="18"/>
          <w:szCs w:val="18"/>
        </w:rPr>
        <w:t xml:space="preserve"> </w:t>
      </w:r>
      <w:r w:rsidR="004A3DB0" w:rsidRPr="002A4962">
        <w:rPr>
          <w:sz w:val="18"/>
          <w:szCs w:val="18"/>
        </w:rPr>
        <w:t>the thiosulfate dehydro</w:t>
      </w:r>
      <w:r w:rsidR="004A3DB0">
        <w:rPr>
          <w:sz w:val="18"/>
          <w:szCs w:val="18"/>
        </w:rPr>
        <w:softHyphen/>
      </w:r>
      <w:r w:rsidR="004A3DB0" w:rsidRPr="002A4962">
        <w:rPr>
          <w:sz w:val="18"/>
          <w:szCs w:val="18"/>
        </w:rPr>
        <w:t xml:space="preserve">genase, </w:t>
      </w:r>
      <w:proofErr w:type="spellStart"/>
      <w:r w:rsidR="004A3DB0" w:rsidRPr="002A4962">
        <w:rPr>
          <w:sz w:val="18"/>
          <w:szCs w:val="18"/>
        </w:rPr>
        <w:t>TsdA</w:t>
      </w:r>
      <w:proofErr w:type="spellEnd"/>
      <w:r w:rsidR="004A3DB0" w:rsidRPr="002A4962">
        <w:rPr>
          <w:sz w:val="18"/>
          <w:szCs w:val="18"/>
        </w:rPr>
        <w:t>, family</w:t>
      </w:r>
      <w:r w:rsidR="004A3DB0" w:rsidRPr="006B293E">
        <w:rPr>
          <w:sz w:val="18"/>
          <w:szCs w:val="18"/>
        </w:rPr>
        <w:t xml:space="preserve"> </w:t>
      </w:r>
      <w:r w:rsidR="006F7C24" w:rsidRPr="006B293E">
        <w:rPr>
          <w:sz w:val="18"/>
          <w:szCs w:val="18"/>
        </w:rPr>
        <w:t>adsorbed on graphite electrodes</w:t>
      </w:r>
      <w:r w:rsidR="009F5DBF">
        <w:rPr>
          <w:sz w:val="18"/>
          <w:szCs w:val="18"/>
        </w:rPr>
        <w:t>.</w:t>
      </w:r>
      <w:r w:rsidR="006F7C24" w:rsidRPr="006B293E">
        <w:rPr>
          <w:sz w:val="18"/>
          <w:szCs w:val="18"/>
        </w:rPr>
        <w:t xml:space="preserve"> </w:t>
      </w:r>
      <w:r w:rsidR="009F5DBF">
        <w:rPr>
          <w:sz w:val="18"/>
          <w:szCs w:val="18"/>
        </w:rPr>
        <w:t>Z</w:t>
      </w:r>
      <w:r w:rsidR="000D3726" w:rsidRPr="006B293E">
        <w:rPr>
          <w:sz w:val="18"/>
          <w:szCs w:val="18"/>
        </w:rPr>
        <w:t>ero-</w:t>
      </w:r>
      <w:r w:rsidR="007C142F" w:rsidRPr="006B293E">
        <w:rPr>
          <w:sz w:val="18"/>
          <w:szCs w:val="18"/>
        </w:rPr>
        <w:t xml:space="preserve">current potentials </w:t>
      </w:r>
      <w:r w:rsidR="000D3726" w:rsidRPr="006B293E">
        <w:rPr>
          <w:sz w:val="18"/>
          <w:szCs w:val="18"/>
        </w:rPr>
        <w:t>measured with different enzymes</w:t>
      </w:r>
      <w:r w:rsidR="006E79E6" w:rsidRPr="006B293E">
        <w:rPr>
          <w:sz w:val="18"/>
          <w:szCs w:val="18"/>
        </w:rPr>
        <w:t>, at three pH values</w:t>
      </w:r>
      <w:r w:rsidR="00A61630" w:rsidRPr="006B293E">
        <w:rPr>
          <w:sz w:val="18"/>
          <w:szCs w:val="18"/>
        </w:rPr>
        <w:t>,</w:t>
      </w:r>
      <w:r w:rsidR="000D3726" w:rsidRPr="006B293E">
        <w:rPr>
          <w:sz w:val="18"/>
          <w:szCs w:val="18"/>
        </w:rPr>
        <w:t xml:space="preserve"> and multiple S</w:t>
      </w:r>
      <w:r w:rsidR="000D3726" w:rsidRPr="006B293E">
        <w:rPr>
          <w:sz w:val="18"/>
          <w:szCs w:val="18"/>
          <w:vertAlign w:val="subscript"/>
        </w:rPr>
        <w:t>4</w:t>
      </w:r>
      <w:r w:rsidR="000D3726" w:rsidRPr="006B293E">
        <w:rPr>
          <w:sz w:val="18"/>
          <w:szCs w:val="18"/>
        </w:rPr>
        <w:t>O</w:t>
      </w:r>
      <w:r w:rsidR="000D3726" w:rsidRPr="006B293E">
        <w:rPr>
          <w:sz w:val="18"/>
          <w:szCs w:val="18"/>
          <w:vertAlign w:val="subscript"/>
        </w:rPr>
        <w:t>6</w:t>
      </w:r>
      <w:r w:rsidR="000D3726" w:rsidRPr="006B293E">
        <w:rPr>
          <w:sz w:val="18"/>
          <w:szCs w:val="18"/>
          <w:vertAlign w:val="superscript"/>
        </w:rPr>
        <w:t>2-</w:t>
      </w:r>
      <w:r w:rsidR="000D3726" w:rsidRPr="006B293E">
        <w:rPr>
          <w:sz w:val="18"/>
          <w:szCs w:val="18"/>
        </w:rPr>
        <w:t xml:space="preserve"> and S</w:t>
      </w:r>
      <w:r w:rsidR="000D3726" w:rsidRPr="006B293E">
        <w:rPr>
          <w:sz w:val="18"/>
          <w:szCs w:val="18"/>
          <w:vertAlign w:val="subscript"/>
        </w:rPr>
        <w:t>2</w:t>
      </w:r>
      <w:r w:rsidR="000D3726" w:rsidRPr="006B293E">
        <w:rPr>
          <w:sz w:val="18"/>
          <w:szCs w:val="18"/>
        </w:rPr>
        <w:t>O</w:t>
      </w:r>
      <w:r w:rsidR="000D3726" w:rsidRPr="006B293E">
        <w:rPr>
          <w:sz w:val="18"/>
          <w:szCs w:val="18"/>
          <w:vertAlign w:val="subscript"/>
        </w:rPr>
        <w:t>3</w:t>
      </w:r>
      <w:r w:rsidR="000D3726" w:rsidRPr="006B293E">
        <w:rPr>
          <w:sz w:val="18"/>
          <w:szCs w:val="18"/>
          <w:vertAlign w:val="superscript"/>
        </w:rPr>
        <w:t>2-</w:t>
      </w:r>
      <w:r w:rsidR="00D727E8" w:rsidRPr="006B293E">
        <w:rPr>
          <w:sz w:val="18"/>
          <w:szCs w:val="18"/>
        </w:rPr>
        <w:t xml:space="preserve"> conce</w:t>
      </w:r>
      <w:r w:rsidR="00D727E8" w:rsidRPr="006B293E">
        <w:rPr>
          <w:sz w:val="18"/>
          <w:szCs w:val="18"/>
        </w:rPr>
        <w:t>n</w:t>
      </w:r>
      <w:r w:rsidR="00D727E8" w:rsidRPr="006B293E">
        <w:rPr>
          <w:sz w:val="18"/>
          <w:szCs w:val="18"/>
        </w:rPr>
        <w:t>trations</w:t>
      </w:r>
      <w:r w:rsidR="000036AB">
        <w:rPr>
          <w:sz w:val="18"/>
          <w:szCs w:val="18"/>
        </w:rPr>
        <w:t xml:space="preserve"> together with</w:t>
      </w:r>
      <w:r w:rsidR="009F5DBF">
        <w:rPr>
          <w:sz w:val="18"/>
          <w:szCs w:val="18"/>
        </w:rPr>
        <w:t xml:space="preserve"> the </w:t>
      </w:r>
      <w:r w:rsidR="000036AB">
        <w:rPr>
          <w:sz w:val="18"/>
          <w:szCs w:val="18"/>
        </w:rPr>
        <w:t xml:space="preserve">relevant </w:t>
      </w:r>
      <w:r w:rsidR="009F5DBF">
        <w:rPr>
          <w:sz w:val="18"/>
          <w:szCs w:val="18"/>
        </w:rPr>
        <w:t xml:space="preserve">Nernst equation resolved the tetrathionate/thiosulfate </w:t>
      </w:r>
      <w:r w:rsidR="009F5DBF" w:rsidRPr="006B293E">
        <w:rPr>
          <w:sz w:val="18"/>
          <w:szCs w:val="18"/>
        </w:rPr>
        <w:t xml:space="preserve">reduction potential </w:t>
      </w:r>
      <w:r w:rsidR="009F5DBF">
        <w:rPr>
          <w:sz w:val="18"/>
          <w:szCs w:val="18"/>
        </w:rPr>
        <w:t xml:space="preserve">as </w:t>
      </w:r>
      <w:r w:rsidR="009F5DBF" w:rsidRPr="006B293E">
        <w:rPr>
          <w:sz w:val="18"/>
          <w:szCs w:val="18"/>
        </w:rPr>
        <w:t>+198</w:t>
      </w:r>
      <w:r w:rsidR="009F5DBF">
        <w:rPr>
          <w:sz w:val="18"/>
          <w:szCs w:val="18"/>
        </w:rPr>
        <w:t> </w:t>
      </w:r>
      <w:r w:rsidR="009F5DBF" w:rsidRPr="006B293E">
        <w:rPr>
          <w:sz w:val="18"/>
          <w:szCs w:val="18"/>
        </w:rPr>
        <w:t>±</w:t>
      </w:r>
      <w:r w:rsidR="009F5DBF">
        <w:rPr>
          <w:sz w:val="18"/>
          <w:szCs w:val="18"/>
        </w:rPr>
        <w:t> 4 </w:t>
      </w:r>
      <w:r w:rsidR="009F5DBF" w:rsidRPr="006B293E">
        <w:rPr>
          <w:sz w:val="18"/>
          <w:szCs w:val="18"/>
        </w:rPr>
        <w:t xml:space="preserve">mV </w:t>
      </w:r>
      <w:r w:rsidR="009F5DBF" w:rsidRPr="004F0B31">
        <w:rPr>
          <w:i/>
          <w:sz w:val="18"/>
          <w:szCs w:val="18"/>
        </w:rPr>
        <w:t>v</w:t>
      </w:r>
      <w:r w:rsidR="000036AB">
        <w:rPr>
          <w:i/>
          <w:sz w:val="18"/>
          <w:szCs w:val="18"/>
        </w:rPr>
        <w:t>er</w:t>
      </w:r>
      <w:r w:rsidR="009F5DBF" w:rsidRPr="004F0B31">
        <w:rPr>
          <w:i/>
          <w:sz w:val="18"/>
          <w:szCs w:val="18"/>
        </w:rPr>
        <w:t>s</w:t>
      </w:r>
      <w:r w:rsidR="000036AB">
        <w:rPr>
          <w:i/>
          <w:sz w:val="18"/>
          <w:szCs w:val="18"/>
        </w:rPr>
        <w:t>us</w:t>
      </w:r>
      <w:r w:rsidR="009F5DBF" w:rsidRPr="006B293E">
        <w:rPr>
          <w:sz w:val="18"/>
          <w:szCs w:val="18"/>
        </w:rPr>
        <w:t xml:space="preserve"> </w:t>
      </w:r>
      <w:proofErr w:type="gramStart"/>
      <w:r w:rsidR="009F5DBF" w:rsidRPr="006B293E">
        <w:rPr>
          <w:sz w:val="18"/>
          <w:szCs w:val="18"/>
        </w:rPr>
        <w:t>SHE</w:t>
      </w:r>
      <w:proofErr w:type="gramEnd"/>
      <w:r w:rsidR="009F5DBF">
        <w:rPr>
          <w:sz w:val="18"/>
          <w:szCs w:val="18"/>
        </w:rPr>
        <w:t>.</w:t>
      </w:r>
      <w:r w:rsidR="009F5DBF" w:rsidRPr="006B293E">
        <w:rPr>
          <w:sz w:val="18"/>
          <w:szCs w:val="18"/>
        </w:rPr>
        <w:t xml:space="preserve"> </w:t>
      </w:r>
      <w:r w:rsidR="006E79E6" w:rsidRPr="006B293E">
        <w:rPr>
          <w:sz w:val="18"/>
          <w:szCs w:val="18"/>
        </w:rPr>
        <w:t xml:space="preserve">This </w:t>
      </w:r>
      <w:r w:rsidR="00A12610" w:rsidRPr="006B293E">
        <w:rPr>
          <w:sz w:val="18"/>
          <w:szCs w:val="18"/>
        </w:rPr>
        <w:t>potential</w:t>
      </w:r>
      <w:r w:rsidR="006E79E6" w:rsidRPr="006B293E">
        <w:rPr>
          <w:sz w:val="18"/>
          <w:szCs w:val="18"/>
        </w:rPr>
        <w:t xml:space="preserve"> lies in the </w:t>
      </w:r>
      <w:r w:rsidR="00B4437C" w:rsidRPr="006B293E">
        <w:rPr>
          <w:sz w:val="18"/>
          <w:szCs w:val="18"/>
        </w:rPr>
        <w:t xml:space="preserve">approximately </w:t>
      </w:r>
      <w:r w:rsidR="00285D23" w:rsidRPr="006B293E">
        <w:rPr>
          <w:sz w:val="18"/>
          <w:szCs w:val="18"/>
        </w:rPr>
        <w:t xml:space="preserve">250 mV </w:t>
      </w:r>
      <w:r w:rsidR="00A12610" w:rsidRPr="00513DEF">
        <w:rPr>
          <w:sz w:val="18"/>
          <w:szCs w:val="18"/>
        </w:rPr>
        <w:t>wi</w:t>
      </w:r>
      <w:r w:rsidR="006E79E6" w:rsidRPr="00513DEF">
        <w:rPr>
          <w:sz w:val="18"/>
          <w:szCs w:val="18"/>
        </w:rPr>
        <w:t xml:space="preserve">ndow </w:t>
      </w:r>
      <w:r w:rsidR="00A12610" w:rsidRPr="00513DEF">
        <w:rPr>
          <w:sz w:val="18"/>
          <w:szCs w:val="18"/>
        </w:rPr>
        <w:t xml:space="preserve">encompassing previously </w:t>
      </w:r>
      <w:r w:rsidR="00303D61" w:rsidRPr="00513DEF">
        <w:rPr>
          <w:sz w:val="18"/>
          <w:szCs w:val="18"/>
        </w:rPr>
        <w:t xml:space="preserve">reported </w:t>
      </w:r>
      <w:r w:rsidR="00A12610" w:rsidRPr="00513DEF">
        <w:rPr>
          <w:sz w:val="18"/>
          <w:szCs w:val="18"/>
        </w:rPr>
        <w:t>values</w:t>
      </w:r>
      <w:r w:rsidR="00303D61" w:rsidRPr="00513DEF">
        <w:rPr>
          <w:sz w:val="18"/>
          <w:szCs w:val="18"/>
        </w:rPr>
        <w:t xml:space="preserve"> calculated from parameters including the free energy of formation</w:t>
      </w:r>
      <w:r w:rsidR="00A12610" w:rsidRPr="00513DEF">
        <w:rPr>
          <w:sz w:val="18"/>
          <w:szCs w:val="18"/>
        </w:rPr>
        <w:t>.</w:t>
      </w:r>
      <w:r w:rsidR="00A12610" w:rsidRPr="006B293E">
        <w:rPr>
          <w:sz w:val="18"/>
          <w:szCs w:val="18"/>
        </w:rPr>
        <w:t xml:space="preserve"> </w:t>
      </w:r>
      <w:r w:rsidR="006E79E6" w:rsidRPr="006B293E">
        <w:rPr>
          <w:sz w:val="18"/>
          <w:szCs w:val="18"/>
        </w:rPr>
        <w:t>However, th</w:t>
      </w:r>
      <w:r w:rsidR="00B4437C" w:rsidRPr="006B293E">
        <w:rPr>
          <w:sz w:val="18"/>
          <w:szCs w:val="18"/>
        </w:rPr>
        <w:t xml:space="preserve">e value </w:t>
      </w:r>
      <w:r w:rsidR="006E79E6" w:rsidRPr="006B293E">
        <w:rPr>
          <w:sz w:val="18"/>
          <w:szCs w:val="18"/>
        </w:rPr>
        <w:t xml:space="preserve">is </w:t>
      </w:r>
      <w:r w:rsidR="00D727E8" w:rsidRPr="006B293E">
        <w:rPr>
          <w:sz w:val="18"/>
          <w:szCs w:val="18"/>
        </w:rPr>
        <w:t>c</w:t>
      </w:r>
      <w:r w:rsidR="001D0850" w:rsidRPr="006B293E">
        <w:rPr>
          <w:sz w:val="18"/>
          <w:szCs w:val="18"/>
        </w:rPr>
        <w:t>onsiderably more positive tha</w:t>
      </w:r>
      <w:r w:rsidR="001A40FD" w:rsidRPr="006B293E">
        <w:rPr>
          <w:sz w:val="18"/>
          <w:szCs w:val="18"/>
        </w:rPr>
        <w:t xml:space="preserve">n </w:t>
      </w:r>
      <w:r w:rsidR="00B4437C" w:rsidRPr="006B293E">
        <w:rPr>
          <w:sz w:val="18"/>
          <w:szCs w:val="18"/>
        </w:rPr>
        <w:t xml:space="preserve">widely </w:t>
      </w:r>
      <w:r w:rsidR="006E79E6" w:rsidRPr="006B293E">
        <w:rPr>
          <w:sz w:val="18"/>
          <w:szCs w:val="18"/>
        </w:rPr>
        <w:t xml:space="preserve">used </w:t>
      </w:r>
      <w:r w:rsidR="00A12610" w:rsidRPr="006B293E">
        <w:rPr>
          <w:sz w:val="18"/>
          <w:szCs w:val="18"/>
        </w:rPr>
        <w:t>in</w:t>
      </w:r>
      <w:r w:rsidR="006E79E6" w:rsidRPr="006B293E">
        <w:rPr>
          <w:sz w:val="18"/>
          <w:szCs w:val="18"/>
        </w:rPr>
        <w:t xml:space="preserve"> </w:t>
      </w:r>
      <w:r w:rsidR="001A40FD" w:rsidRPr="006B293E">
        <w:rPr>
          <w:sz w:val="18"/>
          <w:szCs w:val="18"/>
        </w:rPr>
        <w:t>discu</w:t>
      </w:r>
      <w:r w:rsidR="001A40FD" w:rsidRPr="006B293E">
        <w:rPr>
          <w:sz w:val="18"/>
          <w:szCs w:val="18"/>
        </w:rPr>
        <w:t>s</w:t>
      </w:r>
      <w:r w:rsidR="001A40FD" w:rsidRPr="006B293E">
        <w:rPr>
          <w:sz w:val="18"/>
          <w:szCs w:val="18"/>
        </w:rPr>
        <w:t>sions of</w:t>
      </w:r>
      <w:r w:rsidR="001D0850" w:rsidRPr="006B293E">
        <w:rPr>
          <w:sz w:val="18"/>
          <w:szCs w:val="18"/>
        </w:rPr>
        <w:t xml:space="preserve"> bacterial bioenergetics. </w:t>
      </w:r>
      <w:r w:rsidR="00A12610" w:rsidRPr="006B293E">
        <w:rPr>
          <w:sz w:val="18"/>
          <w:szCs w:val="18"/>
        </w:rPr>
        <w:t>As a consequence a</w:t>
      </w:r>
      <w:r w:rsidR="006E79E6" w:rsidRPr="006B293E">
        <w:rPr>
          <w:sz w:val="18"/>
          <w:szCs w:val="18"/>
        </w:rPr>
        <w:t xml:space="preserve">naerobic respiration </w:t>
      </w:r>
      <w:r w:rsidR="00A12610" w:rsidRPr="006B293E">
        <w:rPr>
          <w:sz w:val="18"/>
          <w:szCs w:val="18"/>
        </w:rPr>
        <w:t xml:space="preserve">by </w:t>
      </w:r>
      <w:r w:rsidR="006E79E6" w:rsidRPr="006B293E">
        <w:rPr>
          <w:sz w:val="18"/>
          <w:szCs w:val="18"/>
        </w:rPr>
        <w:t xml:space="preserve">tetrathionate reduction </w:t>
      </w:r>
      <w:r w:rsidR="00A12610" w:rsidRPr="006B293E">
        <w:rPr>
          <w:sz w:val="18"/>
          <w:szCs w:val="18"/>
        </w:rPr>
        <w:t xml:space="preserve">is likely to </w:t>
      </w:r>
      <w:r w:rsidR="00B4437C" w:rsidRPr="006B293E">
        <w:rPr>
          <w:sz w:val="18"/>
          <w:szCs w:val="18"/>
        </w:rPr>
        <w:t>be</w:t>
      </w:r>
      <w:r w:rsidR="0077498C" w:rsidRPr="006B293E">
        <w:rPr>
          <w:sz w:val="18"/>
          <w:szCs w:val="18"/>
        </w:rPr>
        <w:t xml:space="preserve"> </w:t>
      </w:r>
      <w:r w:rsidR="006E79E6" w:rsidRPr="006B293E">
        <w:rPr>
          <w:sz w:val="18"/>
          <w:szCs w:val="18"/>
        </w:rPr>
        <w:t xml:space="preserve">more prevalent than </w:t>
      </w:r>
      <w:r w:rsidR="00A61630" w:rsidRPr="006B293E">
        <w:rPr>
          <w:sz w:val="18"/>
          <w:szCs w:val="18"/>
        </w:rPr>
        <w:t xml:space="preserve">presently </w:t>
      </w:r>
      <w:r w:rsidR="006E79E6" w:rsidRPr="006B293E">
        <w:rPr>
          <w:sz w:val="18"/>
          <w:szCs w:val="18"/>
        </w:rPr>
        <w:t>thought</w:t>
      </w:r>
      <w:r w:rsidR="00A12610" w:rsidRPr="006B293E">
        <w:rPr>
          <w:sz w:val="18"/>
          <w:szCs w:val="18"/>
        </w:rPr>
        <w:t xml:space="preserve"> in tetra</w:t>
      </w:r>
      <w:r w:rsidR="0083799E">
        <w:rPr>
          <w:sz w:val="18"/>
          <w:szCs w:val="18"/>
        </w:rPr>
        <w:softHyphen/>
      </w:r>
      <w:r w:rsidR="00A12610" w:rsidRPr="006B293E">
        <w:rPr>
          <w:sz w:val="18"/>
          <w:szCs w:val="18"/>
        </w:rPr>
        <w:t>thionate</w:t>
      </w:r>
      <w:r w:rsidR="00A61630" w:rsidRPr="006B293E">
        <w:rPr>
          <w:sz w:val="18"/>
          <w:szCs w:val="18"/>
        </w:rPr>
        <w:t>-</w:t>
      </w:r>
      <w:r w:rsidR="004F0B31">
        <w:rPr>
          <w:sz w:val="18"/>
          <w:szCs w:val="18"/>
        </w:rPr>
        <w:t>containing</w:t>
      </w:r>
      <w:r w:rsidR="00E40223">
        <w:rPr>
          <w:sz w:val="18"/>
          <w:szCs w:val="18"/>
        </w:rPr>
        <w:t xml:space="preserve"> </w:t>
      </w:r>
      <w:r w:rsidR="004F0B31">
        <w:rPr>
          <w:sz w:val="18"/>
          <w:szCs w:val="18"/>
        </w:rPr>
        <w:t>environments</w:t>
      </w:r>
      <w:r w:rsidR="00285D23" w:rsidRPr="006B293E">
        <w:rPr>
          <w:sz w:val="18"/>
          <w:szCs w:val="18"/>
        </w:rPr>
        <w:t xml:space="preserve"> </w:t>
      </w:r>
      <w:r w:rsidR="004F0B31">
        <w:rPr>
          <w:sz w:val="18"/>
          <w:szCs w:val="18"/>
        </w:rPr>
        <w:t xml:space="preserve">such as </w:t>
      </w:r>
      <w:r w:rsidR="00285D23" w:rsidRPr="006B293E">
        <w:rPr>
          <w:sz w:val="18"/>
          <w:szCs w:val="18"/>
        </w:rPr>
        <w:t>marine sediments and the human gut</w:t>
      </w:r>
      <w:r w:rsidR="006E79E6" w:rsidRPr="006B293E">
        <w:rPr>
          <w:sz w:val="18"/>
          <w:szCs w:val="18"/>
        </w:rPr>
        <w:t>.</w:t>
      </w:r>
      <w:r w:rsidR="006E79E6" w:rsidRPr="002A4962">
        <w:rPr>
          <w:sz w:val="18"/>
          <w:szCs w:val="18"/>
        </w:rPr>
        <w:t xml:space="preserve"> </w:t>
      </w:r>
      <w:r w:rsidR="001D0850" w:rsidRPr="002A4962">
        <w:rPr>
          <w:sz w:val="18"/>
          <w:szCs w:val="18"/>
        </w:rPr>
        <w:t xml:space="preserve">  </w:t>
      </w:r>
    </w:p>
    <w:p w:rsidR="004E35E0" w:rsidRPr="002A4962" w:rsidRDefault="004E35E0" w:rsidP="008F3530">
      <w:pPr>
        <w:pStyle w:val="TAMainText"/>
        <w:sectPr w:rsidR="004E35E0" w:rsidRPr="002A4962" w:rsidSect="00030760">
          <w:type w:val="continuous"/>
          <w:pgSz w:w="12240" w:h="15840" w:code="1"/>
          <w:pgMar w:top="720" w:right="1094" w:bottom="720" w:left="1094" w:header="720" w:footer="720" w:gutter="0"/>
          <w:cols w:space="461"/>
          <w:docGrid w:linePitch="326"/>
        </w:sectPr>
      </w:pPr>
    </w:p>
    <w:p w:rsidR="00F44E02" w:rsidRPr="002A4962" w:rsidRDefault="005C27B5" w:rsidP="001D3990">
      <w:pPr>
        <w:spacing w:after="60"/>
        <w:ind w:firstLine="284"/>
        <w:rPr>
          <w:rFonts w:ascii="Arno Pro" w:hAnsi="Arno Pro"/>
          <w:sz w:val="18"/>
          <w:szCs w:val="18"/>
        </w:rPr>
      </w:pPr>
      <w:r w:rsidRPr="002A4962">
        <w:rPr>
          <w:rFonts w:ascii="Arno Pro" w:hAnsi="Arno Pro"/>
          <w:sz w:val="18"/>
          <w:szCs w:val="18"/>
        </w:rPr>
        <w:lastRenderedPageBreak/>
        <w:t xml:space="preserve">There are numerous sulfur oxoacids and </w:t>
      </w:r>
      <w:r w:rsidR="00715F8B" w:rsidRPr="002A4962">
        <w:rPr>
          <w:rFonts w:ascii="Arno Pro" w:hAnsi="Arno Pro"/>
          <w:sz w:val="18"/>
          <w:szCs w:val="18"/>
        </w:rPr>
        <w:t>many of those compounds</w:t>
      </w:r>
      <w:r w:rsidRPr="002A4962">
        <w:rPr>
          <w:rFonts w:ascii="Arno Pro" w:hAnsi="Arno Pro"/>
          <w:sz w:val="18"/>
          <w:szCs w:val="18"/>
        </w:rPr>
        <w:t xml:space="preserve"> have industrial significance</w:t>
      </w:r>
      <w:r w:rsidR="001F5C71" w:rsidRPr="002A4962">
        <w:rPr>
          <w:rFonts w:ascii="Arno Pro" w:hAnsi="Arno Pro"/>
          <w:sz w:val="18"/>
          <w:szCs w:val="18"/>
        </w:rPr>
        <w:fldChar w:fldCharType="begin" w:fldLock="1"/>
      </w:r>
      <w:r w:rsidR="00460672">
        <w:rPr>
          <w:rFonts w:ascii="Arno Pro" w:hAnsi="Arno Pro"/>
          <w:sz w:val="18"/>
          <w:szCs w:val="18"/>
        </w:rPr>
        <w:instrText>ADDIN CSL_CITATION { "citationItems" : [ { "id" : "ITEM-1", "itemData" : { "ISBN" : "9780854046904", "author" : [ { "dropping-particle" : "", "family" : "Harding", "given" : "C", "non-dropping-particle" : "", "parse-names" : false, "suffix" : "" }, { "dropping-particle" : "", "family" : "Janes", "given" : "R", "non-dropping-particle" : "", "parse-names" : false, "suffix" : "" }, { "dropping-particle" : "", "family" : "Johnson", "given" : "D", "non-dropping-particle" : "", "parse-names" : false, "suffix" : "" } ], "id" : "ITEM-1", "issued" : { "date-parts" : [ [ "2002" ] ] }, "publisher" : "Royal Society of Chemistry", "publisher-place" : "Cambridge", "title" : "Elements of the P Block", "type" : "book" }, "uris" : [ "http://www.mendeley.com/documents/?uuid=e8dc812d-75fe-4791-a62e-55b1e3f0e5f1" ] } ], "mendeley" : { "formattedCitation" : "&lt;sup&gt;1&lt;/sup&gt;", "plainTextFormattedCitation" : "1", "previouslyFormattedCitation" : "&lt;sup&gt;1&lt;/sup&gt;" }, "properties" : { "noteIndex" : 0 }, "schema" : "https://github.com/citation-style-language/schema/raw/master/csl-citation.json" }</w:instrText>
      </w:r>
      <w:r w:rsidR="001F5C71" w:rsidRPr="002A4962">
        <w:rPr>
          <w:rFonts w:ascii="Arno Pro" w:hAnsi="Arno Pro"/>
          <w:sz w:val="18"/>
          <w:szCs w:val="18"/>
        </w:rPr>
        <w:fldChar w:fldCharType="separate"/>
      </w:r>
      <w:r w:rsidR="00C90C32" w:rsidRPr="002A4962">
        <w:rPr>
          <w:rFonts w:ascii="Arno Pro" w:hAnsi="Arno Pro"/>
          <w:noProof/>
          <w:sz w:val="18"/>
          <w:szCs w:val="18"/>
          <w:vertAlign w:val="superscript"/>
        </w:rPr>
        <w:t>1</w:t>
      </w:r>
      <w:r w:rsidR="001F5C71" w:rsidRPr="002A4962">
        <w:rPr>
          <w:rFonts w:ascii="Arno Pro" w:hAnsi="Arno Pro"/>
          <w:sz w:val="18"/>
          <w:szCs w:val="18"/>
        </w:rPr>
        <w:fldChar w:fldCharType="end"/>
      </w:r>
      <w:r w:rsidR="00C90C32" w:rsidRPr="002A4962">
        <w:rPr>
          <w:rFonts w:ascii="Arno Pro" w:hAnsi="Arno Pro"/>
          <w:sz w:val="18"/>
          <w:szCs w:val="18"/>
        </w:rPr>
        <w:t>.</w:t>
      </w:r>
      <w:r w:rsidRPr="002A4962">
        <w:rPr>
          <w:rFonts w:ascii="Arno Pro" w:hAnsi="Arno Pro"/>
          <w:sz w:val="18"/>
          <w:szCs w:val="18"/>
        </w:rPr>
        <w:t xml:space="preserve"> </w:t>
      </w:r>
      <w:r w:rsidR="00177702" w:rsidRPr="002A4962">
        <w:rPr>
          <w:rFonts w:ascii="Arno Pro" w:hAnsi="Arno Pro"/>
          <w:sz w:val="18"/>
          <w:szCs w:val="18"/>
        </w:rPr>
        <w:t>Perhaps the most well-known is sulfuric acid</w:t>
      </w:r>
      <w:r w:rsidR="00360454" w:rsidRPr="002A4962">
        <w:rPr>
          <w:rFonts w:ascii="Arno Pro" w:hAnsi="Arno Pro"/>
          <w:sz w:val="18"/>
          <w:szCs w:val="18"/>
        </w:rPr>
        <w:t xml:space="preserve">. This chemical </w:t>
      </w:r>
      <w:r w:rsidR="00177702" w:rsidRPr="002A4962">
        <w:rPr>
          <w:rFonts w:ascii="Arno Pro" w:hAnsi="Arno Pro"/>
          <w:sz w:val="18"/>
          <w:szCs w:val="18"/>
        </w:rPr>
        <w:t xml:space="preserve">is a key </w:t>
      </w:r>
      <w:r w:rsidRPr="002A4962">
        <w:rPr>
          <w:rFonts w:ascii="Arno Pro" w:hAnsi="Arno Pro"/>
          <w:sz w:val="18"/>
          <w:szCs w:val="18"/>
        </w:rPr>
        <w:t>constitu</w:t>
      </w:r>
      <w:r w:rsidR="00BA7DC3">
        <w:rPr>
          <w:rFonts w:ascii="Arno Pro" w:hAnsi="Arno Pro"/>
          <w:sz w:val="18"/>
          <w:szCs w:val="18"/>
        </w:rPr>
        <w:softHyphen/>
      </w:r>
      <w:r w:rsidRPr="002A4962">
        <w:rPr>
          <w:rFonts w:ascii="Arno Pro" w:hAnsi="Arno Pro"/>
          <w:sz w:val="18"/>
          <w:szCs w:val="18"/>
        </w:rPr>
        <w:t xml:space="preserve">ent of lead-acid batteries </w:t>
      </w:r>
      <w:r w:rsidR="0029059D" w:rsidRPr="002A4962">
        <w:rPr>
          <w:rFonts w:ascii="Arno Pro" w:hAnsi="Arno Pro"/>
          <w:sz w:val="18"/>
          <w:szCs w:val="18"/>
        </w:rPr>
        <w:t xml:space="preserve">and </w:t>
      </w:r>
      <w:r w:rsidR="00177702" w:rsidRPr="002A4962">
        <w:rPr>
          <w:rFonts w:ascii="Arno Pro" w:hAnsi="Arno Pro"/>
          <w:sz w:val="18"/>
          <w:szCs w:val="18"/>
        </w:rPr>
        <w:t>the</w:t>
      </w:r>
      <w:r w:rsidRPr="002A4962">
        <w:rPr>
          <w:rFonts w:ascii="Arno Pro" w:hAnsi="Arno Pro"/>
          <w:sz w:val="18"/>
          <w:szCs w:val="18"/>
        </w:rPr>
        <w:t xml:space="preserve"> production of phosphate</w:t>
      </w:r>
      <w:r w:rsidR="00030760">
        <w:rPr>
          <w:rFonts w:ascii="Arno Pro" w:hAnsi="Arno Pro"/>
          <w:sz w:val="18"/>
          <w:szCs w:val="18"/>
        </w:rPr>
        <w:t xml:space="preserve"> </w:t>
      </w:r>
      <w:r w:rsidRPr="002A4962">
        <w:rPr>
          <w:rFonts w:ascii="Arno Pro" w:hAnsi="Arno Pro"/>
          <w:sz w:val="18"/>
          <w:szCs w:val="18"/>
        </w:rPr>
        <w:t xml:space="preserve">fertilizers. However, other sulfur </w:t>
      </w:r>
      <w:proofErr w:type="spellStart"/>
      <w:r w:rsidRPr="002A4962">
        <w:rPr>
          <w:rFonts w:ascii="Arno Pro" w:hAnsi="Arno Pro"/>
          <w:sz w:val="18"/>
          <w:szCs w:val="18"/>
        </w:rPr>
        <w:t>oxoanions</w:t>
      </w:r>
      <w:proofErr w:type="spellEnd"/>
      <w:r w:rsidR="00030760">
        <w:rPr>
          <w:rFonts w:ascii="Arno Pro" w:hAnsi="Arno Pro"/>
          <w:sz w:val="18"/>
          <w:szCs w:val="18"/>
        </w:rPr>
        <w:t xml:space="preserve"> are valuable </w:t>
      </w:r>
      <w:r w:rsidRPr="002A4962">
        <w:rPr>
          <w:rFonts w:ascii="Arno Pro" w:hAnsi="Arno Pro"/>
          <w:sz w:val="18"/>
          <w:szCs w:val="18"/>
        </w:rPr>
        <w:t>r</w:t>
      </w:r>
      <w:r w:rsidRPr="002A4962">
        <w:rPr>
          <w:rFonts w:ascii="Arno Pro" w:hAnsi="Arno Pro"/>
          <w:sz w:val="18"/>
          <w:szCs w:val="18"/>
        </w:rPr>
        <w:t>e</w:t>
      </w:r>
      <w:r w:rsidRPr="002A4962">
        <w:rPr>
          <w:rFonts w:ascii="Arno Pro" w:hAnsi="Arno Pro"/>
          <w:sz w:val="18"/>
          <w:szCs w:val="18"/>
        </w:rPr>
        <w:t>ducing agen</w:t>
      </w:r>
      <w:r w:rsidR="00E846F5" w:rsidRPr="002A4962">
        <w:rPr>
          <w:rFonts w:ascii="Arno Pro" w:hAnsi="Arno Pro"/>
          <w:sz w:val="18"/>
          <w:szCs w:val="18"/>
        </w:rPr>
        <w:t>ts. A case in point</w:t>
      </w:r>
      <w:r w:rsidRPr="002A4962">
        <w:rPr>
          <w:rFonts w:ascii="Arno Pro" w:hAnsi="Arno Pro"/>
          <w:sz w:val="18"/>
          <w:szCs w:val="18"/>
        </w:rPr>
        <w:t xml:space="preserve"> is thiosulfate </w:t>
      </w:r>
      <w:r w:rsidR="00E64CFF" w:rsidRPr="002A4962">
        <w:rPr>
          <w:rFonts w:ascii="Arno Pro" w:hAnsi="Arno Pro"/>
          <w:sz w:val="18"/>
          <w:szCs w:val="18"/>
        </w:rPr>
        <w:t>(S</w:t>
      </w:r>
      <w:r w:rsidR="00E64CFF" w:rsidRPr="002A4962">
        <w:rPr>
          <w:rFonts w:ascii="Arno Pro" w:hAnsi="Arno Pro"/>
          <w:sz w:val="18"/>
          <w:szCs w:val="18"/>
          <w:vertAlign w:val="subscript"/>
        </w:rPr>
        <w:t>2</w:t>
      </w:r>
      <w:r w:rsidR="00E64CFF" w:rsidRPr="002A4962">
        <w:rPr>
          <w:rFonts w:ascii="Arno Pro" w:hAnsi="Arno Pro"/>
          <w:sz w:val="18"/>
          <w:szCs w:val="18"/>
        </w:rPr>
        <w:t>O</w:t>
      </w:r>
      <w:r w:rsidR="00E64CFF" w:rsidRPr="002A4962">
        <w:rPr>
          <w:rFonts w:ascii="Arno Pro" w:hAnsi="Arno Pro"/>
          <w:sz w:val="18"/>
          <w:szCs w:val="18"/>
          <w:vertAlign w:val="subscript"/>
        </w:rPr>
        <w:t>3</w:t>
      </w:r>
      <w:r w:rsidR="00E64CFF" w:rsidRPr="002A4962">
        <w:rPr>
          <w:rFonts w:ascii="Arno Pro" w:hAnsi="Arno Pro"/>
          <w:sz w:val="18"/>
          <w:szCs w:val="18"/>
          <w:vertAlign w:val="superscript"/>
        </w:rPr>
        <w:t>2</w:t>
      </w:r>
      <w:r w:rsidR="00E64CFF" w:rsidRPr="002A4962">
        <w:rPr>
          <w:rFonts w:ascii="Arno Pro" w:hAnsi="Arno Pro"/>
          <w:sz w:val="18"/>
          <w:szCs w:val="18"/>
          <w:vertAlign w:val="superscript"/>
        </w:rPr>
        <w:noBreakHyphen/>
      </w:r>
      <w:r w:rsidR="00E64CFF" w:rsidRPr="002A4962">
        <w:rPr>
          <w:rFonts w:ascii="Arno Pro" w:hAnsi="Arno Pro"/>
          <w:sz w:val="18"/>
          <w:szCs w:val="18"/>
        </w:rPr>
        <w:t>)</w:t>
      </w:r>
      <w:r w:rsidRPr="002A4962">
        <w:rPr>
          <w:rFonts w:ascii="Arno Pro" w:hAnsi="Arno Pro"/>
          <w:sz w:val="18"/>
          <w:szCs w:val="18"/>
        </w:rPr>
        <w:t>. Th</w:t>
      </w:r>
      <w:r w:rsidR="00177702" w:rsidRPr="002A4962">
        <w:rPr>
          <w:rFonts w:ascii="Arno Pro" w:hAnsi="Arno Pro"/>
          <w:sz w:val="18"/>
          <w:szCs w:val="18"/>
        </w:rPr>
        <w:t xml:space="preserve">is ion </w:t>
      </w:r>
      <w:r w:rsidRPr="002A4962">
        <w:rPr>
          <w:rFonts w:ascii="Arno Pro" w:hAnsi="Arno Pro"/>
          <w:sz w:val="18"/>
          <w:szCs w:val="18"/>
        </w:rPr>
        <w:t>instantly neutral</w:t>
      </w:r>
      <w:r w:rsidR="00BA7DC3">
        <w:rPr>
          <w:rFonts w:ascii="Arno Pro" w:hAnsi="Arno Pro"/>
          <w:sz w:val="18"/>
          <w:szCs w:val="18"/>
        </w:rPr>
        <w:softHyphen/>
      </w:r>
      <w:r w:rsidRPr="002A4962">
        <w:rPr>
          <w:rFonts w:ascii="Arno Pro" w:hAnsi="Arno Pro"/>
          <w:sz w:val="18"/>
          <w:szCs w:val="18"/>
        </w:rPr>
        <w:t>ize</w:t>
      </w:r>
      <w:r w:rsidR="00177702" w:rsidRPr="002A4962">
        <w:rPr>
          <w:rFonts w:ascii="Arno Pro" w:hAnsi="Arno Pro"/>
          <w:sz w:val="18"/>
          <w:szCs w:val="18"/>
        </w:rPr>
        <w:t>s</w:t>
      </w:r>
      <w:r w:rsidRPr="002A4962">
        <w:rPr>
          <w:rFonts w:ascii="Arno Pro" w:hAnsi="Arno Pro"/>
          <w:sz w:val="18"/>
          <w:szCs w:val="18"/>
        </w:rPr>
        <w:t xml:space="preserve"> bleach </w:t>
      </w:r>
      <w:r w:rsidR="00C93DB9">
        <w:rPr>
          <w:rFonts w:ascii="Arno Pro" w:hAnsi="Arno Pro"/>
          <w:sz w:val="18"/>
          <w:szCs w:val="18"/>
        </w:rPr>
        <w:t xml:space="preserve">in a reaction </w:t>
      </w:r>
      <w:r w:rsidR="00177702" w:rsidRPr="002A4962">
        <w:rPr>
          <w:rFonts w:ascii="Arno Pro" w:hAnsi="Arno Pro"/>
          <w:sz w:val="18"/>
          <w:szCs w:val="18"/>
        </w:rPr>
        <w:t>fre</w:t>
      </w:r>
      <w:r w:rsidR="00BA7DC3">
        <w:rPr>
          <w:rFonts w:ascii="Arno Pro" w:hAnsi="Arno Pro"/>
          <w:sz w:val="18"/>
          <w:szCs w:val="18"/>
        </w:rPr>
        <w:softHyphen/>
      </w:r>
      <w:r w:rsidR="00177702" w:rsidRPr="002A4962">
        <w:rPr>
          <w:rFonts w:ascii="Arno Pro" w:hAnsi="Arno Pro"/>
          <w:sz w:val="18"/>
          <w:szCs w:val="18"/>
        </w:rPr>
        <w:t>quently exploited during w</w:t>
      </w:r>
      <w:r w:rsidRPr="002A4962">
        <w:rPr>
          <w:rFonts w:ascii="Arno Pro" w:hAnsi="Arno Pro"/>
          <w:sz w:val="18"/>
          <w:szCs w:val="18"/>
        </w:rPr>
        <w:t>ater-treatment and paper-making.</w:t>
      </w:r>
      <w:r w:rsidR="00C93DB9">
        <w:rPr>
          <w:rFonts w:ascii="Arno Pro" w:hAnsi="Arno Pro"/>
          <w:sz w:val="18"/>
          <w:szCs w:val="18"/>
        </w:rPr>
        <w:t xml:space="preserve"> The final pro</w:t>
      </w:r>
      <w:r w:rsidR="00C93DB9">
        <w:rPr>
          <w:rFonts w:ascii="Arno Pro" w:hAnsi="Arno Pro"/>
          <w:sz w:val="18"/>
          <w:szCs w:val="18"/>
        </w:rPr>
        <w:t>d</w:t>
      </w:r>
      <w:r w:rsidR="00C93DB9">
        <w:rPr>
          <w:rFonts w:ascii="Arno Pro" w:hAnsi="Arno Pro"/>
          <w:sz w:val="18"/>
          <w:szCs w:val="18"/>
        </w:rPr>
        <w:t xml:space="preserve">ucts of the reaction are tetrathionate </w:t>
      </w:r>
      <w:r w:rsidR="00C93DB9" w:rsidRPr="002A4962">
        <w:rPr>
          <w:rFonts w:ascii="Arno Pro" w:hAnsi="Arno Pro"/>
          <w:sz w:val="18"/>
          <w:szCs w:val="18"/>
        </w:rPr>
        <w:t>(S</w:t>
      </w:r>
      <w:r w:rsidR="00C93DB9" w:rsidRPr="002A4962">
        <w:rPr>
          <w:rFonts w:ascii="Arno Pro" w:hAnsi="Arno Pro"/>
          <w:sz w:val="18"/>
          <w:szCs w:val="18"/>
          <w:vertAlign w:val="subscript"/>
        </w:rPr>
        <w:t>4</w:t>
      </w:r>
      <w:r w:rsidR="00C93DB9" w:rsidRPr="002A4962">
        <w:rPr>
          <w:rFonts w:ascii="Arno Pro" w:hAnsi="Arno Pro"/>
          <w:sz w:val="18"/>
          <w:szCs w:val="18"/>
        </w:rPr>
        <w:t>O</w:t>
      </w:r>
      <w:r w:rsidR="00C93DB9" w:rsidRPr="002A4962">
        <w:rPr>
          <w:rFonts w:ascii="Arno Pro" w:hAnsi="Arno Pro"/>
          <w:sz w:val="18"/>
          <w:szCs w:val="18"/>
          <w:vertAlign w:val="subscript"/>
        </w:rPr>
        <w:t>6</w:t>
      </w:r>
      <w:r w:rsidR="00C93DB9" w:rsidRPr="002A4962">
        <w:rPr>
          <w:rFonts w:ascii="Arno Pro" w:hAnsi="Arno Pro"/>
          <w:sz w:val="18"/>
          <w:szCs w:val="18"/>
          <w:vertAlign w:val="superscript"/>
        </w:rPr>
        <w:t>2</w:t>
      </w:r>
      <w:r w:rsidR="00C93DB9" w:rsidRPr="002A4962">
        <w:rPr>
          <w:rFonts w:ascii="Arno Pro" w:hAnsi="Arno Pro"/>
          <w:sz w:val="18"/>
          <w:szCs w:val="18"/>
          <w:vertAlign w:val="superscript"/>
        </w:rPr>
        <w:noBreakHyphen/>
      </w:r>
      <w:r w:rsidR="00C93DB9" w:rsidRPr="002A4962">
        <w:rPr>
          <w:rFonts w:ascii="Arno Pro" w:hAnsi="Arno Pro"/>
          <w:sz w:val="18"/>
          <w:szCs w:val="18"/>
        </w:rPr>
        <w:t>)</w:t>
      </w:r>
      <w:r w:rsidR="00C93DB9">
        <w:rPr>
          <w:rFonts w:ascii="Arno Pro" w:hAnsi="Arno Pro"/>
          <w:sz w:val="18"/>
          <w:szCs w:val="18"/>
        </w:rPr>
        <w:t xml:space="preserve">, higher </w:t>
      </w:r>
      <w:proofErr w:type="spellStart"/>
      <w:r w:rsidR="00C93DB9">
        <w:rPr>
          <w:rFonts w:ascii="Arno Pro" w:hAnsi="Arno Pro"/>
          <w:sz w:val="18"/>
          <w:szCs w:val="18"/>
        </w:rPr>
        <w:t>polythionates</w:t>
      </w:r>
      <w:proofErr w:type="spellEnd"/>
      <w:r w:rsidR="00C93DB9">
        <w:rPr>
          <w:rFonts w:ascii="Arno Pro" w:hAnsi="Arno Pro"/>
          <w:sz w:val="18"/>
          <w:szCs w:val="18"/>
        </w:rPr>
        <w:t xml:space="preserve"> and sulfate</w:t>
      </w:r>
      <w:r w:rsidR="001F5C71">
        <w:rPr>
          <w:rFonts w:ascii="Arno Pro" w:hAnsi="Arno Pro"/>
          <w:sz w:val="18"/>
          <w:szCs w:val="18"/>
        </w:rPr>
        <w:fldChar w:fldCharType="begin" w:fldLock="1"/>
      </w:r>
      <w:r w:rsidR="003B2989">
        <w:rPr>
          <w:rFonts w:ascii="Arno Pro" w:hAnsi="Arno Pro"/>
          <w:sz w:val="18"/>
          <w:szCs w:val="18"/>
        </w:rPr>
        <w:instrText>ADDIN CSL_CITATION { "citationItems" : [ { "id" : "ITEM-1", "itemData" : { "DOI" : "10.1021/jp0567873", "ISSN" : "15206106", "PMID" : "16471841", "abstract" : "It has been clearly shown that not only tetrathionate but also pentathionate or even higher polythionates is formed in the oxidation of thiosulfate by hypochlorous acid in a slightly acidic medium. In thiosulfate excess, the absorbance-time curves registered at 250 nm may go through a maximum followed by a minimum, suggesting the presence of a short-lived absorbing intermediate proposed to be S(2)O(3)OCl(3-). Matrix rank analysis (MRA) studies have revealed that altogether five independent absorbing species are present in the wavelength range 240-400 nm. A kinetic model is suggested to take all of the experimental observations into account.", "author" : [ { "dropping-particle" : "", "family" : "Varga", "given" : "D\u00e9nes", "non-dropping-particle" : "", "parse-names" : false, "suffix" : "" }, { "dropping-particle" : "", "family" : "Horv\u00e1th", "given" : "Attila K.", "non-dropping-particle" : "", "parse-names" : false, "suffix" : "" }, { "dropping-particle" : "", "family" : "Nagyp\u00e1l", "given" : "Istv\u00e1n", "non-dropping-particle" : "", "parse-names" : false, "suffix" : "" } ], "container-title" : "Journal of Physical Chemistry B", "id" : "ITEM-1", "issue" : "6", "issued" : { "date-parts" : [ [ "2006" ] ] }, "page" : "2467-2470", "title" : "Unexpected formation of higher polythionates in the oxidation of thiosulfate by hypochlorous acid in a slightly acidic medium", "type" : "article-journal", "volume" : "110" }, "uris" : [ "http://www.mendeley.com/documents/?uuid=3cd458d8-82ba-453e-b5b7-e96f06bf54b1" ] } ], "mendeley" : { "formattedCitation" : "&lt;sup&gt;2&lt;/sup&gt;", "plainTextFormattedCitation" : "2", "previouslyFormattedCitation" : "&lt;sup&gt;2&lt;/sup&gt;" }, "properties" : { "noteIndex" : 0 }, "schema" : "https://github.com/citation-style-language/schema/raw/master/csl-citation.json" }</w:instrText>
      </w:r>
      <w:r w:rsidR="001F5C71">
        <w:rPr>
          <w:rFonts w:ascii="Arno Pro" w:hAnsi="Arno Pro"/>
          <w:sz w:val="18"/>
          <w:szCs w:val="18"/>
        </w:rPr>
        <w:fldChar w:fldCharType="separate"/>
      </w:r>
      <w:r w:rsidR="00B22ABA" w:rsidRPr="00B22ABA">
        <w:rPr>
          <w:rFonts w:ascii="Arno Pro" w:hAnsi="Arno Pro"/>
          <w:noProof/>
          <w:sz w:val="18"/>
          <w:szCs w:val="18"/>
          <w:vertAlign w:val="superscript"/>
        </w:rPr>
        <w:t>2</w:t>
      </w:r>
      <w:r w:rsidR="001F5C71">
        <w:rPr>
          <w:rFonts w:ascii="Arno Pro" w:hAnsi="Arno Pro"/>
          <w:sz w:val="18"/>
          <w:szCs w:val="18"/>
        </w:rPr>
        <w:fldChar w:fldCharType="end"/>
      </w:r>
      <w:r w:rsidR="00C93DB9">
        <w:rPr>
          <w:rFonts w:ascii="Arno Pro" w:hAnsi="Arno Pro"/>
          <w:sz w:val="18"/>
          <w:szCs w:val="18"/>
        </w:rPr>
        <w:t>. Tetrathionate is formed by</w:t>
      </w:r>
      <w:r w:rsidR="001D3990">
        <w:rPr>
          <w:rFonts w:ascii="Arno Pro" w:hAnsi="Arno Pro"/>
          <w:sz w:val="18"/>
          <w:szCs w:val="18"/>
        </w:rPr>
        <w:t xml:space="preserve"> </w:t>
      </w:r>
      <w:r w:rsidR="00177702" w:rsidRPr="002A4962">
        <w:rPr>
          <w:rFonts w:ascii="Arno Pro" w:hAnsi="Arno Pro"/>
          <w:sz w:val="18"/>
          <w:szCs w:val="18"/>
        </w:rPr>
        <w:t>o</w:t>
      </w:r>
      <w:r w:rsidRPr="002A4962">
        <w:rPr>
          <w:rFonts w:ascii="Arno Pro" w:hAnsi="Arno Pro"/>
          <w:sz w:val="18"/>
          <w:szCs w:val="18"/>
        </w:rPr>
        <w:t>xid</w:t>
      </w:r>
      <w:r w:rsidRPr="002A4962">
        <w:rPr>
          <w:rFonts w:ascii="Arno Pro" w:hAnsi="Arno Pro"/>
          <w:sz w:val="18"/>
          <w:szCs w:val="18"/>
        </w:rPr>
        <w:t>a</w:t>
      </w:r>
      <w:r w:rsidRPr="002A4962">
        <w:rPr>
          <w:rFonts w:ascii="Arno Pro" w:hAnsi="Arno Pro"/>
          <w:sz w:val="18"/>
          <w:szCs w:val="18"/>
        </w:rPr>
        <w:t>tive conjugation of two mole</w:t>
      </w:r>
      <w:r w:rsidR="00BA7DC3">
        <w:rPr>
          <w:rFonts w:ascii="Arno Pro" w:hAnsi="Arno Pro"/>
          <w:sz w:val="18"/>
          <w:szCs w:val="18"/>
        </w:rPr>
        <w:softHyphen/>
      </w:r>
      <w:r w:rsidRPr="002A4962">
        <w:rPr>
          <w:rFonts w:ascii="Arno Pro" w:hAnsi="Arno Pro"/>
          <w:sz w:val="18"/>
          <w:szCs w:val="18"/>
        </w:rPr>
        <w:t xml:space="preserve">cules of thiosulfate </w:t>
      </w:r>
      <w:r w:rsidR="00A61630" w:rsidRPr="002A4962">
        <w:rPr>
          <w:rFonts w:ascii="Arno Pro" w:hAnsi="Arno Pro"/>
          <w:sz w:val="18"/>
          <w:szCs w:val="18"/>
        </w:rPr>
        <w:t xml:space="preserve">with two </w:t>
      </w:r>
      <w:r w:rsidR="00CB79D7" w:rsidRPr="002A4962">
        <w:rPr>
          <w:rFonts w:ascii="Arno Pro" w:hAnsi="Arno Pro"/>
          <w:sz w:val="18"/>
          <w:szCs w:val="18"/>
        </w:rPr>
        <w:t xml:space="preserve">electrons </w:t>
      </w:r>
      <w:r w:rsidR="001563D0" w:rsidRPr="002A4962">
        <w:rPr>
          <w:rFonts w:ascii="Arno Pro" w:hAnsi="Arno Pro"/>
          <w:sz w:val="18"/>
          <w:szCs w:val="18"/>
        </w:rPr>
        <w:t xml:space="preserve">released </w:t>
      </w:r>
      <w:r w:rsidR="00360454" w:rsidRPr="002A4962">
        <w:rPr>
          <w:rFonts w:ascii="Arno Pro" w:hAnsi="Arno Pro"/>
          <w:sz w:val="18"/>
          <w:szCs w:val="18"/>
        </w:rPr>
        <w:t xml:space="preserve">in </w:t>
      </w:r>
      <w:r w:rsidR="00A61630" w:rsidRPr="002A4962">
        <w:rPr>
          <w:rFonts w:ascii="Arno Pro" w:hAnsi="Arno Pro"/>
          <w:sz w:val="18"/>
          <w:szCs w:val="18"/>
        </w:rPr>
        <w:t>the corresponding</w:t>
      </w:r>
      <w:r w:rsidR="00360454" w:rsidRPr="002A4962">
        <w:rPr>
          <w:rFonts w:ascii="Arno Pro" w:hAnsi="Arno Pro"/>
          <w:sz w:val="18"/>
          <w:szCs w:val="18"/>
        </w:rPr>
        <w:t xml:space="preserve"> half-reaction </w:t>
      </w:r>
      <w:r w:rsidR="00CB79D7" w:rsidRPr="002A4962">
        <w:rPr>
          <w:rFonts w:ascii="Arno Pro" w:hAnsi="Arno Pro"/>
          <w:sz w:val="18"/>
          <w:szCs w:val="18"/>
        </w:rPr>
        <w:t>(Eq.</w:t>
      </w:r>
      <w:r w:rsidR="0083799E">
        <w:rPr>
          <w:rFonts w:ascii="Arno Pro" w:hAnsi="Arno Pro"/>
          <w:sz w:val="18"/>
          <w:szCs w:val="18"/>
        </w:rPr>
        <w:t> </w:t>
      </w:r>
      <w:r w:rsidR="00C93DB9">
        <w:rPr>
          <w:rFonts w:ascii="Arno Pro" w:hAnsi="Arno Pro"/>
          <w:sz w:val="18"/>
          <w:szCs w:val="18"/>
        </w:rPr>
        <w:t>1</w:t>
      </w:r>
      <w:r w:rsidR="00CB79D7" w:rsidRPr="002A4962">
        <w:rPr>
          <w:rFonts w:ascii="Arno Pro" w:hAnsi="Arno Pro"/>
          <w:sz w:val="18"/>
          <w:szCs w:val="18"/>
        </w:rPr>
        <w:t>)</w:t>
      </w:r>
      <w:r w:rsidR="00A61630" w:rsidRPr="002A4962">
        <w:rPr>
          <w:rFonts w:ascii="Arno Pro" w:hAnsi="Arno Pro"/>
          <w:sz w:val="18"/>
          <w:szCs w:val="18"/>
        </w:rPr>
        <w:t>.</w:t>
      </w:r>
      <w:r w:rsidR="00CB79D7" w:rsidRPr="002A4962">
        <w:rPr>
          <w:rFonts w:ascii="Arno Pro" w:hAnsi="Arno Pro"/>
          <w:sz w:val="18"/>
          <w:szCs w:val="18"/>
        </w:rPr>
        <w:t xml:space="preserve"> </w:t>
      </w:r>
    </w:p>
    <w:p w:rsidR="00F44E02" w:rsidRPr="002A4962" w:rsidRDefault="000D7652" w:rsidP="00BA7DC3">
      <w:pPr>
        <w:spacing w:before="200"/>
        <w:jc w:val="center"/>
        <w:rPr>
          <w:rFonts w:ascii="Arno Pro" w:hAnsi="Arno Pro"/>
          <w:sz w:val="18"/>
          <w:szCs w:val="18"/>
        </w:rPr>
      </w:pPr>
      <m:oMathPara>
        <m:oMathParaPr>
          <m:jc m:val="left"/>
        </m:oMathParaPr>
        <m:oMath>
          <m:sSub>
            <m:sSubPr>
              <m:ctrlPr>
                <w:rPr>
                  <w:rFonts w:ascii="Cambria Math" w:hAnsi="Cambria Math"/>
                  <w:i/>
                  <w:sz w:val="18"/>
                  <w:szCs w:val="18"/>
                </w:rPr>
              </m:ctrlPr>
            </m:sSubPr>
            <m:e>
              <m:d>
                <m:dPr>
                  <m:ctrlPr>
                    <w:rPr>
                      <w:rFonts w:ascii="Cambria Math" w:hAnsi="Cambria Math"/>
                      <w:i/>
                      <w:sz w:val="18"/>
                      <w:szCs w:val="18"/>
                    </w:rPr>
                  </m:ctrlPr>
                </m:dPr>
                <m:e>
                  <m:r>
                    <w:rPr>
                      <w:rFonts w:ascii="Cambria Math" w:hAnsi="Cambria Math"/>
                      <w:sz w:val="18"/>
                      <w:szCs w:val="18"/>
                    </w:rPr>
                    <m:t>1</m:t>
                  </m:r>
                </m:e>
              </m:d>
              <m:r>
                <w:rPr>
                  <w:rFonts w:ascii="Cambria Math" w:hAnsi="Cambria Math"/>
                  <w:sz w:val="18"/>
                  <w:szCs w:val="18"/>
                </w:rPr>
                <m:t xml:space="preserve">                        S</m:t>
              </m:r>
            </m:e>
            <m:sub>
              <m:r>
                <w:rPr>
                  <w:rFonts w:ascii="Cambria Math" w:hAnsi="Cambria Math"/>
                  <w:sz w:val="18"/>
                  <w:szCs w:val="18"/>
                </w:rPr>
                <m:t>4</m:t>
              </m:r>
            </m:sub>
          </m:sSub>
          <m:sSup>
            <m:sSupPr>
              <m:ctrlPr>
                <w:rPr>
                  <w:rFonts w:ascii="Cambria Math" w:hAnsi="Cambria Math"/>
                  <w:i/>
                  <w:sz w:val="18"/>
                  <w:szCs w:val="18"/>
                </w:rPr>
              </m:ctrlPr>
            </m:sSupPr>
            <m:e>
              <m:sSub>
                <m:sSubPr>
                  <m:ctrlPr>
                    <w:rPr>
                      <w:rFonts w:ascii="Cambria Math" w:hAnsi="Cambria Math"/>
                      <w:i/>
                      <w:sz w:val="18"/>
                      <w:szCs w:val="18"/>
                    </w:rPr>
                  </m:ctrlPr>
                </m:sSubPr>
                <m:e>
                  <m:r>
                    <w:rPr>
                      <w:rFonts w:ascii="Cambria Math" w:hAnsi="Cambria Math"/>
                      <w:sz w:val="18"/>
                      <w:szCs w:val="18"/>
                    </w:rPr>
                    <m:t>O</m:t>
                  </m:r>
                </m:e>
                <m:sub>
                  <m:r>
                    <w:rPr>
                      <w:rFonts w:ascii="Cambria Math" w:hAnsi="Cambria Math"/>
                      <w:sz w:val="18"/>
                      <w:szCs w:val="18"/>
                    </w:rPr>
                    <m:t>6</m:t>
                  </m:r>
                </m:sub>
              </m:sSub>
            </m:e>
            <m:sup>
              <m:r>
                <w:rPr>
                  <w:rFonts w:ascii="Cambria Math" w:hAnsi="Cambria Math"/>
                  <w:sz w:val="18"/>
                  <w:szCs w:val="18"/>
                </w:rPr>
                <m:t>2-</m:t>
              </m:r>
            </m:sup>
          </m:sSup>
          <m:r>
            <w:rPr>
              <w:rFonts w:ascii="Cambria Math" w:hAnsi="Cambria Math"/>
              <w:sz w:val="18"/>
              <w:szCs w:val="18"/>
            </w:rPr>
            <m:t xml:space="preserve">+2 </m:t>
          </m:r>
          <m:sSup>
            <m:sSupPr>
              <m:ctrlPr>
                <w:rPr>
                  <w:rFonts w:ascii="Cambria Math" w:hAnsi="Cambria Math"/>
                  <w:i/>
                  <w:sz w:val="18"/>
                  <w:szCs w:val="18"/>
                </w:rPr>
              </m:ctrlPr>
            </m:sSupPr>
            <m:e>
              <m:r>
                <w:rPr>
                  <w:rFonts w:ascii="Cambria Math" w:hAnsi="Cambria Math"/>
                  <w:sz w:val="18"/>
                  <w:szCs w:val="18"/>
                </w:rPr>
                <m:t>e</m:t>
              </m:r>
            </m:e>
            <m:sup>
              <m:r>
                <w:rPr>
                  <w:rFonts w:ascii="Cambria Math" w:hAnsi="Cambria Math"/>
                  <w:sz w:val="18"/>
                  <w:szCs w:val="18"/>
                </w:rPr>
                <m:t>-</m:t>
              </m:r>
            </m:sup>
          </m:sSup>
          <m:r>
            <w:rPr>
              <w:rFonts w:ascii="Cambria Math" w:hAnsi="Cambria Math"/>
              <w:sz w:val="18"/>
              <w:szCs w:val="18"/>
            </w:rPr>
            <m:t xml:space="preserve">  ↔   2 </m:t>
          </m:r>
          <m:sSub>
            <m:sSubPr>
              <m:ctrlPr>
                <w:rPr>
                  <w:rFonts w:ascii="Cambria Math" w:hAnsi="Cambria Math"/>
                  <w:i/>
                  <w:sz w:val="18"/>
                  <w:szCs w:val="18"/>
                </w:rPr>
              </m:ctrlPr>
            </m:sSubPr>
            <m:e>
              <m:r>
                <w:rPr>
                  <w:rFonts w:ascii="Cambria Math" w:hAnsi="Cambria Math"/>
                  <w:sz w:val="18"/>
                  <w:szCs w:val="18"/>
                </w:rPr>
                <m:t>S</m:t>
              </m:r>
            </m:e>
            <m:sub>
              <m:r>
                <w:rPr>
                  <w:rFonts w:ascii="Cambria Math" w:hAnsi="Cambria Math"/>
                  <w:sz w:val="18"/>
                  <w:szCs w:val="18"/>
                </w:rPr>
                <m:t>2</m:t>
              </m:r>
            </m:sub>
          </m:sSub>
          <m:sSup>
            <m:sSupPr>
              <m:ctrlPr>
                <w:rPr>
                  <w:rFonts w:ascii="Cambria Math" w:hAnsi="Cambria Math"/>
                  <w:i/>
                  <w:sz w:val="18"/>
                  <w:szCs w:val="18"/>
                </w:rPr>
              </m:ctrlPr>
            </m:sSupPr>
            <m:e>
              <m:sSub>
                <m:sSubPr>
                  <m:ctrlPr>
                    <w:rPr>
                      <w:rFonts w:ascii="Cambria Math" w:hAnsi="Cambria Math"/>
                      <w:i/>
                      <w:sz w:val="18"/>
                      <w:szCs w:val="18"/>
                    </w:rPr>
                  </m:ctrlPr>
                </m:sSubPr>
                <m:e>
                  <m:r>
                    <w:rPr>
                      <w:rFonts w:ascii="Cambria Math" w:hAnsi="Cambria Math"/>
                      <w:sz w:val="18"/>
                      <w:szCs w:val="18"/>
                    </w:rPr>
                    <m:t>O</m:t>
                  </m:r>
                </m:e>
                <m:sub>
                  <m:r>
                    <w:rPr>
                      <w:rFonts w:ascii="Cambria Math" w:hAnsi="Cambria Math"/>
                      <w:sz w:val="18"/>
                      <w:szCs w:val="18"/>
                    </w:rPr>
                    <m:t>3</m:t>
                  </m:r>
                </m:sub>
              </m:sSub>
            </m:e>
            <m:sup>
              <m:r>
                <w:rPr>
                  <w:rFonts w:ascii="Cambria Math" w:hAnsi="Cambria Math"/>
                  <w:sz w:val="18"/>
                  <w:szCs w:val="18"/>
                </w:rPr>
                <m:t>2-</m:t>
              </m:r>
            </m:sup>
          </m:sSup>
          <m:r>
            <w:rPr>
              <w:rFonts w:ascii="Cambria Math" w:hAnsi="Cambria Math"/>
              <w:sz w:val="18"/>
              <w:szCs w:val="18"/>
            </w:rPr>
            <m:t xml:space="preserve">    </m:t>
          </m:r>
        </m:oMath>
      </m:oMathPara>
    </w:p>
    <w:p w:rsidR="005C27B5" w:rsidRPr="002A4962" w:rsidRDefault="00A61630" w:rsidP="007D5685">
      <w:pPr>
        <w:spacing w:after="60"/>
        <w:rPr>
          <w:rFonts w:ascii="Arno Pro" w:hAnsi="Arno Pro"/>
          <w:sz w:val="18"/>
          <w:szCs w:val="18"/>
        </w:rPr>
      </w:pPr>
      <w:r w:rsidRPr="002A4962">
        <w:rPr>
          <w:rFonts w:ascii="Arno Pro" w:hAnsi="Arno Pro"/>
          <w:sz w:val="18"/>
          <w:szCs w:val="18"/>
        </w:rPr>
        <w:t xml:space="preserve">This half-reaction also underpins the wide-spread use </w:t>
      </w:r>
      <w:proofErr w:type="gramStart"/>
      <w:r w:rsidR="000D26C8" w:rsidRPr="002A4962">
        <w:rPr>
          <w:rFonts w:ascii="Arno Pro" w:hAnsi="Arno Pro"/>
          <w:sz w:val="18"/>
          <w:szCs w:val="18"/>
        </w:rPr>
        <w:t>of</w:t>
      </w:r>
      <w:r w:rsidR="000D26C8">
        <w:rPr>
          <w:rFonts w:ascii="Arno Pro" w:hAnsi="Arno Pro"/>
          <w:sz w:val="18"/>
          <w:szCs w:val="18"/>
        </w:rPr>
        <w:softHyphen/>
      </w:r>
      <w:r w:rsidR="000D26C8">
        <w:rPr>
          <w:rFonts w:ascii="Arno Pro" w:hAnsi="Arno Pro"/>
          <w:sz w:val="18"/>
          <w:szCs w:val="18"/>
        </w:rPr>
        <w:softHyphen/>
      </w:r>
      <w:r w:rsidR="000D26C8">
        <w:rPr>
          <w:rFonts w:ascii="Arno Pro" w:hAnsi="Arno Pro"/>
          <w:sz w:val="18"/>
          <w:szCs w:val="18"/>
        </w:rPr>
        <w:softHyphen/>
        <w:t xml:space="preserve">  thiosulfate</w:t>
      </w:r>
      <w:proofErr w:type="gramEnd"/>
      <w:r w:rsidRPr="002A4962">
        <w:rPr>
          <w:rFonts w:ascii="Arno Pro" w:hAnsi="Arno Pro"/>
          <w:sz w:val="18"/>
          <w:szCs w:val="18"/>
        </w:rPr>
        <w:t xml:space="preserve"> in analytical chemistry whereby </w:t>
      </w:r>
      <w:r w:rsidR="00B077E4" w:rsidRPr="002A4962">
        <w:rPr>
          <w:rFonts w:ascii="Arno Pro" w:hAnsi="Arno Pro"/>
          <w:sz w:val="18"/>
          <w:szCs w:val="18"/>
        </w:rPr>
        <w:t>stoi</w:t>
      </w:r>
      <w:r w:rsidR="0004371B" w:rsidRPr="002A4962">
        <w:rPr>
          <w:rFonts w:ascii="Arno Pro" w:hAnsi="Arno Pro"/>
          <w:sz w:val="18"/>
          <w:szCs w:val="18"/>
        </w:rPr>
        <w:t>chiometric</w:t>
      </w:r>
      <w:r w:rsidR="004F0B31">
        <w:rPr>
          <w:rFonts w:ascii="Arno Pro" w:hAnsi="Arno Pro"/>
          <w:sz w:val="18"/>
          <w:szCs w:val="18"/>
        </w:rPr>
        <w:t xml:space="preserve"> </w:t>
      </w:r>
      <w:r w:rsidRPr="002A4962">
        <w:rPr>
          <w:rFonts w:ascii="Arno Pro" w:hAnsi="Arno Pro"/>
          <w:sz w:val="18"/>
          <w:szCs w:val="18"/>
        </w:rPr>
        <w:t xml:space="preserve">reaction </w:t>
      </w:r>
      <w:r w:rsidR="005C27B5" w:rsidRPr="002A4962">
        <w:rPr>
          <w:rFonts w:ascii="Arno Pro" w:hAnsi="Arno Pro"/>
          <w:sz w:val="18"/>
          <w:szCs w:val="18"/>
        </w:rPr>
        <w:t>with I</w:t>
      </w:r>
      <w:r w:rsidR="005C27B5" w:rsidRPr="002A4962">
        <w:rPr>
          <w:rFonts w:ascii="Arno Pro" w:hAnsi="Arno Pro"/>
          <w:sz w:val="18"/>
          <w:szCs w:val="18"/>
          <w:vertAlign w:val="subscript"/>
        </w:rPr>
        <w:t>2</w:t>
      </w:r>
      <w:r w:rsidR="005C27B5" w:rsidRPr="002A4962">
        <w:rPr>
          <w:rFonts w:ascii="Arno Pro" w:hAnsi="Arno Pro"/>
          <w:sz w:val="18"/>
          <w:szCs w:val="18"/>
        </w:rPr>
        <w:t xml:space="preserve"> </w:t>
      </w:r>
      <w:r w:rsidR="001563D0" w:rsidRPr="002A4962">
        <w:rPr>
          <w:rFonts w:ascii="Arno Pro" w:hAnsi="Arno Pro"/>
          <w:sz w:val="18"/>
          <w:szCs w:val="18"/>
        </w:rPr>
        <w:t>produce</w:t>
      </w:r>
      <w:r w:rsidRPr="002A4962">
        <w:rPr>
          <w:rFonts w:ascii="Arno Pro" w:hAnsi="Arno Pro"/>
          <w:sz w:val="18"/>
          <w:szCs w:val="18"/>
        </w:rPr>
        <w:t>s</w:t>
      </w:r>
      <w:r w:rsidR="005C27B5" w:rsidRPr="002A4962">
        <w:rPr>
          <w:rFonts w:ascii="Arno Pro" w:hAnsi="Arno Pro"/>
          <w:sz w:val="18"/>
          <w:szCs w:val="18"/>
        </w:rPr>
        <w:t xml:space="preserve"> 2</w:t>
      </w:r>
      <w:r w:rsidRPr="002A4962">
        <w:rPr>
          <w:rFonts w:ascii="Arno Pro" w:hAnsi="Arno Pro"/>
          <w:sz w:val="18"/>
          <w:szCs w:val="18"/>
        </w:rPr>
        <w:t xml:space="preserve"> </w:t>
      </w:r>
      <w:r w:rsidR="005C27B5" w:rsidRPr="002A4962">
        <w:rPr>
          <w:rFonts w:ascii="Arno Pro" w:hAnsi="Arno Pro"/>
          <w:sz w:val="18"/>
          <w:szCs w:val="18"/>
        </w:rPr>
        <w:t>I</w:t>
      </w:r>
      <w:r w:rsidR="005C27B5" w:rsidRPr="002A4962">
        <w:rPr>
          <w:rFonts w:ascii="Arno Pro" w:hAnsi="Arno Pro"/>
          <w:sz w:val="18"/>
          <w:szCs w:val="18"/>
          <w:vertAlign w:val="superscript"/>
        </w:rPr>
        <w:t>-</w:t>
      </w:r>
      <w:r w:rsidR="001563D0" w:rsidRPr="002A4962">
        <w:rPr>
          <w:rFonts w:ascii="Arno Pro" w:hAnsi="Arno Pro"/>
          <w:sz w:val="18"/>
          <w:szCs w:val="18"/>
        </w:rPr>
        <w:t xml:space="preserve">. The </w:t>
      </w:r>
      <w:r w:rsidR="001304CA" w:rsidRPr="002A4962">
        <w:rPr>
          <w:rFonts w:ascii="Arno Pro" w:hAnsi="Arno Pro"/>
          <w:sz w:val="18"/>
          <w:szCs w:val="18"/>
        </w:rPr>
        <w:t xml:space="preserve">corresponding </w:t>
      </w:r>
      <w:r w:rsidR="0004371B" w:rsidRPr="002A4962">
        <w:rPr>
          <w:rFonts w:ascii="Arno Pro" w:hAnsi="Arno Pro"/>
          <w:sz w:val="18"/>
          <w:szCs w:val="18"/>
        </w:rPr>
        <w:t xml:space="preserve">color </w:t>
      </w:r>
      <w:r w:rsidR="001304CA" w:rsidRPr="002A4962">
        <w:rPr>
          <w:rFonts w:ascii="Arno Pro" w:hAnsi="Arno Pro"/>
          <w:sz w:val="18"/>
          <w:szCs w:val="18"/>
        </w:rPr>
        <w:t xml:space="preserve">change </w:t>
      </w:r>
      <w:r w:rsidR="00A207CF" w:rsidRPr="002A4962">
        <w:rPr>
          <w:rFonts w:ascii="Arno Pro" w:hAnsi="Arno Pro"/>
          <w:sz w:val="18"/>
          <w:szCs w:val="18"/>
        </w:rPr>
        <w:t xml:space="preserve">is widely used </w:t>
      </w:r>
      <w:r w:rsidR="001304CA" w:rsidRPr="002A4962">
        <w:rPr>
          <w:rFonts w:ascii="Arno Pro" w:hAnsi="Arno Pro"/>
          <w:sz w:val="18"/>
          <w:szCs w:val="18"/>
        </w:rPr>
        <w:t>f</w:t>
      </w:r>
      <w:r w:rsidR="005C27B5" w:rsidRPr="002A4962">
        <w:rPr>
          <w:rFonts w:ascii="Arno Pro" w:hAnsi="Arno Pro"/>
          <w:sz w:val="18"/>
          <w:szCs w:val="18"/>
        </w:rPr>
        <w:t xml:space="preserve">or volumetric analysis of oxidizing agents in </w:t>
      </w:r>
      <w:r w:rsidR="00E4786D" w:rsidRPr="002A4962">
        <w:rPr>
          <w:rFonts w:ascii="Arno Pro" w:hAnsi="Arno Pro"/>
          <w:sz w:val="18"/>
          <w:szCs w:val="18"/>
        </w:rPr>
        <w:t>aqueous solutions of ecological</w:t>
      </w:r>
      <w:r w:rsidRPr="002A4962">
        <w:rPr>
          <w:rFonts w:ascii="Arno Pro" w:hAnsi="Arno Pro"/>
          <w:sz w:val="18"/>
          <w:szCs w:val="18"/>
        </w:rPr>
        <w:t xml:space="preserve"> and</w:t>
      </w:r>
      <w:r w:rsidR="00E4786D" w:rsidRPr="002A4962">
        <w:rPr>
          <w:rFonts w:ascii="Arno Pro" w:hAnsi="Arno Pro"/>
          <w:sz w:val="18"/>
          <w:szCs w:val="18"/>
        </w:rPr>
        <w:t xml:space="preserve"> </w:t>
      </w:r>
      <w:r w:rsidR="005C27B5" w:rsidRPr="002A4962">
        <w:rPr>
          <w:rFonts w:ascii="Arno Pro" w:hAnsi="Arno Pro"/>
          <w:sz w:val="18"/>
          <w:szCs w:val="18"/>
        </w:rPr>
        <w:t xml:space="preserve">recreational interest. </w:t>
      </w:r>
      <w:r w:rsidR="00360454" w:rsidRPr="002A4962">
        <w:rPr>
          <w:rFonts w:ascii="Arno Pro" w:hAnsi="Arno Pro"/>
          <w:sz w:val="18"/>
          <w:szCs w:val="18"/>
        </w:rPr>
        <w:t>However, i</w:t>
      </w:r>
      <w:r w:rsidR="005C27B5" w:rsidRPr="002A4962">
        <w:rPr>
          <w:rFonts w:ascii="Arno Pro" w:hAnsi="Arno Pro"/>
          <w:sz w:val="18"/>
          <w:szCs w:val="18"/>
        </w:rPr>
        <w:t>n other contexts</w:t>
      </w:r>
      <w:r w:rsidR="00177702" w:rsidRPr="002A4962">
        <w:rPr>
          <w:rFonts w:ascii="Arno Pro" w:hAnsi="Arno Pro"/>
          <w:sz w:val="18"/>
          <w:szCs w:val="18"/>
        </w:rPr>
        <w:t xml:space="preserve">, e.g., </w:t>
      </w:r>
      <w:r w:rsidR="005C27B5" w:rsidRPr="002A4962">
        <w:rPr>
          <w:rFonts w:ascii="Arno Pro" w:hAnsi="Arno Pro"/>
          <w:sz w:val="18"/>
          <w:szCs w:val="18"/>
        </w:rPr>
        <w:t>the extraction of gold and silver by ammoniacal thiosulfate</w:t>
      </w:r>
      <w:r w:rsidR="004B4339" w:rsidRPr="002A4962">
        <w:rPr>
          <w:rFonts w:ascii="Arno Pro" w:hAnsi="Arno Pro"/>
          <w:sz w:val="18"/>
          <w:szCs w:val="18"/>
        </w:rPr>
        <w:t xml:space="preserve"> leaching</w:t>
      </w:r>
      <w:r w:rsidR="00177702" w:rsidRPr="002A4962">
        <w:rPr>
          <w:rFonts w:ascii="Arno Pro" w:hAnsi="Arno Pro"/>
          <w:sz w:val="18"/>
          <w:szCs w:val="18"/>
        </w:rPr>
        <w:t>, the oxi</w:t>
      </w:r>
      <w:r w:rsidR="0083799E">
        <w:rPr>
          <w:rFonts w:ascii="Arno Pro" w:hAnsi="Arno Pro"/>
          <w:sz w:val="18"/>
          <w:szCs w:val="18"/>
        </w:rPr>
        <w:softHyphen/>
      </w:r>
      <w:r w:rsidR="00177702" w:rsidRPr="002A4962">
        <w:rPr>
          <w:rFonts w:ascii="Arno Pro" w:hAnsi="Arno Pro"/>
          <w:sz w:val="18"/>
          <w:szCs w:val="18"/>
        </w:rPr>
        <w:t xml:space="preserve">dation of thiosulfate to tetrathionate is detrimental and </w:t>
      </w:r>
      <w:r w:rsidR="00A207CF" w:rsidRPr="002A4962">
        <w:rPr>
          <w:rFonts w:ascii="Arno Pro" w:hAnsi="Arno Pro"/>
          <w:sz w:val="18"/>
          <w:szCs w:val="18"/>
        </w:rPr>
        <w:t xml:space="preserve">aims to </w:t>
      </w:r>
      <w:r w:rsidR="00030760">
        <w:rPr>
          <w:rFonts w:ascii="Arno Pro" w:hAnsi="Arno Pro"/>
          <w:sz w:val="18"/>
          <w:szCs w:val="18"/>
        </w:rPr>
        <w:t xml:space="preserve">be </w:t>
      </w:r>
      <w:r w:rsidR="00177702" w:rsidRPr="002A4962">
        <w:rPr>
          <w:rFonts w:ascii="Arno Pro" w:hAnsi="Arno Pro"/>
          <w:sz w:val="18"/>
          <w:szCs w:val="18"/>
        </w:rPr>
        <w:t>minimized</w:t>
      </w:r>
      <w:r w:rsidR="001F5C71" w:rsidRPr="002A4962">
        <w:rPr>
          <w:rFonts w:ascii="Arno Pro" w:hAnsi="Arno Pro"/>
          <w:sz w:val="18"/>
          <w:szCs w:val="18"/>
        </w:rPr>
        <w:fldChar w:fldCharType="begin" w:fldLock="1"/>
      </w:r>
      <w:r w:rsidR="003B2989">
        <w:rPr>
          <w:rFonts w:ascii="Arno Pro" w:hAnsi="Arno Pro"/>
          <w:sz w:val="18"/>
          <w:szCs w:val="18"/>
        </w:rPr>
        <w:instrText>ADDIN CSL_CITATION { "citationItems" : [ { "id" : "ITEM-1", "itemData" : { "DOI" : "10.1016/S0892-6875(00)00172-2", "ISBN" : "0892-6875", "ISSN" : "08926875", "abstract" : "The ammoniacal thiosulfate leaching process for gold and silver extraction has been reviewed in terms of leaching mechanism, thermodynamics, thiosulfate stability, and gold recovery options. The application to different ore types and process options have also been discussed. The thiosulfate leaching process it catalysed by copper and has several advantages over the conventional cyanidation process. Thiosulfate leaching can be considered a non-toxic process, the gold dissolution rates can be faster than conventional cyanidation and, due to the decreased interference of foreign cations, high gold recoveries can be obtained from the thiosulfate leaching of complex and carbonaceous-type ores. In addition, thiosulfate can be cheaper than cyanide. The chemistry of the ammonia-thiosulfate - copper system is complicated due to the simultaneous presence of complexing ligands such as ammonia and thiosulfate, the Cu(II)\ue5f8Cu(I) redox couple and the stability of thiosulfate in solution. However, by maintaining suitable concentrations of thiosulfate, ammonia, copper and oxygen in the leach solution, and consequently, suitable Eh and pH conditions, thiosulfate leaching can be made practical. Generally the thiosulfate leaching conditions reported in the literature are severe with high reagent consumption. Further investigations are required on leaching under low reagent concentrations over extended periods where reagent consumption is low. For high grade ores or refractory sulfide ores where some pretreatment processing is required to liberate gold, the in-situ generation of thiosulfate should be investigated in more detail. This may lessen thiosulfate consumption and liberate more gold through the oxidation of host sulfide minerals. Cementation (or metal displacement), resins and to a limited extent, activated carbon can be used to recovery gold from thiosulfate solutions. The use of resins to recover gold from solution appears to show some promise, however more work is required to develop suitable elution and recovery methods, and greater selectivity over copper. While difficulties remain to be overcome, thiosulfate leaching has considerable potential as an effective and less hazardous procedure for gold and silver extraction from auriferous ores.", "author" : [ { "dropping-particle" : "", "family" : "Aylmore", "given" : "M G", "non-dropping-particle" : "", "parse-names" : false, "suffix" : "" }, { "dropping-particle" : "", "family" : "Muir", "given" : "D M", "non-dropping-particle" : "", "parse-names" : false, "suffix" : "" } ], "container-title" : "Minerals Engineering", "id" : "ITEM-1", "issue" : "2", "issued" : { "date-parts" : [ [ "2001" ] ] }, "page" : "135-174", "title" : "Thiosulfate leaching of gold\u2014A review", "type" : "article-journal", "volume" : "14" }, "uris" : [ "http://www.mendeley.com/documents/?uuid=48f95399-88bb-4181-9862-adb5ed30424a" ] } ], "mendeley" : { "formattedCitation" : "&lt;sup&gt;3&lt;/sup&gt;", "plainTextFormattedCitation" : "3", "previouslyFormattedCitation" : "&lt;sup&gt;3&lt;/sup&gt;" }, "properties" : { "noteIndex" : 0 }, "schema" : "https://github.com/citation-style-language/schema/raw/master/csl-citation.json" }</w:instrText>
      </w:r>
      <w:r w:rsidR="001F5C71" w:rsidRPr="002A4962">
        <w:rPr>
          <w:rFonts w:ascii="Arno Pro" w:hAnsi="Arno Pro"/>
          <w:sz w:val="18"/>
          <w:szCs w:val="18"/>
        </w:rPr>
        <w:fldChar w:fldCharType="separate"/>
      </w:r>
      <w:r w:rsidR="00B22ABA" w:rsidRPr="00B22ABA">
        <w:rPr>
          <w:rFonts w:ascii="Arno Pro" w:hAnsi="Arno Pro"/>
          <w:noProof/>
          <w:sz w:val="18"/>
          <w:szCs w:val="18"/>
          <w:vertAlign w:val="superscript"/>
        </w:rPr>
        <w:t>3</w:t>
      </w:r>
      <w:r w:rsidR="001F5C71" w:rsidRPr="002A4962">
        <w:rPr>
          <w:rFonts w:ascii="Arno Pro" w:hAnsi="Arno Pro"/>
          <w:sz w:val="18"/>
          <w:szCs w:val="18"/>
        </w:rPr>
        <w:fldChar w:fldCharType="end"/>
      </w:r>
      <w:r w:rsidR="00177702" w:rsidRPr="002A4962">
        <w:rPr>
          <w:rFonts w:ascii="Arno Pro" w:hAnsi="Arno Pro"/>
          <w:sz w:val="18"/>
          <w:szCs w:val="18"/>
        </w:rPr>
        <w:t>.</w:t>
      </w:r>
    </w:p>
    <w:p w:rsidR="00A045AF" w:rsidRPr="002A4962" w:rsidRDefault="001563D0" w:rsidP="007D5685">
      <w:pPr>
        <w:spacing w:after="60"/>
        <w:ind w:firstLine="284"/>
        <w:rPr>
          <w:rFonts w:ascii="Arno Pro" w:hAnsi="Arno Pro"/>
          <w:sz w:val="18"/>
          <w:szCs w:val="18"/>
        </w:rPr>
      </w:pPr>
      <w:r w:rsidRPr="002A4962">
        <w:rPr>
          <w:rFonts w:ascii="Arno Pro" w:hAnsi="Arno Pro"/>
          <w:sz w:val="18"/>
          <w:szCs w:val="18"/>
        </w:rPr>
        <w:t xml:space="preserve">In addition to the industrial and analytical importance of the </w:t>
      </w:r>
      <w:r w:rsidR="005C27B5" w:rsidRPr="002A4962">
        <w:rPr>
          <w:rFonts w:ascii="Arno Pro" w:hAnsi="Arno Pro"/>
          <w:sz w:val="18"/>
          <w:szCs w:val="18"/>
        </w:rPr>
        <w:t xml:space="preserve">thiosulfate/tetrathionate </w:t>
      </w:r>
      <w:r w:rsidR="000E7680" w:rsidRPr="002A4962">
        <w:rPr>
          <w:rFonts w:ascii="Arno Pro" w:hAnsi="Arno Pro"/>
          <w:sz w:val="18"/>
          <w:szCs w:val="18"/>
        </w:rPr>
        <w:t xml:space="preserve">interconversion </w:t>
      </w:r>
      <w:r w:rsidRPr="002A4962">
        <w:rPr>
          <w:rFonts w:ascii="Arno Pro" w:hAnsi="Arno Pro"/>
          <w:sz w:val="18"/>
          <w:szCs w:val="18"/>
        </w:rPr>
        <w:t>this reaction has considerable significance in the global biogeochemical cycling of sulfur</w:t>
      </w:r>
      <w:r w:rsidR="001F5C71" w:rsidRPr="002A4962">
        <w:rPr>
          <w:rFonts w:ascii="Arno Pro" w:hAnsi="Arno Pro"/>
          <w:sz w:val="18"/>
          <w:szCs w:val="18"/>
        </w:rPr>
        <w:fldChar w:fldCharType="begin" w:fldLock="1"/>
      </w:r>
      <w:r w:rsidR="003B2989">
        <w:rPr>
          <w:rFonts w:ascii="Arno Pro" w:hAnsi="Arno Pro"/>
          <w:sz w:val="18"/>
          <w:szCs w:val="18"/>
        </w:rPr>
        <w:instrText>ADDIN CSL_CITATION { "citationItems" : [ { "id" : "ITEM-1", "itemData" : { "ISBN" : "0021-9193 (Print)\\n0021-9193 (Linking)", "ISSN" : "00219193", "PMID" : "6020561", "abstract" : "Two heterotrophic bacteria that oxidized thiosulfate to tetrathionate were isolated from soil. The enzyme system in one of the isolates (C-3) was constitutive, but in the other isolate (A-50) it was induced by thiosulfate or tetrathionate. The apparent K(m) for oxygen for thiosulfate oxidation by A-50 was about 223 mum, but, for lactate oxidation by A-50 or thiosulfate oxidation by C-3, the apparent K(m) for oxygen was below 2 mm. The oxidation of thiosulfate by A-50 was first order with respect to oxygen from 230 mum. The rate of oxidation was greatest at pH 6.3 to 6.8 and at about 10 mm thiosulfate, and it was strongly inhibited by several metal-binding reagents. Extracts of induced A-50 reduced ferricyanide, endogenous cytochrome c, and mammalian cytochrome c in the presence of thiosulfate. A-50, once induced to oxidize thiosulfate, also reduced tetrathionate to thiosulfate in the presence of an electron donor such as lactate. The optimal pH for this reaction was at 8.5 to 9.5, and the reaction was first order with respect to tetrathionate. There was no correlation between the formation of the thiosulfate-oxidizing enzyme of A-50 and the incorporation of thiosulfate-sulfur into cell sulfur. Thiosulfate did not affect the growth rate or yield of A-50.", "author" : [ { "dropping-particle" : "", "family" : "Trudinger", "given" : "P. A.", "non-dropping-particle" : "", "parse-names" : false, "suffix" : "" } ], "container-title" : "Journal of Bacteriology", "id" : "ITEM-1", "issue" : "2", "issued" : { "date-parts" : [ [ "1967" ] ] }, "page" : "550-559", "title" : "Metabolism of thiosulfate and tetrathionate by heterotrophic bacteria from soil.", "type" : "article-journal", "volume" : "93" }, "uris" : [ "http://www.mendeley.com/documents/?uuid=4e5b4e58-00ff-4caf-a44f-d4e418ef2a5f" ] }, { "id" : "ITEM-2", "itemData" : { "ISSN" : "0146-0749", "PMID" : "3299028", "author" : [ { "dropping-particle" : "", "family" : "Barrett", "given" : "E L", "non-dropping-particle" : "", "parse-names" : false, "suffix" : "" }, { "dropping-particle" : "", "family" : "Clark", "given" : "M A", "non-dropping-particle" : "", "parse-names" : false, "suffix" : "" } ], "container-title" : "Microbiological reviews", "id" : "ITEM-2", "issue" : "2", "issued" : { "date-parts" : [ [ "1987" ] ] }, "page" : "192-205", "title" : "Tetrathionate reduction and production of hydrogen sulfide from thiosulfate.", "type" : "article-journal", "volume" : "51" }, "uris" : [ "http://www.mendeley.com/documents/?uuid=37778f9f-93bb-4f70-9100-370a35ab42b4" ] }, { "id" : "ITEM-3", "itemData" : { "DOI" : "10.3354/ame017255", "ISSN" : "09483055", "abstract" : " The role of tetrathionate in the sulfur cycle of Baltic Sea sediments was investigated in different habitats and under a variety of environmental conditions. Sediment profiles were recorded with regard to numbers of thiosulfate oxidizing bacteria, concentrations of sulfur compounds, and potential rates of thiosulfate oxidation. Products of thiosulfate oxidation were quantified in incubated sediment samples and in pure cultures. Evidence was found that tetrathionate is formed within these sediments, that sulfur oxidizing bacteria are present in considerable numbers, that these bacteria are of major importance in the oxidation of reduced sulfur compounds in their habitat, and that tetrathionate is an important oxidation product of these bacteria. Thiosulfate is oxidized by bacteria isolated from these sediments to varying proportions of tetrathionate, sulfate, and also elemental sulfur. In highly sulfidic sediments and in the presence of large amounts of organic matter, tetrathionate was present in sediment horizons in which thiosulfate and elemental sulfur also accumulated. A tetrathionate cycle is proposed to be active in natural marine and brackish water sediments in which, due to combined bacterial action and chemical reactions, a net oxidation of sulfide to elemental sulfur occurs in the presence of catalytic amounts of thiosulfate and tetrathionate. ", "author" : [ { "dropping-particle" : "", "family" : "Podgorsek", "given" : "Lilijana", "non-dropping-particle" : "", "parse-names" : false, "suffix" : "" }, { "dropping-particle" : "", "family" : "Imhoff", "given" : "Johannes F.", "non-dropping-particle" : "", "parse-names" : false, "suffix" : "" } ], "container-title" : "Aquatic Microbial Ecology", "id" : "ITEM-3", "issue" : "3", "issued" : { "date-parts" : [ [ "1999" ] ] }, "page" : "255-265", "title" : "Tetrathionate production by sulfur oxidizing bacteria and the role of tetrathionate in the sulfur cycle of Baltic Sea sediments", "type" : "article-journal", "volume" : "17" }, "uris" : [ "http://www.mendeley.com/documents/?uuid=9a6ea02f-c057-401c-863b-25288a138445" ] } ], "mendeley" : { "formattedCitation" : "&lt;sup&gt;4\u20136&lt;/sup&gt;", "plainTextFormattedCitation" : "4\u20136", "previouslyFormattedCitation" : "&lt;sup&gt;4\u20136&lt;/sup&gt;" }, "properties" : { "noteIndex" : 0 }, "schema" : "https://github.com/citation-style-language/schema/raw/master/csl-citation.json" }</w:instrText>
      </w:r>
      <w:r w:rsidR="001F5C71" w:rsidRPr="002A4962">
        <w:rPr>
          <w:rFonts w:ascii="Arno Pro" w:hAnsi="Arno Pro"/>
          <w:sz w:val="18"/>
          <w:szCs w:val="18"/>
        </w:rPr>
        <w:fldChar w:fldCharType="separate"/>
      </w:r>
      <w:r w:rsidR="00B22ABA" w:rsidRPr="00B22ABA">
        <w:rPr>
          <w:rFonts w:ascii="Arno Pro" w:hAnsi="Arno Pro"/>
          <w:noProof/>
          <w:sz w:val="18"/>
          <w:szCs w:val="18"/>
          <w:vertAlign w:val="superscript"/>
        </w:rPr>
        <w:t>4–6</w:t>
      </w:r>
      <w:r w:rsidR="001F5C71" w:rsidRPr="002A4962">
        <w:rPr>
          <w:rFonts w:ascii="Arno Pro" w:hAnsi="Arno Pro"/>
          <w:sz w:val="18"/>
          <w:szCs w:val="18"/>
        </w:rPr>
        <w:fldChar w:fldCharType="end"/>
      </w:r>
      <w:r w:rsidR="00E4786D" w:rsidRPr="002A4962">
        <w:rPr>
          <w:rFonts w:ascii="Arno Pro" w:hAnsi="Arno Pro"/>
          <w:sz w:val="18"/>
          <w:szCs w:val="18"/>
        </w:rPr>
        <w:t xml:space="preserve">. </w:t>
      </w:r>
      <w:r w:rsidR="00A207CF" w:rsidRPr="002A4962">
        <w:rPr>
          <w:rFonts w:ascii="Arno Pro" w:hAnsi="Arno Pro"/>
          <w:sz w:val="18"/>
          <w:szCs w:val="18"/>
        </w:rPr>
        <w:t>Certain p</w:t>
      </w:r>
      <w:r w:rsidR="00A045AF" w:rsidRPr="002A4962">
        <w:rPr>
          <w:rFonts w:ascii="Arno Pro" w:hAnsi="Arno Pro"/>
          <w:sz w:val="18"/>
          <w:szCs w:val="18"/>
        </w:rPr>
        <w:t xml:space="preserve">rokaryotes </w:t>
      </w:r>
      <w:r w:rsidR="00A207CF" w:rsidRPr="002A4962">
        <w:rPr>
          <w:rFonts w:ascii="Arno Pro" w:hAnsi="Arno Pro"/>
          <w:sz w:val="18"/>
          <w:szCs w:val="18"/>
        </w:rPr>
        <w:t>in</w:t>
      </w:r>
      <w:r w:rsidR="00727687" w:rsidRPr="002A4962">
        <w:rPr>
          <w:rFonts w:ascii="Arno Pro" w:hAnsi="Arno Pro"/>
          <w:sz w:val="18"/>
          <w:szCs w:val="18"/>
        </w:rPr>
        <w:t xml:space="preserve"> aquatic and terres</w:t>
      </w:r>
      <w:r w:rsidR="0067018C">
        <w:rPr>
          <w:rFonts w:ascii="Arno Pro" w:hAnsi="Arno Pro"/>
          <w:sz w:val="18"/>
          <w:szCs w:val="18"/>
        </w:rPr>
        <w:softHyphen/>
      </w:r>
      <w:r w:rsidR="00727687" w:rsidRPr="002A4962">
        <w:rPr>
          <w:rFonts w:ascii="Arno Pro" w:hAnsi="Arno Pro"/>
          <w:sz w:val="18"/>
          <w:szCs w:val="18"/>
        </w:rPr>
        <w:t xml:space="preserve">trial habitats </w:t>
      </w:r>
      <w:r w:rsidR="00C42EE1" w:rsidRPr="002A4962">
        <w:rPr>
          <w:rFonts w:ascii="Arno Pro" w:hAnsi="Arno Pro"/>
          <w:sz w:val="18"/>
          <w:szCs w:val="18"/>
        </w:rPr>
        <w:t xml:space="preserve">obtain </w:t>
      </w:r>
      <w:r w:rsidR="00A045AF" w:rsidRPr="002A4962">
        <w:rPr>
          <w:rFonts w:ascii="Arno Pro" w:hAnsi="Arno Pro"/>
          <w:sz w:val="18"/>
          <w:szCs w:val="18"/>
        </w:rPr>
        <w:t xml:space="preserve">energy </w:t>
      </w:r>
      <w:r w:rsidR="00C42EE1" w:rsidRPr="002A4962">
        <w:rPr>
          <w:rFonts w:ascii="Arno Pro" w:hAnsi="Arno Pro"/>
          <w:sz w:val="18"/>
          <w:szCs w:val="18"/>
        </w:rPr>
        <w:t xml:space="preserve">by the oxidation of </w:t>
      </w:r>
      <w:r w:rsidR="00A045AF" w:rsidRPr="002A4962">
        <w:rPr>
          <w:rFonts w:ascii="Arno Pro" w:hAnsi="Arno Pro"/>
          <w:sz w:val="18"/>
          <w:szCs w:val="18"/>
        </w:rPr>
        <w:t>thiosulf</w:t>
      </w:r>
      <w:r w:rsidR="000D26C8">
        <w:rPr>
          <w:rFonts w:ascii="Arno Pro" w:hAnsi="Arno Pro"/>
          <w:sz w:val="18"/>
          <w:szCs w:val="18"/>
        </w:rPr>
        <w:t xml:space="preserve">ate to tetrathionate. </w:t>
      </w:r>
      <w:r w:rsidR="004B4339" w:rsidRPr="002A4962">
        <w:rPr>
          <w:rFonts w:ascii="Arno Pro" w:hAnsi="Arno Pro"/>
          <w:sz w:val="18"/>
          <w:szCs w:val="18"/>
        </w:rPr>
        <w:t xml:space="preserve">Other </w:t>
      </w:r>
      <w:r w:rsidR="00C7436E" w:rsidRPr="002A4962">
        <w:rPr>
          <w:rFonts w:ascii="Arno Pro" w:hAnsi="Arno Pro"/>
          <w:sz w:val="18"/>
          <w:szCs w:val="18"/>
        </w:rPr>
        <w:t xml:space="preserve">prokaryotes </w:t>
      </w:r>
      <w:r w:rsidR="00793D8A" w:rsidRPr="002A4962">
        <w:rPr>
          <w:rFonts w:ascii="Arno Pro" w:hAnsi="Arno Pro"/>
          <w:sz w:val="18"/>
          <w:szCs w:val="18"/>
        </w:rPr>
        <w:t xml:space="preserve">use the </w:t>
      </w:r>
      <w:r w:rsidR="004B4339" w:rsidRPr="002A4962">
        <w:rPr>
          <w:rFonts w:ascii="Arno Pro" w:hAnsi="Arno Pro"/>
          <w:sz w:val="18"/>
          <w:szCs w:val="18"/>
        </w:rPr>
        <w:t>reverse reaction</w:t>
      </w:r>
      <w:r w:rsidR="00C42EE1" w:rsidRPr="002A4962">
        <w:rPr>
          <w:rFonts w:ascii="Arno Pro" w:hAnsi="Arno Pro"/>
          <w:sz w:val="18"/>
          <w:szCs w:val="18"/>
        </w:rPr>
        <w:t>, namely tetrathionate reduction, to support anaerobic</w:t>
      </w:r>
      <w:r w:rsidR="00030760">
        <w:rPr>
          <w:rFonts w:ascii="Arno Pro" w:hAnsi="Arno Pro"/>
          <w:sz w:val="18"/>
          <w:szCs w:val="18"/>
        </w:rPr>
        <w:t xml:space="preserve"> </w:t>
      </w:r>
      <w:r w:rsidR="00C42EE1" w:rsidRPr="002A4962">
        <w:rPr>
          <w:rFonts w:ascii="Arno Pro" w:hAnsi="Arno Pro"/>
          <w:sz w:val="18"/>
          <w:szCs w:val="18"/>
        </w:rPr>
        <w:t>respi</w:t>
      </w:r>
      <w:r w:rsidR="0067018C">
        <w:rPr>
          <w:rFonts w:ascii="Arno Pro" w:hAnsi="Arno Pro"/>
          <w:sz w:val="18"/>
          <w:szCs w:val="18"/>
        </w:rPr>
        <w:softHyphen/>
      </w:r>
      <w:r w:rsidR="00C42EE1" w:rsidRPr="002A4962">
        <w:rPr>
          <w:rFonts w:ascii="Arno Pro" w:hAnsi="Arno Pro"/>
          <w:sz w:val="18"/>
          <w:szCs w:val="18"/>
        </w:rPr>
        <w:lastRenderedPageBreak/>
        <w:t xml:space="preserve">ration. </w:t>
      </w:r>
      <w:r w:rsidR="000E7680" w:rsidRPr="002A4962">
        <w:rPr>
          <w:rFonts w:ascii="Arno Pro" w:hAnsi="Arno Pro"/>
          <w:sz w:val="18"/>
          <w:szCs w:val="18"/>
        </w:rPr>
        <w:t>In th</w:t>
      </w:r>
      <w:r w:rsidR="003B32C2" w:rsidRPr="002A4962">
        <w:rPr>
          <w:rFonts w:ascii="Arno Pro" w:hAnsi="Arno Pro"/>
          <w:sz w:val="18"/>
          <w:szCs w:val="18"/>
        </w:rPr>
        <w:t>is</w:t>
      </w:r>
      <w:r w:rsidR="000E7680" w:rsidRPr="002A4962">
        <w:rPr>
          <w:rFonts w:ascii="Arno Pro" w:hAnsi="Arno Pro"/>
          <w:sz w:val="18"/>
          <w:szCs w:val="18"/>
        </w:rPr>
        <w:t xml:space="preserve"> latter context t</w:t>
      </w:r>
      <w:r w:rsidR="00A045AF" w:rsidRPr="002A4962">
        <w:rPr>
          <w:rFonts w:ascii="Arno Pro" w:hAnsi="Arno Pro"/>
          <w:sz w:val="18"/>
          <w:szCs w:val="18"/>
        </w:rPr>
        <w:t xml:space="preserve">wo prominent examples are the human gut pathogens </w:t>
      </w:r>
      <w:r w:rsidR="00A045AF" w:rsidRPr="002A4962">
        <w:rPr>
          <w:rFonts w:ascii="Arno Pro" w:hAnsi="Arno Pro"/>
          <w:i/>
          <w:sz w:val="18"/>
          <w:szCs w:val="18"/>
        </w:rPr>
        <w:t>Salmonella typhimurium</w:t>
      </w:r>
      <w:r w:rsidR="001F5C71" w:rsidRPr="002A4962">
        <w:rPr>
          <w:rFonts w:ascii="Arno Pro" w:hAnsi="Arno Pro"/>
          <w:i/>
          <w:sz w:val="18"/>
          <w:szCs w:val="18"/>
        </w:rPr>
        <w:fldChar w:fldCharType="begin" w:fldLock="1"/>
      </w:r>
      <w:r w:rsidR="003B2989">
        <w:rPr>
          <w:rFonts w:ascii="Arno Pro" w:hAnsi="Arno Pro"/>
          <w:i/>
          <w:sz w:val="18"/>
          <w:szCs w:val="18"/>
        </w:rPr>
        <w:instrText>ADDIN CSL_CITATION { "citationItems" : [ { "id" : "ITEM-1", "itemData" : { "DOI" : "10.1038/nature09415", "ISBN" : "1476-4687 (Electronic)\\n0028-0836 (Linking)", "ISSN" : "0028-0836", "PMID" : "20864996", "abstract" : "Salmonella enterica serotype Typhimurium (S. Typhimurium) causes acute gut inflammation by using its virulence factors to invade the intestinal epithelium and survive in mucosal macrophages. The inflammatory response enhances the transmission success of S. Typhimurium by promoting its outgrowth in the gut lumen through unknown mechanisms. Here we show that reactive oxygen species generated during inflammation react with endogenous, luminal sulphur compounds (thiosulphate) to form a new respiratory electron acceptor, tetrathionate. The genes conferring the ability to use tetrathionate as an electron acceptor produce a growth advantage for S. Typhimurium over the competing microbiota in the lumen of the inflamed gut. We conclude that S. Typhimurium virulence factors induce host-driven production of a new electron acceptor that allows the pathogen to use respiration to compete with fermenting gut microbes. Thus the ability to trigger intestinal inflammation is crucial for the biology of this diarrhoeal pathogen.", "author" : [ { "dropping-particle" : "", "family" : "Winter", "given" : "Sebastian E", "non-dropping-particle" : "", "parse-names" : false, "suffix" : "" }, { "dropping-particle" : "", "family" : "Thiennimitr", "given" : "Parameth", "non-dropping-particle" : "", "parse-names" : false, "suffix" : "" }, { "dropping-particle" : "", "family" : "Winter", "given" : "Maria G", "non-dropping-particle" : "", "parse-names" : false, "suffix" : "" }, { "dropping-particle" : "", "family" : "Butler", "given" : "Brian P", "non-dropping-particle" : "", "parse-names" : false, "suffix" : "" }, { "dropping-particle" : "", "family" : "Huseby", "given" : "Douglas L", "non-dropping-particle" : "", "parse-names" : false, "suffix" : "" }, { "dropping-particle" : "", "family" : "Crawford", "given" : "Robert W", "non-dropping-particle" : "", "parse-names" : false, "suffix" : "" }, { "dropping-particle" : "", "family" : "Russell", "given" : "Joseph M", "non-dropping-particle" : "", "parse-names" : false, "suffix" : "" }, { "dropping-particle" : "", "family" : "Bevins", "given" : "Charles L", "non-dropping-particle" : "", "parse-names" : false, "suffix" : "" }, { "dropping-particle" : "", "family" : "Adams", "given" : "L Garry", "non-dropping-particle" : "", "parse-names" : false, "suffix" : "" }, { "dropping-particle" : "", "family" : "Tsolis", "given" : "Ren\u00e9e M", "non-dropping-particle" : "", "parse-names" : false, "suffix" : "" }, { "dropping-particle" : "", "family" : "Roth", "given" : "John R", "non-dropping-particle" : "", "parse-names" : false, "suffix" : "" }, { "dropping-particle" : "", "family" : "B\u00e4umler", "given" : "Andreas J", "non-dropping-particle" : "", "parse-names" : false, "suffix" : "" } ], "container-title" : "Nature", "id" : "ITEM-1", "issue" : "7314", "issued" : { "date-parts" : [ [ "2010" ] ] }, "page" : "426-429", "title" : "Gut inflammation provides a respiratory electron acceptor for &lt;i&gt;Salmonella&lt;/i&gt;.", "type" : "article-journal", "volume" : "467" }, "uris" : [ "http://www.mendeley.com/documents/?uuid=a3fe8018-6366-4b10-a3c0-f706ca5e291f" ] } ], "mendeley" : { "formattedCitation" : "&lt;sup&gt;7&lt;/sup&gt;", "plainTextFormattedCitation" : "7", "previouslyFormattedCitation" : "&lt;sup&gt;7&lt;/sup&gt;" }, "properties" : { "noteIndex" : 0 }, "schema" : "https://github.com/citation-style-language/schema/raw/master/csl-citation.json" }</w:instrText>
      </w:r>
      <w:r w:rsidR="001F5C71" w:rsidRPr="002A4962">
        <w:rPr>
          <w:rFonts w:ascii="Arno Pro" w:hAnsi="Arno Pro"/>
          <w:i/>
          <w:sz w:val="18"/>
          <w:szCs w:val="18"/>
        </w:rPr>
        <w:fldChar w:fldCharType="separate"/>
      </w:r>
      <w:r w:rsidR="00B22ABA" w:rsidRPr="00B22ABA">
        <w:rPr>
          <w:rFonts w:ascii="Arno Pro" w:hAnsi="Arno Pro"/>
          <w:noProof/>
          <w:sz w:val="18"/>
          <w:szCs w:val="18"/>
          <w:vertAlign w:val="superscript"/>
        </w:rPr>
        <w:t>7</w:t>
      </w:r>
      <w:r w:rsidR="001F5C71" w:rsidRPr="002A4962">
        <w:rPr>
          <w:rFonts w:ascii="Arno Pro" w:hAnsi="Arno Pro"/>
          <w:i/>
          <w:sz w:val="18"/>
          <w:szCs w:val="18"/>
        </w:rPr>
        <w:fldChar w:fldCharType="end"/>
      </w:r>
      <w:r w:rsidR="00A045AF" w:rsidRPr="002A4962">
        <w:rPr>
          <w:rFonts w:ascii="Arno Pro" w:hAnsi="Arno Pro"/>
          <w:sz w:val="18"/>
          <w:szCs w:val="18"/>
        </w:rPr>
        <w:t xml:space="preserve"> and </w:t>
      </w:r>
      <w:r w:rsidR="00A045AF" w:rsidRPr="002A4962">
        <w:rPr>
          <w:rFonts w:ascii="Arno Pro" w:hAnsi="Arno Pro"/>
          <w:i/>
          <w:sz w:val="18"/>
          <w:szCs w:val="18"/>
        </w:rPr>
        <w:t>Campy</w:t>
      </w:r>
      <w:r w:rsidR="0083799E">
        <w:rPr>
          <w:rFonts w:ascii="Arno Pro" w:hAnsi="Arno Pro"/>
          <w:i/>
          <w:sz w:val="18"/>
          <w:szCs w:val="18"/>
        </w:rPr>
        <w:softHyphen/>
      </w:r>
      <w:r w:rsidR="00A045AF" w:rsidRPr="002A4962">
        <w:rPr>
          <w:rFonts w:ascii="Arno Pro" w:hAnsi="Arno Pro"/>
          <w:i/>
          <w:sz w:val="18"/>
          <w:szCs w:val="18"/>
        </w:rPr>
        <w:t>lo</w:t>
      </w:r>
      <w:r w:rsidR="0083799E">
        <w:rPr>
          <w:rFonts w:ascii="Arno Pro" w:hAnsi="Arno Pro"/>
          <w:i/>
          <w:sz w:val="18"/>
          <w:szCs w:val="18"/>
        </w:rPr>
        <w:softHyphen/>
      </w:r>
      <w:r w:rsidR="00A045AF" w:rsidRPr="002A4962">
        <w:rPr>
          <w:rFonts w:ascii="Arno Pro" w:hAnsi="Arno Pro"/>
          <w:i/>
          <w:sz w:val="18"/>
          <w:szCs w:val="18"/>
        </w:rPr>
        <w:t>bacter jejuni</w:t>
      </w:r>
      <w:r w:rsidR="001F5C71" w:rsidRPr="002A4962">
        <w:rPr>
          <w:rFonts w:ascii="Arno Pro" w:hAnsi="Arno Pro"/>
          <w:i/>
          <w:sz w:val="18"/>
          <w:szCs w:val="18"/>
        </w:rPr>
        <w:fldChar w:fldCharType="begin" w:fldLock="1"/>
      </w:r>
      <w:r w:rsidR="003B2989">
        <w:rPr>
          <w:rFonts w:ascii="Arno Pro" w:hAnsi="Arno Pro"/>
          <w:i/>
          <w:sz w:val="18"/>
          <w:szCs w:val="18"/>
        </w:rPr>
        <w:instrText>ADDIN CSL_CITATION { "citationItems" : [ { "id" : "ITEM-1", "itemData" : { "DOI" : "10.1111/mmi.12176", "ISBN" : "0950-382X", "ISSN" : "0950382X", "PMID" : "23421726", "abstract" : "Tetrathionate (S4 O6 (2-) ) is used by some bacteria as an electron acceptor and can be produced in the vertebrate intestinal mucosa from the oxidation of thiosulphate (S2 O3 (2-) ) by reactive oxygen species during inflammation. Surprisingly, growth of the microaerophilic mucosal pathogen Campylobacter jejuni under oxygen-limited conditions was stimulated by tetrathionate, although it does not possess any known type of tetrathionate reductase. Here, we identify a dihaem cytochrome c (C8j_0815; TsdA) as the enzyme responsible. Kinetic studies with purified recombinant C. jejuni TsdA showed it to be a bifunctional tetrathionate reductase/thiosulphate dehydrogenase with a high affinity for tetrathionate. A tsdA null mutant still slowly reduced, but could not grow on, tetrathionate under oxygen limitation, lacked thiosulphate-dependent respiration and failed to convert thiosulphate to tetrathionate microaerobically. A TsdA paralogue (C8j_0040), lacking the unusual His-Cys haem ligation of TsdA, had low thiosulphate dehydrogenase and tetrathionate reductase activities. Our data highlight a hitherto unrecognized capacity of C. jejuni to use tetrathionate and thiosulphate in its energy metabolism, which may promote growth in the host. Moreover, as TsdA represents a new class of tetrathionate reductase that is widely distributed among bacteria, we predict that energy conserving tetrathionate respiration is far more common than currently appreciated.", "author" : [ { "dropping-particle" : "", "family" : "Liu", "given" : "Yang Wei", "non-dropping-particle" : "", "parse-names" : false, "suffix" : "" }, { "dropping-particle" : "", "family" : "Denkmann", "given" : "Kevin", "non-dropping-particle" : "", "parse-names" : false, "suffix" : "" }, { "dropping-particle" : "", "family" : "Kosciow", "given" : "Konrad", "non-dropping-particle" : "", "parse-names" : false, "suffix" : "" }, { "dropping-particle" : "", "family" : "Dahl", "given" : "Christiane", "non-dropping-particle" : "", "parse-names" : false, "suffix" : "" }, { "dropping-particle" : "", "family" : "Kelly", "given" : "David J.", "non-dropping-particle" : "", "parse-names" : false, "suffix" : "" } ], "container-title" : "Molecular Microbiology", "id" : "ITEM-1", "issue" : "1", "issued" : { "date-parts" : [ [ "2013" ] ] }, "page" : "173-188", "title" : "Tetrathionate stimulated growth of &lt;i&gt;Campylobacter jejuni&lt;/i&gt; identifies a new type of bi-functional tetrathionate reductase (TsdA) that is widely distributed in bacteria", "type" : "article-journal", "volume" : "88" }, "uris" : [ "http://www.mendeley.com/documents/?uuid=7c30f879-45d9-40b9-a629-2f2f413b70bf" ] } ], "mendeley" : { "formattedCitation" : "&lt;sup&gt;8&lt;/sup&gt;", "plainTextFormattedCitation" : "8", "previouslyFormattedCitation" : "&lt;sup&gt;8&lt;/sup&gt;" }, "properties" : { "noteIndex" : 0 }, "schema" : "https://github.com/citation-style-language/schema/raw/master/csl-citation.json" }</w:instrText>
      </w:r>
      <w:r w:rsidR="001F5C71" w:rsidRPr="002A4962">
        <w:rPr>
          <w:rFonts w:ascii="Arno Pro" w:hAnsi="Arno Pro"/>
          <w:i/>
          <w:sz w:val="18"/>
          <w:szCs w:val="18"/>
        </w:rPr>
        <w:fldChar w:fldCharType="separate"/>
      </w:r>
      <w:r w:rsidR="00B22ABA" w:rsidRPr="00B22ABA">
        <w:rPr>
          <w:rFonts w:ascii="Arno Pro" w:hAnsi="Arno Pro"/>
          <w:noProof/>
          <w:sz w:val="18"/>
          <w:szCs w:val="18"/>
          <w:vertAlign w:val="superscript"/>
        </w:rPr>
        <w:t>8</w:t>
      </w:r>
      <w:r w:rsidR="001F5C71" w:rsidRPr="002A4962">
        <w:rPr>
          <w:rFonts w:ascii="Arno Pro" w:hAnsi="Arno Pro"/>
          <w:i/>
          <w:sz w:val="18"/>
          <w:szCs w:val="18"/>
        </w:rPr>
        <w:fldChar w:fldCharType="end"/>
      </w:r>
      <w:r w:rsidR="00A045AF" w:rsidRPr="002A4962">
        <w:rPr>
          <w:rFonts w:ascii="Arno Pro" w:hAnsi="Arno Pro"/>
          <w:sz w:val="18"/>
          <w:szCs w:val="18"/>
        </w:rPr>
        <w:t xml:space="preserve">. </w:t>
      </w:r>
      <w:r w:rsidR="00B077E4" w:rsidRPr="002A4962">
        <w:rPr>
          <w:rFonts w:ascii="Arno Pro" w:hAnsi="Arno Pro"/>
          <w:i/>
          <w:sz w:val="18"/>
          <w:szCs w:val="18"/>
        </w:rPr>
        <w:t>S. typhimurium</w:t>
      </w:r>
      <w:r w:rsidR="00B077E4" w:rsidRPr="002A4962">
        <w:rPr>
          <w:rFonts w:ascii="Arno Pro" w:hAnsi="Arno Pro"/>
          <w:sz w:val="18"/>
          <w:szCs w:val="18"/>
        </w:rPr>
        <w:t xml:space="preserve"> </w:t>
      </w:r>
      <w:r w:rsidR="008252D2" w:rsidRPr="002A4962">
        <w:rPr>
          <w:rFonts w:ascii="Arno Pro" w:hAnsi="Arno Pro"/>
          <w:sz w:val="18"/>
          <w:szCs w:val="18"/>
        </w:rPr>
        <w:t>reduce</w:t>
      </w:r>
      <w:r w:rsidRPr="002A4962">
        <w:rPr>
          <w:rFonts w:ascii="Arno Pro" w:hAnsi="Arno Pro"/>
          <w:sz w:val="18"/>
          <w:szCs w:val="18"/>
        </w:rPr>
        <w:t>s</w:t>
      </w:r>
      <w:r w:rsidR="008252D2" w:rsidRPr="002A4962">
        <w:rPr>
          <w:rFonts w:ascii="Arno Pro" w:hAnsi="Arno Pro"/>
          <w:sz w:val="18"/>
          <w:szCs w:val="18"/>
        </w:rPr>
        <w:t xml:space="preserve"> tetrathionate pro</w:t>
      </w:r>
      <w:r w:rsidR="00BA7DC3">
        <w:rPr>
          <w:rFonts w:ascii="Arno Pro" w:hAnsi="Arno Pro"/>
          <w:sz w:val="18"/>
          <w:szCs w:val="18"/>
        </w:rPr>
        <w:softHyphen/>
      </w:r>
      <w:r w:rsidR="008252D2" w:rsidRPr="002A4962">
        <w:rPr>
          <w:rFonts w:ascii="Arno Pro" w:hAnsi="Arno Pro"/>
          <w:sz w:val="18"/>
          <w:szCs w:val="18"/>
        </w:rPr>
        <w:t>duced by vert</w:t>
      </w:r>
      <w:r w:rsidR="00030760">
        <w:rPr>
          <w:rFonts w:ascii="Arno Pro" w:hAnsi="Arno Pro"/>
          <w:sz w:val="18"/>
          <w:szCs w:val="18"/>
        </w:rPr>
        <w:t xml:space="preserve">ebrate intestinal mucosa during </w:t>
      </w:r>
      <w:r w:rsidR="008252D2" w:rsidRPr="002A4962">
        <w:rPr>
          <w:rFonts w:ascii="Arno Pro" w:hAnsi="Arno Pro"/>
          <w:sz w:val="18"/>
          <w:szCs w:val="18"/>
        </w:rPr>
        <w:t>inflamma</w:t>
      </w:r>
      <w:r w:rsidR="0067018C">
        <w:rPr>
          <w:rFonts w:ascii="Arno Pro" w:hAnsi="Arno Pro"/>
          <w:sz w:val="18"/>
          <w:szCs w:val="18"/>
        </w:rPr>
        <w:softHyphen/>
      </w:r>
      <w:r w:rsidR="008252D2" w:rsidRPr="002A4962">
        <w:rPr>
          <w:rFonts w:ascii="Arno Pro" w:hAnsi="Arno Pro"/>
          <w:sz w:val="18"/>
          <w:szCs w:val="18"/>
        </w:rPr>
        <w:t>tion</w:t>
      </w:r>
      <w:r w:rsidR="000A1D28">
        <w:rPr>
          <w:rFonts w:ascii="Arno Pro" w:hAnsi="Arno Pro"/>
          <w:sz w:val="18"/>
          <w:szCs w:val="18"/>
        </w:rPr>
        <w:t xml:space="preserve"> and th</w:t>
      </w:r>
      <w:r w:rsidR="00A61630" w:rsidRPr="002A4962">
        <w:rPr>
          <w:rFonts w:ascii="Arno Pro" w:hAnsi="Arno Pro"/>
          <w:sz w:val="18"/>
          <w:szCs w:val="18"/>
        </w:rPr>
        <w:t>is may confer a competitive growth</w:t>
      </w:r>
      <w:r w:rsidR="00030760">
        <w:rPr>
          <w:rFonts w:ascii="Arno Pro" w:hAnsi="Arno Pro"/>
          <w:sz w:val="18"/>
          <w:szCs w:val="18"/>
        </w:rPr>
        <w:t xml:space="preserve"> </w:t>
      </w:r>
      <w:r w:rsidR="00A61630" w:rsidRPr="002A4962">
        <w:rPr>
          <w:rFonts w:ascii="Arno Pro" w:hAnsi="Arno Pro"/>
          <w:sz w:val="18"/>
          <w:szCs w:val="18"/>
        </w:rPr>
        <w:t xml:space="preserve">advantage </w:t>
      </w:r>
      <w:r w:rsidR="002726F0">
        <w:rPr>
          <w:rFonts w:ascii="Arno Pro" w:hAnsi="Arno Pro"/>
          <w:sz w:val="18"/>
          <w:szCs w:val="18"/>
        </w:rPr>
        <w:t xml:space="preserve">on the pathogen by supporting </w:t>
      </w:r>
      <w:r w:rsidR="00A61630" w:rsidRPr="002A4962">
        <w:rPr>
          <w:rFonts w:ascii="Arno Pro" w:hAnsi="Arno Pro"/>
          <w:sz w:val="18"/>
          <w:szCs w:val="18"/>
        </w:rPr>
        <w:t>inc</w:t>
      </w:r>
      <w:r w:rsidR="00030760">
        <w:rPr>
          <w:rFonts w:ascii="Arno Pro" w:hAnsi="Arno Pro"/>
          <w:sz w:val="18"/>
          <w:szCs w:val="18"/>
        </w:rPr>
        <w:t xml:space="preserve">reased transmission through the </w:t>
      </w:r>
      <w:proofErr w:type="spellStart"/>
      <w:r w:rsidR="00A61630" w:rsidRPr="002A4962">
        <w:rPr>
          <w:rFonts w:ascii="Arno Pro" w:hAnsi="Arno Pro"/>
          <w:sz w:val="18"/>
          <w:szCs w:val="18"/>
        </w:rPr>
        <w:t>faecal</w:t>
      </w:r>
      <w:proofErr w:type="spellEnd"/>
      <w:r w:rsidR="00A61630" w:rsidRPr="002A4962">
        <w:rPr>
          <w:rFonts w:ascii="Arno Pro" w:hAnsi="Arno Pro"/>
          <w:sz w:val="18"/>
          <w:szCs w:val="18"/>
        </w:rPr>
        <w:t>-oral route</w:t>
      </w:r>
      <w:r w:rsidR="001F5C71" w:rsidRPr="002A4962">
        <w:rPr>
          <w:rFonts w:ascii="Arno Pro" w:hAnsi="Arno Pro"/>
          <w:sz w:val="18"/>
          <w:szCs w:val="18"/>
        </w:rPr>
        <w:fldChar w:fldCharType="begin" w:fldLock="1"/>
      </w:r>
      <w:r w:rsidR="000A1D28">
        <w:rPr>
          <w:rFonts w:ascii="Arno Pro" w:hAnsi="Arno Pro"/>
          <w:sz w:val="18"/>
          <w:szCs w:val="18"/>
        </w:rPr>
        <w:instrText>ADDIN CSL_CITATION { "citationItems" : [ { "id" : "ITEM-1", "itemData" : { "DOI" : "10.1038/nature09415", "ISBN" : "1476-4687 (Electronic)\\n0028-0836 (Linking)", "ISSN" : "0028-0836", "PMID" : "20864996", "abstract" : "Salmonella enterica serotype Typhimurium (S. Typhimurium) causes acute gut inflammation by using its virulence factors to invade the intestinal epithelium and survive in mucosal macrophages. The inflammatory response enhances the transmission success of S. Typhimurium by promoting its outgrowth in the gut lumen through unknown mechanisms. Here we show that reactive oxygen species generated during inflammation react with endogenous, luminal sulphur compounds (thiosulphate) to form a new respiratory electron acceptor, tetrathionate. The genes conferring the ability to use tetrathionate as an electron acceptor produce a growth advantage for S. Typhimurium over the competing microbiota in the lumen of the inflamed gut. We conclude that S. Typhimurium virulence factors induce host-driven production of a new electron acceptor that allows the pathogen to use respiration to compete with fermenting gut microbes. Thus the ability to trigger intestinal inflammation is crucial for the biology of this diarrhoeal pathogen.", "author" : [ { "dropping-particle" : "", "family" : "Winter", "given" : "Sebastian E", "non-dropping-particle" : "", "parse-names" : false, "suffix" : "" }, { "dropping-particle" : "", "family" : "Thiennimitr", "given" : "Parameth", "non-dropping-particle" : "", "parse-names" : false, "suffix" : "" }, { "dropping-particle" : "", "family" : "Winter", "given" : "Maria G", "non-dropping-particle" : "", "parse-names" : false, "suffix" : "" }, { "dropping-particle" : "", "family" : "Butler", "given" : "Brian P", "non-dropping-particle" : "", "parse-names" : false, "suffix" : "" }, { "dropping-particle" : "", "family" : "Huseby", "given" : "Douglas L", "non-dropping-particle" : "", "parse-names" : false, "suffix" : "" }, { "dropping-particle" : "", "family" : "Crawford", "given" : "Robert W", "non-dropping-particle" : "", "parse-names" : false, "suffix" : "" }, { "dropping-particle" : "", "family" : "Russell", "given" : "Joseph M", "non-dropping-particle" : "", "parse-names" : false, "suffix" : "" }, { "dropping-particle" : "", "family" : "Bevins", "given" : "Charles L", "non-dropping-particle" : "", "parse-names" : false, "suffix" : "" }, { "dropping-particle" : "", "family" : "Adams", "given" : "L Garry", "non-dropping-particle" : "", "parse-names" : false, "suffix" : "" }, { "dropping-particle" : "", "family" : "Tsolis", "given" : "Ren\u00e9e M", "non-dropping-particle" : "", "parse-names" : false, "suffix" : "" }, { "dropping-particle" : "", "family" : "Roth", "given" : "John R", "non-dropping-particle" : "", "parse-names" : false, "suffix" : "" }, { "dropping-particle" : "", "family" : "B\u00e4umler", "given" : "Andreas J", "non-dropping-particle" : "", "parse-names" : false, "suffix" : "" } ], "container-title" : "Nature", "id" : "ITEM-1", "issue" : "7314", "issued" : { "date-parts" : [ [ "2010" ] ] }, "page" : "426-429", "title" : "Gut inflammation provides a respiratory electron acceptor for &lt;i&gt;Salmonella&lt;/i&gt;.", "type" : "article-journal", "volume" : "467" }, "uris" : [ "http://www.mendeley.com/documents/?uuid=a3fe8018-6366-4b10-a3c0-f706ca5e291f" ] } ], "mendeley" : { "formattedCitation" : "&lt;sup&gt;7&lt;/sup&gt;", "plainTextFormattedCitation" : "7", "previouslyFormattedCitation" : "&lt;sup&gt;7&lt;/sup&gt;" }, "properties" : { "noteIndex" : 0 }, "schema" : "https://github.com/citation-style-language/schema/raw/master/csl-citation.json" }</w:instrText>
      </w:r>
      <w:r w:rsidR="001F5C71" w:rsidRPr="002A4962">
        <w:rPr>
          <w:rFonts w:ascii="Arno Pro" w:hAnsi="Arno Pro"/>
          <w:sz w:val="18"/>
          <w:szCs w:val="18"/>
        </w:rPr>
        <w:fldChar w:fldCharType="separate"/>
      </w:r>
      <w:r w:rsidR="000A1D28" w:rsidRPr="00B22ABA">
        <w:rPr>
          <w:rFonts w:ascii="Arno Pro" w:hAnsi="Arno Pro"/>
          <w:noProof/>
          <w:sz w:val="18"/>
          <w:szCs w:val="18"/>
          <w:vertAlign w:val="superscript"/>
        </w:rPr>
        <w:t>7</w:t>
      </w:r>
      <w:r w:rsidR="001F5C71" w:rsidRPr="002A4962">
        <w:rPr>
          <w:rFonts w:ascii="Arno Pro" w:hAnsi="Arno Pro"/>
          <w:sz w:val="18"/>
          <w:szCs w:val="18"/>
        </w:rPr>
        <w:fldChar w:fldCharType="end"/>
      </w:r>
      <w:r w:rsidR="000A1D28" w:rsidRPr="002A4962">
        <w:rPr>
          <w:rFonts w:ascii="Arno Pro" w:hAnsi="Arno Pro"/>
          <w:sz w:val="18"/>
          <w:szCs w:val="18"/>
        </w:rPr>
        <w:t>.</w:t>
      </w:r>
    </w:p>
    <w:p w:rsidR="003B32C2" w:rsidRDefault="00AE4276" w:rsidP="007D5685">
      <w:pPr>
        <w:spacing w:after="60"/>
        <w:ind w:firstLine="284"/>
        <w:rPr>
          <w:rFonts w:ascii="Arno Pro" w:hAnsi="Arno Pro"/>
          <w:sz w:val="18"/>
          <w:szCs w:val="18"/>
        </w:rPr>
      </w:pPr>
      <w:r w:rsidRPr="002A4962">
        <w:rPr>
          <w:rFonts w:ascii="Arno Pro" w:hAnsi="Arno Pro"/>
          <w:sz w:val="18"/>
          <w:szCs w:val="18"/>
        </w:rPr>
        <w:t xml:space="preserve">The processes </w:t>
      </w:r>
      <w:r w:rsidR="0029059D" w:rsidRPr="002A4962">
        <w:rPr>
          <w:rFonts w:ascii="Arno Pro" w:hAnsi="Arno Pro"/>
          <w:sz w:val="18"/>
          <w:szCs w:val="18"/>
        </w:rPr>
        <w:t xml:space="preserve">mentioned above </w:t>
      </w:r>
      <w:r w:rsidRPr="002A4962">
        <w:rPr>
          <w:rFonts w:ascii="Arno Pro" w:hAnsi="Arno Pro"/>
          <w:sz w:val="18"/>
          <w:szCs w:val="18"/>
        </w:rPr>
        <w:t xml:space="preserve">have focused attention on the reduction potential </w:t>
      </w:r>
      <w:r w:rsidR="008761C2" w:rsidRPr="002A4962">
        <w:rPr>
          <w:rFonts w:ascii="Arno Pro" w:hAnsi="Arno Pro"/>
          <w:sz w:val="18"/>
          <w:szCs w:val="18"/>
        </w:rPr>
        <w:t>(</w:t>
      </w:r>
      <w:r w:rsidR="008761C2" w:rsidRPr="002A4962">
        <w:rPr>
          <w:rFonts w:ascii="Arno Pro" w:hAnsi="Arno Pro"/>
          <w:i/>
          <w:sz w:val="18"/>
          <w:szCs w:val="18"/>
        </w:rPr>
        <w:t>E</w:t>
      </w:r>
      <w:r w:rsidRPr="002A4962">
        <w:rPr>
          <w:rFonts w:ascii="Arno Pro" w:hAnsi="Arno Pro"/>
          <w:sz w:val="18"/>
          <w:szCs w:val="18"/>
          <w:vertAlign w:val="subscript"/>
        </w:rPr>
        <w:t>TT</w:t>
      </w:r>
      <w:r w:rsidR="008761C2" w:rsidRPr="002A4962">
        <w:rPr>
          <w:rFonts w:ascii="Arno Pro" w:hAnsi="Arno Pro"/>
          <w:sz w:val="18"/>
          <w:szCs w:val="18"/>
          <w:vertAlign w:val="subscript"/>
        </w:rPr>
        <w:t>/T</w:t>
      </w:r>
      <w:r w:rsidRPr="002A4962">
        <w:rPr>
          <w:rFonts w:ascii="Arno Pro" w:hAnsi="Arno Pro"/>
          <w:sz w:val="18"/>
          <w:szCs w:val="18"/>
          <w:vertAlign w:val="subscript"/>
        </w:rPr>
        <w:t>S</w:t>
      </w:r>
      <w:r w:rsidR="008761C2" w:rsidRPr="002A4962">
        <w:rPr>
          <w:rFonts w:ascii="Arno Pro" w:hAnsi="Arno Pro"/>
          <w:sz w:val="18"/>
          <w:szCs w:val="18"/>
        </w:rPr>
        <w:t>)</w:t>
      </w:r>
      <w:r w:rsidRPr="002A4962">
        <w:rPr>
          <w:rFonts w:ascii="Arno Pro" w:hAnsi="Arno Pro"/>
          <w:sz w:val="18"/>
          <w:szCs w:val="18"/>
        </w:rPr>
        <w:t xml:space="preserve"> of the tetrathi</w:t>
      </w:r>
      <w:r w:rsidR="00BA7DC3">
        <w:rPr>
          <w:rFonts w:ascii="Arno Pro" w:hAnsi="Arno Pro"/>
          <w:sz w:val="18"/>
          <w:szCs w:val="18"/>
        </w:rPr>
        <w:softHyphen/>
      </w:r>
      <w:r w:rsidRPr="002A4962">
        <w:rPr>
          <w:rFonts w:ascii="Arno Pro" w:hAnsi="Arno Pro"/>
          <w:sz w:val="18"/>
          <w:szCs w:val="18"/>
        </w:rPr>
        <w:t>o</w:t>
      </w:r>
      <w:r w:rsidR="0083799E">
        <w:rPr>
          <w:rFonts w:ascii="Arno Pro" w:hAnsi="Arno Pro"/>
          <w:sz w:val="18"/>
          <w:szCs w:val="18"/>
        </w:rPr>
        <w:softHyphen/>
      </w:r>
      <w:r w:rsidRPr="002A4962">
        <w:rPr>
          <w:rFonts w:ascii="Arno Pro" w:hAnsi="Arno Pro"/>
          <w:sz w:val="18"/>
          <w:szCs w:val="18"/>
        </w:rPr>
        <w:t>nate/thiosulfate couple</w:t>
      </w:r>
      <w:r w:rsidR="00A045AF" w:rsidRPr="002A4962">
        <w:rPr>
          <w:rFonts w:ascii="Arno Pro" w:hAnsi="Arno Pro"/>
          <w:sz w:val="18"/>
          <w:szCs w:val="18"/>
        </w:rPr>
        <w:t xml:space="preserve">. </w:t>
      </w:r>
      <w:proofErr w:type="spellStart"/>
      <w:r w:rsidR="00A045AF" w:rsidRPr="002A4962">
        <w:rPr>
          <w:rFonts w:ascii="Arno Pro" w:hAnsi="Arno Pro"/>
          <w:sz w:val="18"/>
          <w:szCs w:val="18"/>
        </w:rPr>
        <w:t>Po</w:t>
      </w:r>
      <w:r w:rsidR="00030760">
        <w:rPr>
          <w:rFonts w:ascii="Arno Pro" w:hAnsi="Arno Pro"/>
          <w:sz w:val="18"/>
          <w:szCs w:val="18"/>
        </w:rPr>
        <w:t>urbaix</w:t>
      </w:r>
      <w:proofErr w:type="spellEnd"/>
      <w:r w:rsidR="00030760">
        <w:rPr>
          <w:rFonts w:ascii="Arno Pro" w:hAnsi="Arno Pro"/>
          <w:sz w:val="18"/>
          <w:szCs w:val="18"/>
        </w:rPr>
        <w:t xml:space="preserve"> (reduction poten</w:t>
      </w:r>
      <w:r w:rsidR="0067018C">
        <w:rPr>
          <w:rFonts w:ascii="Arno Pro" w:hAnsi="Arno Pro"/>
          <w:sz w:val="18"/>
          <w:szCs w:val="18"/>
        </w:rPr>
        <w:softHyphen/>
      </w:r>
      <w:r w:rsidR="00030760">
        <w:rPr>
          <w:rFonts w:ascii="Arno Pro" w:hAnsi="Arno Pro"/>
          <w:sz w:val="18"/>
          <w:szCs w:val="18"/>
        </w:rPr>
        <w:t xml:space="preserve">tial-pH) </w:t>
      </w:r>
      <w:r w:rsidR="00A045AF" w:rsidRPr="002A4962">
        <w:rPr>
          <w:rFonts w:ascii="Arno Pro" w:hAnsi="Arno Pro"/>
          <w:sz w:val="18"/>
          <w:szCs w:val="18"/>
        </w:rPr>
        <w:t>diagrams</w:t>
      </w:r>
      <w:r w:rsidR="004F0B31">
        <w:rPr>
          <w:rFonts w:ascii="Arno Pro" w:hAnsi="Arno Pro"/>
          <w:sz w:val="18"/>
          <w:szCs w:val="18"/>
        </w:rPr>
        <w:t xml:space="preserve"> </w:t>
      </w:r>
      <w:r w:rsidR="008761C2" w:rsidRPr="002A4962">
        <w:rPr>
          <w:rFonts w:ascii="Arno Pro" w:hAnsi="Arno Pro"/>
          <w:sz w:val="18"/>
          <w:szCs w:val="18"/>
        </w:rPr>
        <w:t xml:space="preserve">including this value </w:t>
      </w:r>
      <w:r w:rsidR="00A045AF" w:rsidRPr="002A4962">
        <w:rPr>
          <w:rFonts w:ascii="Arno Pro" w:hAnsi="Arno Pro"/>
          <w:sz w:val="18"/>
          <w:szCs w:val="18"/>
        </w:rPr>
        <w:t>have been pre</w:t>
      </w:r>
      <w:r w:rsidR="0067018C">
        <w:rPr>
          <w:rFonts w:ascii="Arno Pro" w:hAnsi="Arno Pro"/>
          <w:sz w:val="18"/>
          <w:szCs w:val="18"/>
        </w:rPr>
        <w:softHyphen/>
      </w:r>
      <w:r w:rsidR="00A045AF" w:rsidRPr="002A4962">
        <w:rPr>
          <w:rFonts w:ascii="Arno Pro" w:hAnsi="Arno Pro"/>
          <w:sz w:val="18"/>
          <w:szCs w:val="18"/>
        </w:rPr>
        <w:t>sented</w:t>
      </w:r>
      <w:r w:rsidR="001F5C71" w:rsidRPr="002A4962">
        <w:rPr>
          <w:rFonts w:ascii="Arno Pro" w:hAnsi="Arno Pro"/>
          <w:sz w:val="18"/>
          <w:szCs w:val="18"/>
        </w:rPr>
        <w:fldChar w:fldCharType="begin" w:fldLock="1"/>
      </w:r>
      <w:r w:rsidR="003B2989">
        <w:rPr>
          <w:rFonts w:ascii="Arno Pro" w:hAnsi="Arno Pro"/>
          <w:sz w:val="18"/>
          <w:szCs w:val="18"/>
        </w:rPr>
        <w:instrText>ADDIN CSL_CITATION { "citationItems" : [ { "id" : "ITEM-1", "itemData" : { "DOI" : "10.1016/S0892-6875(00)00172-2", "ISBN" : "0892-6875", "ISSN" : "08926875", "abstract" : "The ammoniacal thiosulfate leaching process for gold and silver extraction has been reviewed in terms of leaching mechanism, thermodynamics, thiosulfate stability, and gold recovery options. The application to different ore types and process options have also been discussed. The thiosulfate leaching process it catalysed by copper and has several advantages over the conventional cyanidation process. Thiosulfate leaching can be considered a non-toxic process, the gold dissolution rates can be faster than conventional cyanidation and, due to the decreased interference of foreign cations, high gold recoveries can be obtained from the thiosulfate leaching of complex and carbonaceous-type ores. In addition, thiosulfate can be cheaper than cyanide. The chemistry of the ammonia-thiosulfate - copper system is complicated due to the simultaneous presence of complexing ligands such as ammonia and thiosulfate, the Cu(II)\ue5f8Cu(I) redox couple and the stability of thiosulfate in solution. However, by maintaining suitable concentrations of thiosulfate, ammonia, copper and oxygen in the leach solution, and consequently, suitable Eh and pH conditions, thiosulfate leaching can be made practical. Generally the thiosulfate leaching conditions reported in the literature are severe with high reagent consumption. Further investigations are required on leaching under low reagent concentrations over extended periods where reagent consumption is low. For high grade ores or refractory sulfide ores where some pretreatment processing is required to liberate gold, the in-situ generation of thiosulfate should be investigated in more detail. This may lessen thiosulfate consumption and liberate more gold through the oxidation of host sulfide minerals. Cementation (or metal displacement), resins and to a limited extent, activated carbon can be used to recovery gold from thiosulfate solutions. The use of resins to recover gold from solution appears to show some promise, however more work is required to develop suitable elution and recovery methods, and greater selectivity over copper. While difficulties remain to be overcome, thiosulfate leaching has considerable potential as an effective and less hazardous procedure for gold and silver extraction from auriferous ores.", "author" : [ { "dropping-particle" : "", "family" : "Aylmore", "given" : "M G", "non-dropping-particle" : "", "parse-names" : false, "suffix" : "" }, { "dropping-particle" : "", "family" : "Muir", "given" : "D M", "non-dropping-particle" : "", "parse-names" : false, "suffix" : "" } ], "container-title" : "Minerals Engineering", "id" : "ITEM-1", "issue" : "2", "issued" : { "date-parts" : [ [ "2001" ] ] }, "page" : "135-174", "title" : "Thiosulfate leaching of gold\u2014A review", "type" : "article-journal", "volume" : "14" }, "uris" : [ "http://www.mendeley.com/documents/?uuid=48f95399-88bb-4181-9862-adb5ed30424a" ] }, { "id" : "ITEM-2", "itemData" : { "DOI" : "10.1016/0016-7037(92)90295-T", "ISSN" : "00167037", "abstract" : "Equilibrium potential-pH diagrams were constructed using a large set of thermodynamic data for a number of sulphur compounds, from 0 to 150\u00b0C. These diagrams were used to determine how access of oxygen in H2S bearing solutions influences corrosion. It is shown that occasional access of limited amounts of oxygen is not necessarily corrosive, but that continuous access of even traces of oxygen to a same volume of H2S solution can produce an important pH drop which may be the cause of corrosion. In the present state of knowledge concerning the reversibility or irreversibility of the reactions, these equilibrium diagrams should be considered as a guide for experimental researches involving systematic electrode potential and pH measurements, which might lead to a perfect understanding and mastering of the corrosions.", "author" : [ { "dropping-particle" : "", "family" : "Pourbaix", "given" : "Marcel", "non-dropping-particle" : "", "parse-names" : false, "suffix" : "" }, { "dropping-particle" : "", "family" : "Pourbaix", "given" : "Antoine", "non-dropping-particle" : "", "parse-names" : false, "suffix" : "" } ], "container-title" : "Geochimica et Cosmochimica Acta", "id" : "ITEM-2", "issue" : "8", "issued" : { "date-parts" : [ [ "1992" ] ] }, "page" : "3157-3178", "title" : "Potential-pH equilibrium diagrams for the system S-H2O from 25 to 150\u00b0C: Influence of access of oxygen in sulphide solutions", "type" : "article-journal", "volume" : "56" }, "uris" : [ "http://www.mendeley.com/documents/?uuid=3c7949fc-7851-4fc2-aa2e-ee3a060e8cc2" ] } ], "mendeley" : { "formattedCitation" : "&lt;sup&gt;3,9&lt;/sup&gt;", "plainTextFormattedCitation" : "3,9", "previouslyFormattedCitation" : "&lt;sup&gt;3,9&lt;/sup&gt;" }, "properties" : { "noteIndex" : 0 }, "schema" : "https://github.com/citation-style-language/schema/raw/master/csl-citation.json" }</w:instrText>
      </w:r>
      <w:r w:rsidR="001F5C71" w:rsidRPr="002A4962">
        <w:rPr>
          <w:rFonts w:ascii="Arno Pro" w:hAnsi="Arno Pro"/>
          <w:sz w:val="18"/>
          <w:szCs w:val="18"/>
        </w:rPr>
        <w:fldChar w:fldCharType="separate"/>
      </w:r>
      <w:r w:rsidR="00B22ABA" w:rsidRPr="00B22ABA">
        <w:rPr>
          <w:rFonts w:ascii="Arno Pro" w:hAnsi="Arno Pro"/>
          <w:noProof/>
          <w:sz w:val="18"/>
          <w:szCs w:val="18"/>
          <w:vertAlign w:val="superscript"/>
        </w:rPr>
        <w:t>3,9</w:t>
      </w:r>
      <w:r w:rsidR="001F5C71" w:rsidRPr="002A4962">
        <w:rPr>
          <w:rFonts w:ascii="Arno Pro" w:hAnsi="Arno Pro"/>
          <w:sz w:val="18"/>
          <w:szCs w:val="18"/>
        </w:rPr>
        <w:fldChar w:fldCharType="end"/>
      </w:r>
      <w:r w:rsidR="00A045AF" w:rsidRPr="002A4962">
        <w:rPr>
          <w:rFonts w:ascii="Arno Pro" w:hAnsi="Arno Pro"/>
          <w:sz w:val="18"/>
          <w:szCs w:val="18"/>
        </w:rPr>
        <w:t>.</w:t>
      </w:r>
      <w:r w:rsidR="001563D0" w:rsidRPr="002A4962">
        <w:rPr>
          <w:rFonts w:ascii="Arno Pro" w:hAnsi="Arno Pro"/>
          <w:sz w:val="18"/>
          <w:szCs w:val="18"/>
        </w:rPr>
        <w:t xml:space="preserve"> </w:t>
      </w:r>
      <w:r w:rsidR="008761C2" w:rsidRPr="002A4962">
        <w:rPr>
          <w:rFonts w:ascii="Arno Pro" w:hAnsi="Arno Pro"/>
          <w:i/>
          <w:sz w:val="18"/>
          <w:szCs w:val="18"/>
        </w:rPr>
        <w:t>E</w:t>
      </w:r>
      <w:r w:rsidR="008761C2" w:rsidRPr="002A4962">
        <w:rPr>
          <w:rFonts w:ascii="Arno Pro" w:hAnsi="Arno Pro"/>
          <w:sz w:val="18"/>
          <w:szCs w:val="18"/>
          <w:vertAlign w:val="subscript"/>
        </w:rPr>
        <w:t>T</w:t>
      </w:r>
      <w:r w:rsidRPr="002A4962">
        <w:rPr>
          <w:rFonts w:ascii="Arno Pro" w:hAnsi="Arno Pro"/>
          <w:sz w:val="18"/>
          <w:szCs w:val="18"/>
          <w:vertAlign w:val="subscript"/>
        </w:rPr>
        <w:t>T</w:t>
      </w:r>
      <w:r w:rsidR="008761C2" w:rsidRPr="002A4962">
        <w:rPr>
          <w:rFonts w:ascii="Arno Pro" w:hAnsi="Arno Pro"/>
          <w:sz w:val="18"/>
          <w:szCs w:val="18"/>
          <w:vertAlign w:val="subscript"/>
        </w:rPr>
        <w:t>/T</w:t>
      </w:r>
      <w:r w:rsidRPr="002A4962">
        <w:rPr>
          <w:rFonts w:ascii="Arno Pro" w:hAnsi="Arno Pro"/>
          <w:sz w:val="18"/>
          <w:szCs w:val="18"/>
          <w:vertAlign w:val="subscript"/>
        </w:rPr>
        <w:t>S</w:t>
      </w:r>
      <w:r w:rsidR="008761C2" w:rsidRPr="002A4962">
        <w:rPr>
          <w:rFonts w:ascii="Arno Pro" w:hAnsi="Arno Pro"/>
          <w:sz w:val="18"/>
          <w:szCs w:val="18"/>
        </w:rPr>
        <w:t xml:space="preserve"> </w:t>
      </w:r>
      <w:r w:rsidR="006C02E0" w:rsidRPr="002A4962">
        <w:rPr>
          <w:rFonts w:ascii="Arno Pro" w:hAnsi="Arno Pro"/>
          <w:sz w:val="18"/>
          <w:szCs w:val="18"/>
        </w:rPr>
        <w:t xml:space="preserve">is </w:t>
      </w:r>
      <w:r w:rsidR="004F0B31">
        <w:rPr>
          <w:rFonts w:ascii="Arno Pro" w:hAnsi="Arno Pro"/>
          <w:sz w:val="18"/>
          <w:szCs w:val="18"/>
        </w:rPr>
        <w:t xml:space="preserve">also </w:t>
      </w:r>
      <w:r w:rsidR="008933EE" w:rsidRPr="002A4962">
        <w:rPr>
          <w:rFonts w:ascii="Arno Pro" w:hAnsi="Arno Pro"/>
          <w:sz w:val="18"/>
          <w:szCs w:val="18"/>
        </w:rPr>
        <w:t>included in redox towers</w:t>
      </w:r>
      <w:r w:rsidR="001563D0" w:rsidRPr="002A4962">
        <w:rPr>
          <w:rFonts w:ascii="Arno Pro" w:hAnsi="Arno Pro"/>
          <w:sz w:val="18"/>
          <w:szCs w:val="18"/>
        </w:rPr>
        <w:t>.</w:t>
      </w:r>
      <w:r w:rsidR="0004371B" w:rsidRPr="002A4962">
        <w:rPr>
          <w:rFonts w:ascii="Arno Pro" w:hAnsi="Arno Pro"/>
          <w:sz w:val="18"/>
          <w:szCs w:val="18"/>
        </w:rPr>
        <w:t xml:space="preserve"> </w:t>
      </w:r>
      <w:r w:rsidR="001563D0" w:rsidRPr="002A4962">
        <w:rPr>
          <w:rFonts w:ascii="Arno Pro" w:hAnsi="Arno Pro"/>
          <w:sz w:val="18"/>
          <w:szCs w:val="18"/>
        </w:rPr>
        <w:t xml:space="preserve">These </w:t>
      </w:r>
      <w:r w:rsidR="008933EE" w:rsidRPr="002A4962">
        <w:rPr>
          <w:rFonts w:ascii="Arno Pro" w:hAnsi="Arno Pro"/>
          <w:sz w:val="18"/>
          <w:szCs w:val="18"/>
        </w:rPr>
        <w:t>c</w:t>
      </w:r>
      <w:r w:rsidR="00A045AF" w:rsidRPr="002A4962">
        <w:rPr>
          <w:rFonts w:ascii="Arno Pro" w:hAnsi="Arno Pro"/>
          <w:sz w:val="18"/>
          <w:szCs w:val="18"/>
        </w:rPr>
        <w:t>ompar</w:t>
      </w:r>
      <w:r w:rsidR="0029059D" w:rsidRPr="002A4962">
        <w:rPr>
          <w:rFonts w:ascii="Arno Pro" w:hAnsi="Arno Pro"/>
          <w:sz w:val="18"/>
          <w:szCs w:val="18"/>
        </w:rPr>
        <w:t>e</w:t>
      </w:r>
      <w:r w:rsidR="001014A8" w:rsidRPr="002A4962">
        <w:rPr>
          <w:rFonts w:ascii="Arno Pro" w:hAnsi="Arno Pro"/>
          <w:sz w:val="18"/>
          <w:szCs w:val="18"/>
        </w:rPr>
        <w:t xml:space="preserve"> </w:t>
      </w:r>
      <w:r w:rsidR="001563D0" w:rsidRPr="002A4962">
        <w:rPr>
          <w:rFonts w:ascii="Arno Pro" w:hAnsi="Arno Pro"/>
          <w:sz w:val="18"/>
          <w:szCs w:val="18"/>
        </w:rPr>
        <w:t xml:space="preserve">the </w:t>
      </w:r>
      <w:r w:rsidR="008933EE" w:rsidRPr="002A4962">
        <w:rPr>
          <w:rFonts w:ascii="Arno Pro" w:hAnsi="Arno Pro"/>
          <w:sz w:val="18"/>
          <w:szCs w:val="18"/>
        </w:rPr>
        <w:t xml:space="preserve">reduction potentials of </w:t>
      </w:r>
      <w:r w:rsidR="0029059D" w:rsidRPr="002A4962">
        <w:rPr>
          <w:rFonts w:ascii="Arno Pro" w:hAnsi="Arno Pro"/>
          <w:sz w:val="18"/>
          <w:szCs w:val="18"/>
        </w:rPr>
        <w:t xml:space="preserve">different </w:t>
      </w:r>
      <w:r w:rsidR="001563D0" w:rsidRPr="002A4962">
        <w:rPr>
          <w:rFonts w:ascii="Arno Pro" w:hAnsi="Arno Pro"/>
          <w:sz w:val="18"/>
          <w:szCs w:val="18"/>
        </w:rPr>
        <w:t xml:space="preserve">redox </w:t>
      </w:r>
      <w:r w:rsidR="008933EE" w:rsidRPr="002A4962">
        <w:rPr>
          <w:rFonts w:ascii="Arno Pro" w:hAnsi="Arno Pro"/>
          <w:sz w:val="18"/>
          <w:szCs w:val="18"/>
        </w:rPr>
        <w:t>couples</w:t>
      </w:r>
      <w:r w:rsidR="00A207CF" w:rsidRPr="002A4962">
        <w:rPr>
          <w:rFonts w:ascii="Arno Pro" w:hAnsi="Arno Pro"/>
          <w:sz w:val="18"/>
          <w:szCs w:val="18"/>
        </w:rPr>
        <w:t xml:space="preserve"> a</w:t>
      </w:r>
      <w:r w:rsidR="0004371B" w:rsidRPr="002A4962">
        <w:rPr>
          <w:rFonts w:ascii="Arno Pro" w:hAnsi="Arno Pro"/>
          <w:sz w:val="18"/>
          <w:szCs w:val="18"/>
        </w:rPr>
        <w:t>s</w:t>
      </w:r>
      <w:r w:rsidR="00A207CF" w:rsidRPr="002A4962">
        <w:rPr>
          <w:rFonts w:ascii="Arno Pro" w:hAnsi="Arno Pro"/>
          <w:sz w:val="18"/>
          <w:szCs w:val="18"/>
        </w:rPr>
        <w:t xml:space="preserve"> </w:t>
      </w:r>
      <w:r w:rsidR="0004371B" w:rsidRPr="002A4962">
        <w:rPr>
          <w:rFonts w:ascii="Arno Pro" w:hAnsi="Arno Pro"/>
          <w:sz w:val="18"/>
          <w:szCs w:val="18"/>
        </w:rPr>
        <w:t xml:space="preserve">a </w:t>
      </w:r>
      <w:r w:rsidR="00A207CF" w:rsidRPr="002A4962">
        <w:rPr>
          <w:rFonts w:ascii="Arno Pro" w:hAnsi="Arno Pro"/>
          <w:sz w:val="18"/>
          <w:szCs w:val="18"/>
        </w:rPr>
        <w:t>g</w:t>
      </w:r>
      <w:r w:rsidRPr="002A4962">
        <w:rPr>
          <w:rFonts w:ascii="Arno Pro" w:hAnsi="Arno Pro"/>
          <w:sz w:val="18"/>
          <w:szCs w:val="18"/>
        </w:rPr>
        <w:t xml:space="preserve">uide to </w:t>
      </w:r>
      <w:r w:rsidR="00030760">
        <w:rPr>
          <w:rFonts w:ascii="Arno Pro" w:hAnsi="Arno Pro"/>
          <w:sz w:val="18"/>
          <w:szCs w:val="18"/>
        </w:rPr>
        <w:t xml:space="preserve">the </w:t>
      </w:r>
      <w:r w:rsidR="004A5B21" w:rsidRPr="002A4962">
        <w:rPr>
          <w:rFonts w:ascii="Arno Pro" w:hAnsi="Arno Pro"/>
          <w:sz w:val="18"/>
          <w:szCs w:val="18"/>
        </w:rPr>
        <w:t>respi</w:t>
      </w:r>
      <w:r w:rsidR="000D26C8">
        <w:rPr>
          <w:rFonts w:ascii="Arno Pro" w:hAnsi="Arno Pro"/>
          <w:sz w:val="18"/>
          <w:szCs w:val="18"/>
        </w:rPr>
        <w:softHyphen/>
      </w:r>
      <w:r w:rsidR="004A5B21" w:rsidRPr="002A4962">
        <w:rPr>
          <w:rFonts w:ascii="Arno Pro" w:hAnsi="Arno Pro"/>
          <w:sz w:val="18"/>
          <w:szCs w:val="18"/>
        </w:rPr>
        <w:t>r</w:t>
      </w:r>
      <w:r w:rsidR="00BA7DC3">
        <w:rPr>
          <w:rFonts w:ascii="Arno Pro" w:hAnsi="Arno Pro"/>
          <w:sz w:val="18"/>
          <w:szCs w:val="18"/>
        </w:rPr>
        <w:softHyphen/>
      </w:r>
      <w:r w:rsidR="004A5B21" w:rsidRPr="002A4962">
        <w:rPr>
          <w:rFonts w:ascii="Arno Pro" w:hAnsi="Arno Pro"/>
          <w:sz w:val="18"/>
          <w:szCs w:val="18"/>
        </w:rPr>
        <w:t>a</w:t>
      </w:r>
      <w:r w:rsidR="000D26C8">
        <w:rPr>
          <w:rFonts w:ascii="Arno Pro" w:hAnsi="Arno Pro"/>
          <w:sz w:val="18"/>
          <w:szCs w:val="18"/>
        </w:rPr>
        <w:softHyphen/>
      </w:r>
      <w:r w:rsidR="004A5B21" w:rsidRPr="002A4962">
        <w:rPr>
          <w:rFonts w:ascii="Arno Pro" w:hAnsi="Arno Pro"/>
          <w:sz w:val="18"/>
          <w:szCs w:val="18"/>
        </w:rPr>
        <w:t xml:space="preserve">tory electron transfer processes </w:t>
      </w:r>
      <w:r w:rsidRPr="002A4962">
        <w:rPr>
          <w:rFonts w:ascii="Arno Pro" w:hAnsi="Arno Pro"/>
          <w:sz w:val="18"/>
          <w:szCs w:val="18"/>
        </w:rPr>
        <w:t>that</w:t>
      </w:r>
      <w:r w:rsidR="006C02E0" w:rsidRPr="002A4962">
        <w:rPr>
          <w:rFonts w:ascii="Arno Pro" w:hAnsi="Arno Pro"/>
          <w:sz w:val="18"/>
          <w:szCs w:val="18"/>
        </w:rPr>
        <w:t xml:space="preserve"> </w:t>
      </w:r>
      <w:r w:rsidR="001D2CDC" w:rsidRPr="002A4962">
        <w:rPr>
          <w:rFonts w:ascii="Arno Pro" w:hAnsi="Arno Pro"/>
          <w:sz w:val="18"/>
          <w:szCs w:val="18"/>
        </w:rPr>
        <w:t xml:space="preserve">may </w:t>
      </w:r>
      <w:r w:rsidR="00030760">
        <w:rPr>
          <w:rFonts w:ascii="Arno Pro" w:hAnsi="Arno Pro"/>
          <w:sz w:val="18"/>
          <w:szCs w:val="18"/>
        </w:rPr>
        <w:t xml:space="preserve">support </w:t>
      </w:r>
      <w:r w:rsidRPr="002A4962">
        <w:rPr>
          <w:rFonts w:ascii="Arno Pro" w:hAnsi="Arno Pro"/>
          <w:sz w:val="18"/>
          <w:szCs w:val="18"/>
        </w:rPr>
        <w:t xml:space="preserve">bacterial colonization of a particular </w:t>
      </w:r>
      <w:r w:rsidR="0004371B" w:rsidRPr="002A4962">
        <w:rPr>
          <w:rFonts w:ascii="Arno Pro" w:hAnsi="Arno Pro"/>
          <w:sz w:val="18"/>
          <w:szCs w:val="18"/>
        </w:rPr>
        <w:t>environ</w:t>
      </w:r>
      <w:r w:rsidR="0067018C">
        <w:rPr>
          <w:rFonts w:ascii="Arno Pro" w:hAnsi="Arno Pro"/>
          <w:sz w:val="18"/>
          <w:szCs w:val="18"/>
        </w:rPr>
        <w:softHyphen/>
      </w:r>
      <w:r w:rsidR="0004371B" w:rsidRPr="002A4962">
        <w:rPr>
          <w:rFonts w:ascii="Arno Pro" w:hAnsi="Arno Pro"/>
          <w:sz w:val="18"/>
          <w:szCs w:val="18"/>
        </w:rPr>
        <w:t>ment</w:t>
      </w:r>
      <w:r w:rsidR="001D2CDC" w:rsidRPr="002A4962">
        <w:rPr>
          <w:rFonts w:ascii="Arno Pro" w:hAnsi="Arno Pro"/>
          <w:sz w:val="18"/>
          <w:szCs w:val="18"/>
        </w:rPr>
        <w:t>.</w:t>
      </w:r>
      <w:r w:rsidRPr="002A4962">
        <w:rPr>
          <w:rFonts w:ascii="Arno Pro" w:hAnsi="Arno Pro"/>
          <w:sz w:val="18"/>
          <w:szCs w:val="18"/>
        </w:rPr>
        <w:t xml:space="preserve"> However, the</w:t>
      </w:r>
      <w:r w:rsidR="0004371B" w:rsidRPr="002A4962">
        <w:rPr>
          <w:rFonts w:ascii="Arno Pro" w:hAnsi="Arno Pro"/>
          <w:sz w:val="18"/>
          <w:szCs w:val="18"/>
        </w:rPr>
        <w:t>re is ambiguity in the</w:t>
      </w:r>
      <w:r w:rsidRPr="002A4962">
        <w:rPr>
          <w:rFonts w:ascii="Arno Pro" w:hAnsi="Arno Pro"/>
          <w:sz w:val="18"/>
          <w:szCs w:val="18"/>
        </w:rPr>
        <w:t xml:space="preserve"> </w:t>
      </w:r>
      <w:r w:rsidRPr="002A4962">
        <w:rPr>
          <w:rFonts w:ascii="Arno Pro" w:hAnsi="Arno Pro"/>
          <w:i/>
          <w:sz w:val="18"/>
          <w:szCs w:val="18"/>
        </w:rPr>
        <w:t>E</w:t>
      </w:r>
      <w:r w:rsidRPr="002A4962">
        <w:rPr>
          <w:rFonts w:ascii="Arno Pro" w:hAnsi="Arno Pro"/>
          <w:sz w:val="18"/>
          <w:szCs w:val="18"/>
          <w:vertAlign w:val="subscript"/>
        </w:rPr>
        <w:t>TT/TS</w:t>
      </w:r>
      <w:r w:rsidRPr="002A4962">
        <w:rPr>
          <w:rFonts w:ascii="Arno Pro" w:hAnsi="Arno Pro"/>
          <w:sz w:val="18"/>
          <w:szCs w:val="18"/>
        </w:rPr>
        <w:t xml:space="preserve"> values </w:t>
      </w:r>
      <w:r w:rsidR="0004371B" w:rsidRPr="002A4962">
        <w:rPr>
          <w:rFonts w:ascii="Arno Pro" w:hAnsi="Arno Pro"/>
          <w:sz w:val="18"/>
          <w:szCs w:val="18"/>
        </w:rPr>
        <w:t>that appear in such</w:t>
      </w:r>
      <w:r w:rsidR="00BD6FEF">
        <w:rPr>
          <w:rFonts w:ascii="Arno Pro" w:hAnsi="Arno Pro"/>
          <w:sz w:val="18"/>
          <w:szCs w:val="18"/>
        </w:rPr>
        <w:t xml:space="preserve"> </w:t>
      </w:r>
      <w:r w:rsidR="00BF5178" w:rsidRPr="002A4962">
        <w:rPr>
          <w:rFonts w:ascii="Arno Pro" w:hAnsi="Arno Pro"/>
          <w:sz w:val="18"/>
          <w:szCs w:val="18"/>
        </w:rPr>
        <w:t>resources</w:t>
      </w:r>
      <w:r w:rsidR="002726F0">
        <w:rPr>
          <w:rFonts w:ascii="Arno Pro" w:hAnsi="Arno Pro"/>
          <w:sz w:val="18"/>
          <w:szCs w:val="18"/>
        </w:rPr>
        <w:t xml:space="preserve"> as they </w:t>
      </w:r>
      <w:r w:rsidR="0004371B" w:rsidRPr="002A4962">
        <w:rPr>
          <w:rFonts w:ascii="Arno Pro" w:hAnsi="Arno Pro"/>
          <w:sz w:val="18"/>
          <w:szCs w:val="18"/>
        </w:rPr>
        <w:t xml:space="preserve">span a window </w:t>
      </w:r>
      <w:r w:rsidR="003B32C2" w:rsidRPr="002A4962">
        <w:rPr>
          <w:rFonts w:ascii="Arno Pro" w:hAnsi="Arno Pro"/>
          <w:sz w:val="18"/>
          <w:szCs w:val="18"/>
        </w:rPr>
        <w:t xml:space="preserve">exceeding </w:t>
      </w:r>
      <w:r w:rsidR="00E4786D" w:rsidRPr="002A4962">
        <w:rPr>
          <w:rFonts w:ascii="Arno Pro" w:hAnsi="Arno Pro"/>
          <w:sz w:val="18"/>
          <w:szCs w:val="18"/>
        </w:rPr>
        <w:t>250</w:t>
      </w:r>
      <w:r w:rsidR="0004371B" w:rsidRPr="002A4962">
        <w:rPr>
          <w:rFonts w:ascii="Arno Pro" w:hAnsi="Arno Pro"/>
          <w:sz w:val="18"/>
          <w:szCs w:val="18"/>
        </w:rPr>
        <w:t xml:space="preserve"> mV</w:t>
      </w:r>
      <w:r w:rsidR="00B4437C" w:rsidRPr="002A4962">
        <w:rPr>
          <w:rFonts w:ascii="Arno Pro" w:hAnsi="Arno Pro"/>
          <w:sz w:val="18"/>
          <w:szCs w:val="18"/>
        </w:rPr>
        <w:t xml:space="preserve">; </w:t>
      </w:r>
      <w:r w:rsidRPr="002A4962">
        <w:rPr>
          <w:rFonts w:ascii="Arno Pro" w:hAnsi="Arno Pro"/>
          <w:sz w:val="18"/>
          <w:szCs w:val="18"/>
        </w:rPr>
        <w:t xml:space="preserve">from +24 to </w:t>
      </w:r>
      <w:r w:rsidR="0029059D" w:rsidRPr="002A4962">
        <w:rPr>
          <w:rFonts w:ascii="Arno Pro" w:hAnsi="Arno Pro"/>
          <w:sz w:val="18"/>
          <w:szCs w:val="18"/>
        </w:rPr>
        <w:t>+</w:t>
      </w:r>
      <w:r w:rsidR="00E4786D" w:rsidRPr="002A4962">
        <w:rPr>
          <w:rFonts w:ascii="Arno Pro" w:hAnsi="Arno Pro"/>
          <w:sz w:val="18"/>
          <w:szCs w:val="18"/>
        </w:rPr>
        <w:t>30</w:t>
      </w:r>
      <w:r w:rsidRPr="002A4962">
        <w:rPr>
          <w:rFonts w:ascii="Arno Pro" w:hAnsi="Arno Pro"/>
          <w:sz w:val="18"/>
          <w:szCs w:val="18"/>
        </w:rPr>
        <w:t>0</w:t>
      </w:r>
      <w:r w:rsidR="0083799E">
        <w:rPr>
          <w:rFonts w:ascii="Arno Pro" w:hAnsi="Arno Pro"/>
          <w:sz w:val="18"/>
          <w:szCs w:val="18"/>
        </w:rPr>
        <w:t> </w:t>
      </w:r>
      <w:r w:rsidRPr="002A4962">
        <w:rPr>
          <w:rFonts w:ascii="Arno Pro" w:hAnsi="Arno Pro"/>
          <w:sz w:val="18"/>
          <w:szCs w:val="18"/>
        </w:rPr>
        <w:t xml:space="preserve">mV </w:t>
      </w:r>
      <w:r w:rsidRPr="004F0B31">
        <w:rPr>
          <w:rFonts w:ascii="Arno Pro" w:hAnsi="Arno Pro"/>
          <w:i/>
          <w:sz w:val="18"/>
          <w:szCs w:val="18"/>
        </w:rPr>
        <w:t>v</w:t>
      </w:r>
      <w:r w:rsidR="004F0B31" w:rsidRPr="004F0B31">
        <w:rPr>
          <w:rFonts w:ascii="Arno Pro" w:hAnsi="Arno Pro"/>
          <w:i/>
          <w:sz w:val="18"/>
          <w:szCs w:val="18"/>
        </w:rPr>
        <w:t>er</w:t>
      </w:r>
      <w:r w:rsidRPr="004F0B31">
        <w:rPr>
          <w:rFonts w:ascii="Arno Pro" w:hAnsi="Arno Pro"/>
          <w:i/>
          <w:sz w:val="18"/>
          <w:szCs w:val="18"/>
        </w:rPr>
        <w:t>s</w:t>
      </w:r>
      <w:r w:rsidR="004F0B31" w:rsidRPr="004F0B31">
        <w:rPr>
          <w:rFonts w:ascii="Arno Pro" w:hAnsi="Arno Pro"/>
          <w:i/>
          <w:sz w:val="18"/>
          <w:szCs w:val="18"/>
        </w:rPr>
        <w:t>us</w:t>
      </w:r>
      <w:r w:rsidRPr="002A4962">
        <w:rPr>
          <w:rFonts w:ascii="Arno Pro" w:hAnsi="Arno Pro"/>
          <w:sz w:val="18"/>
          <w:szCs w:val="18"/>
        </w:rPr>
        <w:t xml:space="preserve"> SHE</w:t>
      </w:r>
      <w:r w:rsidR="001F5C71" w:rsidRPr="002A4962">
        <w:rPr>
          <w:rFonts w:ascii="Arno Pro" w:hAnsi="Arno Pro"/>
          <w:sz w:val="18"/>
          <w:szCs w:val="18"/>
        </w:rPr>
        <w:fldChar w:fldCharType="begin" w:fldLock="1"/>
      </w:r>
      <w:r w:rsidR="003B2989">
        <w:rPr>
          <w:rFonts w:ascii="Arno Pro" w:hAnsi="Arno Pro"/>
          <w:sz w:val="18"/>
          <w:szCs w:val="18"/>
        </w:rPr>
        <w:instrText>ADDIN CSL_CITATION { "citationItems" : [ { "id" : "ITEM-1", "itemData" : { "DOI" : "10.1073/pnas.0803850105", "ISBN" : "0005-3678", "ISSN" : "0005-3678", "PMID" : "860983", "abstract" : "Images:", "author" : [ { "dropping-particle" : "", "family" : "Thauer", "given" : "R K", "non-dropping-particle" : "", "parse-names" : false, "suffix" : "" }, { "dropping-particle" : "", "family" : "Jungermann", "given" : "K", "non-dropping-particle" : "", "parse-names" : false, "suffix" : "" }, { "dropping-particle" : "", "family" : "Decker", "given" : "K", "non-dropping-particle" : "", "parse-names" : false, "suffix" : "" } ], "container-title" : "Bacteriological reviews", "id" : "ITEM-1", "issue" : "1", "issued" : { "date-parts" : [ [ "1977" ] ] }, "page" : "100-180", "title" : "Energy conservation in chemotrophic anaerobic bacteria.", "type" : "article-journal", "volume" : "41" }, "uris" : [ "http://www.mendeley.com/documents/?uuid=93ad00fa-ef4a-4ea8-887b-b312f7d529fc" ] }, { "id" : "ITEM-2", "itemData" : { "DOI" : "10.1099/00221287-71-1-133", "ISSN" : "0022-1287", "PMID" : "5039254", "author" : [ { "dropping-particle" : "", "family" : "Kapr\u00e1lek", "given" : "F", "non-dropping-particle" : "", "parse-names" : false, "suffix" : "" } ], "container-title" : "Journal of general microbiology", "id" : "ITEM-2", "issue" : "1", "issued" : { "date-parts" : [ [ "1972" ] ] }, "page" : "133-139", "title" : "The physiological role of tetrathionate respiration in growing &lt;i&gt;Citrobacter&lt;/i&gt;.", "type" : "article-journal", "volume" : "71" }, "uris" : [ "http://www.mendeley.com/documents/?uuid=31f3bae2-77ff-431c-93ad-1675b76200c0" ] }, { "id" : "ITEM-3", "itemData" : { "author" : [ { "dropping-particle" : "", "family" : "Cobble", "given" : "J W", "non-dropping-particle" : "", "parse-names" : false, "suffix" : "" }, { "dropping-particle" : "", "family" : "Stephens", "given" : "H P", "non-dropping-particle" : "", "parse-names" : false, "suffix" : "" }, { "dropping-particle" : "", "family" : "McKinnon", "given" : "I R", "non-dropping-particle" : "", "parse-names" : false, "suffix" : "" }, { "dropping-particle" : "", "family" : "Westrum", "given" : "E F", "non-dropping-particle" : "", "parse-names" : false, "suffix" : "" } ], "container-title" : "Inorg. Chem.", "id" : "ITEM-3", "issued" : { "date-parts" : [ [ "1972" ] ] }, "page" : "1669-1674", "title" : "Thermodynamics of oxygenated sulfur complex ions. Heat capacity from 5 to 300 K for K2S4O6 and from 273 to 373 K for S4O62\u2212. Revised thermodynamic functions for HSO3\u2212, SO32\u2212, S2O32\u2212, and S4O62\u2212 at 298 K. Revised potential of the thiosulfate-tetrathionate ", "type" : "article-journal", "volume" : "11" }, "uris" : [ "http://www.mendeley.com/documents/?uuid=c06d09b1-e8a6-48e2-af08-314ec86aa0ed" ] }, { "id" : "ITEM-4", "itemData" : { "DOI" : "10.1016/0016-7037(92)90002-Z", "ISSN" : "00167037", "abstract" : "The thermodynamic properties of aqueous sulfur species can be estimated using a structure-based, group contribution additivity method that is based upon first-order approximations. Free energy and enthalpy data used to calibrate the additivity model were critically selected from a variety of sources. Structural groups were chosen so as to minimize subjectivity and maximize the ease of recognition. We have chosen five fundamental groups to represent the major structural components: (1) S(n)*, polymeric sulfur (as 1/n, where n is the length of the longest continuous sulfur chain in the species), (2) O3SIV; (3) O3SVI; (4) O2SIII and (5) bridging oxygen. In addition, a modified \"charge-to-size\" ratio (C) is used to model the coulombic interaction between ions and the solvent. Thermodynamic data were broken into two sets, one for monovalent species and another for divalent species. Multiple linear regressions of these thermodynamic data were performed in terms of structural groups to yield the following relationships: DELTAG(f divalent)0 = -176.7O3SIV - 1270.4O3SVI - 691.8O2SIII + 1954.5S(n)* + 757.3O - 1182.2C + 55.0 DELTAH(f divalent)0 = -231.3O3SIV - 1316.9O3SVI - 734.1O2SIII + 2006.5S(n)* + 734.7O - 1212.5C - 33.2 DELTAG(f monovalent)0 = -536-9O3SIV - 635.1O3SVI - 351.7O2SIII - 128.OS(n)* - 140.3O - 828.0C + 64.1 DELTAH(f monovalent)0 = -105.4O3SIV - 366.5O3SII - 0.0O2SIII + 505.8S(n)* + 0.0O + 0.0O - 520.8. R2 Values for regressions exceeded 0.9999 and all residuals were normally distributed. Large values for the regression coefficients indicate that the choice of structural parameters is significant. These coefficients were used to estimate thermodynamic properties of a number of aqueous species for which no experimental data currently exist. Model-derived thermodynamic data were used to find the thermodynamic stability of intermediate sulfur species that occur during the aqueous oxidation of sulfide minerals. This exercise identified at least one thermodynamically feasible pathway for the overall reaction. The data were also used to construct an Eh-pH diagram for aqueous sulfur species with average sulfur oxidation states less than sulfate (VI). The structure-thermodynamic correlation was used to determine the likely structure of the aqueous S2O52- ion, which has been debated over the past 50 years.", "author" : [ { "dropping-particle" : "", "family" : "Williamson", "given" : "Mark A", "non-dropping-particle" : "", "parse-names" : false, "suffix" : "" }, { "dropping-particle" : "", "family" : "Rimstidt", "given" : "J.Donald", "non-dropping-particle" : "", "parse-names" : false, "suffix" : "" } ], "container-title" : "Geochimica et Cosmochimica Acta", "id" : "ITEM-4", "issue" : "11", "issued" : { "date-parts" : [ [ "1992" ] ] }, "page" : "3867-3880", "title" : "Correlation between structure and thermodynamic properties of aqueous sulfur species", "type" : "article-journal", "volume" : "56" }, "uris" : [ "http://www.mendeley.com/documents/?uuid=ec128438-ba63-4366-a38a-830e0f3549fb" ] } ], "mendeley" : { "formattedCitation" : "&lt;sup&gt;10\u201313&lt;/sup&gt;", "plainTextFormattedCitation" : "10\u201313", "previouslyFormattedCitation" : "&lt;sup&gt;10\u201313&lt;/sup&gt;" }, "properties" : { "noteIndex" : 0 }, "schema" : "https://github.com/citation-style-language/schema/raw/master/csl-citation.json" }</w:instrText>
      </w:r>
      <w:r w:rsidR="001F5C71" w:rsidRPr="002A4962">
        <w:rPr>
          <w:rFonts w:ascii="Arno Pro" w:hAnsi="Arno Pro"/>
          <w:sz w:val="18"/>
          <w:szCs w:val="18"/>
        </w:rPr>
        <w:fldChar w:fldCharType="separate"/>
      </w:r>
      <w:r w:rsidR="00B22ABA" w:rsidRPr="00B22ABA">
        <w:rPr>
          <w:rFonts w:ascii="Arno Pro" w:hAnsi="Arno Pro"/>
          <w:noProof/>
          <w:sz w:val="18"/>
          <w:szCs w:val="18"/>
          <w:vertAlign w:val="superscript"/>
        </w:rPr>
        <w:t>10–13</w:t>
      </w:r>
      <w:r w:rsidR="001F5C71" w:rsidRPr="002A4962">
        <w:rPr>
          <w:rFonts w:ascii="Arno Pro" w:hAnsi="Arno Pro"/>
          <w:sz w:val="18"/>
          <w:szCs w:val="18"/>
        </w:rPr>
        <w:fldChar w:fldCharType="end"/>
      </w:r>
      <w:r w:rsidR="00A045AF" w:rsidRPr="002A4962">
        <w:rPr>
          <w:rFonts w:ascii="Arno Pro" w:hAnsi="Arno Pro"/>
          <w:sz w:val="18"/>
          <w:szCs w:val="18"/>
        </w:rPr>
        <w:t xml:space="preserve">. </w:t>
      </w:r>
      <w:r w:rsidRPr="002A4962">
        <w:rPr>
          <w:rFonts w:ascii="Arno Pro" w:hAnsi="Arno Pro"/>
          <w:sz w:val="18"/>
          <w:szCs w:val="18"/>
        </w:rPr>
        <w:t xml:space="preserve">This variation stems </w:t>
      </w:r>
      <w:r w:rsidR="00B70CC6" w:rsidRPr="002A4962">
        <w:rPr>
          <w:rFonts w:ascii="Arno Pro" w:hAnsi="Arno Pro"/>
          <w:sz w:val="18"/>
          <w:szCs w:val="18"/>
        </w:rPr>
        <w:t xml:space="preserve">largely </w:t>
      </w:r>
      <w:r w:rsidRPr="002A4962">
        <w:rPr>
          <w:rFonts w:ascii="Arno Pro" w:hAnsi="Arno Pro"/>
          <w:sz w:val="18"/>
          <w:szCs w:val="18"/>
        </w:rPr>
        <w:t xml:space="preserve">from the irreversible nature </w:t>
      </w:r>
      <w:r w:rsidR="00B70CC6" w:rsidRPr="002A4962">
        <w:rPr>
          <w:rFonts w:ascii="Arno Pro" w:hAnsi="Arno Pro"/>
          <w:sz w:val="18"/>
          <w:szCs w:val="18"/>
        </w:rPr>
        <w:t>of the</w:t>
      </w:r>
      <w:r w:rsidR="0022443B" w:rsidRPr="002A4962">
        <w:rPr>
          <w:rFonts w:ascii="Arno Pro" w:hAnsi="Arno Pro"/>
          <w:sz w:val="18"/>
          <w:szCs w:val="18"/>
        </w:rPr>
        <w:t xml:space="preserve"> thiosul</w:t>
      </w:r>
      <w:r w:rsidR="0067018C">
        <w:rPr>
          <w:rFonts w:ascii="Arno Pro" w:hAnsi="Arno Pro"/>
          <w:sz w:val="18"/>
          <w:szCs w:val="18"/>
        </w:rPr>
        <w:softHyphen/>
      </w:r>
      <w:r w:rsidR="0022443B" w:rsidRPr="002A4962">
        <w:rPr>
          <w:rFonts w:ascii="Arno Pro" w:hAnsi="Arno Pro"/>
          <w:sz w:val="18"/>
          <w:szCs w:val="18"/>
        </w:rPr>
        <w:t>fate/tetrathionate inter</w:t>
      </w:r>
      <w:r w:rsidR="00BA7DC3">
        <w:rPr>
          <w:rFonts w:ascii="Arno Pro" w:hAnsi="Arno Pro"/>
          <w:sz w:val="18"/>
          <w:szCs w:val="18"/>
        </w:rPr>
        <w:softHyphen/>
      </w:r>
      <w:r w:rsidR="0022443B" w:rsidRPr="002A4962">
        <w:rPr>
          <w:rFonts w:ascii="Arno Pro" w:hAnsi="Arno Pro"/>
          <w:sz w:val="18"/>
          <w:szCs w:val="18"/>
        </w:rPr>
        <w:t>con</w:t>
      </w:r>
      <w:r w:rsidR="00BA7DC3">
        <w:rPr>
          <w:rFonts w:ascii="Arno Pro" w:hAnsi="Arno Pro"/>
          <w:sz w:val="18"/>
          <w:szCs w:val="18"/>
        </w:rPr>
        <w:softHyphen/>
      </w:r>
      <w:r w:rsidR="0022443B" w:rsidRPr="002A4962">
        <w:rPr>
          <w:rFonts w:ascii="Arno Pro" w:hAnsi="Arno Pro"/>
          <w:sz w:val="18"/>
          <w:szCs w:val="18"/>
        </w:rPr>
        <w:t>version at an inert electrode</w:t>
      </w:r>
      <w:r w:rsidR="001F5C71" w:rsidRPr="002A4962">
        <w:rPr>
          <w:rFonts w:ascii="Arno Pro" w:hAnsi="Arno Pro"/>
          <w:sz w:val="18"/>
          <w:szCs w:val="18"/>
        </w:rPr>
        <w:fldChar w:fldCharType="begin" w:fldLock="1"/>
      </w:r>
      <w:r w:rsidR="001D3990">
        <w:rPr>
          <w:rFonts w:ascii="Arno Pro" w:hAnsi="Arno Pro"/>
          <w:sz w:val="18"/>
          <w:szCs w:val="18"/>
        </w:rPr>
        <w:instrText>ADDIN CSL_CITATION { "citationItems" : [ { "id" : "ITEM-1", "itemData" : { "ISBN" : "0824772911", "author" : [ { "dropping-particle" : "", "family" : "Bard", "given" : "Allen J", "non-dropping-particle" : "", "parse-names" : false, "suffix" : "" }, { "dropping-particle" : "", "family" : "Parsons", "given" : "Roger", "non-dropping-particle" : "", "parse-names" : false, "suffix" : "" }, { "dropping-particle" : "", "family" : "Jordan", "given" : "Joseph", "non-dropping-particle" : "", "parse-names" : false, "suffix" : "" } ], "id" : "ITEM-1", "issued" : { "date-parts" : [ [ "1985" ] ] }, "publisher" : "Marcel Dekker", "publisher-place" : "New York", "title" : "Standard potentials in aqueous solution", "type" : "book" }, "uris" : [ "http://www.mendeley.com/documents/?uuid=8c36bd92-6be3-43e0-8de0-05eb174dc0cc" ] }, { "id" : "ITEM-2", "itemData" : { "DOI" : "10.1016/0016-7037(92)90295-T", "ISSN" : "00167037", "abstract" : "Equilibrium potential-pH diagrams were constructed using a large set of thermodynamic data for a number of sulphur compounds, from 0 to 150\u00b0C. These diagrams were used to determine how access of oxygen in H2S bearing solutions influences corrosion. It is shown that occasional access of limited amounts of oxygen is not necessarily corrosive, but that continuous access of even traces of oxygen to a same volume of H2S solution can produce an important pH drop which may be the cause of corrosion. In the present state of knowledge concerning the reversibility or irreversibility of the reactions, these equilibrium diagrams should be considered as a guide for experimental researches involving systematic electrode potential and pH measurements, which might lead to a perfect understanding and mastering of the corrosions.", "author" : [ { "dropping-particle" : "", "family" : "Pourbaix", "given" : "Marcel", "non-dropping-particle" : "", "parse-names" : false, "suffix" : "" }, { "dropping-particle" : "", "family" : "Pourbaix", "given" : "Antoine", "non-dropping-particle" : "", "parse-names" : false, "suffix" : "" } ], "container-title" : "Geochimica et Cosmochimica Acta", "id" : "ITEM-2", "issue" : "8", "issued" : { "date-parts" : [ [ "1992" ] ] }, "page" : "3157-3178", "title" : "Potential-pH equilibrium diagrams for the system S-H2O from 25 to 150\u00b0C: Influence of access of oxygen in sulphide solutions", "type" : "article-journal", "volume" : "56" }, "uris" : [ "http://www.mendeley.com/documents/?uuid=3c7949fc-7851-4fc2-aa2e-ee3a060e8cc2" ] } ], "mendeley" : { "formattedCitation" : "&lt;sup&gt;9,14&lt;/sup&gt;", "plainTextFormattedCitation" : "9,14", "previouslyFormattedCitation" : "&lt;sup&gt;9,14&lt;/sup&gt;" }, "properties" : { "noteIndex" : 0 }, "schema" : "https://github.com/citation-style-language/schema/raw/master/csl-citation.json" }</w:instrText>
      </w:r>
      <w:r w:rsidR="001F5C71" w:rsidRPr="002A4962">
        <w:rPr>
          <w:rFonts w:ascii="Arno Pro" w:hAnsi="Arno Pro"/>
          <w:sz w:val="18"/>
          <w:szCs w:val="18"/>
        </w:rPr>
        <w:fldChar w:fldCharType="separate"/>
      </w:r>
      <w:r w:rsidR="00D469C6" w:rsidRPr="00D469C6">
        <w:rPr>
          <w:rFonts w:ascii="Arno Pro" w:hAnsi="Arno Pro"/>
          <w:noProof/>
          <w:sz w:val="18"/>
          <w:szCs w:val="18"/>
          <w:vertAlign w:val="superscript"/>
        </w:rPr>
        <w:t>9,14</w:t>
      </w:r>
      <w:r w:rsidR="001F5C71" w:rsidRPr="002A4962">
        <w:rPr>
          <w:rFonts w:ascii="Arno Pro" w:hAnsi="Arno Pro"/>
          <w:sz w:val="18"/>
          <w:szCs w:val="18"/>
        </w:rPr>
        <w:fldChar w:fldCharType="end"/>
      </w:r>
      <w:r w:rsidR="0022443B" w:rsidRPr="002A4962">
        <w:rPr>
          <w:rFonts w:ascii="Arno Pro" w:hAnsi="Arno Pro"/>
          <w:sz w:val="18"/>
          <w:szCs w:val="18"/>
        </w:rPr>
        <w:t xml:space="preserve">. </w:t>
      </w:r>
      <w:r w:rsidR="008E54F1" w:rsidRPr="002A4962">
        <w:rPr>
          <w:rFonts w:ascii="Arno Pro" w:hAnsi="Arno Pro"/>
          <w:sz w:val="18"/>
          <w:szCs w:val="18"/>
        </w:rPr>
        <w:t>T</w:t>
      </w:r>
      <w:r w:rsidR="00B70CC6" w:rsidRPr="002A4962">
        <w:rPr>
          <w:rFonts w:ascii="Arno Pro" w:hAnsi="Arno Pro"/>
          <w:sz w:val="18"/>
          <w:szCs w:val="18"/>
        </w:rPr>
        <w:t xml:space="preserve">he </w:t>
      </w:r>
      <w:r w:rsidR="00705A19" w:rsidRPr="002A4962">
        <w:rPr>
          <w:rFonts w:ascii="Arno Pro" w:hAnsi="Arno Pro"/>
          <w:sz w:val="18"/>
          <w:szCs w:val="18"/>
        </w:rPr>
        <w:t xml:space="preserve">resulting </w:t>
      </w:r>
      <w:r w:rsidR="0022443B" w:rsidRPr="002A4962">
        <w:rPr>
          <w:rFonts w:ascii="Arno Pro" w:hAnsi="Arno Pro"/>
          <w:sz w:val="18"/>
          <w:szCs w:val="18"/>
        </w:rPr>
        <w:t xml:space="preserve">behavior is inconsistent with the </w:t>
      </w:r>
      <w:r w:rsidR="003B32C2" w:rsidRPr="002A4962">
        <w:rPr>
          <w:rFonts w:ascii="Arno Pro" w:hAnsi="Arno Pro"/>
          <w:sz w:val="18"/>
          <w:szCs w:val="18"/>
        </w:rPr>
        <w:t xml:space="preserve">relevant </w:t>
      </w:r>
      <w:r w:rsidR="0022443B" w:rsidRPr="002A4962">
        <w:rPr>
          <w:rFonts w:ascii="Arno Pro" w:hAnsi="Arno Pro"/>
          <w:sz w:val="18"/>
          <w:szCs w:val="18"/>
        </w:rPr>
        <w:t>Nernst equation</w:t>
      </w:r>
      <w:r w:rsidR="00B70CC6" w:rsidRPr="002A4962">
        <w:rPr>
          <w:rFonts w:ascii="Arno Pro" w:hAnsi="Arno Pro"/>
          <w:sz w:val="18"/>
          <w:szCs w:val="18"/>
        </w:rPr>
        <w:t xml:space="preserve"> and</w:t>
      </w:r>
      <w:r w:rsidR="00705A19" w:rsidRPr="002A4962">
        <w:rPr>
          <w:rFonts w:ascii="Arno Pro" w:hAnsi="Arno Pro"/>
          <w:sz w:val="18"/>
          <w:szCs w:val="18"/>
        </w:rPr>
        <w:t xml:space="preserve"> </w:t>
      </w:r>
      <w:r w:rsidR="002213AF">
        <w:rPr>
          <w:rFonts w:ascii="Arno Pro" w:hAnsi="Arno Pro"/>
          <w:sz w:val="18"/>
          <w:szCs w:val="18"/>
        </w:rPr>
        <w:t xml:space="preserve">this </w:t>
      </w:r>
      <w:r w:rsidR="00B70CC6" w:rsidRPr="002A4962">
        <w:rPr>
          <w:rFonts w:ascii="Arno Pro" w:hAnsi="Arno Pro"/>
          <w:sz w:val="18"/>
          <w:szCs w:val="18"/>
        </w:rPr>
        <w:t>pr</w:t>
      </w:r>
      <w:r w:rsidR="00B70CC6" w:rsidRPr="002A4962">
        <w:rPr>
          <w:rFonts w:ascii="Arno Pro" w:hAnsi="Arno Pro"/>
          <w:sz w:val="18"/>
          <w:szCs w:val="18"/>
        </w:rPr>
        <w:t>e</w:t>
      </w:r>
      <w:r w:rsidR="00B70CC6" w:rsidRPr="002A4962">
        <w:rPr>
          <w:rFonts w:ascii="Arno Pro" w:hAnsi="Arno Pro"/>
          <w:sz w:val="18"/>
          <w:szCs w:val="18"/>
        </w:rPr>
        <w:t xml:space="preserve">cludes </w:t>
      </w:r>
      <w:r w:rsidR="00705A19" w:rsidRPr="002A4962">
        <w:rPr>
          <w:rFonts w:ascii="Arno Pro" w:hAnsi="Arno Pro"/>
          <w:sz w:val="18"/>
          <w:szCs w:val="18"/>
        </w:rPr>
        <w:t xml:space="preserve">direct </w:t>
      </w:r>
      <w:r w:rsidR="00B70CC6" w:rsidRPr="002A4962">
        <w:rPr>
          <w:rFonts w:ascii="Arno Pro" w:hAnsi="Arno Pro"/>
          <w:sz w:val="18"/>
          <w:szCs w:val="18"/>
        </w:rPr>
        <w:t xml:space="preserve">measurement of </w:t>
      </w:r>
      <w:r w:rsidR="00B70CC6" w:rsidRPr="002A4962">
        <w:rPr>
          <w:rFonts w:ascii="Arno Pro" w:hAnsi="Arno Pro"/>
          <w:i/>
          <w:sz w:val="18"/>
          <w:szCs w:val="18"/>
        </w:rPr>
        <w:t>E</w:t>
      </w:r>
      <w:r w:rsidR="00B70CC6" w:rsidRPr="002A4962">
        <w:rPr>
          <w:rFonts w:ascii="Arno Pro" w:hAnsi="Arno Pro"/>
          <w:sz w:val="18"/>
          <w:szCs w:val="18"/>
          <w:vertAlign w:val="subscript"/>
        </w:rPr>
        <w:t>TT/TS</w:t>
      </w:r>
      <w:r w:rsidR="00B70CC6" w:rsidRPr="002A4962">
        <w:rPr>
          <w:rFonts w:ascii="Arno Pro" w:hAnsi="Arno Pro"/>
          <w:sz w:val="18"/>
          <w:szCs w:val="18"/>
        </w:rPr>
        <w:t xml:space="preserve">. </w:t>
      </w:r>
      <w:r w:rsidR="007F2A95" w:rsidRPr="002A4962">
        <w:rPr>
          <w:rFonts w:ascii="Arno Pro" w:hAnsi="Arno Pro"/>
          <w:sz w:val="18"/>
          <w:szCs w:val="18"/>
        </w:rPr>
        <w:t>As a consequence</w:t>
      </w:r>
      <w:r w:rsidR="003B32C2" w:rsidRPr="002A4962">
        <w:rPr>
          <w:rFonts w:ascii="Arno Pro" w:hAnsi="Arno Pro"/>
          <w:sz w:val="18"/>
          <w:szCs w:val="18"/>
        </w:rPr>
        <w:t xml:space="preserve"> p</w:t>
      </w:r>
      <w:r w:rsidR="00E40223">
        <w:rPr>
          <w:rFonts w:ascii="Arno Pro" w:hAnsi="Arno Pro"/>
          <w:sz w:val="18"/>
          <w:szCs w:val="18"/>
        </w:rPr>
        <w:t xml:space="preserve">reviously </w:t>
      </w:r>
      <w:r w:rsidR="00705A19" w:rsidRPr="002A4962">
        <w:rPr>
          <w:rFonts w:ascii="Arno Pro" w:hAnsi="Arno Pro"/>
          <w:sz w:val="18"/>
          <w:szCs w:val="18"/>
        </w:rPr>
        <w:t>reported values</w:t>
      </w:r>
      <w:r w:rsidR="002564D9">
        <w:rPr>
          <w:rFonts w:ascii="Arno Pro" w:hAnsi="Arno Pro"/>
          <w:sz w:val="18"/>
          <w:szCs w:val="18"/>
        </w:rPr>
        <w:t xml:space="preserve"> relied completely on calculation</w:t>
      </w:r>
      <w:r w:rsidR="00D469C6">
        <w:rPr>
          <w:rFonts w:ascii="Arno Pro" w:hAnsi="Arno Pro"/>
          <w:sz w:val="18"/>
          <w:szCs w:val="18"/>
        </w:rPr>
        <w:t>s</w:t>
      </w:r>
      <w:r w:rsidR="002564D9">
        <w:rPr>
          <w:rFonts w:ascii="Arno Pro" w:hAnsi="Arno Pro"/>
          <w:sz w:val="18"/>
          <w:szCs w:val="18"/>
        </w:rPr>
        <w:t xml:space="preserve"> </w:t>
      </w:r>
      <w:r w:rsidR="00A045AF" w:rsidRPr="002A4962">
        <w:rPr>
          <w:rFonts w:ascii="Arno Pro" w:hAnsi="Arno Pro"/>
          <w:sz w:val="18"/>
          <w:szCs w:val="18"/>
        </w:rPr>
        <w:t xml:space="preserve">from </w:t>
      </w:r>
      <w:r w:rsidR="00705A19" w:rsidRPr="002A4962">
        <w:rPr>
          <w:rFonts w:ascii="Arno Pro" w:hAnsi="Arno Pro"/>
          <w:sz w:val="18"/>
          <w:szCs w:val="18"/>
        </w:rPr>
        <w:t xml:space="preserve">relevant </w:t>
      </w:r>
      <w:r w:rsidR="00A045AF" w:rsidRPr="002A4962">
        <w:rPr>
          <w:rFonts w:ascii="Arno Pro" w:hAnsi="Arno Pro"/>
          <w:sz w:val="18"/>
          <w:szCs w:val="18"/>
        </w:rPr>
        <w:t>thermodynamic data</w:t>
      </w:r>
      <w:r w:rsidR="002564D9">
        <w:rPr>
          <w:rFonts w:ascii="Arno Pro" w:hAnsi="Arno Pro"/>
          <w:sz w:val="18"/>
          <w:szCs w:val="18"/>
        </w:rPr>
        <w:t xml:space="preserve">. However, free energies of formation for thiosulfate and tetrathionate are themselves constantly re-evaluated </w:t>
      </w:r>
      <w:r w:rsidR="00705A19" w:rsidRPr="002A4962">
        <w:rPr>
          <w:rFonts w:ascii="Arno Pro" w:hAnsi="Arno Pro"/>
          <w:sz w:val="18"/>
          <w:szCs w:val="18"/>
        </w:rPr>
        <w:t xml:space="preserve">and </w:t>
      </w:r>
      <w:r w:rsidR="002564D9">
        <w:rPr>
          <w:rFonts w:ascii="Arno Pro" w:hAnsi="Arno Pro"/>
          <w:sz w:val="18"/>
          <w:szCs w:val="18"/>
        </w:rPr>
        <w:t xml:space="preserve">published values cover ranges from </w:t>
      </w:r>
      <w:r w:rsidR="00165C01">
        <w:rPr>
          <w:rFonts w:ascii="Arno Pro" w:hAnsi="Arno Pro"/>
          <w:sz w:val="18"/>
          <w:szCs w:val="18"/>
        </w:rPr>
        <w:t xml:space="preserve">approximately </w:t>
      </w:r>
      <w:r w:rsidR="002564D9">
        <w:rPr>
          <w:rFonts w:ascii="Arno Pro" w:hAnsi="Arno Pro"/>
          <w:sz w:val="18"/>
          <w:szCs w:val="18"/>
        </w:rPr>
        <w:t>-51</w:t>
      </w:r>
      <w:r w:rsidR="00165C01">
        <w:rPr>
          <w:rFonts w:ascii="Arno Pro" w:hAnsi="Arno Pro"/>
          <w:sz w:val="18"/>
          <w:szCs w:val="18"/>
        </w:rPr>
        <w:t>0</w:t>
      </w:r>
      <w:r w:rsidR="002564D9">
        <w:rPr>
          <w:rFonts w:ascii="Arno Pro" w:hAnsi="Arno Pro"/>
          <w:sz w:val="18"/>
          <w:szCs w:val="18"/>
        </w:rPr>
        <w:t xml:space="preserve"> to </w:t>
      </w:r>
      <w:r w:rsidR="002564D9">
        <w:rPr>
          <w:rFonts w:ascii="Arno Pro" w:hAnsi="Arno Pro"/>
          <w:sz w:val="18"/>
          <w:szCs w:val="18"/>
        </w:rPr>
        <w:noBreakHyphen/>
      </w:r>
      <w:r w:rsidR="00165C01">
        <w:rPr>
          <w:rFonts w:ascii="Arno Pro" w:hAnsi="Arno Pro"/>
          <w:sz w:val="18"/>
          <w:szCs w:val="18"/>
        </w:rPr>
        <w:t>600</w:t>
      </w:r>
      <w:r w:rsidR="002564D9">
        <w:rPr>
          <w:rFonts w:ascii="Arno Pro" w:hAnsi="Arno Pro"/>
          <w:sz w:val="18"/>
          <w:szCs w:val="18"/>
        </w:rPr>
        <w:t xml:space="preserve"> kJ mol</w:t>
      </w:r>
      <w:r w:rsidR="002564D9">
        <w:rPr>
          <w:rFonts w:ascii="Arno Pro" w:hAnsi="Arno Pro"/>
          <w:sz w:val="18"/>
          <w:szCs w:val="18"/>
          <w:vertAlign w:val="superscript"/>
        </w:rPr>
        <w:noBreakHyphen/>
        <w:t>1</w:t>
      </w:r>
      <w:r w:rsidR="002564D9">
        <w:rPr>
          <w:rFonts w:ascii="Arno Pro" w:hAnsi="Arno Pro"/>
          <w:sz w:val="18"/>
          <w:szCs w:val="18"/>
        </w:rPr>
        <w:t xml:space="preserve"> and -102</w:t>
      </w:r>
      <w:r w:rsidR="00165C01">
        <w:rPr>
          <w:rFonts w:ascii="Arno Pro" w:hAnsi="Arno Pro"/>
          <w:sz w:val="18"/>
          <w:szCs w:val="18"/>
        </w:rPr>
        <w:t>0</w:t>
      </w:r>
      <w:r w:rsidR="002564D9">
        <w:rPr>
          <w:rFonts w:ascii="Arno Pro" w:hAnsi="Arno Pro"/>
          <w:sz w:val="18"/>
          <w:szCs w:val="18"/>
        </w:rPr>
        <w:t xml:space="preserve"> to -1055</w:t>
      </w:r>
      <w:r w:rsidR="00165C01">
        <w:rPr>
          <w:rFonts w:ascii="Arno Pro" w:hAnsi="Arno Pro"/>
          <w:sz w:val="18"/>
          <w:szCs w:val="18"/>
        </w:rPr>
        <w:t xml:space="preserve"> </w:t>
      </w:r>
      <w:r w:rsidR="002564D9">
        <w:rPr>
          <w:rFonts w:ascii="Arno Pro" w:hAnsi="Arno Pro"/>
          <w:sz w:val="18"/>
          <w:szCs w:val="18"/>
        </w:rPr>
        <w:t>kJ mol</w:t>
      </w:r>
      <w:r w:rsidR="002564D9">
        <w:rPr>
          <w:rFonts w:ascii="Arno Pro" w:hAnsi="Arno Pro"/>
          <w:sz w:val="18"/>
          <w:szCs w:val="18"/>
          <w:vertAlign w:val="superscript"/>
        </w:rPr>
        <w:noBreakHyphen/>
        <w:t>1</w:t>
      </w:r>
      <w:r w:rsidR="002564D9">
        <w:rPr>
          <w:rFonts w:ascii="Arno Pro" w:hAnsi="Arno Pro"/>
          <w:sz w:val="18"/>
          <w:szCs w:val="18"/>
        </w:rPr>
        <w:t>, respectively</w:t>
      </w:r>
      <w:r w:rsidR="001F5C71">
        <w:rPr>
          <w:rFonts w:ascii="Arno Pro" w:hAnsi="Arno Pro"/>
          <w:sz w:val="18"/>
          <w:szCs w:val="18"/>
        </w:rPr>
        <w:fldChar w:fldCharType="begin" w:fldLock="1"/>
      </w:r>
      <w:r w:rsidR="001D3990">
        <w:rPr>
          <w:rFonts w:ascii="Arno Pro" w:hAnsi="Arno Pro"/>
          <w:sz w:val="18"/>
          <w:szCs w:val="18"/>
        </w:rPr>
        <w:instrText>ADDIN CSL_CITATION { "citationItems" : [ { "id" : "ITEM-1", "itemData" : { "ISSN" : "00027863", "abstract" : "The equilibrium 2Ag + SaO3' = AgzS + SOa' has been studied at 25, 122.5 and 195' and the heat of the reaction has been calculated from the temperature coefficient of the equilibrium constant. The heat of oxidation of &amp;03' to sod' by Bra- has been measured calorimetrically. From these data the following values are obtained for the heat of formation, free energy of formation and partial molal entropy of StO3' at 298.16\"K., AHt\" = - 154.0 kcal./mole, AF' = - 122.7 kcal./mole, and so = 15.0 e.u.", "author" : [ { "dropping-particle" : "", "family" : "Mel", "given" : "H C", "non-dropping-particle" : "", "parse-names" : false, "suffix" : "" }, { "dropping-particle" : "", "family" : "Hugus", "given" : "Z Z", "non-dropping-particle" : "", "parse-names" : false, "suffix" : "" }, { "dropping-particle" : "", "family" : "Latimer", "given" : "W M", "non-dropping-particle" : "", "parse-names" : false, "suffix" : "" } ], "container-title" : "Journal of the American Chemical Society", "id" : "ITEM-1", "issued" : { "date-parts" : [ [ "1956" ] ] }, "page" : "1822-1826", "title" : "The Thermodynamics of Thiosulfate Ion", "type" : "article-journal", "volume" : "78" }, "uris" : [ "http://www.mendeley.com/documents/?uuid=5b3aa134-868b-4767-881f-ab3b8a1ecd42" ] }, { "id" : "ITEM-2", "itemData" : { "author" : [ { "dropping-particle" : "", "family" : "Wagman", "given" : "D D", "non-dropping-particle" : "", "parse-names" : false, "suffix" : "" }, { "dropping-particle" : "", "family" : "Evans", "given" : "W H", "non-dropping-particle" : "", "parse-names" : false, "suffix" : "" }, { "dropping-particle" : "", "family" : "Parker", "given" : "V B", "non-dropping-particle" : "", "parse-names" : false, "suffix" : "" }, { "dropping-particle" : "", "family" : "Schumm", "given" : "R H", "non-dropping-particle" : "", "parse-names" : false, "suffix" : "" }, { "dropping-particle" : "", "family" : "Halow", "given" : "I", "non-dropping-particle" : "", "parse-names" : false, "suffix" : "" }, { "dropping-particle" : "", "family" : "Bailey", "given" : "S M", "non-dropping-particle" : "", "parse-names" : false, "suffix" : "" }, { "dropping-particle" : "", "family" : "Churney", "given" : "K L", "non-dropping-particle" : "", "parse-names" : false, "suffix" : "" }, { "dropping-particle" : "", "family" : "Nuttall", "given" : "R L", "non-dropping-particle" : "", "parse-names" : false, "suffix" : "" } ], "container-title" : "Physical and Chemical Reference Data", "id" : "ITEM-2", "issued" : { "date-parts" : [ [ "1982" ] ] }, "page" : "Supplement No. 2", "title" : "NBS Tables of Chemical Thermodynamic Properties: Selected Values for Inorganic and C1 and C2 Organic Substances in SI Units", "type" : "article-journal", "volume" : "11" }, "uris" : [ "http://www.mendeley.com/documents/?uuid=b69db0b6-44d9-4226-8538-cf821819d6c8" ] }, { "id" : "ITEM-3", "itemData" : { "author" : [ { "dropping-particle" : "", "family" : "Cobble", "given" : "J W", "non-dropping-particle" : "", "parse-names" : false, "suffix" : "" }, { "dropping-particle" : "", "family" : "Stephens", "given" : "H P", "non-dropping-particle" : "", "parse-names" : false, "suffix" : "" }, { "dropping-particle" : "", "family" : "McKinnon", "given" : "I R", "non-dropping-particle" : "", "parse-names" : false, "suffix" : "" }, { "dropping-particle" : "", "family" : "Westrum", "given" : "E F", "non-dropping-particle" : "", "parse-names" : false, "suffix" : "" } ], "container-title" : "Inorg. Chem.", "id" : "ITEM-3", "issued" : { "date-parts" : [ [ "1972" ] ] }, "page" : "1669-1674", "title" : "Thermodynamics of oxygenated sulfur complex ions. Heat capacity from 5 to 300 K for K2S4O6 and from 273 to 373 K for S4O62\u2212. Revised thermodynamic functions for HSO3\u2212, SO32\u2212, S2O32\u2212, and S4O62\u2212 at 298 K. Revised potential of the thiosulfate-tetrathionate ", "type" : "article-journal", "volume" : "11" }, "uris" : [ "http://www.mendeley.com/documents/?uuid=c06d09b1-e8a6-48e2-af08-314ec86aa0ed" ] }, { "id" : "ITEM-4", "itemData" : { "ISSN" : "0038-075X", "author" : [ { "dropping-particle" : "", "family" : "Latimer", "given" : "Wendell M", "non-dropping-particle" : "", "parse-names" : false, "suffix" : "" } ], "edition" : "2", "id" : "ITEM-4", "issued" : { "date-parts" : [ [ "1952" ] ] }, "publisher" : "Prentice-Hall", "publisher-place" : "New York", "title" : "Oxidation potentials", "type" : "book" }, "uris" : [ "http://www.mendeley.com/documents/?uuid=f337fd40-3808-4769-9298-d99c53d5ae1b" ] }, { "id" : "ITEM-5", "itemData" : { "author" : [ { "dropping-particle" : "", "family" : "Oelkers", "given" : "Eric H", "non-dropping-particle" : "", "parse-names" : false, "suffix" : "" }, { "dropping-particle" : "", "family" : "Helgeson", "given" : "Harold C", "non-dropping-particle" : "", "parse-names" : false, "suffix" : "" }, { "dropping-particle" : "", "family" : "Shock", "given" : "Everett L", "non-dropping-particle" : "", "parse-names" : false, "suffix" : "" }, { "dropping-particle" : "", "family" : "Sverjensky", "given" : "Dimitri A", "non-dropping-particle" : "", "parse-names" : false, "suffix" : "" }, { "dropping-particle" : "", "family" : "Johnson", "given" : "James W", "non-dropping-particle" : "", "parse-names" : false, "suffix" : "" }, { "dropping-particle" : "", "family" : "Pokrovskii", "given" : "Vitalii A", "non-dropping-particle" : "", "parse-names" : false, "suffix" : "" } ], "container-title" : "Journal of Physical and Chemical Reference Data", "id" : "ITEM-5", "issued" : { "date-parts" : [ [ "1995" ] ] }, "page" : "1401-1560", "title" : "Summary of the Apparent Standard Partial Molal Gibbs Free Energies of Formation of Aqueous Species, Minerals, And Gases at Pressures 1 to 5000 Bars and Temperatures 25 to 1000 \u00b0C", "type" : "article-journal", "volume" : "24" }, "uris" : [ "http://www.mendeley.com/documents/?uuid=e29a3209-b779-48d1-aa87-de08091c18b1" ] } ], "mendeley" : { "formattedCitation" : "&lt;sup&gt;12,15\u201318&lt;/sup&gt;", "plainTextFormattedCitation" : "12,15\u201318", "previouslyFormattedCitation" : "&lt;sup&gt;12,15\u201318&lt;/sup&gt;" }, "properties" : { "noteIndex" : 0 }, "schema" : "https://github.com/citation-style-language/schema/raw/master/csl-citation.json" }</w:instrText>
      </w:r>
      <w:r w:rsidR="001F5C71">
        <w:rPr>
          <w:rFonts w:ascii="Arno Pro" w:hAnsi="Arno Pro"/>
          <w:sz w:val="18"/>
          <w:szCs w:val="18"/>
        </w:rPr>
        <w:fldChar w:fldCharType="separate"/>
      </w:r>
      <w:r w:rsidR="00D469C6" w:rsidRPr="00D469C6">
        <w:rPr>
          <w:rFonts w:ascii="Arno Pro" w:hAnsi="Arno Pro"/>
          <w:noProof/>
          <w:sz w:val="18"/>
          <w:szCs w:val="18"/>
          <w:vertAlign w:val="superscript"/>
        </w:rPr>
        <w:t>12,15–18</w:t>
      </w:r>
      <w:r w:rsidR="001F5C71">
        <w:rPr>
          <w:rFonts w:ascii="Arno Pro" w:hAnsi="Arno Pro"/>
          <w:sz w:val="18"/>
          <w:szCs w:val="18"/>
        </w:rPr>
        <w:fldChar w:fldCharType="end"/>
      </w:r>
      <w:r w:rsidR="00D469C6">
        <w:rPr>
          <w:rFonts w:ascii="Arno Pro" w:hAnsi="Arno Pro"/>
          <w:sz w:val="18"/>
          <w:szCs w:val="18"/>
        </w:rPr>
        <w:t xml:space="preserve">. Over the last four decades, an </w:t>
      </w:r>
      <w:r w:rsidR="00D469C6" w:rsidRPr="002A4962">
        <w:rPr>
          <w:rFonts w:ascii="Arno Pro" w:hAnsi="Arno Pro"/>
          <w:i/>
          <w:sz w:val="18"/>
          <w:szCs w:val="18"/>
        </w:rPr>
        <w:t>E</w:t>
      </w:r>
      <w:r w:rsidR="00D469C6" w:rsidRPr="002A4962">
        <w:rPr>
          <w:rFonts w:ascii="Arno Pro" w:hAnsi="Arno Pro"/>
          <w:sz w:val="18"/>
          <w:szCs w:val="18"/>
          <w:vertAlign w:val="subscript"/>
        </w:rPr>
        <w:t>TT/TS</w:t>
      </w:r>
      <w:r w:rsidR="00D469C6">
        <w:rPr>
          <w:rFonts w:ascii="Arno Pro" w:hAnsi="Arno Pro"/>
          <w:sz w:val="18"/>
          <w:szCs w:val="18"/>
        </w:rPr>
        <w:t xml:space="preserve"> value of +24 mV has been most widely cited in the field of microbiology. This value was calculated based on free ene</w:t>
      </w:r>
      <w:r w:rsidR="00D469C6">
        <w:rPr>
          <w:rFonts w:ascii="Arno Pro" w:hAnsi="Arno Pro"/>
          <w:sz w:val="18"/>
          <w:szCs w:val="18"/>
        </w:rPr>
        <w:t>r</w:t>
      </w:r>
      <w:r w:rsidR="00D469C6">
        <w:rPr>
          <w:rFonts w:ascii="Arno Pro" w:hAnsi="Arno Pro"/>
          <w:sz w:val="18"/>
          <w:szCs w:val="18"/>
        </w:rPr>
        <w:t>gies of formation published in the 1950s</w:t>
      </w:r>
      <w:r w:rsidR="001F5C71">
        <w:rPr>
          <w:rFonts w:ascii="Arno Pro" w:hAnsi="Arno Pro"/>
          <w:sz w:val="18"/>
          <w:szCs w:val="18"/>
        </w:rPr>
        <w:fldChar w:fldCharType="begin" w:fldLock="1"/>
      </w:r>
      <w:r w:rsidR="001D3990">
        <w:rPr>
          <w:rFonts w:ascii="Arno Pro" w:hAnsi="Arno Pro"/>
          <w:sz w:val="18"/>
          <w:szCs w:val="18"/>
        </w:rPr>
        <w:instrText>ADDIN CSL_CITATION { "citationItems" : [ { "id" : "ITEM-1", "itemData" : { "ISSN" : "0038-075X", "author" : [ { "dropping-particle" : "", "family" : "Latimer", "given" : "Wendell M", "non-dropping-particle" : "", "parse-names" : false, "suffix" : "" } ], "edition" : "2", "id" : "ITEM-1", "issued" : { "date-parts" : [ [ "1952" ] ] }, "publisher" : "Prentice-Hall", "publisher-place" : "New York", "title" : "Oxidation potentials", "type" : "book" }, "uris" : [ "http://www.mendeley.com/documents/?uuid=f337fd40-3808-4769-9298-d99c53d5ae1b" ] }, { "id" : "ITEM-2", "itemData" : { "ISSN" : "00027863", "abstract" : "The equilibrium 2Ag + SaO3' = AgzS + SOa' has been studied at 25, 122.5 and 195' and the heat of the reaction has been calculated from the temperature coefficient of the equilibrium constant. The heat of oxidation of &amp;03' to sod' by Bra- has been measured calorimetrically. From these data the following values are obtained for the heat of formation, free energy of formation and partial molal entropy of StO3' at 298.16\"K., AHt\" = - 154.0 kcal./mole, AF' = - 122.7 kcal./mole, and so = 15.0 e.u.", "author" : [ { "dropping-particle" : "", "family" : "Mel", "given" : "H C", "non-dropping-particle" : "", "parse-names" : false, "suffix" : "" }, { "dropping-particle" : "", "family" : "Hugus", "given" : "Z Z", "non-dropping-particle" : "", "parse-names" : false, "suffix" : "" }, { "dropping-particle" : "", "family" : "Latimer", "given" : "W M", "non-dropping-particle" : "", "parse-names" : false, "suffix" : "" } ], "container-title" : "Journal of the American Chemical Society", "id" : "ITEM-2", "issued" : { "date-parts" : [ [ "1956" ] ] }, "page" : "1822-1826", "title" : "The Thermodynamics of Thiosulfate Ion", "type" : "article-journal", "volume" : "78" }, "uris" : [ "http://www.mendeley.com/documents/?uuid=5b3aa134-868b-4767-881f-ab3b8a1ecd42" ] } ], "mendeley" : { "formattedCitation" : "&lt;sup&gt;15,17&lt;/sup&gt;", "plainTextFormattedCitation" : "15,17", "previouslyFormattedCitation" : "&lt;sup&gt;15,17&lt;/sup&gt;" }, "properties" : { "noteIndex" : 0 }, "schema" : "https://github.com/citation-style-language/schema/raw/master/csl-citation.json" }</w:instrText>
      </w:r>
      <w:r w:rsidR="001F5C71">
        <w:rPr>
          <w:rFonts w:ascii="Arno Pro" w:hAnsi="Arno Pro"/>
          <w:sz w:val="18"/>
          <w:szCs w:val="18"/>
        </w:rPr>
        <w:fldChar w:fldCharType="separate"/>
      </w:r>
      <w:r w:rsidR="001D3990" w:rsidRPr="001D3990">
        <w:rPr>
          <w:rFonts w:ascii="Arno Pro" w:hAnsi="Arno Pro"/>
          <w:noProof/>
          <w:sz w:val="18"/>
          <w:szCs w:val="18"/>
          <w:vertAlign w:val="superscript"/>
        </w:rPr>
        <w:t>15,17</w:t>
      </w:r>
      <w:r w:rsidR="001F5C71">
        <w:rPr>
          <w:rFonts w:ascii="Arno Pro" w:hAnsi="Arno Pro"/>
          <w:sz w:val="18"/>
          <w:szCs w:val="18"/>
        </w:rPr>
        <w:fldChar w:fldCharType="end"/>
      </w:r>
      <w:r w:rsidR="00D469C6">
        <w:rPr>
          <w:rFonts w:ascii="Arno Pro" w:hAnsi="Arno Pro"/>
          <w:sz w:val="18"/>
          <w:szCs w:val="18"/>
        </w:rPr>
        <w:t xml:space="preserve"> and released in a </w:t>
      </w:r>
      <w:r w:rsidR="00D469C6">
        <w:rPr>
          <w:rFonts w:ascii="Arno Pro" w:hAnsi="Arno Pro"/>
          <w:sz w:val="18"/>
          <w:szCs w:val="18"/>
        </w:rPr>
        <w:lastRenderedPageBreak/>
        <w:t>highly influential seminal  work on energy conservation in chemotrophic anaerobic bacteria</w:t>
      </w:r>
      <w:r w:rsidR="001F5C71">
        <w:rPr>
          <w:rFonts w:ascii="Arno Pro" w:hAnsi="Arno Pro"/>
          <w:sz w:val="18"/>
          <w:szCs w:val="18"/>
        </w:rPr>
        <w:fldChar w:fldCharType="begin" w:fldLock="1"/>
      </w:r>
      <w:r w:rsidR="00D469C6">
        <w:rPr>
          <w:rFonts w:ascii="Arno Pro" w:hAnsi="Arno Pro"/>
          <w:sz w:val="18"/>
          <w:szCs w:val="18"/>
        </w:rPr>
        <w:instrText>ADDIN CSL_CITATION { "citationItems" : [ { "id" : "ITEM-1", "itemData" : { "DOI" : "10.1073/pnas.0803850105", "ISBN" : "0005-3678", "ISSN" : "0005-3678", "PMID" : "860983", "abstract" : "Images:", "author" : [ { "dropping-particle" : "", "family" : "Thauer", "given" : "R K", "non-dropping-particle" : "", "parse-names" : false, "suffix" : "" }, { "dropping-particle" : "", "family" : "Jungermann", "given" : "K", "non-dropping-particle" : "", "parse-names" : false, "suffix" : "" }, { "dropping-particle" : "", "family" : "Decker", "given" : "K", "non-dropping-particle" : "", "parse-names" : false, "suffix" : "" } ], "container-title" : "Bacteriological reviews", "id" : "ITEM-1", "issue" : "1", "issued" : { "date-parts" : [ [ "1977" ] ] }, "page" : "100-180", "title" : "Energy conservation in chemotrophic anaerobic bacteria.", "type" : "article-journal", "volume" : "41" }, "uris" : [ "http://www.mendeley.com/documents/?uuid=93ad00fa-ef4a-4ea8-887b-b312f7d529fc" ] } ], "mendeley" : { "formattedCitation" : "&lt;sup&gt;10&lt;/sup&gt;", "plainTextFormattedCitation" : "10", "previouslyFormattedCitation" : "&lt;sup&gt;10&lt;/sup&gt;" }, "properties" : { "noteIndex" : 0 }, "schema" : "https://github.com/citation-style-language/schema/raw/master/csl-citation.json" }</w:instrText>
      </w:r>
      <w:r w:rsidR="001F5C71">
        <w:rPr>
          <w:rFonts w:ascii="Arno Pro" w:hAnsi="Arno Pro"/>
          <w:sz w:val="18"/>
          <w:szCs w:val="18"/>
        </w:rPr>
        <w:fldChar w:fldCharType="separate"/>
      </w:r>
      <w:r w:rsidR="00D469C6" w:rsidRPr="003B2989">
        <w:rPr>
          <w:rFonts w:ascii="Arno Pro" w:hAnsi="Arno Pro"/>
          <w:noProof/>
          <w:sz w:val="18"/>
          <w:szCs w:val="18"/>
          <w:vertAlign w:val="superscript"/>
        </w:rPr>
        <w:t>10</w:t>
      </w:r>
      <w:r w:rsidR="001F5C71">
        <w:rPr>
          <w:rFonts w:ascii="Arno Pro" w:hAnsi="Arno Pro"/>
          <w:sz w:val="18"/>
          <w:szCs w:val="18"/>
        </w:rPr>
        <w:fldChar w:fldCharType="end"/>
      </w:r>
      <w:r w:rsidR="00D469C6">
        <w:rPr>
          <w:rFonts w:ascii="Arno Pro" w:hAnsi="Arno Pro"/>
          <w:sz w:val="18"/>
          <w:szCs w:val="18"/>
        </w:rPr>
        <w:t>.</w:t>
      </w:r>
    </w:p>
    <w:p w:rsidR="001014A8" w:rsidRDefault="00D933B8" w:rsidP="007D5685">
      <w:pPr>
        <w:spacing w:after="60"/>
        <w:ind w:firstLine="284"/>
        <w:rPr>
          <w:rFonts w:ascii="Arno Pro" w:hAnsi="Arno Pro"/>
          <w:sz w:val="18"/>
          <w:szCs w:val="18"/>
        </w:rPr>
      </w:pPr>
      <w:r w:rsidRPr="002A4962">
        <w:rPr>
          <w:rFonts w:ascii="Arno Pro" w:hAnsi="Arno Pro"/>
          <w:sz w:val="18"/>
          <w:szCs w:val="18"/>
        </w:rPr>
        <w:t xml:space="preserve">In order to address this situation </w:t>
      </w:r>
      <w:r w:rsidR="00566E57">
        <w:rPr>
          <w:rFonts w:ascii="Arno Pro" w:hAnsi="Arno Pro"/>
          <w:sz w:val="18"/>
          <w:szCs w:val="18"/>
        </w:rPr>
        <w:t xml:space="preserve">by </w:t>
      </w:r>
      <w:r w:rsidRPr="002A4962">
        <w:rPr>
          <w:rFonts w:ascii="Arno Pro" w:hAnsi="Arno Pro"/>
          <w:sz w:val="18"/>
          <w:szCs w:val="18"/>
        </w:rPr>
        <w:t>provid</w:t>
      </w:r>
      <w:r w:rsidR="00566E57">
        <w:rPr>
          <w:rFonts w:ascii="Arno Pro" w:hAnsi="Arno Pro"/>
          <w:sz w:val="18"/>
          <w:szCs w:val="18"/>
        </w:rPr>
        <w:t>ing</w:t>
      </w:r>
      <w:r w:rsidRPr="002A4962">
        <w:rPr>
          <w:rFonts w:ascii="Arno Pro" w:hAnsi="Arno Pro"/>
          <w:sz w:val="18"/>
          <w:szCs w:val="18"/>
        </w:rPr>
        <w:t xml:space="preserve"> a direct measure of </w:t>
      </w:r>
      <w:r w:rsidR="000E7160" w:rsidRPr="002A4962">
        <w:rPr>
          <w:rFonts w:ascii="Arno Pro" w:hAnsi="Arno Pro"/>
          <w:i/>
          <w:sz w:val="18"/>
          <w:szCs w:val="18"/>
        </w:rPr>
        <w:t>E</w:t>
      </w:r>
      <w:r w:rsidR="000E7160" w:rsidRPr="002A4962">
        <w:rPr>
          <w:rFonts w:ascii="Arno Pro" w:hAnsi="Arno Pro"/>
          <w:sz w:val="18"/>
          <w:szCs w:val="18"/>
          <w:vertAlign w:val="subscript"/>
        </w:rPr>
        <w:t>TT/TS</w:t>
      </w:r>
      <w:r w:rsidR="000E7160" w:rsidRPr="002A4962">
        <w:rPr>
          <w:rFonts w:ascii="Arno Pro" w:hAnsi="Arno Pro"/>
          <w:sz w:val="18"/>
          <w:szCs w:val="18"/>
        </w:rPr>
        <w:t xml:space="preserve"> </w:t>
      </w:r>
      <w:r w:rsidRPr="002A4962">
        <w:rPr>
          <w:rFonts w:ascii="Arno Pro" w:hAnsi="Arno Pro"/>
          <w:sz w:val="18"/>
          <w:szCs w:val="18"/>
        </w:rPr>
        <w:t xml:space="preserve">we </w:t>
      </w:r>
      <w:r w:rsidR="003B32C2" w:rsidRPr="002A4962">
        <w:rPr>
          <w:rFonts w:ascii="Arno Pro" w:hAnsi="Arno Pro"/>
          <w:sz w:val="18"/>
          <w:szCs w:val="18"/>
        </w:rPr>
        <w:t xml:space="preserve">have performed </w:t>
      </w:r>
      <w:r w:rsidRPr="002A4962">
        <w:rPr>
          <w:rFonts w:ascii="Arno Pro" w:hAnsi="Arno Pro"/>
          <w:sz w:val="18"/>
          <w:szCs w:val="18"/>
        </w:rPr>
        <w:t xml:space="preserve">catalytic protein film electrochemistry of </w:t>
      </w:r>
      <w:r w:rsidR="00E64CFF" w:rsidRPr="002A4962">
        <w:rPr>
          <w:rFonts w:ascii="Arno Pro" w:hAnsi="Arno Pro"/>
          <w:sz w:val="18"/>
          <w:szCs w:val="18"/>
        </w:rPr>
        <w:t xml:space="preserve">enzymes from the </w:t>
      </w:r>
      <w:r w:rsidR="00727687" w:rsidRPr="002A4962">
        <w:rPr>
          <w:rFonts w:ascii="Arno Pro" w:hAnsi="Arno Pro"/>
          <w:sz w:val="18"/>
          <w:szCs w:val="18"/>
        </w:rPr>
        <w:t>thiosulfate dehydro</w:t>
      </w:r>
      <w:r w:rsidR="0067018C">
        <w:rPr>
          <w:rFonts w:ascii="Arno Pro" w:hAnsi="Arno Pro"/>
          <w:sz w:val="18"/>
          <w:szCs w:val="18"/>
        </w:rPr>
        <w:softHyphen/>
      </w:r>
      <w:r w:rsidR="00727687" w:rsidRPr="002A4962">
        <w:rPr>
          <w:rFonts w:ascii="Arno Pro" w:hAnsi="Arno Pro"/>
          <w:sz w:val="18"/>
          <w:szCs w:val="18"/>
        </w:rPr>
        <w:t>genase</w:t>
      </w:r>
      <w:r w:rsidRPr="002A4962">
        <w:rPr>
          <w:rFonts w:ascii="Arno Pro" w:hAnsi="Arno Pro"/>
          <w:sz w:val="18"/>
          <w:szCs w:val="18"/>
        </w:rPr>
        <w:t xml:space="preserve">, </w:t>
      </w:r>
      <w:proofErr w:type="spellStart"/>
      <w:r w:rsidRPr="002A4962">
        <w:rPr>
          <w:rFonts w:ascii="Arno Pro" w:hAnsi="Arno Pro"/>
          <w:sz w:val="18"/>
          <w:szCs w:val="18"/>
        </w:rPr>
        <w:t>TsdA</w:t>
      </w:r>
      <w:proofErr w:type="spellEnd"/>
      <w:r w:rsidRPr="002A4962">
        <w:rPr>
          <w:rFonts w:ascii="Arno Pro" w:hAnsi="Arno Pro"/>
          <w:sz w:val="18"/>
          <w:szCs w:val="18"/>
        </w:rPr>
        <w:t>,</w:t>
      </w:r>
      <w:r w:rsidR="00727687" w:rsidRPr="002A4962">
        <w:rPr>
          <w:rFonts w:ascii="Arno Pro" w:hAnsi="Arno Pro"/>
          <w:sz w:val="18"/>
          <w:szCs w:val="18"/>
        </w:rPr>
        <w:t xml:space="preserve"> </w:t>
      </w:r>
      <w:r w:rsidR="00E64CFF" w:rsidRPr="002A4962">
        <w:rPr>
          <w:rFonts w:ascii="Arno Pro" w:hAnsi="Arno Pro"/>
          <w:sz w:val="18"/>
          <w:szCs w:val="18"/>
        </w:rPr>
        <w:t>family</w:t>
      </w:r>
      <w:r w:rsidR="001F5C71" w:rsidRPr="002A4962">
        <w:rPr>
          <w:rFonts w:ascii="Arno Pro" w:hAnsi="Arno Pro"/>
          <w:sz w:val="18"/>
          <w:szCs w:val="18"/>
        </w:rPr>
        <w:fldChar w:fldCharType="begin" w:fldLock="1"/>
      </w:r>
      <w:r w:rsidR="00A9012B">
        <w:rPr>
          <w:rFonts w:ascii="Arno Pro" w:hAnsi="Arno Pro"/>
          <w:sz w:val="18"/>
          <w:szCs w:val="18"/>
        </w:rPr>
        <w:instrText>ADDIN CSL_CITATION { "citationItems" : [ { "id" : "ITEM-1", "itemData" : { "DOI" : "10.1111/j.1462-2920.2012.02820.x", "ISBN" : "1462-2920", "ISSN" : "14622912", "PMID" : "22779704", "abstract" : "In this work we identified the gene for the tetrathionate-forming thiosulfate dehydrogenase (TsdA) from the purple sulfur bacterium Allochromatium vinosum by sequence analysis and reverse genetics. The recombinant protein produced in Escherichia coli is a periplasmic, monomeric 25.8 kDa dihaem cytochrome c with an enzyme activity optimum at pH 4. UV-visible and electron paramagnetic resonance spectroscopy indicate methionine (strictly conserved M(222) or M(236)) and cysteine (C(123) ) as probable sixth distal axial ligands of the two haem irons in TsdA. These results place TsdA in the group of c-type cytochromes with an unusual axial histidine-cysteine coordination of the haem iron. These proteins appear to play a pivotal role in sulfur-based energy metabolism. Exchange of C(123) to glycine rendered thiosulfate dehydrogenase inactive, proving the importance of this residue for catalysis. TsdA homologues are present in \u03b1-, \u03b2-, \u03b4-, \u03b3- and \u03b5-Proteobacteria. Three of these were produced in E. coli and exhibited the expected enzymatic activity. The widespread occurrence of tsdA agrees with reports of tetrathionate formation not only by specialized sulfur oxidizers but also by many chemoorganoheterotrophs that use thiosulfate as a supplemental but not as the sole energy source.", "author" : [ { "dropping-particle" : "", "family" : "Denkmann", "given" : "Kevin", "non-dropping-particle" : "", "parse-names" : false, "suffix" : "" }, { "dropping-particle" : "", "family" : "Grein", "given" : "Fabian", "non-dropping-particle" : "", "parse-names" : false, "suffix" : "" }, { "dropping-particle" : "", "family" : "Zigann", "given" : "Renate", "non-dropping-particle" : "", "parse-names" : false, "suffix" : "" }, { "dropping-particle" : "", "family" : "Siemen", "given" : "Anna", "non-dropping-particle" : "", "parse-names" : false, "suffix" : "" }, { "dropping-particle" : "", "family" : "Bergmann", "given" : "Johannes", "non-dropping-particle" : "", "parse-names" : false, "suffix" : "" }, { "dropping-particle" : "", "family" : "Helmont", "given" : "Sebastian", "non-dropping-particle" : "van", "parse-names" : false, "suffix" : "" }, { "dropping-particle" : "", "family" : "Nicolai", "given" : "Anne", "non-dropping-particle" : "", "parse-names" : false, "suffix" : "" }, { "dropping-particle" : "", "family" : "Pereira", "given" : "In\u00eas A C", "non-dropping-particle" : "", "parse-names" : false, "suffix" : "" }, { "dropping-particle" : "", "family" : "Dahl", "given" : "Christiane", "non-dropping-particle" : "", "parse-names" : false, "suffix" : "" } ], "container-title" : "Environmental Microbiology", "id" : "ITEM-1", "issue" : "10", "issued" : { "date-parts" : [ [ "2012" ] ] }, "page" : "2673-2688", "title" : "Thiosulfate dehydrogenase: A widespread unusual acidophilic c-type cytochrome", "type" : "article-journal", "volume" : "14" }, "uris" : [ "http://www.mendeley.com/documents/?uuid=8eaa1002-5b6a-4d9b-b3e5-8bd453b13636" ] } ], "mendeley" : { "formattedCitation" : "&lt;sup&gt;19&lt;/sup&gt;", "plainTextFormattedCitation" : "19", "previouslyFormattedCitation" : "&lt;sup&gt;19&lt;/sup&gt;" }, "properties" : { "noteIndex" : 0 }, "schema" : "https://github.com/citation-style-language/schema/raw/master/csl-citation.json" }</w:instrText>
      </w:r>
      <w:r w:rsidR="001F5C71" w:rsidRPr="002A4962">
        <w:rPr>
          <w:rFonts w:ascii="Arno Pro" w:hAnsi="Arno Pro"/>
          <w:sz w:val="18"/>
          <w:szCs w:val="18"/>
        </w:rPr>
        <w:fldChar w:fldCharType="separate"/>
      </w:r>
      <w:r w:rsidR="00A9012B" w:rsidRPr="00A9012B">
        <w:rPr>
          <w:rFonts w:ascii="Arno Pro" w:hAnsi="Arno Pro"/>
          <w:noProof/>
          <w:sz w:val="18"/>
          <w:szCs w:val="18"/>
          <w:vertAlign w:val="superscript"/>
        </w:rPr>
        <w:t>19</w:t>
      </w:r>
      <w:r w:rsidR="001F5C71" w:rsidRPr="002A4962">
        <w:rPr>
          <w:rFonts w:ascii="Arno Pro" w:hAnsi="Arno Pro"/>
          <w:sz w:val="18"/>
          <w:szCs w:val="18"/>
        </w:rPr>
        <w:fldChar w:fldCharType="end"/>
      </w:r>
      <w:r w:rsidR="000E7160" w:rsidRPr="002A4962">
        <w:rPr>
          <w:rFonts w:ascii="Arno Pro" w:hAnsi="Arno Pro"/>
          <w:sz w:val="18"/>
          <w:szCs w:val="18"/>
        </w:rPr>
        <w:t>.</w:t>
      </w:r>
      <w:r w:rsidR="00E64CFF" w:rsidRPr="002A4962">
        <w:rPr>
          <w:rFonts w:ascii="Arno Pro" w:hAnsi="Arno Pro"/>
          <w:sz w:val="18"/>
          <w:szCs w:val="18"/>
        </w:rPr>
        <w:t xml:space="preserve"> </w:t>
      </w:r>
      <w:r w:rsidR="00A52EA1" w:rsidRPr="002A4962">
        <w:rPr>
          <w:rFonts w:ascii="Arno Pro" w:hAnsi="Arno Pro"/>
          <w:sz w:val="18"/>
          <w:szCs w:val="18"/>
        </w:rPr>
        <w:t>The</w:t>
      </w:r>
      <w:r w:rsidR="00727687" w:rsidRPr="002A4962">
        <w:rPr>
          <w:rFonts w:ascii="Arno Pro" w:hAnsi="Arno Pro"/>
          <w:sz w:val="18"/>
          <w:szCs w:val="18"/>
        </w:rPr>
        <w:t xml:space="preserve"> </w:t>
      </w:r>
      <w:proofErr w:type="spellStart"/>
      <w:r w:rsidR="00A52EA1" w:rsidRPr="002A4962">
        <w:rPr>
          <w:rFonts w:ascii="Arno Pro" w:hAnsi="Arno Pro"/>
          <w:sz w:val="18"/>
          <w:szCs w:val="18"/>
        </w:rPr>
        <w:t>TsdA</w:t>
      </w:r>
      <w:proofErr w:type="spellEnd"/>
      <w:r w:rsidR="00A52EA1" w:rsidRPr="002A4962">
        <w:rPr>
          <w:rFonts w:ascii="Arno Pro" w:hAnsi="Arno Pro"/>
          <w:sz w:val="18"/>
          <w:szCs w:val="18"/>
        </w:rPr>
        <w:t xml:space="preserve"> </w:t>
      </w:r>
      <w:r w:rsidR="00727687" w:rsidRPr="002A4962">
        <w:rPr>
          <w:rFonts w:ascii="Arno Pro" w:hAnsi="Arno Pro"/>
          <w:sz w:val="18"/>
          <w:szCs w:val="18"/>
        </w:rPr>
        <w:t>proteins are</w:t>
      </w:r>
      <w:r w:rsidR="00727687" w:rsidRPr="002A4962">
        <w:rPr>
          <w:rFonts w:ascii="Arno Pro" w:hAnsi="Arno Pro"/>
          <w:sz w:val="18"/>
          <w:szCs w:val="18"/>
          <w:vertAlign w:val="subscript"/>
        </w:rPr>
        <w:t xml:space="preserve"> </w:t>
      </w:r>
      <w:r w:rsidR="00A52EA1" w:rsidRPr="002A4962">
        <w:rPr>
          <w:rFonts w:ascii="Arno Pro" w:hAnsi="Arno Pro"/>
          <w:i/>
          <w:sz w:val="18"/>
          <w:szCs w:val="18"/>
        </w:rPr>
        <w:t>c</w:t>
      </w:r>
      <w:r w:rsidR="00A52EA1" w:rsidRPr="002A4962">
        <w:rPr>
          <w:rFonts w:ascii="Arno Pro" w:hAnsi="Arno Pro"/>
          <w:sz w:val="18"/>
          <w:szCs w:val="18"/>
        </w:rPr>
        <w:t xml:space="preserve">-type </w:t>
      </w:r>
      <w:r w:rsidR="00030760">
        <w:rPr>
          <w:rFonts w:ascii="Arno Pro" w:hAnsi="Arno Pro"/>
          <w:sz w:val="18"/>
          <w:szCs w:val="18"/>
        </w:rPr>
        <w:t>c</w:t>
      </w:r>
      <w:r w:rsidR="004E5827" w:rsidRPr="002A4962">
        <w:rPr>
          <w:rFonts w:ascii="Arno Pro" w:hAnsi="Arno Pro"/>
          <w:sz w:val="18"/>
          <w:szCs w:val="18"/>
        </w:rPr>
        <w:t>yto</w:t>
      </w:r>
      <w:r w:rsidR="0067018C">
        <w:rPr>
          <w:rFonts w:ascii="Arno Pro" w:hAnsi="Arno Pro"/>
          <w:sz w:val="18"/>
          <w:szCs w:val="18"/>
        </w:rPr>
        <w:softHyphen/>
      </w:r>
      <w:r w:rsidR="004E5827" w:rsidRPr="002A4962">
        <w:rPr>
          <w:rFonts w:ascii="Arno Pro" w:hAnsi="Arno Pro"/>
          <w:sz w:val="18"/>
          <w:szCs w:val="18"/>
        </w:rPr>
        <w:t>chrome</w:t>
      </w:r>
      <w:r w:rsidR="00727687" w:rsidRPr="002A4962">
        <w:rPr>
          <w:rFonts w:ascii="Arno Pro" w:hAnsi="Arno Pro"/>
          <w:sz w:val="18"/>
          <w:szCs w:val="18"/>
        </w:rPr>
        <w:t>s</w:t>
      </w:r>
      <w:r w:rsidR="00A52EA1" w:rsidRPr="002A4962">
        <w:rPr>
          <w:rFonts w:ascii="Arno Pro" w:hAnsi="Arno Pro"/>
          <w:sz w:val="18"/>
          <w:szCs w:val="18"/>
        </w:rPr>
        <w:t xml:space="preserve"> carrying two heme groups</w:t>
      </w:r>
      <w:r w:rsidR="001F5C71" w:rsidRPr="002A4962">
        <w:rPr>
          <w:rFonts w:ascii="Arno Pro" w:hAnsi="Arno Pro"/>
          <w:sz w:val="18"/>
          <w:szCs w:val="18"/>
        </w:rPr>
        <w:fldChar w:fldCharType="begin" w:fldLock="1"/>
      </w:r>
      <w:r w:rsidR="00A9012B">
        <w:rPr>
          <w:rFonts w:ascii="Arno Pro" w:hAnsi="Arno Pro"/>
          <w:sz w:val="18"/>
          <w:szCs w:val="18"/>
        </w:rPr>
        <w:instrText>ADDIN CSL_CITATION { "citationItems" : [ { "id" : "ITEM-1", "itemData" : { "DOI" : "10.1074/jbc.M114.623397", "ISSN" : "0021-9258", "author" : [ { "dropping-particle" : "", "family" : "Brito", "given" : "Jos\u00e9 A.", "non-dropping-particle" : "", "parse-names" : false, "suffix" : "" }, { "dropping-particle" : "", "family" : "Denkmann", "given" : "Kevin", "non-dropping-particle" : "", "parse-names" : false, "suffix" : "" }, { "dropping-particle" : "", "family" : "Pereira", "given" : "Ines A. C.", "non-dropping-particle" : "", "parse-names" : false, "suffix" : "" }, { "dropping-particle" : "", "family" : "Archer", "given" : "Margarida", "non-dropping-particle" : "", "parse-names" : false, "suffix" : "" }, { "dropping-particle" : "", "family" : "Dahl", "given" : "Christiane", "non-dropping-particle" : "", "parse-names" : false, "suffix" : "" } ], "container-title" : "Journal of Biological Chemistry", "id" : "ITEM-1", "issued" : { "date-parts" : [ [ "2015" ] ] }, "page" : "9222-9238", "title" : "Thiosulfate Dehydrogenase (TsdA) from Allochromatium vinosum: Structural and Functional Insights into Thiosulfate Oxidation", "type" : "article-journal", "volume" : "290" }, "uris" : [ "http://www.mendeley.com/documents/?uuid=e489478a-57ee-4ac8-b1bf-0c8ccbb741ce" ] }, { "id" : "ITEM-2", "itemData" : { "DOI" : "10.1111/j.1462-2920.2012.02820.x", "ISBN" : "1462-2920", "ISSN" : "14622912", "PMID" : "22779704", "abstract" : "In this work we identified the gene for the tetrathionate-forming thiosulfate dehydrogenase (TsdA) from the purple sulfur bacterium Allochromatium vinosum by sequence analysis and reverse genetics. The recombinant protein produced in Escherichia coli is a periplasmic, monomeric 25.8 kDa dihaem cytochrome c with an enzyme activity optimum at pH 4. UV-visible and electron paramagnetic resonance spectroscopy indicate methionine (strictly conserved M(222) or M(236)) and cysteine (C(123) ) as probable sixth distal axial ligands of the two haem irons in TsdA. These results place TsdA in the group of c-type cytochromes with an unusual axial histidine-cysteine coordination of the haem iron. These proteins appear to play a pivotal role in sulfur-based energy metabolism. Exchange of C(123) to glycine rendered thiosulfate dehydrogenase inactive, proving the importance of this residue for catalysis. TsdA homologues are present in \u03b1-, \u03b2-, \u03b4-, \u03b3- and \u03b5-Proteobacteria. Three of these were produced in E. coli and exhibited the expected enzymatic activity. The widespread occurrence of tsdA agrees with reports of tetrathionate formation not only by specialized sulfur oxidizers but also by many chemoorganoheterotrophs that use thiosulfate as a supplemental but not as the sole energy source.", "author" : [ { "dropping-particle" : "", "family" : "Denkmann", "given" : "Kevin", "non-dropping-particle" : "", "parse-names" : false, "suffix" : "" }, { "dropping-particle" : "", "family" : "Grein", "given" : "Fabian", "non-dropping-particle" : "", "parse-names" : false, "suffix" : "" }, { "dropping-particle" : "", "family" : "Zigann", "given" : "Renate", "non-dropping-particle" : "", "parse-names" : false, "suffix" : "" }, { "dropping-particle" : "", "family" : "Siemen", "given" : "Anna", "non-dropping-particle" : "", "parse-names" : false, "suffix" : "" }, { "dropping-particle" : "", "family" : "Bergmann", "given" : "Johannes", "non-dropping-particle" : "", "parse-names" : false, "suffix" : "" }, { "dropping-particle" : "", "family" : "Helmont", "given" : "Sebastian", "non-dropping-particle" : "van", "parse-names" : false, "suffix" : "" }, { "dropping-particle" : "", "family" : "Nicolai", "given" : "Anne", "non-dropping-particle" : "", "parse-names" : false, "suffix" : "" }, { "dropping-particle" : "", "family" : "Pereira", "given" : "In\u00eas A C", "non-dropping-particle" : "", "parse-names" : false, "suffix" : "" }, { "dropping-particle" : "", "family" : "Dahl", "given" : "Christiane", "non-dropping-particle" : "", "parse-names" : false, "suffix" : "" } ], "container-title" : "Environmental Microbiology", "id" : "ITEM-2", "issue" : "10", "issued" : { "date-parts" : [ [ "2012" ] ] }, "page" : "2673-2688", "title" : "Thiosulfate dehydrogenase: A widespread unusual acidophilic c-type cytochrome", "type" : "article-journal", "volume" : "14" }, "uris" : [ "http://www.mendeley.com/documents/?uuid=8eaa1002-5b6a-4d9b-b3e5-8bd453b13636" ] } ], "mendeley" : { "formattedCitation" : "&lt;sup&gt;19,20&lt;/sup&gt;", "plainTextFormattedCitation" : "19,20", "previouslyFormattedCitation" : "&lt;sup&gt;19,20&lt;/sup&gt;" }, "properties" : { "noteIndex" : 0 }, "schema" : "https://github.com/citation-style-language/schema/raw/master/csl-citation.json" }</w:instrText>
      </w:r>
      <w:r w:rsidR="001F5C71" w:rsidRPr="002A4962">
        <w:rPr>
          <w:rFonts w:ascii="Arno Pro" w:hAnsi="Arno Pro"/>
          <w:sz w:val="18"/>
          <w:szCs w:val="18"/>
        </w:rPr>
        <w:fldChar w:fldCharType="separate"/>
      </w:r>
      <w:r w:rsidR="00A9012B" w:rsidRPr="00A9012B">
        <w:rPr>
          <w:rFonts w:ascii="Arno Pro" w:hAnsi="Arno Pro"/>
          <w:noProof/>
          <w:sz w:val="18"/>
          <w:szCs w:val="18"/>
          <w:vertAlign w:val="superscript"/>
        </w:rPr>
        <w:t>19,20</w:t>
      </w:r>
      <w:r w:rsidR="001F5C71" w:rsidRPr="002A4962">
        <w:rPr>
          <w:rFonts w:ascii="Arno Pro" w:hAnsi="Arno Pro"/>
          <w:sz w:val="18"/>
          <w:szCs w:val="18"/>
        </w:rPr>
        <w:fldChar w:fldCharType="end"/>
      </w:r>
      <w:r w:rsidR="00A52EA1" w:rsidRPr="002A4962">
        <w:rPr>
          <w:rFonts w:ascii="Arno Pro" w:hAnsi="Arno Pro"/>
          <w:sz w:val="18"/>
          <w:szCs w:val="18"/>
        </w:rPr>
        <w:t>.</w:t>
      </w:r>
      <w:r w:rsidR="00CC1590" w:rsidRPr="002A4962">
        <w:rPr>
          <w:rFonts w:ascii="Arno Pro" w:hAnsi="Arno Pro"/>
          <w:sz w:val="18"/>
          <w:szCs w:val="18"/>
        </w:rPr>
        <w:t xml:space="preserve"> </w:t>
      </w:r>
      <w:r w:rsidR="00687BBA" w:rsidRPr="002A4962">
        <w:rPr>
          <w:rFonts w:ascii="Arno Pro" w:hAnsi="Arno Pro"/>
          <w:sz w:val="18"/>
          <w:szCs w:val="18"/>
        </w:rPr>
        <w:t>An axial histi</w:t>
      </w:r>
      <w:r w:rsidR="00BA7DC3">
        <w:rPr>
          <w:rFonts w:ascii="Arno Pro" w:hAnsi="Arno Pro"/>
          <w:sz w:val="18"/>
          <w:szCs w:val="18"/>
        </w:rPr>
        <w:softHyphen/>
      </w:r>
      <w:r w:rsidR="00687BBA" w:rsidRPr="002A4962">
        <w:rPr>
          <w:rFonts w:ascii="Arno Pro" w:hAnsi="Arno Pro"/>
          <w:sz w:val="18"/>
          <w:szCs w:val="18"/>
        </w:rPr>
        <w:t>dine/cysteine ligation of the central iron atom is characteristic</w:t>
      </w:r>
      <w:r w:rsidR="0083799E">
        <w:rPr>
          <w:rFonts w:ascii="Arno Pro" w:hAnsi="Arno Pro"/>
          <w:sz w:val="18"/>
          <w:szCs w:val="18"/>
        </w:rPr>
        <w:t> </w:t>
      </w:r>
      <w:r w:rsidR="00687BBA" w:rsidRPr="002A4962">
        <w:rPr>
          <w:rFonts w:ascii="Arno Pro" w:hAnsi="Arno Pro"/>
          <w:sz w:val="18"/>
          <w:szCs w:val="18"/>
        </w:rPr>
        <w:t>for the active site heme. This type of ligation is rare among prokaryotes and appears to be of special im</w:t>
      </w:r>
      <w:r w:rsidR="0067018C">
        <w:rPr>
          <w:rFonts w:ascii="Arno Pro" w:hAnsi="Arno Pro"/>
          <w:sz w:val="18"/>
          <w:szCs w:val="18"/>
        </w:rPr>
        <w:softHyphen/>
      </w:r>
      <w:r w:rsidR="00687BBA" w:rsidRPr="002A4962">
        <w:rPr>
          <w:rFonts w:ascii="Arno Pro" w:hAnsi="Arno Pro"/>
          <w:sz w:val="18"/>
          <w:szCs w:val="18"/>
        </w:rPr>
        <w:t>portance in sulfur-based energy metabolism</w:t>
      </w:r>
      <w:r w:rsidR="001F5C71" w:rsidRPr="002A4962">
        <w:rPr>
          <w:rFonts w:ascii="Arno Pro" w:hAnsi="Arno Pro"/>
          <w:sz w:val="18"/>
          <w:szCs w:val="18"/>
        </w:rPr>
        <w:fldChar w:fldCharType="begin" w:fldLock="1"/>
      </w:r>
      <w:r w:rsidR="00A9012B">
        <w:rPr>
          <w:rFonts w:ascii="Arno Pro" w:hAnsi="Arno Pro"/>
          <w:sz w:val="18"/>
          <w:szCs w:val="18"/>
        </w:rPr>
        <w:instrText>ADDIN CSL_CITATION { "citationItems" : [ { "id" : "ITEM-1", "itemData" : { "DOI" : "10.1074/jbc.M114.623397", "ISSN" : "0021-9258", "author" : [ { "dropping-particle" : "", "family" : "Brito", "given" : "Jos\u00e9 A.", "non-dropping-particle" : "", "parse-names" : false, "suffix" : "" }, { "dropping-particle" : "", "family" : "Denkmann", "given" : "Kevin", "non-dropping-particle" : "", "parse-names" : false, "suffix" : "" }, { "dropping-particle" : "", "family" : "Pereira", "given" : "Ines A. C.", "non-dropping-particle" : "", "parse-names" : false, "suffix" : "" }, { "dropping-particle" : "", "family" : "Archer", "given" : "Margarida", "non-dropping-particle" : "", "parse-names" : false, "suffix" : "" }, { "dropping-particle" : "", "family" : "Dahl", "given" : "Christiane", "non-dropping-particle" : "", "parse-names" : false, "suffix" : "" } ], "container-title" : "Journal of Biological Chemistry", "id" : "ITEM-1", "issued" : { "date-parts" : [ [ "2015" ] ] }, "page" : "9222-9238", "title" : "Thiosulfate Dehydrogenase (TsdA) from Allochromatium vinosum: Structural and Functional Insights into Thiosulfate Oxidation", "type" : "article-journal", "volume" : "290" }, "uris" : [ "http://www.mendeley.com/documents/?uuid=e489478a-57ee-4ac8-b1bf-0c8ccbb741ce" ] } ], "mendeley" : { "formattedCitation" : "&lt;sup&gt;20&lt;/sup&gt;", "plainTextFormattedCitation" : "20", "previouslyFormattedCitation" : "&lt;sup&gt;20&lt;/sup&gt;" }, "properties" : { "noteIndex" : 0 }, "schema" : "https://github.com/citation-style-language/schema/raw/master/csl-citation.json" }</w:instrText>
      </w:r>
      <w:r w:rsidR="001F5C71" w:rsidRPr="002A4962">
        <w:rPr>
          <w:rFonts w:ascii="Arno Pro" w:hAnsi="Arno Pro"/>
          <w:sz w:val="18"/>
          <w:szCs w:val="18"/>
        </w:rPr>
        <w:fldChar w:fldCharType="separate"/>
      </w:r>
      <w:r w:rsidR="00A9012B" w:rsidRPr="00A9012B">
        <w:rPr>
          <w:rFonts w:ascii="Arno Pro" w:hAnsi="Arno Pro"/>
          <w:noProof/>
          <w:sz w:val="18"/>
          <w:szCs w:val="18"/>
          <w:vertAlign w:val="superscript"/>
        </w:rPr>
        <w:t>20</w:t>
      </w:r>
      <w:r w:rsidR="001F5C71" w:rsidRPr="002A4962">
        <w:rPr>
          <w:rFonts w:ascii="Arno Pro" w:hAnsi="Arno Pro"/>
          <w:sz w:val="18"/>
          <w:szCs w:val="18"/>
        </w:rPr>
        <w:fldChar w:fldCharType="end"/>
      </w:r>
      <w:r w:rsidR="00687BBA" w:rsidRPr="002A4962">
        <w:rPr>
          <w:rFonts w:ascii="Arno Pro" w:hAnsi="Arno Pro"/>
          <w:sz w:val="18"/>
          <w:szCs w:val="18"/>
        </w:rPr>
        <w:t>. In many cases</w:t>
      </w:r>
      <w:r w:rsidR="004F0B31">
        <w:rPr>
          <w:rFonts w:ascii="Arno Pro" w:hAnsi="Arno Pro"/>
          <w:sz w:val="18"/>
          <w:szCs w:val="18"/>
        </w:rPr>
        <w:t xml:space="preserve">, </w:t>
      </w:r>
      <w:proofErr w:type="spellStart"/>
      <w:r w:rsidR="004F0B31">
        <w:rPr>
          <w:rFonts w:ascii="Arno Pro" w:hAnsi="Arno Pro"/>
          <w:sz w:val="18"/>
          <w:szCs w:val="18"/>
        </w:rPr>
        <w:t>TsdA</w:t>
      </w:r>
      <w:proofErr w:type="spellEnd"/>
      <w:r w:rsidR="004F0B31">
        <w:rPr>
          <w:rFonts w:ascii="Arno Pro" w:hAnsi="Arno Pro"/>
          <w:sz w:val="18"/>
          <w:szCs w:val="18"/>
        </w:rPr>
        <w:t xml:space="preserve"> is</w:t>
      </w:r>
      <w:r w:rsidR="007F0510">
        <w:rPr>
          <w:rFonts w:ascii="Arno Pro" w:hAnsi="Arno Pro"/>
          <w:sz w:val="18"/>
          <w:szCs w:val="18"/>
        </w:rPr>
        <w:t xml:space="preserve"> </w:t>
      </w:r>
      <w:r w:rsidR="004F0B31">
        <w:rPr>
          <w:rFonts w:ascii="Arno Pro" w:hAnsi="Arno Pro"/>
          <w:sz w:val="18"/>
          <w:szCs w:val="18"/>
        </w:rPr>
        <w:t>a</w:t>
      </w:r>
      <w:r w:rsidR="00687BBA" w:rsidRPr="002A4962">
        <w:rPr>
          <w:rFonts w:ascii="Arno Pro" w:hAnsi="Arno Pro"/>
          <w:sz w:val="18"/>
          <w:szCs w:val="18"/>
        </w:rPr>
        <w:t xml:space="preserve">ccompanied by another diheme cytochrome </w:t>
      </w:r>
      <w:r w:rsidR="00A52EA1" w:rsidRPr="002A4962">
        <w:rPr>
          <w:rFonts w:ascii="Arno Pro" w:hAnsi="Arno Pro"/>
          <w:i/>
          <w:sz w:val="18"/>
          <w:szCs w:val="18"/>
        </w:rPr>
        <w:t xml:space="preserve">c </w:t>
      </w:r>
      <w:r w:rsidR="00687BBA" w:rsidRPr="002A4962">
        <w:rPr>
          <w:rFonts w:ascii="Arno Pro" w:hAnsi="Arno Pro"/>
          <w:sz w:val="18"/>
          <w:szCs w:val="18"/>
        </w:rPr>
        <w:t>(</w:t>
      </w:r>
      <w:proofErr w:type="spellStart"/>
      <w:r w:rsidR="00687BBA" w:rsidRPr="002A4962">
        <w:rPr>
          <w:rFonts w:ascii="Arno Pro" w:hAnsi="Arno Pro"/>
          <w:sz w:val="18"/>
          <w:szCs w:val="18"/>
        </w:rPr>
        <w:t>TsdB</w:t>
      </w:r>
      <w:proofErr w:type="spellEnd"/>
      <w:r w:rsidR="00687BBA" w:rsidRPr="002A4962">
        <w:rPr>
          <w:rFonts w:ascii="Arno Pro" w:hAnsi="Arno Pro"/>
          <w:sz w:val="18"/>
          <w:szCs w:val="18"/>
        </w:rPr>
        <w:t xml:space="preserve">) that serves </w:t>
      </w:r>
      <w:r w:rsidR="002726F0">
        <w:rPr>
          <w:rFonts w:ascii="Arno Pro" w:hAnsi="Arno Pro"/>
          <w:sz w:val="18"/>
          <w:szCs w:val="18"/>
        </w:rPr>
        <w:t xml:space="preserve">as </w:t>
      </w:r>
      <w:r w:rsidR="001014A8" w:rsidRPr="002A4962">
        <w:rPr>
          <w:rFonts w:ascii="Arno Pro" w:hAnsi="Arno Pro"/>
          <w:sz w:val="18"/>
          <w:szCs w:val="18"/>
        </w:rPr>
        <w:t xml:space="preserve">the redox partner </w:t>
      </w:r>
      <w:r w:rsidR="00687BBA" w:rsidRPr="002A4962">
        <w:rPr>
          <w:rFonts w:ascii="Arno Pro" w:hAnsi="Arno Pro"/>
          <w:sz w:val="18"/>
          <w:szCs w:val="18"/>
        </w:rPr>
        <w:t>for TsdA</w:t>
      </w:r>
      <w:r w:rsidR="001F5C71" w:rsidRPr="002A4962">
        <w:rPr>
          <w:rFonts w:ascii="Arno Pro" w:hAnsi="Arno Pro"/>
          <w:sz w:val="18"/>
          <w:szCs w:val="18"/>
        </w:rPr>
        <w:fldChar w:fldCharType="begin" w:fldLock="1"/>
      </w:r>
      <w:r w:rsidR="00A9012B">
        <w:rPr>
          <w:rFonts w:ascii="Arno Pro" w:hAnsi="Arno Pro"/>
          <w:sz w:val="18"/>
          <w:szCs w:val="18"/>
        </w:rPr>
        <w:instrText>ADDIN CSL_CITATION { "citationItems" : [ { "id" : "ITEM-1", "itemData" : { "DOI" : "10.1111/j.1462-2920.2012.02820.x", "ISBN" : "1462-2920", "ISSN" : "14622912", "PMID" : "22779704", "abstract" : "In this work we identified the gene for the tetrathionate-forming thiosulfate dehydrogenase (TsdA) from the purple sulfur bacterium Allochromatium vinosum by sequence analysis and reverse genetics. The recombinant protein produced in Escherichia coli is a periplasmic, monomeric 25.8 kDa dihaem cytochrome c with an enzyme activity optimum at pH 4. UV-visible and electron paramagnetic resonance spectroscopy indicate methionine (strictly conserved M(222) or M(236)) and cysteine (C(123) ) as probable sixth distal axial ligands of the two haem irons in TsdA. These results place TsdA in the group of c-type cytochromes with an unusual axial histidine-cysteine coordination of the haem iron. These proteins appear to play a pivotal role in sulfur-based energy metabolism. Exchange of C(123) to glycine rendered thiosulfate dehydrogenase inactive, proving the importance of this residue for catalysis. TsdA homologues are present in \u03b1-, \u03b2-, \u03b4-, \u03b3- and \u03b5-Proteobacteria. Three of these were produced in E. coli and exhibited the expected enzymatic activity. The widespread occurrence of tsdA agrees with reports of tetrathionate formation not only by specialized sulfur oxidizers but also by many chemoorganoheterotrophs that use thiosulfate as a supplemental but not as the sole energy source.", "author" : [ { "dropping-particle" : "", "family" : "Denkmann", "given" : "Kevin", "non-dropping-particle" : "", "parse-names" : false, "suffix" : "" }, { "dropping-particle" : "", "family" : "Grein", "given" : "Fabian", "non-dropping-particle" : "", "parse-names" : false, "suffix" : "" }, { "dropping-particle" : "", "family" : "Zigann", "given" : "Renate", "non-dropping-particle" : "", "parse-names" : false, "suffix" : "" }, { "dropping-particle" : "", "family" : "Siemen", "given" : "Anna", "non-dropping-particle" : "", "parse-names" : false, "suffix" : "" }, { "dropping-particle" : "", "family" : "Bergmann", "given" : "Johannes", "non-dropping-particle" : "", "parse-names" : false, "suffix" : "" }, { "dropping-particle" : "", "family" : "Helmont", "given" : "Sebastian", "non-dropping-particle" : "van", "parse-names" : false, "suffix" : "" }, { "dropping-particle" : "", "family" : "Nicolai", "given" : "Anne", "non-dropping-particle" : "", "parse-names" : false, "suffix" : "" }, { "dropping-particle" : "", "family" : "Pereira", "given" : "In\u00eas A C", "non-dropping-particle" : "", "parse-names" : false, "suffix" : "" }, { "dropping-particle" : "", "family" : "Dahl", "given" : "Christiane", "non-dropping-particle" : "", "parse-names" : false, "suffix" : "" } ], "container-title" : "Environmental Microbiology", "id" : "ITEM-1", "issue" : "10", "issued" : { "date-parts" : [ [ "2012" ] ] }, "page" : "2673-2688", "title" : "Thiosulfate dehydrogenase: A widespread unusual acidophilic c-type cytochrome", "type" : "article-journal", "volume" : "14" }, "uris" : [ "http://www.mendeley.com/documents/?uuid=8eaa1002-5b6a-4d9b-b3e5-8bd453b13636" ] } ], "mendeley" : { "formattedCitation" : "&lt;sup&gt;19&lt;/sup&gt;", "plainTextFormattedCitation" : "19", "previouslyFormattedCitation" : "&lt;sup&gt;19&lt;/sup&gt;" }, "properties" : { "noteIndex" : 0 }, "schema" : "https://github.com/citation-style-language/schema/raw/master/csl-citation.json" }</w:instrText>
      </w:r>
      <w:r w:rsidR="001F5C71" w:rsidRPr="002A4962">
        <w:rPr>
          <w:rFonts w:ascii="Arno Pro" w:hAnsi="Arno Pro"/>
          <w:sz w:val="18"/>
          <w:szCs w:val="18"/>
        </w:rPr>
        <w:fldChar w:fldCharType="separate"/>
      </w:r>
      <w:r w:rsidR="00A9012B" w:rsidRPr="00A9012B">
        <w:rPr>
          <w:rFonts w:ascii="Arno Pro" w:hAnsi="Arno Pro"/>
          <w:noProof/>
          <w:sz w:val="18"/>
          <w:szCs w:val="18"/>
          <w:vertAlign w:val="superscript"/>
        </w:rPr>
        <w:t>19</w:t>
      </w:r>
      <w:r w:rsidR="001F5C71" w:rsidRPr="002A4962">
        <w:rPr>
          <w:rFonts w:ascii="Arno Pro" w:hAnsi="Arno Pro"/>
          <w:sz w:val="18"/>
          <w:szCs w:val="18"/>
        </w:rPr>
        <w:fldChar w:fldCharType="end"/>
      </w:r>
      <w:r w:rsidR="00687BBA" w:rsidRPr="002A4962">
        <w:rPr>
          <w:rFonts w:ascii="Arno Pro" w:hAnsi="Arno Pro"/>
          <w:sz w:val="18"/>
          <w:szCs w:val="18"/>
        </w:rPr>
        <w:t>. In some in</w:t>
      </w:r>
      <w:r w:rsidR="00BA7DC3">
        <w:rPr>
          <w:rFonts w:ascii="Arno Pro" w:hAnsi="Arno Pro"/>
          <w:sz w:val="18"/>
          <w:szCs w:val="18"/>
        </w:rPr>
        <w:softHyphen/>
      </w:r>
      <w:r w:rsidR="00687BBA" w:rsidRPr="002A4962">
        <w:rPr>
          <w:rFonts w:ascii="Arno Pro" w:hAnsi="Arno Pro"/>
          <w:sz w:val="18"/>
          <w:szCs w:val="18"/>
        </w:rPr>
        <w:t xml:space="preserve">stances, </w:t>
      </w:r>
      <w:proofErr w:type="spellStart"/>
      <w:r w:rsidR="00687BBA" w:rsidRPr="002A4962">
        <w:rPr>
          <w:rFonts w:ascii="Arno Pro" w:hAnsi="Arno Pro"/>
          <w:sz w:val="18"/>
          <w:szCs w:val="18"/>
        </w:rPr>
        <w:t>TsdA</w:t>
      </w:r>
      <w:proofErr w:type="spellEnd"/>
      <w:r w:rsidR="00687BBA" w:rsidRPr="002A4962">
        <w:rPr>
          <w:rFonts w:ascii="Arno Pro" w:hAnsi="Arno Pro"/>
          <w:sz w:val="18"/>
          <w:szCs w:val="18"/>
        </w:rPr>
        <w:t xml:space="preserve"> and </w:t>
      </w:r>
      <w:proofErr w:type="spellStart"/>
      <w:r w:rsidR="00687BBA" w:rsidRPr="002A4962">
        <w:rPr>
          <w:rFonts w:ascii="Arno Pro" w:hAnsi="Arno Pro"/>
          <w:sz w:val="18"/>
          <w:szCs w:val="18"/>
        </w:rPr>
        <w:t>TsdB</w:t>
      </w:r>
      <w:proofErr w:type="spellEnd"/>
      <w:r w:rsidR="00687BBA" w:rsidRPr="002A4962">
        <w:rPr>
          <w:rFonts w:ascii="Arno Pro" w:hAnsi="Arno Pro"/>
          <w:sz w:val="18"/>
          <w:szCs w:val="18"/>
        </w:rPr>
        <w:t xml:space="preserve"> form a fusion protein.</w:t>
      </w:r>
      <w:r w:rsidR="00417B7F" w:rsidRPr="002A4962">
        <w:rPr>
          <w:rFonts w:ascii="Arno Pro" w:hAnsi="Arno Pro"/>
          <w:sz w:val="18"/>
          <w:szCs w:val="18"/>
        </w:rPr>
        <w:t xml:space="preserve"> </w:t>
      </w:r>
      <w:r w:rsidR="001014A8" w:rsidRPr="002A4962">
        <w:rPr>
          <w:rFonts w:ascii="Arno Pro" w:hAnsi="Arno Pro"/>
          <w:sz w:val="18"/>
          <w:szCs w:val="18"/>
        </w:rPr>
        <w:t>A</w:t>
      </w:r>
      <w:r w:rsidR="00687BBA" w:rsidRPr="002A4962">
        <w:rPr>
          <w:rFonts w:ascii="Arno Pro" w:hAnsi="Arno Pro"/>
          <w:sz w:val="18"/>
          <w:szCs w:val="18"/>
        </w:rPr>
        <w:t>ll</w:t>
      </w:r>
      <w:r w:rsidR="001014A8" w:rsidRPr="002A4962">
        <w:rPr>
          <w:rFonts w:ascii="Arno Pro" w:hAnsi="Arno Pro"/>
          <w:sz w:val="18"/>
          <w:szCs w:val="18"/>
        </w:rPr>
        <w:t xml:space="preserve"> </w:t>
      </w:r>
      <w:proofErr w:type="spellStart"/>
      <w:r w:rsidR="00687BBA" w:rsidRPr="002A4962">
        <w:rPr>
          <w:rFonts w:ascii="Arno Pro" w:hAnsi="Arno Pro"/>
          <w:sz w:val="18"/>
          <w:szCs w:val="18"/>
        </w:rPr>
        <w:t>TsdA</w:t>
      </w:r>
      <w:proofErr w:type="spellEnd"/>
      <w:r w:rsidR="00DF155A" w:rsidRPr="002A4962">
        <w:rPr>
          <w:rFonts w:ascii="Arno Pro" w:hAnsi="Arno Pro"/>
          <w:sz w:val="18"/>
          <w:szCs w:val="18"/>
        </w:rPr>
        <w:t xml:space="preserve"> enzyme</w:t>
      </w:r>
      <w:r w:rsidR="00687BBA" w:rsidRPr="002A4962">
        <w:rPr>
          <w:rFonts w:ascii="Arno Pro" w:hAnsi="Arno Pro"/>
          <w:sz w:val="18"/>
          <w:szCs w:val="18"/>
        </w:rPr>
        <w:t xml:space="preserve">s characterized </w:t>
      </w:r>
      <w:r w:rsidR="001014A8" w:rsidRPr="002A4962">
        <w:rPr>
          <w:rFonts w:ascii="Arno Pro" w:hAnsi="Arno Pro"/>
          <w:sz w:val="18"/>
          <w:szCs w:val="18"/>
        </w:rPr>
        <w:t>to date</w:t>
      </w:r>
      <w:r w:rsidR="00687BBA" w:rsidRPr="002A4962">
        <w:rPr>
          <w:rFonts w:ascii="Arno Pro" w:hAnsi="Arno Pro"/>
          <w:sz w:val="18"/>
          <w:szCs w:val="18"/>
        </w:rPr>
        <w:t xml:space="preserve"> </w:t>
      </w:r>
      <w:r w:rsidR="001014A8" w:rsidRPr="002A4962">
        <w:rPr>
          <w:rFonts w:ascii="Arno Pro" w:hAnsi="Arno Pro"/>
          <w:sz w:val="18"/>
          <w:szCs w:val="18"/>
        </w:rPr>
        <w:t>catalyz</w:t>
      </w:r>
      <w:r w:rsidR="00727687" w:rsidRPr="002A4962">
        <w:rPr>
          <w:rFonts w:ascii="Arno Pro" w:hAnsi="Arno Pro"/>
          <w:sz w:val="18"/>
          <w:szCs w:val="18"/>
        </w:rPr>
        <w:t>e</w:t>
      </w:r>
      <w:r w:rsidR="004E5827" w:rsidRPr="002A4962">
        <w:rPr>
          <w:rFonts w:ascii="Arno Pro" w:hAnsi="Arno Pro"/>
          <w:sz w:val="18"/>
          <w:szCs w:val="18"/>
        </w:rPr>
        <w:t xml:space="preserve"> </w:t>
      </w:r>
      <w:r w:rsidR="001014A8" w:rsidRPr="002A4962">
        <w:rPr>
          <w:rFonts w:ascii="Arno Pro" w:hAnsi="Arno Pro"/>
          <w:sz w:val="18"/>
          <w:szCs w:val="18"/>
        </w:rPr>
        <w:t xml:space="preserve">both </w:t>
      </w:r>
      <w:r w:rsidR="004E5827" w:rsidRPr="002A4962">
        <w:rPr>
          <w:rFonts w:ascii="Arno Pro" w:hAnsi="Arno Pro"/>
          <w:sz w:val="18"/>
          <w:szCs w:val="18"/>
        </w:rPr>
        <w:t xml:space="preserve">the oxidation of thiosulfate </w:t>
      </w:r>
      <w:r w:rsidR="001014A8" w:rsidRPr="002A4962">
        <w:rPr>
          <w:rFonts w:ascii="Arno Pro" w:hAnsi="Arno Pro"/>
          <w:sz w:val="18"/>
          <w:szCs w:val="18"/>
        </w:rPr>
        <w:t xml:space="preserve">to tetrathionate and </w:t>
      </w:r>
      <w:r w:rsidR="004E5827" w:rsidRPr="002A4962">
        <w:rPr>
          <w:rFonts w:ascii="Arno Pro" w:hAnsi="Arno Pro"/>
          <w:sz w:val="18"/>
          <w:szCs w:val="18"/>
        </w:rPr>
        <w:t>the reduction of tetrathi</w:t>
      </w:r>
      <w:r w:rsidR="00BA7DC3">
        <w:rPr>
          <w:rFonts w:ascii="Arno Pro" w:hAnsi="Arno Pro"/>
          <w:sz w:val="18"/>
          <w:szCs w:val="18"/>
        </w:rPr>
        <w:softHyphen/>
      </w:r>
      <w:r w:rsidR="004E5827" w:rsidRPr="002A4962">
        <w:rPr>
          <w:rFonts w:ascii="Arno Pro" w:hAnsi="Arno Pro"/>
          <w:sz w:val="18"/>
          <w:szCs w:val="18"/>
        </w:rPr>
        <w:t>o</w:t>
      </w:r>
      <w:r w:rsidR="000D26C8">
        <w:rPr>
          <w:rFonts w:ascii="Arno Pro" w:hAnsi="Arno Pro"/>
          <w:sz w:val="18"/>
          <w:szCs w:val="18"/>
        </w:rPr>
        <w:softHyphen/>
      </w:r>
      <w:r w:rsidR="004E5827" w:rsidRPr="002A4962">
        <w:rPr>
          <w:rFonts w:ascii="Arno Pro" w:hAnsi="Arno Pro"/>
          <w:sz w:val="18"/>
          <w:szCs w:val="18"/>
        </w:rPr>
        <w:t>nate</w:t>
      </w:r>
      <w:r w:rsidR="001014A8" w:rsidRPr="002A4962">
        <w:rPr>
          <w:rFonts w:ascii="Arno Pro" w:hAnsi="Arno Pro"/>
          <w:sz w:val="18"/>
          <w:szCs w:val="18"/>
        </w:rPr>
        <w:t xml:space="preserve"> to thiosulfate</w:t>
      </w:r>
      <w:r w:rsidRPr="002A4962">
        <w:rPr>
          <w:rFonts w:ascii="Arno Pro" w:hAnsi="Arno Pro"/>
          <w:sz w:val="18"/>
          <w:szCs w:val="18"/>
        </w:rPr>
        <w:t xml:space="preserve"> at measurable rates</w:t>
      </w:r>
      <w:r w:rsidR="001F5C71" w:rsidRPr="002A4962">
        <w:rPr>
          <w:rFonts w:ascii="Arno Pro" w:hAnsi="Arno Pro"/>
          <w:i/>
          <w:sz w:val="18"/>
          <w:szCs w:val="18"/>
        </w:rPr>
        <w:fldChar w:fldCharType="begin" w:fldLock="1"/>
      </w:r>
      <w:r w:rsidR="003B2989">
        <w:rPr>
          <w:rFonts w:ascii="Arno Pro" w:hAnsi="Arno Pro"/>
          <w:i/>
          <w:sz w:val="18"/>
          <w:szCs w:val="18"/>
        </w:rPr>
        <w:instrText>ADDIN CSL_CITATION { "citationItems" : [ { "id" : "ITEM-1", "itemData" : { "DOI" : "10.1111/mmi.12176", "ISBN" : "0950-382X", "ISSN" : "0950382X", "PMID" : "23421726", "abstract" : "Tetrathionate (S4 O6 (2-) ) is used by some bacteria as an electron acceptor and can be produced in the vertebrate intestinal mucosa from the oxidation of thiosulphate (S2 O3 (2-) ) by reactive oxygen species during inflammation. Surprisingly, growth of the microaerophilic mucosal pathogen Campylobacter jejuni under oxygen-limited conditions was stimulated by tetrathionate, although it does not possess any known type of tetrathionate reductase. Here, we identify a dihaem cytochrome c (C8j_0815; TsdA) as the enzyme responsible. Kinetic studies with purified recombinant C. jejuni TsdA showed it to be a bifunctional tetrathionate reductase/thiosulphate dehydrogenase with a high affinity for tetrathionate. A tsdA null mutant still slowly reduced, but could not grow on, tetrathionate under oxygen limitation, lacked thiosulphate-dependent respiration and failed to convert thiosulphate to tetrathionate microaerobically. A TsdA paralogue (C8j_0040), lacking the unusual His-Cys haem ligation of TsdA, had low thiosulphate dehydrogenase and tetrathionate reductase activities. Our data highlight a hitherto unrecognized capacity of C. jejuni to use tetrathionate and thiosulphate in its energy metabolism, which may promote growth in the host. Moreover, as TsdA represents a new class of tetrathionate reductase that is widely distributed among bacteria, we predict that energy conserving tetrathionate respiration is far more common than currently appreciated.", "author" : [ { "dropping-particle" : "", "family" : "Liu", "given" : "Yang Wei", "non-dropping-particle" : "", "parse-names" : false, "suffix" : "" }, { "dropping-particle" : "", "family" : "Denkmann", "given" : "Kevin", "non-dropping-particle" : "", "parse-names" : false, "suffix" : "" }, { "dropping-particle" : "", "family" : "Kosciow", "given" : "Konrad", "non-dropping-particle" : "", "parse-names" : false, "suffix" : "" }, { "dropping-particle" : "", "family" : "Dahl", "given" : "Christiane", "non-dropping-particle" : "", "parse-names" : false, "suffix" : "" }, { "dropping-particle" : "", "family" : "Kelly", "given" : "David J.", "non-dropping-particle" : "", "parse-names" : false, "suffix" : "" } ], "container-title" : "Molecular Microbiology", "id" : "ITEM-1", "issue" : "1", "issued" : { "date-parts" : [ [ "2013" ] ] }, "page" : "173-188", "title" : "Tetrathionate stimulated growth of &lt;i&gt;Campylobacter jejuni&lt;/i&gt; identifies a new type of bi-functional tetrathionate reductase (TsdA) that is widely distributed in bacteria", "type" : "article-journal", "volume" : "88" }, "uris" : [ "http://www.mendeley.com/documents/?uuid=7c30f879-45d9-40b9-a629-2f2f413b70bf" ] } ], "mendeley" : { "formattedCitation" : "&lt;sup&gt;8&lt;/sup&gt;", "plainTextFormattedCitation" : "8", "previouslyFormattedCitation" : "&lt;sup&gt;8&lt;/sup&gt;" }, "properties" : { "noteIndex" : 0 }, "schema" : "https://github.com/citation-style-language/schema/raw/master/csl-citation.json" }</w:instrText>
      </w:r>
      <w:r w:rsidR="001F5C71" w:rsidRPr="002A4962">
        <w:rPr>
          <w:rFonts w:ascii="Arno Pro" w:hAnsi="Arno Pro"/>
          <w:i/>
          <w:sz w:val="18"/>
          <w:szCs w:val="18"/>
        </w:rPr>
        <w:fldChar w:fldCharType="separate"/>
      </w:r>
      <w:r w:rsidR="00B22ABA" w:rsidRPr="00B22ABA">
        <w:rPr>
          <w:rFonts w:ascii="Arno Pro" w:hAnsi="Arno Pro"/>
          <w:noProof/>
          <w:sz w:val="18"/>
          <w:szCs w:val="18"/>
          <w:vertAlign w:val="superscript"/>
        </w:rPr>
        <w:t>8</w:t>
      </w:r>
      <w:r w:rsidR="001F5C71" w:rsidRPr="002A4962">
        <w:rPr>
          <w:rFonts w:ascii="Arno Pro" w:hAnsi="Arno Pro"/>
          <w:i/>
          <w:sz w:val="18"/>
          <w:szCs w:val="18"/>
        </w:rPr>
        <w:fldChar w:fldCharType="end"/>
      </w:r>
      <w:r w:rsidR="00B31A68" w:rsidRPr="002A4962">
        <w:rPr>
          <w:rFonts w:ascii="Arno Pro" w:hAnsi="Arno Pro"/>
          <w:sz w:val="18"/>
          <w:szCs w:val="18"/>
          <w:vertAlign w:val="superscript"/>
        </w:rPr>
        <w:t>,</w:t>
      </w:r>
      <w:r w:rsidR="001F5C71" w:rsidRPr="002A4962">
        <w:rPr>
          <w:rFonts w:ascii="Arno Pro" w:hAnsi="Arno Pro"/>
          <w:sz w:val="18"/>
          <w:szCs w:val="18"/>
        </w:rPr>
        <w:fldChar w:fldCharType="begin" w:fldLock="1"/>
      </w:r>
      <w:r w:rsidR="00A9012B">
        <w:rPr>
          <w:rFonts w:ascii="Arno Pro" w:hAnsi="Arno Pro"/>
          <w:sz w:val="18"/>
          <w:szCs w:val="18"/>
        </w:rPr>
        <w:instrText>ADDIN CSL_CITATION { "citationItems" : [ { "id" : "ITEM-1", "itemData" : { "DOI" : "10.1111/j.1462-2920.2012.02820.x", "ISBN" : "1462-2920", "ISSN" : "14622912", "PMID" : "22779704", "abstract" : "In this work we identified the gene for the tetrathionate-forming thiosulfate dehydrogenase (TsdA) from the purple sulfur bacterium Allochromatium vinosum by sequence analysis and reverse genetics. The recombinant protein produced in Escherichia coli is a periplasmic, monomeric 25.8 kDa dihaem cytochrome c with an enzyme activity optimum at pH 4. UV-visible and electron paramagnetic resonance spectroscopy indicate methionine (strictly conserved M(222) or M(236)) and cysteine (C(123) ) as probable sixth distal axial ligands of the two haem irons in TsdA. These results place TsdA in the group of c-type cytochromes with an unusual axial histidine-cysteine coordination of the haem iron. These proteins appear to play a pivotal role in sulfur-based energy metabolism. Exchange of C(123) to glycine rendered thiosulfate dehydrogenase inactive, proving the importance of this residue for catalysis. TsdA homologues are present in \u03b1-, \u03b2-, \u03b4-, \u03b3- and \u03b5-Proteobacteria. Three of these were produced in E. coli and exhibited the expected enzymatic activity. The widespread occurrence of tsdA agrees with reports of tetrathionate formation not only by specialized sulfur oxidizers but also by many chemoorganoheterotrophs that use thiosulfate as a supplemental but not as the sole energy source.", "author" : [ { "dropping-particle" : "", "family" : "Denkmann", "given" : "Kevin", "non-dropping-particle" : "", "parse-names" : false, "suffix" : "" }, { "dropping-particle" : "", "family" : "Grein", "given" : "Fabian", "non-dropping-particle" : "", "parse-names" : false, "suffix" : "" }, { "dropping-particle" : "", "family" : "Zigann", "given" : "Renate", "non-dropping-particle" : "", "parse-names" : false, "suffix" : "" }, { "dropping-particle" : "", "family" : "Siemen", "given" : "Anna", "non-dropping-particle" : "", "parse-names" : false, "suffix" : "" }, { "dropping-particle" : "", "family" : "Bergmann", "given" : "Johannes", "non-dropping-particle" : "", "parse-names" : false, "suffix" : "" }, { "dropping-particle" : "", "family" : "Helmont", "given" : "Sebastian", "non-dropping-particle" : "van", "parse-names" : false, "suffix" : "" }, { "dropping-particle" : "", "family" : "Nicolai", "given" : "Anne", "non-dropping-particle" : "", "parse-names" : false, "suffix" : "" }, { "dropping-particle" : "", "family" : "Pereira", "given" : "In\u00eas A C", "non-dropping-particle" : "", "parse-names" : false, "suffix" : "" }, { "dropping-particle" : "", "family" : "Dahl", "given" : "Christiane", "non-dropping-particle" : "", "parse-names" : false, "suffix" : "" } ], "container-title" : "Environmental Microbiology", "id" : "ITEM-1", "issue" : "10", "issued" : { "date-parts" : [ [ "2012" ] ] }, "page" : "2673-2688", "title" : "Thiosulfate dehydrogenase: A widespread unusual acidophilic c-type cytochrome", "type" : "article-journal", "volume" : "14" }, "uris" : [ "http://www.mendeley.com/documents/?uuid=8eaa1002-5b6a-4d9b-b3e5-8bd453b13636" ] } ], "mendeley" : { "formattedCitation" : "&lt;sup&gt;19&lt;/sup&gt;", "plainTextFormattedCitation" : "19", "previouslyFormattedCitation" : "&lt;sup&gt;19&lt;/sup&gt;" }, "properties" : { "noteIndex" : 0 }, "schema" : "https://github.com/citation-style-language/schema/raw/master/csl-citation.json" }</w:instrText>
      </w:r>
      <w:r w:rsidR="001F5C71" w:rsidRPr="002A4962">
        <w:rPr>
          <w:rFonts w:ascii="Arno Pro" w:hAnsi="Arno Pro"/>
          <w:sz w:val="18"/>
          <w:szCs w:val="18"/>
        </w:rPr>
        <w:fldChar w:fldCharType="separate"/>
      </w:r>
      <w:r w:rsidR="00A9012B" w:rsidRPr="00A9012B">
        <w:rPr>
          <w:rFonts w:ascii="Arno Pro" w:hAnsi="Arno Pro"/>
          <w:noProof/>
          <w:sz w:val="18"/>
          <w:szCs w:val="18"/>
          <w:vertAlign w:val="superscript"/>
        </w:rPr>
        <w:t>19</w:t>
      </w:r>
      <w:r w:rsidR="001F5C71" w:rsidRPr="002A4962">
        <w:rPr>
          <w:rFonts w:ascii="Arno Pro" w:hAnsi="Arno Pro"/>
          <w:sz w:val="18"/>
          <w:szCs w:val="18"/>
        </w:rPr>
        <w:fldChar w:fldCharType="end"/>
      </w:r>
      <w:r w:rsidR="004E5827" w:rsidRPr="002A4962">
        <w:rPr>
          <w:rFonts w:ascii="Arno Pro" w:hAnsi="Arno Pro"/>
          <w:sz w:val="18"/>
          <w:szCs w:val="18"/>
        </w:rPr>
        <w:t>. Th</w:t>
      </w:r>
      <w:r w:rsidR="00A52EA1" w:rsidRPr="002A4962">
        <w:rPr>
          <w:rFonts w:ascii="Arno Pro" w:hAnsi="Arno Pro"/>
          <w:sz w:val="18"/>
          <w:szCs w:val="18"/>
        </w:rPr>
        <w:t>is</w:t>
      </w:r>
      <w:r w:rsidR="001014A8" w:rsidRPr="002A4962">
        <w:rPr>
          <w:rFonts w:ascii="Arno Pro" w:hAnsi="Arno Pro"/>
          <w:sz w:val="18"/>
          <w:szCs w:val="18"/>
        </w:rPr>
        <w:t xml:space="preserve"> reversibility </w:t>
      </w:r>
      <w:r w:rsidR="00A52EA1" w:rsidRPr="002A4962">
        <w:rPr>
          <w:rFonts w:ascii="Arno Pro" w:hAnsi="Arno Pro"/>
          <w:sz w:val="18"/>
          <w:szCs w:val="18"/>
        </w:rPr>
        <w:t>is of crucial</w:t>
      </w:r>
      <w:r w:rsidR="004E5827" w:rsidRPr="002A4962">
        <w:rPr>
          <w:rFonts w:ascii="Arno Pro" w:hAnsi="Arno Pro"/>
          <w:sz w:val="18"/>
          <w:szCs w:val="18"/>
        </w:rPr>
        <w:t xml:space="preserve"> importance for </w:t>
      </w:r>
      <w:r w:rsidR="00A52EA1" w:rsidRPr="002A4962">
        <w:rPr>
          <w:rFonts w:ascii="Arno Pro" w:hAnsi="Arno Pro"/>
          <w:sz w:val="18"/>
          <w:szCs w:val="18"/>
        </w:rPr>
        <w:t>the work presented here</w:t>
      </w:r>
      <w:r w:rsidR="004E5827" w:rsidRPr="002A4962">
        <w:rPr>
          <w:rFonts w:ascii="Arno Pro" w:hAnsi="Arno Pro"/>
          <w:sz w:val="18"/>
          <w:szCs w:val="18"/>
        </w:rPr>
        <w:t>.</w:t>
      </w:r>
      <w:r w:rsidR="00052452" w:rsidRPr="002A4962">
        <w:rPr>
          <w:rFonts w:ascii="Arno Pro" w:hAnsi="Arno Pro"/>
          <w:sz w:val="18"/>
          <w:szCs w:val="18"/>
        </w:rPr>
        <w:t xml:space="preserve"> </w:t>
      </w:r>
    </w:p>
    <w:p w:rsidR="002A4962" w:rsidRPr="00EA138B" w:rsidRDefault="004A3DB0" w:rsidP="007D5685">
      <w:pPr>
        <w:spacing w:after="180"/>
        <w:ind w:firstLine="284"/>
        <w:jc w:val="center"/>
        <w:rPr>
          <w:rFonts w:ascii="Arno Pro" w:hAnsi="Arno Pro"/>
          <w:sz w:val="19"/>
          <w:szCs w:val="19"/>
          <w:lang w:val="en-GB"/>
        </w:rPr>
      </w:pPr>
      <w:r>
        <w:rPr>
          <w:rFonts w:ascii="Arno Pro" w:hAnsi="Arno Pro"/>
          <w:noProof/>
          <w:sz w:val="19"/>
          <w:szCs w:val="19"/>
        </w:rPr>
        <w:drawing>
          <wp:inline distT="0" distB="0" distL="0" distR="0" wp14:anchorId="6069010F" wp14:editId="375A759D">
            <wp:extent cx="2609850" cy="493864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9850" cy="4938640"/>
                    </a:xfrm>
                    <a:prstGeom prst="rect">
                      <a:avLst/>
                    </a:prstGeom>
                    <a:noFill/>
                  </pic:spPr>
                </pic:pic>
              </a:graphicData>
            </a:graphic>
          </wp:inline>
        </w:drawing>
      </w:r>
    </w:p>
    <w:p w:rsidR="002A4962" w:rsidRPr="002A4962" w:rsidRDefault="002A4962" w:rsidP="007D5685">
      <w:pPr>
        <w:pStyle w:val="VAFigureCaption"/>
      </w:pPr>
      <w:r w:rsidRPr="002A4962">
        <w:t>Figure 1. Representative protein film cyclic voltammetry of A)</w:t>
      </w:r>
      <w:r w:rsidR="000D26C8">
        <w:t> </w:t>
      </w:r>
      <w:proofErr w:type="spellStart"/>
      <w:r w:rsidRPr="002A4962">
        <w:rPr>
          <w:i/>
        </w:rPr>
        <w:t>Cj</w:t>
      </w:r>
      <w:r w:rsidRPr="002A4962">
        <w:t>TsdA</w:t>
      </w:r>
      <w:proofErr w:type="spellEnd"/>
      <w:r w:rsidRPr="002A4962">
        <w:t xml:space="preserve">, B) </w:t>
      </w:r>
      <w:proofErr w:type="spellStart"/>
      <w:r w:rsidRPr="002A4962">
        <w:rPr>
          <w:i/>
        </w:rPr>
        <w:t>Mp</w:t>
      </w:r>
      <w:r w:rsidRPr="002A4962">
        <w:t>TsdBA</w:t>
      </w:r>
      <w:proofErr w:type="spellEnd"/>
      <w:r w:rsidRPr="002A4962">
        <w:t xml:space="preserve"> and C) </w:t>
      </w:r>
      <w:proofErr w:type="spellStart"/>
      <w:r w:rsidRPr="002A4962">
        <w:rPr>
          <w:i/>
        </w:rPr>
        <w:t>Av</w:t>
      </w:r>
      <w:r w:rsidRPr="002A4962">
        <w:t>TsdA</w:t>
      </w:r>
      <w:proofErr w:type="spellEnd"/>
      <w:r w:rsidRPr="002A4962">
        <w:t xml:space="preserve"> in solutions contai</w:t>
      </w:r>
      <w:r w:rsidRPr="002A4962">
        <w:t>n</w:t>
      </w:r>
      <w:r w:rsidRPr="002A4962">
        <w:t>ing equal concentrations of thiosulfate and tetrathionate as indi</w:t>
      </w:r>
      <w:r w:rsidR="00BA7DC3">
        <w:softHyphen/>
      </w:r>
      <w:r w:rsidRPr="002A4962">
        <w:t>cated (</w:t>
      </w:r>
      <w:r w:rsidRPr="002A4962">
        <w:rPr>
          <w:color w:val="000000" w:themeColor="text1"/>
        </w:rPr>
        <w:t xml:space="preserve">blue </w:t>
      </w:r>
      <w:r w:rsidR="0000388A" w:rsidRPr="00EA6821">
        <w:rPr>
          <w:color w:val="000000" w:themeColor="text1"/>
        </w:rPr>
        <w:t>continuous</w:t>
      </w:r>
      <w:r w:rsidR="0000388A">
        <w:rPr>
          <w:color w:val="000000" w:themeColor="text1"/>
        </w:rPr>
        <w:t xml:space="preserve"> </w:t>
      </w:r>
      <w:r w:rsidRPr="002A4962">
        <w:rPr>
          <w:color w:val="000000" w:themeColor="text1"/>
        </w:rPr>
        <w:t>lines</w:t>
      </w:r>
      <w:r w:rsidRPr="002A4962">
        <w:t>) and prior to substrate add</w:t>
      </w:r>
      <w:r w:rsidRPr="002A4962">
        <w:t>i</w:t>
      </w:r>
      <w:r w:rsidRPr="002A4962">
        <w:t>tion (</w:t>
      </w:r>
      <w:r w:rsidRPr="002A4962">
        <w:rPr>
          <w:color w:val="000000" w:themeColor="text1"/>
        </w:rPr>
        <w:t xml:space="preserve">grey </w:t>
      </w:r>
      <w:r w:rsidR="0000388A" w:rsidRPr="00EA6821">
        <w:rPr>
          <w:color w:val="000000" w:themeColor="text1"/>
        </w:rPr>
        <w:t>broken</w:t>
      </w:r>
      <w:r w:rsidR="0000388A">
        <w:rPr>
          <w:color w:val="000000" w:themeColor="text1"/>
        </w:rPr>
        <w:t xml:space="preserve"> </w:t>
      </w:r>
      <w:r w:rsidRPr="002A4962">
        <w:rPr>
          <w:color w:val="000000" w:themeColor="text1"/>
        </w:rPr>
        <w:t>lines</w:t>
      </w:r>
      <w:r w:rsidRPr="002A4962">
        <w:t>). Scan rate 10 mV s</w:t>
      </w:r>
      <w:r w:rsidRPr="002A4962">
        <w:rPr>
          <w:vertAlign w:val="superscript"/>
        </w:rPr>
        <w:t>-1</w:t>
      </w:r>
      <w:r w:rsidRPr="002A4962">
        <w:t>, electrode rotation 500 rpm in 100</w:t>
      </w:r>
      <w:r w:rsidR="000D26C8">
        <w:t> </w:t>
      </w:r>
      <w:proofErr w:type="spellStart"/>
      <w:r w:rsidRPr="002A4962">
        <w:t>mM</w:t>
      </w:r>
      <w:proofErr w:type="spellEnd"/>
      <w:r w:rsidRPr="002A4962">
        <w:t xml:space="preserve"> ammonium acetate, 50 </w:t>
      </w:r>
      <w:proofErr w:type="spellStart"/>
      <w:r w:rsidRPr="002A4962">
        <w:t>mM</w:t>
      </w:r>
      <w:proofErr w:type="spellEnd"/>
      <w:r w:rsidRPr="002A4962">
        <w:t xml:space="preserve"> </w:t>
      </w:r>
      <w:proofErr w:type="spellStart"/>
      <w:r w:rsidRPr="002A4962">
        <w:t>NaCl</w:t>
      </w:r>
      <w:proofErr w:type="spellEnd"/>
      <w:r w:rsidRPr="002A4962">
        <w:t xml:space="preserve">, pH 5 at 25 </w:t>
      </w:r>
      <w:proofErr w:type="spellStart"/>
      <w:r w:rsidRPr="002A4962">
        <w:rPr>
          <w:vertAlign w:val="superscript"/>
        </w:rPr>
        <w:t>o</w:t>
      </w:r>
      <w:r w:rsidRPr="002A4962">
        <w:t>C</w:t>
      </w:r>
      <w:proofErr w:type="spellEnd"/>
      <w:r w:rsidRPr="002A4962">
        <w:t xml:space="preserve"> for </w:t>
      </w:r>
      <w:proofErr w:type="spellStart"/>
      <w:r w:rsidRPr="002A4962">
        <w:rPr>
          <w:i/>
        </w:rPr>
        <w:t>Mp</w:t>
      </w:r>
      <w:r w:rsidRPr="002A4962">
        <w:t>TsdBA</w:t>
      </w:r>
      <w:proofErr w:type="spellEnd"/>
      <w:r w:rsidRPr="002A4962">
        <w:t xml:space="preserve">, </w:t>
      </w:r>
      <w:proofErr w:type="spellStart"/>
      <w:r w:rsidRPr="002A4962">
        <w:rPr>
          <w:i/>
        </w:rPr>
        <w:t>Av</w:t>
      </w:r>
      <w:r w:rsidRPr="002A4962">
        <w:t>TsdA</w:t>
      </w:r>
      <w:proofErr w:type="spellEnd"/>
      <w:r w:rsidRPr="002A4962">
        <w:t xml:space="preserve"> and at 42 °C for </w:t>
      </w:r>
      <w:proofErr w:type="spellStart"/>
      <w:r w:rsidRPr="002A4962">
        <w:rPr>
          <w:i/>
        </w:rPr>
        <w:t>Cj</w:t>
      </w:r>
      <w:r w:rsidRPr="002A4962">
        <w:t>TsdA</w:t>
      </w:r>
      <w:proofErr w:type="spellEnd"/>
      <w:r w:rsidRPr="002A4962">
        <w:t>.</w:t>
      </w:r>
    </w:p>
    <w:p w:rsidR="001723B3" w:rsidRDefault="001723B3" w:rsidP="007D5685">
      <w:pPr>
        <w:spacing w:after="60"/>
        <w:ind w:firstLine="284"/>
        <w:rPr>
          <w:rFonts w:ascii="Arno Pro" w:hAnsi="Arno Pro"/>
          <w:sz w:val="18"/>
          <w:szCs w:val="18"/>
        </w:rPr>
      </w:pPr>
      <w:r w:rsidRPr="002A4962">
        <w:rPr>
          <w:rFonts w:ascii="Arno Pro" w:hAnsi="Arno Pro"/>
          <w:sz w:val="18"/>
          <w:szCs w:val="18"/>
        </w:rPr>
        <w:lastRenderedPageBreak/>
        <w:t xml:space="preserve">Samples of the purified </w:t>
      </w:r>
      <w:proofErr w:type="spellStart"/>
      <w:r w:rsidRPr="002A4962">
        <w:rPr>
          <w:rFonts w:ascii="Arno Pro" w:hAnsi="Arno Pro"/>
          <w:sz w:val="18"/>
          <w:szCs w:val="18"/>
        </w:rPr>
        <w:t>TsdA</w:t>
      </w:r>
      <w:proofErr w:type="spellEnd"/>
      <w:r w:rsidRPr="002A4962">
        <w:rPr>
          <w:rFonts w:ascii="Arno Pro" w:hAnsi="Arno Pro"/>
          <w:sz w:val="18"/>
          <w:szCs w:val="18"/>
        </w:rPr>
        <w:t xml:space="preserve"> enzymes from</w:t>
      </w:r>
      <w:r>
        <w:rPr>
          <w:rFonts w:ascii="Arno Pro" w:hAnsi="Arno Pro"/>
          <w:sz w:val="18"/>
          <w:szCs w:val="18"/>
        </w:rPr>
        <w:t xml:space="preserve"> </w:t>
      </w:r>
      <w:r w:rsidRPr="002A4962">
        <w:rPr>
          <w:rFonts w:ascii="Arno Pro" w:hAnsi="Arno Pro"/>
          <w:i/>
          <w:sz w:val="18"/>
          <w:szCs w:val="18"/>
        </w:rPr>
        <w:t>Campylobac</w:t>
      </w:r>
      <w:r w:rsidR="00BA7DC3">
        <w:rPr>
          <w:rFonts w:ascii="Arno Pro" w:hAnsi="Arno Pro"/>
          <w:i/>
          <w:sz w:val="18"/>
          <w:szCs w:val="18"/>
        </w:rPr>
        <w:softHyphen/>
      </w:r>
      <w:r w:rsidRPr="002A4962">
        <w:rPr>
          <w:rFonts w:ascii="Arno Pro" w:hAnsi="Arno Pro"/>
          <w:i/>
          <w:sz w:val="18"/>
          <w:szCs w:val="18"/>
        </w:rPr>
        <w:t xml:space="preserve">ter </w:t>
      </w:r>
      <w:proofErr w:type="spellStart"/>
      <w:r w:rsidRPr="002A4962">
        <w:rPr>
          <w:rFonts w:ascii="Arno Pro" w:hAnsi="Arno Pro"/>
          <w:i/>
          <w:sz w:val="18"/>
          <w:szCs w:val="18"/>
        </w:rPr>
        <w:t>jejuni</w:t>
      </w:r>
      <w:proofErr w:type="spellEnd"/>
      <w:r w:rsidRPr="002A4962">
        <w:rPr>
          <w:rFonts w:ascii="Arno Pro" w:hAnsi="Arno Pro"/>
          <w:i/>
          <w:sz w:val="18"/>
          <w:szCs w:val="18"/>
        </w:rPr>
        <w:t xml:space="preserve"> </w:t>
      </w:r>
      <w:r w:rsidRPr="002A4962">
        <w:rPr>
          <w:rFonts w:ascii="Arno Pro" w:hAnsi="Arno Pro"/>
          <w:sz w:val="18"/>
          <w:szCs w:val="18"/>
        </w:rPr>
        <w:t>(</w:t>
      </w:r>
      <w:proofErr w:type="spellStart"/>
      <w:r w:rsidRPr="002A4962">
        <w:rPr>
          <w:rFonts w:ascii="Arno Pro" w:hAnsi="Arno Pro"/>
          <w:i/>
          <w:sz w:val="18"/>
          <w:szCs w:val="18"/>
        </w:rPr>
        <w:t>Cj</w:t>
      </w:r>
      <w:proofErr w:type="spellEnd"/>
      <w:r w:rsidRPr="002A4962">
        <w:rPr>
          <w:rFonts w:ascii="Arno Pro" w:hAnsi="Arno Pro"/>
          <w:sz w:val="18"/>
          <w:szCs w:val="18"/>
        </w:rPr>
        <w:t xml:space="preserve">) and </w:t>
      </w:r>
      <w:proofErr w:type="spellStart"/>
      <w:r w:rsidRPr="002A4962">
        <w:rPr>
          <w:rFonts w:ascii="Arno Pro" w:hAnsi="Arno Pro"/>
          <w:i/>
          <w:sz w:val="18"/>
          <w:szCs w:val="18"/>
        </w:rPr>
        <w:t>Allochromatium</w:t>
      </w:r>
      <w:proofErr w:type="spellEnd"/>
      <w:r w:rsidRPr="002A4962">
        <w:rPr>
          <w:rFonts w:ascii="Arno Pro" w:hAnsi="Arno Pro"/>
          <w:i/>
          <w:sz w:val="18"/>
          <w:szCs w:val="18"/>
        </w:rPr>
        <w:t xml:space="preserve"> </w:t>
      </w:r>
      <w:proofErr w:type="spellStart"/>
      <w:r w:rsidRPr="002A4962">
        <w:rPr>
          <w:rFonts w:ascii="Arno Pro" w:hAnsi="Arno Pro"/>
          <w:i/>
          <w:sz w:val="18"/>
          <w:szCs w:val="18"/>
        </w:rPr>
        <w:t>vinosum</w:t>
      </w:r>
      <w:proofErr w:type="spellEnd"/>
      <w:r w:rsidRPr="002A4962">
        <w:rPr>
          <w:rFonts w:ascii="Arno Pro" w:hAnsi="Arno Pro"/>
          <w:i/>
          <w:sz w:val="18"/>
          <w:szCs w:val="18"/>
        </w:rPr>
        <w:t xml:space="preserve"> </w:t>
      </w:r>
      <w:r w:rsidRPr="002A4962">
        <w:rPr>
          <w:rFonts w:ascii="Arno Pro" w:hAnsi="Arno Pro"/>
          <w:sz w:val="18"/>
          <w:szCs w:val="18"/>
        </w:rPr>
        <w:t>(</w:t>
      </w:r>
      <w:r w:rsidRPr="002A4962">
        <w:rPr>
          <w:rFonts w:ascii="Arno Pro" w:hAnsi="Arno Pro"/>
          <w:i/>
          <w:sz w:val="18"/>
          <w:szCs w:val="18"/>
        </w:rPr>
        <w:t>Av</w:t>
      </w:r>
      <w:r w:rsidRPr="002A4962">
        <w:rPr>
          <w:rFonts w:ascii="Arno Pro" w:hAnsi="Arno Pro"/>
          <w:sz w:val="18"/>
          <w:szCs w:val="18"/>
        </w:rPr>
        <w:t>)</w:t>
      </w:r>
      <w:r w:rsidRPr="002A4962">
        <w:rPr>
          <w:rFonts w:ascii="Arno Pro" w:hAnsi="Arno Pro"/>
          <w:i/>
          <w:sz w:val="18"/>
          <w:szCs w:val="18"/>
        </w:rPr>
        <w:t xml:space="preserve"> </w:t>
      </w:r>
      <w:r w:rsidRPr="002A4962">
        <w:rPr>
          <w:rFonts w:ascii="Arno Pro" w:hAnsi="Arno Pro"/>
          <w:sz w:val="18"/>
          <w:szCs w:val="18"/>
        </w:rPr>
        <w:t xml:space="preserve">as well as the </w:t>
      </w:r>
      <w:proofErr w:type="spellStart"/>
      <w:r w:rsidRPr="002A4962">
        <w:rPr>
          <w:rFonts w:ascii="Arno Pro" w:hAnsi="Arno Pro"/>
          <w:sz w:val="18"/>
          <w:szCs w:val="18"/>
        </w:rPr>
        <w:t>TsdBA</w:t>
      </w:r>
      <w:proofErr w:type="spellEnd"/>
      <w:r w:rsidRPr="002A4962">
        <w:rPr>
          <w:rFonts w:ascii="Arno Pro" w:hAnsi="Arno Pro"/>
          <w:sz w:val="18"/>
          <w:szCs w:val="18"/>
        </w:rPr>
        <w:t xml:space="preserve"> fusion protein from </w:t>
      </w:r>
      <w:proofErr w:type="spellStart"/>
      <w:r w:rsidRPr="002A4962">
        <w:rPr>
          <w:rFonts w:ascii="Arno Pro" w:hAnsi="Arno Pro"/>
          <w:i/>
          <w:sz w:val="18"/>
          <w:szCs w:val="18"/>
        </w:rPr>
        <w:t>Marichromatium</w:t>
      </w:r>
      <w:proofErr w:type="spellEnd"/>
      <w:r>
        <w:rPr>
          <w:rFonts w:ascii="Arno Pro" w:hAnsi="Arno Pro"/>
          <w:i/>
          <w:sz w:val="18"/>
          <w:szCs w:val="18"/>
        </w:rPr>
        <w:t xml:space="preserve"> </w:t>
      </w:r>
      <w:proofErr w:type="spellStart"/>
      <w:r w:rsidRPr="002A4962">
        <w:rPr>
          <w:rFonts w:ascii="Arno Pro" w:hAnsi="Arno Pro"/>
          <w:i/>
          <w:sz w:val="18"/>
          <w:szCs w:val="18"/>
        </w:rPr>
        <w:t>purpuratum</w:t>
      </w:r>
      <w:proofErr w:type="spellEnd"/>
      <w:r w:rsidRPr="002A4962">
        <w:rPr>
          <w:rFonts w:ascii="Arno Pro" w:hAnsi="Arno Pro"/>
          <w:i/>
          <w:sz w:val="18"/>
          <w:szCs w:val="18"/>
        </w:rPr>
        <w:t xml:space="preserve"> </w:t>
      </w:r>
      <w:r w:rsidRPr="002A4962">
        <w:rPr>
          <w:rFonts w:ascii="Arno Pro" w:hAnsi="Arno Pro"/>
          <w:sz w:val="18"/>
          <w:szCs w:val="18"/>
        </w:rPr>
        <w:t>(</w:t>
      </w:r>
      <w:proofErr w:type="spellStart"/>
      <w:r w:rsidRPr="002A4962">
        <w:rPr>
          <w:rFonts w:ascii="Arno Pro" w:hAnsi="Arno Pro"/>
          <w:i/>
          <w:sz w:val="18"/>
          <w:szCs w:val="18"/>
        </w:rPr>
        <w:t>Mp</w:t>
      </w:r>
      <w:proofErr w:type="spellEnd"/>
      <w:r w:rsidRPr="002A4962">
        <w:rPr>
          <w:rFonts w:ascii="Arno Pro" w:hAnsi="Arno Pro"/>
          <w:sz w:val="18"/>
          <w:szCs w:val="18"/>
        </w:rPr>
        <w:t>) were adsorbed as separate electrocatalyti</w:t>
      </w:r>
      <w:r w:rsidR="0067018C">
        <w:rPr>
          <w:rFonts w:ascii="Arno Pro" w:hAnsi="Arno Pro"/>
          <w:sz w:val="18"/>
          <w:szCs w:val="18"/>
        </w:rPr>
        <w:softHyphen/>
      </w:r>
      <w:r w:rsidRPr="002A4962">
        <w:rPr>
          <w:rFonts w:ascii="Arno Pro" w:hAnsi="Arno Pro"/>
          <w:sz w:val="18"/>
          <w:szCs w:val="18"/>
        </w:rPr>
        <w:t>cally active films on graphite electrodes. Cyclic voltammetry revealed clear catalytic currents when the enzyme coated electrodes were placed in pH 5 solutions of equimolar tetrathionate and thiosulfate, Fig. 1. These currents were</w:t>
      </w:r>
      <w:r>
        <w:rPr>
          <w:rFonts w:ascii="Arno Pro" w:hAnsi="Arno Pro"/>
          <w:sz w:val="18"/>
          <w:szCs w:val="18"/>
        </w:rPr>
        <w:t xml:space="preserve"> </w:t>
      </w:r>
      <w:r w:rsidRPr="002A4962">
        <w:rPr>
          <w:rFonts w:ascii="Arno Pro" w:hAnsi="Arno Pro"/>
          <w:sz w:val="18"/>
          <w:szCs w:val="18"/>
        </w:rPr>
        <w:t>absent when either the enzyme or the substrates were omitted from the experi</w:t>
      </w:r>
      <w:r w:rsidR="00BA7DC3">
        <w:rPr>
          <w:rFonts w:ascii="Arno Pro" w:hAnsi="Arno Pro"/>
          <w:sz w:val="18"/>
          <w:szCs w:val="18"/>
        </w:rPr>
        <w:softHyphen/>
      </w:r>
      <w:r w:rsidRPr="002A4962">
        <w:rPr>
          <w:rFonts w:ascii="Arno Pro" w:hAnsi="Arno Pro"/>
          <w:sz w:val="18"/>
          <w:szCs w:val="18"/>
        </w:rPr>
        <w:t>ment. Thus, the catalytic currents arise</w:t>
      </w:r>
      <w:r>
        <w:rPr>
          <w:rFonts w:ascii="Arno Pro" w:hAnsi="Arno Pro"/>
          <w:sz w:val="18"/>
          <w:szCs w:val="18"/>
        </w:rPr>
        <w:t xml:space="preserve"> </w:t>
      </w:r>
      <w:r w:rsidR="000D26C8">
        <w:rPr>
          <w:rFonts w:ascii="Arno Pro" w:hAnsi="Arno Pro"/>
          <w:sz w:val="18"/>
          <w:szCs w:val="18"/>
        </w:rPr>
        <w:t xml:space="preserve">exclusively from </w:t>
      </w:r>
      <w:r w:rsidRPr="002A4962">
        <w:rPr>
          <w:rFonts w:ascii="Arno Pro" w:hAnsi="Arno Pro"/>
          <w:sz w:val="18"/>
          <w:szCs w:val="18"/>
        </w:rPr>
        <w:t>enzyme catalyzed tetrathionate reduction and/or thiosulfate oxidation</w:t>
      </w:r>
      <w:r w:rsidR="00674ED7">
        <w:rPr>
          <w:rFonts w:ascii="Arno Pro" w:hAnsi="Arno Pro"/>
          <w:sz w:val="18"/>
          <w:szCs w:val="18"/>
        </w:rPr>
        <w:t xml:space="preserve"> and with that c</w:t>
      </w:r>
      <w:r w:rsidRPr="002A4962">
        <w:rPr>
          <w:rFonts w:ascii="Arno Pro" w:hAnsi="Arno Pro"/>
          <w:sz w:val="18"/>
          <w:szCs w:val="18"/>
        </w:rPr>
        <w:t>atalysis sustained by direct electron exchange between the enzyme and electrode.</w:t>
      </w:r>
    </w:p>
    <w:p w:rsidR="00D22E01" w:rsidRPr="002A4962" w:rsidRDefault="004C31F6" w:rsidP="007D5685">
      <w:pPr>
        <w:spacing w:after="60"/>
        <w:ind w:firstLine="284"/>
        <w:rPr>
          <w:rFonts w:ascii="Arno Pro" w:hAnsi="Arno Pro"/>
          <w:noProof/>
          <w:sz w:val="18"/>
          <w:szCs w:val="18"/>
          <w:lang w:val="en-GB" w:eastAsia="en-GB"/>
        </w:rPr>
      </w:pPr>
      <w:r w:rsidRPr="002A4962">
        <w:rPr>
          <w:rFonts w:ascii="Arno Pro" w:hAnsi="Arno Pro"/>
          <w:sz w:val="18"/>
          <w:szCs w:val="18"/>
        </w:rPr>
        <w:t xml:space="preserve">For </w:t>
      </w:r>
      <w:proofErr w:type="spellStart"/>
      <w:r w:rsidRPr="002A4962">
        <w:rPr>
          <w:rFonts w:ascii="Arno Pro" w:hAnsi="Arno Pro"/>
          <w:i/>
          <w:sz w:val="18"/>
          <w:szCs w:val="18"/>
        </w:rPr>
        <w:t>Cj</w:t>
      </w:r>
      <w:r w:rsidRPr="002A4962">
        <w:rPr>
          <w:rFonts w:ascii="Arno Pro" w:hAnsi="Arno Pro"/>
          <w:sz w:val="18"/>
          <w:szCs w:val="18"/>
        </w:rPr>
        <w:t>TsdA</w:t>
      </w:r>
      <w:proofErr w:type="spellEnd"/>
      <w:r w:rsidRPr="002A4962">
        <w:rPr>
          <w:rFonts w:ascii="Arno Pro" w:hAnsi="Arno Pro"/>
          <w:sz w:val="18"/>
          <w:szCs w:val="18"/>
        </w:rPr>
        <w:t xml:space="preserve"> </w:t>
      </w:r>
      <w:r w:rsidR="0029059D" w:rsidRPr="002A4962">
        <w:rPr>
          <w:rFonts w:ascii="Arno Pro" w:hAnsi="Arno Pro"/>
          <w:sz w:val="18"/>
          <w:szCs w:val="18"/>
        </w:rPr>
        <w:t>the reductive (negative) catalytic currents ha</w:t>
      </w:r>
      <w:r w:rsidR="009D4E03" w:rsidRPr="002A4962">
        <w:rPr>
          <w:rFonts w:ascii="Arno Pro" w:hAnsi="Arno Pro"/>
          <w:sz w:val="18"/>
          <w:szCs w:val="18"/>
        </w:rPr>
        <w:t>ve</w:t>
      </w:r>
      <w:r w:rsidR="0029059D" w:rsidRPr="002A4962">
        <w:rPr>
          <w:rFonts w:ascii="Arno Pro" w:hAnsi="Arno Pro"/>
          <w:sz w:val="18"/>
          <w:szCs w:val="18"/>
        </w:rPr>
        <w:t xml:space="preserve"> significantly larger</w:t>
      </w:r>
      <w:r w:rsidR="00030760">
        <w:rPr>
          <w:rFonts w:ascii="Arno Pro" w:hAnsi="Arno Pro"/>
          <w:sz w:val="18"/>
          <w:szCs w:val="18"/>
        </w:rPr>
        <w:t xml:space="preserve"> magnitude than their oxidative</w:t>
      </w:r>
      <w:r w:rsidR="004F0B31">
        <w:rPr>
          <w:rFonts w:ascii="Arno Pro" w:hAnsi="Arno Pro"/>
          <w:sz w:val="18"/>
          <w:szCs w:val="18"/>
        </w:rPr>
        <w:t xml:space="preserve"> </w:t>
      </w:r>
      <w:r w:rsidR="0029059D" w:rsidRPr="002A4962">
        <w:rPr>
          <w:rFonts w:ascii="Arno Pro" w:hAnsi="Arno Pro"/>
          <w:sz w:val="18"/>
          <w:szCs w:val="18"/>
        </w:rPr>
        <w:t>(po</w:t>
      </w:r>
      <w:r w:rsidR="00731EF4">
        <w:rPr>
          <w:rFonts w:ascii="Arno Pro" w:hAnsi="Arno Pro"/>
          <w:sz w:val="18"/>
          <w:szCs w:val="18"/>
        </w:rPr>
        <w:softHyphen/>
      </w:r>
      <w:r w:rsidR="0029059D" w:rsidRPr="002A4962">
        <w:rPr>
          <w:rFonts w:ascii="Arno Pro" w:hAnsi="Arno Pro"/>
          <w:sz w:val="18"/>
          <w:szCs w:val="18"/>
        </w:rPr>
        <w:t>si</w:t>
      </w:r>
      <w:r w:rsidR="0083799E">
        <w:rPr>
          <w:rFonts w:ascii="Arno Pro" w:hAnsi="Arno Pro"/>
          <w:sz w:val="18"/>
          <w:szCs w:val="18"/>
        </w:rPr>
        <w:softHyphen/>
      </w:r>
      <w:r w:rsidR="0029059D" w:rsidRPr="002A4962">
        <w:rPr>
          <w:rFonts w:ascii="Arno Pro" w:hAnsi="Arno Pro"/>
          <w:sz w:val="18"/>
          <w:szCs w:val="18"/>
        </w:rPr>
        <w:t>tive) counterparts</w:t>
      </w:r>
      <w:r w:rsidR="009D4E03" w:rsidRPr="002A4962">
        <w:rPr>
          <w:rFonts w:ascii="Arno Pro" w:hAnsi="Arno Pro"/>
          <w:sz w:val="18"/>
          <w:szCs w:val="18"/>
        </w:rPr>
        <w:t xml:space="preserve">, </w:t>
      </w:r>
      <w:r w:rsidR="0029059D" w:rsidRPr="002A4962">
        <w:rPr>
          <w:rFonts w:ascii="Arno Pro" w:hAnsi="Arno Pro"/>
          <w:sz w:val="18"/>
          <w:szCs w:val="18"/>
        </w:rPr>
        <w:t>Fig. 1A.</w:t>
      </w:r>
      <w:r w:rsidR="009D4E03" w:rsidRPr="002A4962">
        <w:rPr>
          <w:rFonts w:ascii="Arno Pro" w:hAnsi="Arno Pro"/>
          <w:sz w:val="18"/>
          <w:szCs w:val="18"/>
        </w:rPr>
        <w:t xml:space="preserve"> </w:t>
      </w:r>
      <w:r w:rsidR="00496418" w:rsidRPr="002A4962">
        <w:rPr>
          <w:rFonts w:ascii="Arno Pro" w:hAnsi="Arno Pro"/>
          <w:sz w:val="18"/>
          <w:szCs w:val="18"/>
        </w:rPr>
        <w:t>As a consequence i</w:t>
      </w:r>
      <w:r w:rsidR="00030760">
        <w:rPr>
          <w:rFonts w:ascii="Arno Pro" w:hAnsi="Arno Pro"/>
          <w:sz w:val="18"/>
          <w:szCs w:val="18"/>
        </w:rPr>
        <w:t xml:space="preserve">t is </w:t>
      </w:r>
      <w:r w:rsidR="007D5138" w:rsidRPr="002A4962">
        <w:rPr>
          <w:rFonts w:ascii="Arno Pro" w:hAnsi="Arno Pro"/>
          <w:sz w:val="18"/>
          <w:szCs w:val="18"/>
        </w:rPr>
        <w:t>imme</w:t>
      </w:r>
      <w:r w:rsidR="000D26C8">
        <w:rPr>
          <w:rFonts w:ascii="Arno Pro" w:hAnsi="Arno Pro"/>
          <w:sz w:val="18"/>
          <w:szCs w:val="18"/>
        </w:rPr>
        <w:softHyphen/>
      </w:r>
      <w:r w:rsidR="007D5138" w:rsidRPr="002A4962">
        <w:rPr>
          <w:rFonts w:ascii="Arno Pro" w:hAnsi="Arno Pro"/>
          <w:sz w:val="18"/>
          <w:szCs w:val="18"/>
        </w:rPr>
        <w:t>di</w:t>
      </w:r>
      <w:r w:rsidR="00BA7DC3">
        <w:rPr>
          <w:rFonts w:ascii="Arno Pro" w:hAnsi="Arno Pro"/>
          <w:sz w:val="18"/>
          <w:szCs w:val="18"/>
        </w:rPr>
        <w:softHyphen/>
      </w:r>
      <w:r w:rsidR="007D5138" w:rsidRPr="002A4962">
        <w:rPr>
          <w:rFonts w:ascii="Arno Pro" w:hAnsi="Arno Pro"/>
          <w:sz w:val="18"/>
          <w:szCs w:val="18"/>
        </w:rPr>
        <w:t>ate</w:t>
      </w:r>
      <w:r w:rsidR="000D26C8">
        <w:rPr>
          <w:rFonts w:ascii="Arno Pro" w:hAnsi="Arno Pro"/>
          <w:sz w:val="18"/>
          <w:szCs w:val="18"/>
        </w:rPr>
        <w:softHyphen/>
      </w:r>
      <w:r w:rsidR="007D5138" w:rsidRPr="002A4962">
        <w:rPr>
          <w:rFonts w:ascii="Arno Pro" w:hAnsi="Arno Pro"/>
          <w:sz w:val="18"/>
          <w:szCs w:val="18"/>
        </w:rPr>
        <w:t xml:space="preserve">ly apparent </w:t>
      </w:r>
      <w:r w:rsidR="009D4E03" w:rsidRPr="002A4962">
        <w:rPr>
          <w:rFonts w:ascii="Arno Pro" w:hAnsi="Arno Pro"/>
          <w:sz w:val="18"/>
          <w:szCs w:val="18"/>
        </w:rPr>
        <w:t xml:space="preserve">that </w:t>
      </w:r>
      <w:proofErr w:type="spellStart"/>
      <w:r w:rsidR="001563D0" w:rsidRPr="002A4962">
        <w:rPr>
          <w:rFonts w:ascii="Arno Pro" w:hAnsi="Arno Pro"/>
          <w:i/>
          <w:sz w:val="18"/>
          <w:szCs w:val="18"/>
        </w:rPr>
        <w:t>Cj</w:t>
      </w:r>
      <w:r w:rsidR="001563D0" w:rsidRPr="002A4962">
        <w:rPr>
          <w:rFonts w:ascii="Arno Pro" w:hAnsi="Arno Pro"/>
          <w:sz w:val="18"/>
          <w:szCs w:val="18"/>
        </w:rPr>
        <w:t>TsdA</w:t>
      </w:r>
      <w:proofErr w:type="spellEnd"/>
      <w:r w:rsidR="001563D0" w:rsidRPr="002A4962">
        <w:rPr>
          <w:rFonts w:ascii="Arno Pro" w:hAnsi="Arno Pro"/>
          <w:sz w:val="18"/>
          <w:szCs w:val="18"/>
        </w:rPr>
        <w:t xml:space="preserve"> </w:t>
      </w:r>
      <w:r w:rsidR="00496418" w:rsidRPr="002A4962">
        <w:rPr>
          <w:rFonts w:ascii="Arno Pro" w:hAnsi="Arno Pro"/>
          <w:sz w:val="18"/>
          <w:szCs w:val="18"/>
        </w:rPr>
        <w:t xml:space="preserve">is </w:t>
      </w:r>
      <w:r w:rsidR="009D4E03" w:rsidRPr="002A4962">
        <w:rPr>
          <w:rFonts w:ascii="Arno Pro" w:hAnsi="Arno Pro"/>
          <w:sz w:val="18"/>
          <w:szCs w:val="18"/>
        </w:rPr>
        <w:t>bias</w:t>
      </w:r>
      <w:r w:rsidR="00496418" w:rsidRPr="002A4962">
        <w:rPr>
          <w:rFonts w:ascii="Arno Pro" w:hAnsi="Arno Pro"/>
          <w:sz w:val="18"/>
          <w:szCs w:val="18"/>
        </w:rPr>
        <w:t>ed</w:t>
      </w:r>
      <w:r w:rsidR="00030760">
        <w:rPr>
          <w:rFonts w:ascii="Arno Pro" w:hAnsi="Arno Pro"/>
          <w:sz w:val="18"/>
          <w:szCs w:val="18"/>
        </w:rPr>
        <w:t xml:space="preserve"> towards </w:t>
      </w:r>
      <w:r w:rsidR="009D4E03" w:rsidRPr="002A4962">
        <w:rPr>
          <w:rFonts w:ascii="Arno Pro" w:hAnsi="Arno Pro"/>
          <w:sz w:val="18"/>
          <w:szCs w:val="18"/>
        </w:rPr>
        <w:t xml:space="preserve">tetrathionate reduction </w:t>
      </w:r>
      <w:r w:rsidR="0034450D">
        <w:rPr>
          <w:rFonts w:ascii="Arno Pro" w:hAnsi="Arno Pro"/>
          <w:sz w:val="18"/>
          <w:szCs w:val="18"/>
        </w:rPr>
        <w:t xml:space="preserve">relative </w:t>
      </w:r>
      <w:r w:rsidR="009D4E03" w:rsidRPr="002A4962">
        <w:rPr>
          <w:rFonts w:ascii="Arno Pro" w:hAnsi="Arno Pro"/>
          <w:sz w:val="18"/>
          <w:szCs w:val="18"/>
        </w:rPr>
        <w:t>to thiosulfate oxidation</w:t>
      </w:r>
      <w:r w:rsidR="008C6800" w:rsidRPr="002A4962">
        <w:rPr>
          <w:rFonts w:ascii="Arno Pro" w:hAnsi="Arno Pro"/>
          <w:sz w:val="18"/>
          <w:szCs w:val="18"/>
        </w:rPr>
        <w:t>.</w:t>
      </w:r>
      <w:r w:rsidR="009D4E03" w:rsidRPr="002A4962">
        <w:rPr>
          <w:rFonts w:ascii="Arno Pro" w:hAnsi="Arno Pro"/>
          <w:sz w:val="18"/>
          <w:szCs w:val="18"/>
        </w:rPr>
        <w:t xml:space="preserve"> </w:t>
      </w:r>
      <w:r w:rsidR="008C6800" w:rsidRPr="002A4962">
        <w:rPr>
          <w:rFonts w:ascii="Arno Pro" w:hAnsi="Arno Pro"/>
          <w:sz w:val="18"/>
          <w:szCs w:val="18"/>
        </w:rPr>
        <w:t>B</w:t>
      </w:r>
      <w:r w:rsidR="003B32C2" w:rsidRPr="002A4962">
        <w:rPr>
          <w:rFonts w:ascii="Arno Pro" w:hAnsi="Arno Pro"/>
          <w:sz w:val="18"/>
          <w:szCs w:val="18"/>
        </w:rPr>
        <w:t xml:space="preserve">y contrast </w:t>
      </w:r>
      <w:proofErr w:type="spellStart"/>
      <w:r w:rsidR="003B50C0" w:rsidRPr="002A4962">
        <w:rPr>
          <w:rFonts w:ascii="Arno Pro" w:hAnsi="Arno Pro"/>
          <w:i/>
          <w:sz w:val="18"/>
          <w:szCs w:val="18"/>
        </w:rPr>
        <w:t>Mp</w:t>
      </w:r>
      <w:r w:rsidR="003B50C0" w:rsidRPr="002A4962">
        <w:rPr>
          <w:rFonts w:ascii="Arno Pro" w:hAnsi="Arno Pro"/>
          <w:sz w:val="18"/>
          <w:szCs w:val="18"/>
        </w:rPr>
        <w:t>TsdBA</w:t>
      </w:r>
      <w:proofErr w:type="spellEnd"/>
      <w:r w:rsidR="003B50C0" w:rsidRPr="002A4962">
        <w:rPr>
          <w:rFonts w:ascii="Arno Pro" w:hAnsi="Arno Pro"/>
          <w:sz w:val="18"/>
          <w:szCs w:val="18"/>
        </w:rPr>
        <w:t xml:space="preserve"> </w:t>
      </w:r>
      <w:r w:rsidR="00597281">
        <w:rPr>
          <w:rFonts w:ascii="Arno Pro" w:hAnsi="Arno Pro"/>
          <w:sz w:val="18"/>
          <w:szCs w:val="18"/>
        </w:rPr>
        <w:t xml:space="preserve">displays </w:t>
      </w:r>
      <w:r w:rsidR="009B2FBA" w:rsidRPr="002A4962">
        <w:rPr>
          <w:rFonts w:ascii="Arno Pro" w:hAnsi="Arno Pro"/>
          <w:sz w:val="18"/>
          <w:szCs w:val="18"/>
        </w:rPr>
        <w:t xml:space="preserve">higher </w:t>
      </w:r>
      <w:r w:rsidR="007208AB">
        <w:rPr>
          <w:rFonts w:ascii="Arno Pro" w:hAnsi="Arno Pro"/>
          <w:sz w:val="18"/>
          <w:szCs w:val="18"/>
        </w:rPr>
        <w:t xml:space="preserve">catalytic </w:t>
      </w:r>
      <w:r w:rsidR="009B2FBA" w:rsidRPr="002A4962">
        <w:rPr>
          <w:rFonts w:ascii="Arno Pro" w:hAnsi="Arno Pro"/>
          <w:sz w:val="18"/>
          <w:szCs w:val="18"/>
        </w:rPr>
        <w:t>rates f</w:t>
      </w:r>
      <w:r w:rsidR="007208AB">
        <w:rPr>
          <w:rFonts w:ascii="Arno Pro" w:hAnsi="Arno Pro"/>
          <w:sz w:val="18"/>
          <w:szCs w:val="18"/>
        </w:rPr>
        <w:t xml:space="preserve">or thiosulfate </w:t>
      </w:r>
      <w:r w:rsidR="000E4DED" w:rsidRPr="002A4962">
        <w:rPr>
          <w:rFonts w:ascii="Arno Pro" w:hAnsi="Arno Pro"/>
          <w:sz w:val="18"/>
          <w:szCs w:val="18"/>
        </w:rPr>
        <w:t>oxid</w:t>
      </w:r>
      <w:r w:rsidR="000E4DED" w:rsidRPr="002A4962">
        <w:rPr>
          <w:rFonts w:ascii="Arno Pro" w:hAnsi="Arno Pro"/>
          <w:sz w:val="18"/>
          <w:szCs w:val="18"/>
        </w:rPr>
        <w:t>a</w:t>
      </w:r>
      <w:r w:rsidR="000E4DED" w:rsidRPr="002A4962">
        <w:rPr>
          <w:rFonts w:ascii="Arno Pro" w:hAnsi="Arno Pro"/>
          <w:sz w:val="18"/>
          <w:szCs w:val="18"/>
        </w:rPr>
        <w:t>ti</w:t>
      </w:r>
      <w:r w:rsidR="007208AB">
        <w:rPr>
          <w:rFonts w:ascii="Arno Pro" w:hAnsi="Arno Pro"/>
          <w:sz w:val="18"/>
          <w:szCs w:val="18"/>
        </w:rPr>
        <w:t xml:space="preserve">on </w:t>
      </w:r>
      <w:r w:rsidR="009B2FBA" w:rsidRPr="002A4962">
        <w:rPr>
          <w:rFonts w:ascii="Arno Pro" w:hAnsi="Arno Pro"/>
          <w:sz w:val="18"/>
          <w:szCs w:val="18"/>
        </w:rPr>
        <w:t xml:space="preserve">than </w:t>
      </w:r>
      <w:r w:rsidR="00597281">
        <w:rPr>
          <w:rFonts w:ascii="Arno Pro" w:hAnsi="Arno Pro"/>
          <w:sz w:val="18"/>
          <w:szCs w:val="18"/>
        </w:rPr>
        <w:t>tetrathionate reduction</w:t>
      </w:r>
      <w:r w:rsidR="00A033EA">
        <w:rPr>
          <w:rFonts w:ascii="Arno Pro" w:hAnsi="Arno Pro"/>
          <w:sz w:val="18"/>
          <w:szCs w:val="18"/>
        </w:rPr>
        <w:t xml:space="preserve"> which reveals this </w:t>
      </w:r>
      <w:r w:rsidR="00597281">
        <w:rPr>
          <w:rFonts w:ascii="Arno Pro" w:hAnsi="Arno Pro"/>
          <w:sz w:val="18"/>
          <w:szCs w:val="18"/>
        </w:rPr>
        <w:t>enzyme’s bias to oxidative catalysis</w:t>
      </w:r>
      <w:r w:rsidR="007208AB">
        <w:rPr>
          <w:rFonts w:ascii="Arno Pro" w:hAnsi="Arno Pro"/>
          <w:sz w:val="18"/>
          <w:szCs w:val="18"/>
        </w:rPr>
        <w:t>, Fig. 1B.</w:t>
      </w:r>
      <w:r w:rsidR="007D5138" w:rsidRPr="002A4962">
        <w:rPr>
          <w:rFonts w:ascii="Arno Pro" w:hAnsi="Arno Pro"/>
          <w:sz w:val="18"/>
          <w:szCs w:val="18"/>
        </w:rPr>
        <w:t xml:space="preserve"> However,</w:t>
      </w:r>
      <w:r w:rsidR="00E34772" w:rsidRPr="002A4962">
        <w:rPr>
          <w:rFonts w:ascii="Arno Pro" w:hAnsi="Arno Pro"/>
          <w:sz w:val="18"/>
          <w:szCs w:val="18"/>
        </w:rPr>
        <w:t xml:space="preserve"> </w:t>
      </w:r>
      <w:proofErr w:type="spellStart"/>
      <w:r w:rsidR="003B32C2" w:rsidRPr="002A4962">
        <w:rPr>
          <w:rFonts w:ascii="Arno Pro" w:hAnsi="Arno Pro"/>
          <w:i/>
          <w:sz w:val="18"/>
          <w:szCs w:val="18"/>
        </w:rPr>
        <w:t>A</w:t>
      </w:r>
      <w:r w:rsidR="003B32C2" w:rsidRPr="002A4962">
        <w:rPr>
          <w:rFonts w:ascii="Arno Pro" w:hAnsi="Arno Pro"/>
          <w:i/>
          <w:sz w:val="18"/>
          <w:szCs w:val="18"/>
        </w:rPr>
        <w:t>v</w:t>
      </w:r>
      <w:r w:rsidR="003B32C2" w:rsidRPr="002A4962">
        <w:rPr>
          <w:rFonts w:ascii="Arno Pro" w:hAnsi="Arno Pro"/>
          <w:sz w:val="18"/>
          <w:szCs w:val="18"/>
        </w:rPr>
        <w:t>TsdA</w:t>
      </w:r>
      <w:proofErr w:type="spellEnd"/>
      <w:r w:rsidR="003B32C2" w:rsidRPr="002A4962">
        <w:rPr>
          <w:rFonts w:ascii="Arno Pro" w:hAnsi="Arno Pro"/>
          <w:sz w:val="18"/>
          <w:szCs w:val="18"/>
        </w:rPr>
        <w:t xml:space="preserve"> display</w:t>
      </w:r>
      <w:r w:rsidR="008C6800" w:rsidRPr="002A4962">
        <w:rPr>
          <w:rFonts w:ascii="Arno Pro" w:hAnsi="Arno Pro"/>
          <w:sz w:val="18"/>
          <w:szCs w:val="18"/>
        </w:rPr>
        <w:t>s</w:t>
      </w:r>
      <w:r w:rsidR="003B32C2" w:rsidRPr="002A4962">
        <w:rPr>
          <w:rFonts w:ascii="Arno Pro" w:hAnsi="Arno Pro"/>
          <w:sz w:val="18"/>
          <w:szCs w:val="18"/>
        </w:rPr>
        <w:t xml:space="preserve"> </w:t>
      </w:r>
      <w:r w:rsidR="007D5138" w:rsidRPr="002A4962">
        <w:rPr>
          <w:rFonts w:ascii="Arno Pro" w:hAnsi="Arno Pro"/>
          <w:sz w:val="18"/>
          <w:szCs w:val="18"/>
        </w:rPr>
        <w:t xml:space="preserve">the greatest bias towards thiosulfate oxidation </w:t>
      </w:r>
      <w:r w:rsidR="003B32C2" w:rsidRPr="002A4962">
        <w:rPr>
          <w:rFonts w:ascii="Arno Pro" w:hAnsi="Arno Pro"/>
          <w:sz w:val="18"/>
          <w:szCs w:val="18"/>
        </w:rPr>
        <w:t>of the enzymes studied here</w:t>
      </w:r>
      <w:r w:rsidR="007D5138" w:rsidRPr="002A4962">
        <w:rPr>
          <w:rFonts w:ascii="Arno Pro" w:hAnsi="Arno Pro"/>
          <w:sz w:val="18"/>
          <w:szCs w:val="18"/>
        </w:rPr>
        <w:t xml:space="preserve">, </w:t>
      </w:r>
      <w:r w:rsidR="00E34772" w:rsidRPr="002A4962">
        <w:rPr>
          <w:rFonts w:ascii="Arno Pro" w:hAnsi="Arno Pro"/>
          <w:sz w:val="18"/>
          <w:szCs w:val="18"/>
        </w:rPr>
        <w:t xml:space="preserve">Fig. 1C. </w:t>
      </w:r>
      <w:r w:rsidR="008C6800" w:rsidRPr="002A4962">
        <w:rPr>
          <w:rFonts w:ascii="Arno Pro" w:hAnsi="Arno Pro"/>
          <w:sz w:val="18"/>
          <w:szCs w:val="18"/>
        </w:rPr>
        <w:t>No evidence could be found fo</w:t>
      </w:r>
      <w:r w:rsidR="003B32C2" w:rsidRPr="002A4962">
        <w:rPr>
          <w:rFonts w:ascii="Arno Pro" w:hAnsi="Arno Pro"/>
          <w:sz w:val="18"/>
          <w:szCs w:val="18"/>
        </w:rPr>
        <w:t xml:space="preserve">r </w:t>
      </w:r>
      <w:r w:rsidR="000E4DED" w:rsidRPr="002A4962">
        <w:rPr>
          <w:rFonts w:ascii="Arno Pro" w:hAnsi="Arno Pro"/>
          <w:sz w:val="18"/>
          <w:szCs w:val="18"/>
        </w:rPr>
        <w:t xml:space="preserve">reductive catalysis </w:t>
      </w:r>
      <w:r w:rsidR="003B32C2" w:rsidRPr="002A4962">
        <w:rPr>
          <w:rFonts w:ascii="Arno Pro" w:hAnsi="Arno Pro"/>
          <w:sz w:val="18"/>
          <w:szCs w:val="18"/>
        </w:rPr>
        <w:t xml:space="preserve">by </w:t>
      </w:r>
      <w:proofErr w:type="spellStart"/>
      <w:r w:rsidR="003B32C2" w:rsidRPr="002A4962">
        <w:rPr>
          <w:rFonts w:ascii="Arno Pro" w:hAnsi="Arno Pro"/>
          <w:i/>
          <w:sz w:val="18"/>
          <w:szCs w:val="18"/>
        </w:rPr>
        <w:t>Av</w:t>
      </w:r>
      <w:r w:rsidR="003B32C2" w:rsidRPr="002A4962">
        <w:rPr>
          <w:rFonts w:ascii="Arno Pro" w:hAnsi="Arno Pro"/>
          <w:sz w:val="18"/>
          <w:szCs w:val="18"/>
        </w:rPr>
        <w:t>TsdA</w:t>
      </w:r>
      <w:proofErr w:type="spellEnd"/>
      <w:r w:rsidR="006663D2">
        <w:rPr>
          <w:rFonts w:ascii="Arno Pro" w:hAnsi="Arno Pro"/>
          <w:sz w:val="18"/>
          <w:szCs w:val="18"/>
        </w:rPr>
        <w:t xml:space="preserve"> and this </w:t>
      </w:r>
      <w:r w:rsidR="000F5369" w:rsidRPr="002A4962">
        <w:rPr>
          <w:rFonts w:ascii="Arno Pro" w:hAnsi="Arno Pro"/>
          <w:sz w:val="18"/>
          <w:szCs w:val="18"/>
        </w:rPr>
        <w:t xml:space="preserve">was </w:t>
      </w:r>
      <w:r w:rsidR="000E4DED" w:rsidRPr="002A4962">
        <w:rPr>
          <w:rFonts w:ascii="Arno Pro" w:hAnsi="Arno Pro"/>
          <w:sz w:val="18"/>
          <w:szCs w:val="18"/>
        </w:rPr>
        <w:t>despite</w:t>
      </w:r>
      <w:r w:rsidR="00D933B8" w:rsidRPr="002A4962">
        <w:rPr>
          <w:rFonts w:ascii="Arno Pro" w:hAnsi="Arno Pro"/>
          <w:sz w:val="18"/>
          <w:szCs w:val="18"/>
        </w:rPr>
        <w:t xml:space="preserve"> </w:t>
      </w:r>
      <w:r w:rsidR="006663D2">
        <w:rPr>
          <w:rFonts w:ascii="Arno Pro" w:hAnsi="Arno Pro"/>
          <w:sz w:val="18"/>
          <w:szCs w:val="18"/>
        </w:rPr>
        <w:t xml:space="preserve">all three enzymes displaying </w:t>
      </w:r>
      <w:r w:rsidR="000F5369" w:rsidRPr="002A4962">
        <w:rPr>
          <w:rFonts w:ascii="Arno Pro" w:hAnsi="Arno Pro"/>
          <w:sz w:val="18"/>
          <w:szCs w:val="18"/>
        </w:rPr>
        <w:t xml:space="preserve">comparable current magnitudes </w:t>
      </w:r>
      <w:r w:rsidR="006663D2">
        <w:rPr>
          <w:rFonts w:ascii="Arno Pro" w:hAnsi="Arno Pro"/>
          <w:sz w:val="18"/>
          <w:szCs w:val="18"/>
        </w:rPr>
        <w:t xml:space="preserve">for </w:t>
      </w:r>
      <w:r w:rsidR="00D933B8" w:rsidRPr="002A4962">
        <w:rPr>
          <w:rFonts w:ascii="Arno Pro" w:hAnsi="Arno Pro"/>
          <w:sz w:val="18"/>
          <w:szCs w:val="18"/>
        </w:rPr>
        <w:t>thiosulfate oxidation</w:t>
      </w:r>
      <w:r w:rsidR="000F5369" w:rsidRPr="002A4962">
        <w:rPr>
          <w:rFonts w:ascii="Arno Pro" w:hAnsi="Arno Pro"/>
          <w:sz w:val="18"/>
          <w:szCs w:val="18"/>
        </w:rPr>
        <w:t>.</w:t>
      </w:r>
      <w:r w:rsidR="00D84AFB" w:rsidRPr="002A4962">
        <w:rPr>
          <w:rFonts w:ascii="Arno Pro" w:hAnsi="Arno Pro"/>
          <w:sz w:val="18"/>
          <w:szCs w:val="18"/>
        </w:rPr>
        <w:t xml:space="preserve"> </w:t>
      </w:r>
      <w:r w:rsidR="00D933B8" w:rsidRPr="002A4962">
        <w:rPr>
          <w:rFonts w:ascii="Arno Pro" w:hAnsi="Arno Pro"/>
          <w:sz w:val="18"/>
          <w:szCs w:val="18"/>
        </w:rPr>
        <w:t xml:space="preserve">This </w:t>
      </w:r>
      <w:r w:rsidR="008C6800" w:rsidRPr="002A4962">
        <w:rPr>
          <w:rFonts w:ascii="Arno Pro" w:hAnsi="Arno Pro"/>
          <w:sz w:val="18"/>
          <w:szCs w:val="18"/>
        </w:rPr>
        <w:t xml:space="preserve">agrees with </w:t>
      </w:r>
      <w:r w:rsidR="00A033EA">
        <w:rPr>
          <w:rFonts w:ascii="Arno Pro" w:hAnsi="Arno Pro"/>
          <w:sz w:val="18"/>
          <w:szCs w:val="18"/>
        </w:rPr>
        <w:t xml:space="preserve">results from </w:t>
      </w:r>
      <w:r w:rsidR="00D933B8" w:rsidRPr="002A4962">
        <w:rPr>
          <w:rFonts w:ascii="Arno Pro" w:hAnsi="Arno Pro"/>
          <w:sz w:val="18"/>
          <w:szCs w:val="18"/>
        </w:rPr>
        <w:t>c</w:t>
      </w:r>
      <w:r w:rsidR="007D5138" w:rsidRPr="002A4962">
        <w:rPr>
          <w:rFonts w:ascii="Arno Pro" w:hAnsi="Arno Pro"/>
          <w:sz w:val="18"/>
          <w:szCs w:val="18"/>
        </w:rPr>
        <w:t>olo</w:t>
      </w:r>
      <w:r w:rsidR="007D5138" w:rsidRPr="002A4962">
        <w:rPr>
          <w:rFonts w:ascii="Arno Pro" w:hAnsi="Arno Pro"/>
          <w:sz w:val="18"/>
          <w:szCs w:val="18"/>
        </w:rPr>
        <w:t>r</w:t>
      </w:r>
      <w:r w:rsidR="007D5138" w:rsidRPr="002A4962">
        <w:rPr>
          <w:rFonts w:ascii="Arno Pro" w:hAnsi="Arno Pro"/>
          <w:sz w:val="18"/>
          <w:szCs w:val="18"/>
        </w:rPr>
        <w:t xml:space="preserve">imetric solution assays </w:t>
      </w:r>
      <w:r w:rsidR="00282DB4">
        <w:rPr>
          <w:rFonts w:ascii="Arno Pro" w:hAnsi="Arno Pro"/>
          <w:sz w:val="18"/>
          <w:szCs w:val="18"/>
        </w:rPr>
        <w:t xml:space="preserve">of </w:t>
      </w:r>
      <w:proofErr w:type="spellStart"/>
      <w:r w:rsidR="007D5138" w:rsidRPr="002A4962">
        <w:rPr>
          <w:rFonts w:ascii="Arno Pro" w:hAnsi="Arno Pro"/>
          <w:i/>
          <w:sz w:val="18"/>
          <w:szCs w:val="18"/>
        </w:rPr>
        <w:t>Av</w:t>
      </w:r>
      <w:r w:rsidR="00BA7DC3">
        <w:rPr>
          <w:rFonts w:ascii="Arno Pro" w:hAnsi="Arno Pro"/>
          <w:i/>
          <w:sz w:val="18"/>
          <w:szCs w:val="18"/>
        </w:rPr>
        <w:softHyphen/>
      </w:r>
      <w:r w:rsidR="007D5138" w:rsidRPr="002A4962">
        <w:rPr>
          <w:rFonts w:ascii="Arno Pro" w:hAnsi="Arno Pro"/>
          <w:sz w:val="18"/>
          <w:szCs w:val="18"/>
        </w:rPr>
        <w:t>TsdA</w:t>
      </w:r>
      <w:proofErr w:type="spellEnd"/>
      <w:r w:rsidR="007D5138" w:rsidRPr="002A4962">
        <w:rPr>
          <w:rFonts w:ascii="Arno Pro" w:hAnsi="Arno Pro"/>
          <w:sz w:val="18"/>
          <w:szCs w:val="18"/>
        </w:rPr>
        <w:t xml:space="preserve"> </w:t>
      </w:r>
      <w:r w:rsidR="00282DB4">
        <w:rPr>
          <w:rFonts w:ascii="Arno Pro" w:hAnsi="Arno Pro"/>
          <w:sz w:val="18"/>
          <w:szCs w:val="18"/>
        </w:rPr>
        <w:t>activity that found a strong bias t</w:t>
      </w:r>
      <w:r w:rsidR="009473B3" w:rsidRPr="002A4962">
        <w:rPr>
          <w:rFonts w:ascii="Arno Pro" w:hAnsi="Arno Pro"/>
          <w:sz w:val="18"/>
          <w:szCs w:val="18"/>
        </w:rPr>
        <w:t xml:space="preserve">owards thiosulfate oxidation with </w:t>
      </w:r>
      <w:r w:rsidR="003B32C2" w:rsidRPr="002A4962">
        <w:rPr>
          <w:rFonts w:ascii="Arno Pro" w:hAnsi="Arno Pro"/>
          <w:sz w:val="18"/>
          <w:szCs w:val="18"/>
        </w:rPr>
        <w:t xml:space="preserve">very </w:t>
      </w:r>
      <w:r w:rsidR="007D5138" w:rsidRPr="002A4962">
        <w:rPr>
          <w:rFonts w:ascii="Arno Pro" w:hAnsi="Arno Pro"/>
          <w:sz w:val="18"/>
          <w:szCs w:val="18"/>
        </w:rPr>
        <w:t>low specific a</w:t>
      </w:r>
      <w:r w:rsidR="007D5138" w:rsidRPr="002A4962">
        <w:rPr>
          <w:rFonts w:ascii="Arno Pro" w:hAnsi="Arno Pro"/>
          <w:sz w:val="18"/>
          <w:szCs w:val="18"/>
        </w:rPr>
        <w:t>c</w:t>
      </w:r>
      <w:r w:rsidR="007D5138" w:rsidRPr="002A4962">
        <w:rPr>
          <w:rFonts w:ascii="Arno Pro" w:hAnsi="Arno Pro"/>
          <w:sz w:val="18"/>
          <w:szCs w:val="18"/>
        </w:rPr>
        <w:t xml:space="preserve">tivity </w:t>
      </w:r>
      <w:r w:rsidR="00D933B8" w:rsidRPr="002A4962">
        <w:rPr>
          <w:rFonts w:ascii="Arno Pro" w:hAnsi="Arno Pro"/>
          <w:sz w:val="18"/>
          <w:szCs w:val="18"/>
        </w:rPr>
        <w:t>for t</w:t>
      </w:r>
      <w:r w:rsidR="007D5138" w:rsidRPr="002A4962">
        <w:rPr>
          <w:rFonts w:ascii="Arno Pro" w:hAnsi="Arno Pro"/>
          <w:sz w:val="18"/>
          <w:szCs w:val="18"/>
        </w:rPr>
        <w:t>etrathionate</w:t>
      </w:r>
      <w:r w:rsidR="00D933B8" w:rsidRPr="002A4962">
        <w:rPr>
          <w:rFonts w:ascii="Arno Pro" w:hAnsi="Arno Pro"/>
          <w:sz w:val="18"/>
          <w:szCs w:val="18"/>
        </w:rPr>
        <w:t xml:space="preserve"> </w:t>
      </w:r>
      <w:r w:rsidR="007D5138" w:rsidRPr="002A4962">
        <w:rPr>
          <w:rFonts w:ascii="Arno Pro" w:hAnsi="Arno Pro"/>
          <w:sz w:val="18"/>
          <w:szCs w:val="18"/>
        </w:rPr>
        <w:t>reduc</w:t>
      </w:r>
      <w:r w:rsidR="00D933B8" w:rsidRPr="002A4962">
        <w:rPr>
          <w:rFonts w:ascii="Arno Pro" w:hAnsi="Arno Pro"/>
          <w:sz w:val="18"/>
          <w:szCs w:val="18"/>
        </w:rPr>
        <w:t>tion</w:t>
      </w:r>
      <w:r w:rsidR="001F5C71" w:rsidRPr="002A4962">
        <w:rPr>
          <w:rFonts w:ascii="Arno Pro" w:hAnsi="Arno Pro"/>
          <w:sz w:val="18"/>
          <w:szCs w:val="18"/>
        </w:rPr>
        <w:fldChar w:fldCharType="begin" w:fldLock="1"/>
      </w:r>
      <w:r w:rsidR="00A9012B">
        <w:rPr>
          <w:rFonts w:ascii="Arno Pro" w:hAnsi="Arno Pro"/>
          <w:sz w:val="18"/>
          <w:szCs w:val="18"/>
        </w:rPr>
        <w:instrText>ADDIN CSL_CITATION { "citationItems" : [ { "id" : "ITEM-1", "itemData" : { "DOI" : "10.1074/jbc.M114.623397", "ISSN" : "0021-9258", "author" : [ { "dropping-particle" : "", "family" : "Brito", "given" : "Jos\u00e9 A.", "non-dropping-particle" : "", "parse-names" : false, "suffix" : "" }, { "dropping-particle" : "", "family" : "Denkmann", "given" : "Kevin", "non-dropping-particle" : "", "parse-names" : false, "suffix" : "" }, { "dropping-particle" : "", "family" : "Pereira", "given" : "Ines A. C.", "non-dropping-particle" : "", "parse-names" : false, "suffix" : "" }, { "dropping-particle" : "", "family" : "Archer", "given" : "Margarida", "non-dropping-particle" : "", "parse-names" : false, "suffix" : "" }, { "dropping-particle" : "", "family" : "Dahl", "given" : "Christiane", "non-dropping-particle" : "", "parse-names" : false, "suffix" : "" } ], "container-title" : "Journal of Biological Chemistry", "id" : "ITEM-1", "issued" : { "date-parts" : [ [ "2015" ] ] }, "page" : "9222-9238", "title" : "Thiosulfate Dehydrogenase (TsdA) from Allochromatium vinosum: Structural and Functional Insights into Thiosulfate Oxidation", "type" : "article-journal", "volume" : "290" }, "uris" : [ "http://www.mendeley.com/documents/?uuid=e489478a-57ee-4ac8-b1bf-0c8ccbb741ce" ] }, { "id" : "ITEM-2", "itemData" : { "DOI" : "10.1111/mmi.12176", "ISBN" : "0950-382X", "ISSN" : "0950382X", "PMID" : "23421726", "abstract" : "Tetrathionate (S4 O6 (2-) ) is used by some bacteria as an electron acceptor and can be produced in the vertebrate intestinal mucosa from the oxidation of thiosulphate (S2 O3 (2-) ) by reactive oxygen species during inflammation. Surprisingly, growth of the microaerophilic mucosal pathogen Campylobacter jejuni under oxygen-limited conditions was stimulated by tetrathionate, although it does not possess any known type of tetrathionate reductase. Here, we identify a dihaem cytochrome c (C8j_0815; TsdA) as the enzyme responsible. Kinetic studies with purified recombinant C. jejuni TsdA showed it to be a bifunctional tetrathionate reductase/thiosulphate dehydrogenase with a high affinity for tetrathionate. A tsdA null mutant still slowly reduced, but could not grow on, tetrathionate under oxygen limitation, lacked thiosulphate-dependent respiration and failed to convert thiosulphate to tetrathionate microaerobically. A TsdA paralogue (C8j_0040), lacking the unusual His-Cys haem ligation of TsdA, had low thiosulphate dehydrogenase and tetrathionate reductase activities. Our data highlight a hitherto unrecognized capacity of C. jejuni to use tetrathionate and thiosulphate in its energy metabolism, which may promote growth in the host. Moreover, as TsdA represents a new class of tetrathionate reductase that is widely distributed among bacteria, we predict that energy conserving tetrathionate respiration is far more common than currently appreciated.", "author" : [ { "dropping-particle" : "", "family" : "Liu", "given" : "Yang Wei", "non-dropping-particle" : "", "parse-names" : false, "suffix" : "" }, { "dropping-particle" : "", "family" : "Denkmann", "given" : "Kevin", "non-dropping-particle" : "", "parse-names" : false, "suffix" : "" }, { "dropping-particle" : "", "family" : "Kosciow", "given" : "Konrad", "non-dropping-particle" : "", "parse-names" : false, "suffix" : "" }, { "dropping-particle" : "", "family" : "Dahl", "given" : "Christiane", "non-dropping-particle" : "", "parse-names" : false, "suffix" : "" }, { "dropping-particle" : "", "family" : "Kelly", "given" : "David J.", "non-dropping-particle" : "", "parse-names" : false, "suffix" : "" } ], "container-title" : "Molecular Microbiology", "id" : "ITEM-2", "issue" : "1", "issued" : { "date-parts" : [ [ "2013" ] ] }, "page" : "173-188", "title" : "Tetrathionate stimulated growth of &lt;i&gt;Campylobacter jejuni&lt;/i&gt; identifies a new type of bi-functional tetrathionate reductase (TsdA) that is widely distributed in bacteria", "type" : "article-journal", "volume" : "88" }, "uris" : [ "http://www.mendeley.com/documents/?uuid=7c30f879-45d9-40b9-a629-2f2f413b70bf" ] } ], "mendeley" : { "formattedCitation" : "&lt;sup&gt;8,20&lt;/sup&gt;", "plainTextFormattedCitation" : "8,20", "previouslyFormattedCitation" : "&lt;sup&gt;8,20&lt;/sup&gt;" }, "properties" : { "noteIndex" : 0 }, "schema" : "https://github.com/citation-style-language/schema/raw/master/csl-citation.json" }</w:instrText>
      </w:r>
      <w:r w:rsidR="001F5C71" w:rsidRPr="002A4962">
        <w:rPr>
          <w:rFonts w:ascii="Arno Pro" w:hAnsi="Arno Pro"/>
          <w:sz w:val="18"/>
          <w:szCs w:val="18"/>
        </w:rPr>
        <w:fldChar w:fldCharType="separate"/>
      </w:r>
      <w:r w:rsidR="00A9012B" w:rsidRPr="00A9012B">
        <w:rPr>
          <w:rFonts w:ascii="Arno Pro" w:hAnsi="Arno Pro"/>
          <w:noProof/>
          <w:sz w:val="18"/>
          <w:szCs w:val="18"/>
          <w:vertAlign w:val="superscript"/>
        </w:rPr>
        <w:t>8,20</w:t>
      </w:r>
      <w:r w:rsidR="001F5C71" w:rsidRPr="002A4962">
        <w:rPr>
          <w:rFonts w:ascii="Arno Pro" w:hAnsi="Arno Pro"/>
          <w:sz w:val="18"/>
          <w:szCs w:val="18"/>
        </w:rPr>
        <w:fldChar w:fldCharType="end"/>
      </w:r>
      <w:r w:rsidR="007D5138" w:rsidRPr="002A4962">
        <w:rPr>
          <w:rFonts w:ascii="Arno Pro" w:hAnsi="Arno Pro"/>
          <w:sz w:val="18"/>
          <w:szCs w:val="18"/>
        </w:rPr>
        <w:t xml:space="preserve">. </w:t>
      </w:r>
      <w:r w:rsidR="00282DB4">
        <w:rPr>
          <w:rFonts w:ascii="Arno Pro" w:hAnsi="Arno Pro"/>
          <w:sz w:val="18"/>
          <w:szCs w:val="18"/>
        </w:rPr>
        <w:t>E</w:t>
      </w:r>
      <w:r w:rsidR="00020385">
        <w:rPr>
          <w:rFonts w:ascii="Arno Pro" w:hAnsi="Arno Pro"/>
          <w:sz w:val="18"/>
          <w:szCs w:val="18"/>
        </w:rPr>
        <w:t xml:space="preserve">lectrochemical </w:t>
      </w:r>
      <w:proofErr w:type="spellStart"/>
      <w:r w:rsidR="00282DB4">
        <w:rPr>
          <w:rFonts w:ascii="Arno Pro" w:hAnsi="Arno Pro"/>
          <w:sz w:val="18"/>
          <w:szCs w:val="18"/>
        </w:rPr>
        <w:t>resolu</w:t>
      </w:r>
      <w:r w:rsidR="00310319">
        <w:rPr>
          <w:rFonts w:ascii="Arno Pro" w:hAnsi="Arno Pro"/>
          <w:sz w:val="18"/>
          <w:szCs w:val="18"/>
        </w:rPr>
        <w:t>-</w:t>
      </w:r>
      <w:r w:rsidR="00282DB4">
        <w:rPr>
          <w:rFonts w:ascii="Arno Pro" w:hAnsi="Arno Pro"/>
          <w:sz w:val="18"/>
          <w:szCs w:val="18"/>
        </w:rPr>
        <w:t>tion</w:t>
      </w:r>
      <w:proofErr w:type="spellEnd"/>
      <w:r w:rsidR="00282DB4">
        <w:rPr>
          <w:rFonts w:ascii="Arno Pro" w:hAnsi="Arno Pro"/>
          <w:sz w:val="18"/>
          <w:szCs w:val="18"/>
        </w:rPr>
        <w:t xml:space="preserve"> </w:t>
      </w:r>
      <w:r w:rsidR="008C6800" w:rsidRPr="002A4962">
        <w:rPr>
          <w:rFonts w:ascii="Arno Pro" w:hAnsi="Arno Pro"/>
          <w:sz w:val="18"/>
          <w:szCs w:val="18"/>
        </w:rPr>
        <w:t xml:space="preserve">of catalytic reduction </w:t>
      </w:r>
      <w:r w:rsidR="002726F0">
        <w:rPr>
          <w:rFonts w:ascii="Arno Pro" w:hAnsi="Arno Pro"/>
          <w:sz w:val="18"/>
          <w:szCs w:val="18"/>
        </w:rPr>
        <w:t xml:space="preserve">by </w:t>
      </w:r>
      <w:proofErr w:type="spellStart"/>
      <w:r w:rsidR="00020385" w:rsidRPr="002A4962">
        <w:rPr>
          <w:rFonts w:ascii="Arno Pro" w:hAnsi="Arno Pro"/>
          <w:i/>
          <w:sz w:val="18"/>
          <w:szCs w:val="18"/>
        </w:rPr>
        <w:t>Av</w:t>
      </w:r>
      <w:r w:rsidR="00020385" w:rsidRPr="002A4962">
        <w:rPr>
          <w:rFonts w:ascii="Arno Pro" w:hAnsi="Arno Pro"/>
          <w:sz w:val="18"/>
          <w:szCs w:val="18"/>
        </w:rPr>
        <w:t>TsdA</w:t>
      </w:r>
      <w:proofErr w:type="spellEnd"/>
      <w:r w:rsidR="00020385" w:rsidRPr="002A4962">
        <w:rPr>
          <w:rFonts w:ascii="Arno Pro" w:hAnsi="Arno Pro"/>
          <w:sz w:val="18"/>
          <w:szCs w:val="18"/>
        </w:rPr>
        <w:t xml:space="preserve"> </w:t>
      </w:r>
      <w:r w:rsidR="008C6800" w:rsidRPr="002A4962">
        <w:rPr>
          <w:rFonts w:ascii="Arno Pro" w:hAnsi="Arno Pro"/>
          <w:sz w:val="18"/>
          <w:szCs w:val="18"/>
        </w:rPr>
        <w:t xml:space="preserve">is </w:t>
      </w:r>
      <w:r w:rsidR="00282DB4">
        <w:rPr>
          <w:rFonts w:ascii="Arno Pro" w:hAnsi="Arno Pro"/>
          <w:sz w:val="18"/>
          <w:szCs w:val="18"/>
        </w:rPr>
        <w:t xml:space="preserve">most likely to be </w:t>
      </w:r>
      <w:r w:rsidR="008C6800" w:rsidRPr="002A4962">
        <w:rPr>
          <w:rFonts w:ascii="Arno Pro" w:hAnsi="Arno Pro"/>
          <w:sz w:val="18"/>
          <w:szCs w:val="18"/>
        </w:rPr>
        <w:t xml:space="preserve">precluded by </w:t>
      </w:r>
      <w:r w:rsidR="007D5138" w:rsidRPr="002A4962">
        <w:rPr>
          <w:rFonts w:ascii="Arno Pro" w:hAnsi="Arno Pro"/>
          <w:sz w:val="18"/>
          <w:szCs w:val="18"/>
        </w:rPr>
        <w:t>the in</w:t>
      </w:r>
      <w:r w:rsidR="00BA7DC3">
        <w:rPr>
          <w:rFonts w:ascii="Arno Pro" w:hAnsi="Arno Pro"/>
          <w:sz w:val="18"/>
          <w:szCs w:val="18"/>
        </w:rPr>
        <w:softHyphen/>
      </w:r>
      <w:r w:rsidR="007D5138" w:rsidRPr="002A4962">
        <w:rPr>
          <w:rFonts w:ascii="Arno Pro" w:hAnsi="Arno Pro"/>
          <w:sz w:val="18"/>
          <w:szCs w:val="18"/>
        </w:rPr>
        <w:t xml:space="preserve">trinsically low </w:t>
      </w:r>
      <w:r w:rsidR="007208AB">
        <w:rPr>
          <w:rFonts w:ascii="Arno Pro" w:hAnsi="Arno Pro"/>
          <w:sz w:val="18"/>
          <w:szCs w:val="18"/>
        </w:rPr>
        <w:t xml:space="preserve">rate of </w:t>
      </w:r>
      <w:r w:rsidR="007D5138" w:rsidRPr="002A4962">
        <w:rPr>
          <w:rFonts w:ascii="Arno Pro" w:hAnsi="Arno Pro"/>
          <w:sz w:val="18"/>
          <w:szCs w:val="18"/>
        </w:rPr>
        <w:t>tetrathionate redu</w:t>
      </w:r>
      <w:r w:rsidR="007D5138" w:rsidRPr="002A4962">
        <w:rPr>
          <w:rFonts w:ascii="Arno Pro" w:hAnsi="Arno Pro"/>
          <w:sz w:val="18"/>
          <w:szCs w:val="18"/>
        </w:rPr>
        <w:t>c</w:t>
      </w:r>
      <w:r w:rsidR="007D5138" w:rsidRPr="002A4962">
        <w:rPr>
          <w:rFonts w:ascii="Arno Pro" w:hAnsi="Arno Pro"/>
          <w:sz w:val="18"/>
          <w:szCs w:val="18"/>
        </w:rPr>
        <w:t>tion combine</w:t>
      </w:r>
      <w:r w:rsidR="008C6800" w:rsidRPr="002A4962">
        <w:rPr>
          <w:rFonts w:ascii="Arno Pro" w:hAnsi="Arno Pro"/>
          <w:sz w:val="18"/>
          <w:szCs w:val="18"/>
        </w:rPr>
        <w:t>d</w:t>
      </w:r>
      <w:r w:rsidR="007D5138" w:rsidRPr="002A4962">
        <w:rPr>
          <w:rFonts w:ascii="Arno Pro" w:hAnsi="Arno Pro"/>
          <w:sz w:val="18"/>
          <w:szCs w:val="18"/>
        </w:rPr>
        <w:t xml:space="preserve"> with lo</w:t>
      </w:r>
      <w:r w:rsidR="00822ADA" w:rsidRPr="002A4962">
        <w:rPr>
          <w:rFonts w:ascii="Arno Pro" w:hAnsi="Arno Pro"/>
          <w:sz w:val="18"/>
          <w:szCs w:val="18"/>
        </w:rPr>
        <w:t xml:space="preserve">w </w:t>
      </w:r>
      <w:proofErr w:type="spellStart"/>
      <w:r w:rsidR="00822ADA" w:rsidRPr="002A4962">
        <w:rPr>
          <w:rFonts w:ascii="Arno Pro" w:hAnsi="Arno Pro"/>
          <w:sz w:val="18"/>
          <w:szCs w:val="18"/>
        </w:rPr>
        <w:t>electrocatalytic</w:t>
      </w:r>
      <w:proofErr w:type="spellEnd"/>
      <w:r w:rsidR="00822ADA" w:rsidRPr="002A4962">
        <w:rPr>
          <w:rFonts w:ascii="Arno Pro" w:hAnsi="Arno Pro"/>
          <w:sz w:val="18"/>
          <w:szCs w:val="18"/>
        </w:rPr>
        <w:t xml:space="preserve"> coverage of the e</w:t>
      </w:r>
      <w:r w:rsidR="00D933B8" w:rsidRPr="002A4962">
        <w:rPr>
          <w:rFonts w:ascii="Arno Pro" w:hAnsi="Arno Pro"/>
          <w:sz w:val="18"/>
          <w:szCs w:val="18"/>
        </w:rPr>
        <w:t>lectrode</w:t>
      </w:r>
      <w:r w:rsidR="00822ADA" w:rsidRPr="002A4962">
        <w:rPr>
          <w:rFonts w:ascii="Arno Pro" w:hAnsi="Arno Pro"/>
          <w:sz w:val="18"/>
          <w:szCs w:val="18"/>
        </w:rPr>
        <w:t xml:space="preserve"> </w:t>
      </w:r>
      <w:r w:rsidR="00030760">
        <w:rPr>
          <w:rFonts w:ascii="Arno Pro" w:hAnsi="Arno Pro"/>
          <w:sz w:val="18"/>
          <w:szCs w:val="18"/>
        </w:rPr>
        <w:t>by the</w:t>
      </w:r>
      <w:r w:rsidR="004F0B31">
        <w:rPr>
          <w:rFonts w:ascii="Arno Pro" w:hAnsi="Arno Pro"/>
          <w:sz w:val="18"/>
          <w:szCs w:val="18"/>
        </w:rPr>
        <w:t xml:space="preserve"> </w:t>
      </w:r>
      <w:r w:rsidR="009473B3" w:rsidRPr="002A4962">
        <w:rPr>
          <w:rFonts w:ascii="Arno Pro" w:hAnsi="Arno Pro"/>
          <w:sz w:val="18"/>
          <w:szCs w:val="18"/>
        </w:rPr>
        <w:t>enzyme</w:t>
      </w:r>
      <w:r w:rsidR="008C6800" w:rsidRPr="002A4962">
        <w:rPr>
          <w:rFonts w:ascii="Arno Pro" w:hAnsi="Arno Pro"/>
          <w:sz w:val="18"/>
          <w:szCs w:val="18"/>
        </w:rPr>
        <w:t xml:space="preserve">. </w:t>
      </w:r>
      <w:r w:rsidR="00336540">
        <w:rPr>
          <w:rFonts w:ascii="Arno Pro" w:hAnsi="Arno Pro"/>
          <w:sz w:val="18"/>
          <w:szCs w:val="18"/>
        </w:rPr>
        <w:t xml:space="preserve">Indeed, </w:t>
      </w:r>
      <w:r w:rsidR="009B2FBA" w:rsidRPr="002A4962">
        <w:rPr>
          <w:rFonts w:ascii="Arno Pro" w:hAnsi="Arno Pro"/>
          <w:sz w:val="18"/>
          <w:szCs w:val="18"/>
        </w:rPr>
        <w:t>n</w:t>
      </w:r>
      <w:r w:rsidR="00030760">
        <w:rPr>
          <w:rFonts w:ascii="Arno Pro" w:hAnsi="Arno Pro"/>
          <w:sz w:val="18"/>
          <w:szCs w:val="18"/>
        </w:rPr>
        <w:t xml:space="preserve">one of the enzymes </w:t>
      </w:r>
      <w:r w:rsidR="009473B3" w:rsidRPr="002A4962">
        <w:rPr>
          <w:rFonts w:ascii="Arno Pro" w:hAnsi="Arno Pro"/>
          <w:sz w:val="18"/>
          <w:szCs w:val="18"/>
        </w:rPr>
        <w:t>di</w:t>
      </w:r>
      <w:r w:rsidR="009473B3" w:rsidRPr="002A4962">
        <w:rPr>
          <w:rFonts w:ascii="Arno Pro" w:hAnsi="Arno Pro"/>
          <w:sz w:val="18"/>
          <w:szCs w:val="18"/>
        </w:rPr>
        <w:t>s</w:t>
      </w:r>
      <w:r w:rsidR="009473B3" w:rsidRPr="002A4962">
        <w:rPr>
          <w:rFonts w:ascii="Arno Pro" w:hAnsi="Arno Pro"/>
          <w:sz w:val="18"/>
          <w:szCs w:val="18"/>
        </w:rPr>
        <w:t xml:space="preserve">play detectable non-turnover waves </w:t>
      </w:r>
      <w:r w:rsidR="00336540">
        <w:rPr>
          <w:rFonts w:ascii="Arno Pro" w:hAnsi="Arno Pro"/>
          <w:sz w:val="18"/>
          <w:szCs w:val="18"/>
        </w:rPr>
        <w:t xml:space="preserve">in the absence of substrate </w:t>
      </w:r>
      <w:r w:rsidR="002726F0">
        <w:rPr>
          <w:rFonts w:ascii="Arno Pro" w:hAnsi="Arno Pro"/>
          <w:sz w:val="18"/>
          <w:szCs w:val="18"/>
        </w:rPr>
        <w:t>an</w:t>
      </w:r>
      <w:r w:rsidR="00837635">
        <w:rPr>
          <w:rFonts w:ascii="Arno Pro" w:hAnsi="Arno Pro"/>
          <w:sz w:val="18"/>
          <w:szCs w:val="18"/>
        </w:rPr>
        <w:t xml:space="preserve">d this </w:t>
      </w:r>
      <w:r w:rsidR="008C6800" w:rsidRPr="002A4962">
        <w:rPr>
          <w:rFonts w:ascii="Arno Pro" w:hAnsi="Arno Pro"/>
          <w:sz w:val="18"/>
          <w:szCs w:val="18"/>
        </w:rPr>
        <w:t>is consistent with low electrocatalytically active enzyme populations</w:t>
      </w:r>
      <w:r w:rsidR="009473B3" w:rsidRPr="002A4962">
        <w:rPr>
          <w:rFonts w:ascii="Arno Pro" w:hAnsi="Arno Pro"/>
          <w:sz w:val="18"/>
          <w:szCs w:val="18"/>
        </w:rPr>
        <w:t>.</w:t>
      </w:r>
      <w:r w:rsidR="009B46A9" w:rsidRPr="002A4962">
        <w:rPr>
          <w:rFonts w:ascii="Arno Pro" w:hAnsi="Arno Pro"/>
          <w:noProof/>
          <w:sz w:val="18"/>
          <w:szCs w:val="18"/>
          <w:lang w:val="en-GB" w:eastAsia="en-GB"/>
        </w:rPr>
        <w:t xml:space="preserve"> </w:t>
      </w:r>
    </w:p>
    <w:p w:rsidR="00E64CFF" w:rsidRPr="002A4962" w:rsidRDefault="00CF7D1C" w:rsidP="007D5685">
      <w:pPr>
        <w:spacing w:after="60"/>
        <w:ind w:firstLine="284"/>
        <w:rPr>
          <w:rFonts w:ascii="Arno Pro" w:hAnsi="Arno Pro"/>
          <w:sz w:val="18"/>
          <w:szCs w:val="18"/>
        </w:rPr>
      </w:pPr>
      <w:r w:rsidRPr="002A4962">
        <w:rPr>
          <w:rFonts w:ascii="Arno Pro" w:hAnsi="Arno Pro"/>
          <w:sz w:val="18"/>
          <w:szCs w:val="18"/>
        </w:rPr>
        <w:t xml:space="preserve">At high </w:t>
      </w:r>
      <w:proofErr w:type="spellStart"/>
      <w:r w:rsidRPr="002A4962">
        <w:rPr>
          <w:rFonts w:ascii="Arno Pro" w:hAnsi="Arno Pro"/>
          <w:sz w:val="18"/>
          <w:szCs w:val="18"/>
        </w:rPr>
        <w:t>overpotentials</w:t>
      </w:r>
      <w:proofErr w:type="spellEnd"/>
      <w:r w:rsidRPr="002A4962">
        <w:rPr>
          <w:rFonts w:ascii="Arno Pro" w:hAnsi="Arno Pro"/>
          <w:sz w:val="18"/>
          <w:szCs w:val="18"/>
        </w:rPr>
        <w:t xml:space="preserve"> the majority of </w:t>
      </w:r>
      <w:r w:rsidR="00B36B6E" w:rsidRPr="002A4962">
        <w:rPr>
          <w:rFonts w:ascii="Arno Pro" w:hAnsi="Arno Pro"/>
          <w:sz w:val="18"/>
          <w:szCs w:val="18"/>
        </w:rPr>
        <w:t xml:space="preserve">the </w:t>
      </w:r>
      <w:r w:rsidRPr="002A4962">
        <w:rPr>
          <w:rFonts w:ascii="Arno Pro" w:hAnsi="Arno Pro"/>
          <w:sz w:val="18"/>
          <w:szCs w:val="18"/>
        </w:rPr>
        <w:t>catalytic waves from all three enzymes fail to attain values that are inde</w:t>
      </w:r>
      <w:r w:rsidR="0067018C">
        <w:rPr>
          <w:rFonts w:ascii="Arno Pro" w:hAnsi="Arno Pro"/>
          <w:sz w:val="18"/>
          <w:szCs w:val="18"/>
        </w:rPr>
        <w:softHyphen/>
      </w:r>
      <w:r w:rsidRPr="002A4962">
        <w:rPr>
          <w:rFonts w:ascii="Arno Pro" w:hAnsi="Arno Pro"/>
          <w:sz w:val="18"/>
          <w:szCs w:val="18"/>
        </w:rPr>
        <w:t xml:space="preserve">pendent of driving force for the </w:t>
      </w:r>
      <w:r w:rsidR="009473B3" w:rsidRPr="002A4962">
        <w:rPr>
          <w:rFonts w:ascii="Arno Pro" w:hAnsi="Arno Pro"/>
          <w:sz w:val="18"/>
          <w:szCs w:val="18"/>
        </w:rPr>
        <w:t xml:space="preserve">relevant </w:t>
      </w:r>
      <w:r w:rsidRPr="002A4962">
        <w:rPr>
          <w:rFonts w:ascii="Arno Pro" w:hAnsi="Arno Pro"/>
          <w:sz w:val="18"/>
          <w:szCs w:val="18"/>
        </w:rPr>
        <w:t>reaction</w:t>
      </w:r>
      <w:r w:rsidR="009473B3" w:rsidRPr="005C3B66">
        <w:rPr>
          <w:rFonts w:ascii="Arno Pro" w:hAnsi="Arno Pro"/>
          <w:sz w:val="18"/>
          <w:szCs w:val="18"/>
        </w:rPr>
        <w:t xml:space="preserve">. </w:t>
      </w:r>
      <w:r w:rsidR="002726F0" w:rsidRPr="005C3B66">
        <w:rPr>
          <w:rFonts w:ascii="Arno Pro" w:hAnsi="Arno Pro"/>
          <w:sz w:val="18"/>
          <w:szCs w:val="18"/>
        </w:rPr>
        <w:t>This</w:t>
      </w:r>
      <w:r w:rsidR="00740BA7" w:rsidRPr="005C3B66">
        <w:rPr>
          <w:rFonts w:ascii="Arno Pro" w:hAnsi="Arno Pro"/>
          <w:sz w:val="18"/>
          <w:szCs w:val="18"/>
        </w:rPr>
        <w:t xml:space="preserve"> </w:t>
      </w:r>
      <w:r w:rsidR="0095750D" w:rsidRPr="005C3B66">
        <w:rPr>
          <w:rFonts w:ascii="Arno Pro" w:hAnsi="Arno Pro"/>
          <w:sz w:val="18"/>
          <w:szCs w:val="18"/>
        </w:rPr>
        <w:t xml:space="preserve">is </w:t>
      </w:r>
      <w:r w:rsidR="00740BA7" w:rsidRPr="005C3B66">
        <w:rPr>
          <w:rFonts w:ascii="Arno Pro" w:hAnsi="Arno Pro"/>
          <w:sz w:val="18"/>
          <w:szCs w:val="18"/>
        </w:rPr>
        <w:t>behavior</w:t>
      </w:r>
      <w:r w:rsidR="002726F0" w:rsidRPr="005C3B66">
        <w:rPr>
          <w:rFonts w:ascii="Arno Pro" w:hAnsi="Arno Pro"/>
          <w:sz w:val="18"/>
          <w:szCs w:val="18"/>
        </w:rPr>
        <w:t xml:space="preserve"> </w:t>
      </w:r>
      <w:r w:rsidR="0095750D" w:rsidRPr="005C3B66">
        <w:rPr>
          <w:rFonts w:ascii="Arno Pro" w:hAnsi="Arno Pro"/>
          <w:sz w:val="18"/>
          <w:szCs w:val="18"/>
        </w:rPr>
        <w:t xml:space="preserve">that suggests </w:t>
      </w:r>
      <w:r w:rsidR="00B36B6E" w:rsidRPr="005C3B66">
        <w:rPr>
          <w:rFonts w:ascii="Arno Pro" w:hAnsi="Arno Pro"/>
          <w:sz w:val="18"/>
          <w:szCs w:val="18"/>
        </w:rPr>
        <w:t>he</w:t>
      </w:r>
      <w:r w:rsidRPr="005C3B66">
        <w:rPr>
          <w:rFonts w:ascii="Arno Pro" w:hAnsi="Arno Pro"/>
          <w:sz w:val="18"/>
          <w:szCs w:val="18"/>
        </w:rPr>
        <w:t xml:space="preserve">terogeneously oriented enzyme </w:t>
      </w:r>
      <w:r w:rsidRPr="002A4962">
        <w:rPr>
          <w:rFonts w:ascii="Arno Pro" w:hAnsi="Arno Pro"/>
          <w:sz w:val="18"/>
          <w:szCs w:val="18"/>
        </w:rPr>
        <w:t>molecules displaying a range of interfacial electron transfer kinetics</w:t>
      </w:r>
      <w:r w:rsidR="001F5C71" w:rsidRPr="002A4962">
        <w:rPr>
          <w:rFonts w:ascii="Arno Pro" w:hAnsi="Arno Pro"/>
          <w:sz w:val="18"/>
          <w:szCs w:val="18"/>
        </w:rPr>
        <w:fldChar w:fldCharType="begin" w:fldLock="1"/>
      </w:r>
      <w:r w:rsidR="00A9012B">
        <w:rPr>
          <w:rFonts w:ascii="Arno Pro" w:hAnsi="Arno Pro"/>
          <w:sz w:val="18"/>
          <w:szCs w:val="18"/>
        </w:rPr>
        <w:instrText>ADDIN CSL_CITATION { "citationItems" : [ { "id" : "ITEM-1", "itemData" : { "author" : [ { "dropping-particle" : "", "family" : "L\u00e9ger", "given" : "C", "non-dropping-particle" : "", "parse-names" : false, "suffix" : "" }, { "dropping-particle" : "", "family" : "Jones", "given" : "A K", "non-dropping-particle" : "", "parse-names" : false, "suffix" : "" }, { "dropping-particle" : "", "family" : "Albracht", "given" : "S P J", "non-dropping-particle" : "", "parse-names" : false, "suffix" : "" }, { "dropping-particle" : "", "family" : "Armstrong", "given" : "F A", "non-dropping-particle" : "", "parse-names" : false, "suffix" : "" } ], "container-title" : "J. Phys. Chem.", "id" : "ITEM-1", "issued" : { "date-parts" : [ [ "2002" ] ] }, "page" : "13058-13063", "title" : "Effect of a dispersion of interfacial electron transfer rates on steady state catalytic electron transport in -hydrogenase and other enzymes", "type" : "article-journal", "volume" : "106" }, "uris" : [ "http://www.mendeley.com/documents/?uuid=9d8b0bb8-cfdb-460f-b7b7-bd0dd69bac05" ] } ], "mendeley" : { "formattedCitation" : "&lt;sup&gt;21&lt;/sup&gt;", "plainTextFormattedCitation" : "21", "previouslyFormattedCitation" : "&lt;sup&gt;21&lt;/sup&gt;" }, "properties" : { "noteIndex" : 0 }, "schema" : "https://github.com/citation-style-language/schema/raw/master/csl-citation.json" }</w:instrText>
      </w:r>
      <w:r w:rsidR="001F5C71" w:rsidRPr="002A4962">
        <w:rPr>
          <w:rFonts w:ascii="Arno Pro" w:hAnsi="Arno Pro"/>
          <w:sz w:val="18"/>
          <w:szCs w:val="18"/>
        </w:rPr>
        <w:fldChar w:fldCharType="separate"/>
      </w:r>
      <w:r w:rsidR="00A9012B" w:rsidRPr="00A9012B">
        <w:rPr>
          <w:rFonts w:ascii="Arno Pro" w:hAnsi="Arno Pro"/>
          <w:noProof/>
          <w:sz w:val="18"/>
          <w:szCs w:val="18"/>
          <w:vertAlign w:val="superscript"/>
        </w:rPr>
        <w:t>21</w:t>
      </w:r>
      <w:r w:rsidR="001F5C71" w:rsidRPr="002A4962">
        <w:rPr>
          <w:rFonts w:ascii="Arno Pro" w:hAnsi="Arno Pro"/>
          <w:sz w:val="18"/>
          <w:szCs w:val="18"/>
        </w:rPr>
        <w:fldChar w:fldCharType="end"/>
      </w:r>
      <w:r w:rsidR="001304CA" w:rsidRPr="002A4962">
        <w:rPr>
          <w:rFonts w:ascii="Arno Pro" w:hAnsi="Arno Pro"/>
          <w:sz w:val="18"/>
          <w:szCs w:val="18"/>
        </w:rPr>
        <w:t xml:space="preserve">. </w:t>
      </w:r>
      <w:r w:rsidRPr="002A4962">
        <w:rPr>
          <w:rFonts w:ascii="Arno Pro" w:hAnsi="Arno Pro"/>
          <w:sz w:val="18"/>
          <w:szCs w:val="18"/>
        </w:rPr>
        <w:t xml:space="preserve">Never the less it is clear that films of </w:t>
      </w:r>
      <w:proofErr w:type="spellStart"/>
      <w:r w:rsidR="00E869E2" w:rsidRPr="002A4962">
        <w:rPr>
          <w:rFonts w:ascii="Arno Pro" w:hAnsi="Arno Pro"/>
          <w:i/>
          <w:sz w:val="18"/>
          <w:szCs w:val="18"/>
        </w:rPr>
        <w:t>Cj</w:t>
      </w:r>
      <w:r w:rsidR="00E869E2" w:rsidRPr="002A4962">
        <w:rPr>
          <w:rFonts w:ascii="Arno Pro" w:hAnsi="Arno Pro"/>
          <w:sz w:val="18"/>
          <w:szCs w:val="18"/>
        </w:rPr>
        <w:t>TsdA</w:t>
      </w:r>
      <w:proofErr w:type="spellEnd"/>
      <w:r w:rsidR="00E869E2" w:rsidRPr="002A4962">
        <w:rPr>
          <w:rFonts w:ascii="Arno Pro" w:hAnsi="Arno Pro"/>
          <w:sz w:val="18"/>
          <w:szCs w:val="18"/>
        </w:rPr>
        <w:t xml:space="preserve"> and </w:t>
      </w:r>
      <w:proofErr w:type="spellStart"/>
      <w:r w:rsidR="00E869E2" w:rsidRPr="002A4962">
        <w:rPr>
          <w:rFonts w:ascii="Arno Pro" w:hAnsi="Arno Pro"/>
          <w:i/>
          <w:sz w:val="18"/>
          <w:szCs w:val="18"/>
        </w:rPr>
        <w:t>Mp</w:t>
      </w:r>
      <w:r w:rsidR="00E869E2" w:rsidRPr="002A4962">
        <w:rPr>
          <w:rFonts w:ascii="Arno Pro" w:hAnsi="Arno Pro"/>
          <w:sz w:val="18"/>
          <w:szCs w:val="18"/>
        </w:rPr>
        <w:t>TsdBA</w:t>
      </w:r>
      <w:proofErr w:type="spellEnd"/>
      <w:r w:rsidR="00E869E2" w:rsidRPr="002A4962">
        <w:rPr>
          <w:rFonts w:ascii="Arno Pro" w:hAnsi="Arno Pro"/>
          <w:sz w:val="18"/>
          <w:szCs w:val="18"/>
        </w:rPr>
        <w:t xml:space="preserve"> </w:t>
      </w:r>
      <w:r w:rsidRPr="00513DEF">
        <w:rPr>
          <w:rFonts w:ascii="Arno Pro" w:hAnsi="Arno Pro"/>
          <w:sz w:val="18"/>
          <w:szCs w:val="18"/>
        </w:rPr>
        <w:t xml:space="preserve">catalyze rapid </w:t>
      </w:r>
      <w:r w:rsidR="002726F0" w:rsidRPr="00513DEF">
        <w:rPr>
          <w:rFonts w:ascii="Arno Pro" w:hAnsi="Arno Pro"/>
          <w:sz w:val="18"/>
          <w:szCs w:val="18"/>
        </w:rPr>
        <w:t xml:space="preserve">bidirectional </w:t>
      </w:r>
      <w:r w:rsidRPr="00513DEF">
        <w:rPr>
          <w:rFonts w:ascii="Arno Pro" w:hAnsi="Arno Pro"/>
          <w:sz w:val="18"/>
          <w:szCs w:val="18"/>
        </w:rPr>
        <w:t>inter</w:t>
      </w:r>
      <w:r w:rsidR="0067018C" w:rsidRPr="00513DEF">
        <w:rPr>
          <w:rFonts w:ascii="Arno Pro" w:hAnsi="Arno Pro"/>
          <w:sz w:val="18"/>
          <w:szCs w:val="18"/>
        </w:rPr>
        <w:softHyphen/>
      </w:r>
      <w:r w:rsidRPr="00513DEF">
        <w:rPr>
          <w:rFonts w:ascii="Arno Pro" w:hAnsi="Arno Pro"/>
          <w:sz w:val="18"/>
          <w:szCs w:val="18"/>
        </w:rPr>
        <w:t>conversion</w:t>
      </w:r>
      <w:r w:rsidRPr="002A4962">
        <w:rPr>
          <w:rFonts w:ascii="Arno Pro" w:hAnsi="Arno Pro"/>
          <w:sz w:val="18"/>
          <w:szCs w:val="18"/>
        </w:rPr>
        <w:t xml:space="preserve"> of tetrathionate and thiosulfate. </w:t>
      </w:r>
      <w:r w:rsidR="00463BA6" w:rsidRPr="002A4962">
        <w:rPr>
          <w:rFonts w:ascii="Arno Pro" w:hAnsi="Arno Pro"/>
          <w:sz w:val="18"/>
          <w:szCs w:val="18"/>
        </w:rPr>
        <w:t>By v</w:t>
      </w:r>
      <w:r w:rsidRPr="002A4962">
        <w:rPr>
          <w:rFonts w:ascii="Arno Pro" w:hAnsi="Arno Pro"/>
          <w:sz w:val="18"/>
          <w:szCs w:val="18"/>
        </w:rPr>
        <w:t>isualiz</w:t>
      </w:r>
      <w:r w:rsidR="00463BA6" w:rsidRPr="002A4962">
        <w:rPr>
          <w:rFonts w:ascii="Arno Pro" w:hAnsi="Arno Pro"/>
          <w:sz w:val="18"/>
          <w:szCs w:val="18"/>
        </w:rPr>
        <w:t xml:space="preserve">ing </w:t>
      </w:r>
      <w:r w:rsidR="00336540">
        <w:rPr>
          <w:rFonts w:ascii="Arno Pro" w:hAnsi="Arno Pro"/>
          <w:sz w:val="18"/>
          <w:szCs w:val="18"/>
        </w:rPr>
        <w:t xml:space="preserve">such </w:t>
      </w:r>
      <w:r w:rsidRPr="002A4962">
        <w:rPr>
          <w:rFonts w:ascii="Arno Pro" w:hAnsi="Arno Pro"/>
          <w:sz w:val="18"/>
          <w:szCs w:val="18"/>
        </w:rPr>
        <w:t>catalysis</w:t>
      </w:r>
      <w:r w:rsidR="00463BA6" w:rsidRPr="002A4962">
        <w:rPr>
          <w:rFonts w:ascii="Arno Pro" w:hAnsi="Arno Pro"/>
          <w:sz w:val="18"/>
          <w:szCs w:val="18"/>
        </w:rPr>
        <w:t xml:space="preserve"> the protein film electrochemistry</w:t>
      </w:r>
      <w:r w:rsidR="00063C9A" w:rsidRPr="002A4962">
        <w:rPr>
          <w:rFonts w:ascii="Arno Pro" w:hAnsi="Arno Pro"/>
          <w:sz w:val="18"/>
          <w:szCs w:val="18"/>
        </w:rPr>
        <w:t xml:space="preserve"> defines a zero-</w:t>
      </w:r>
      <w:r w:rsidRPr="002A4962">
        <w:rPr>
          <w:rFonts w:ascii="Arno Pro" w:hAnsi="Arno Pro"/>
          <w:sz w:val="18"/>
          <w:szCs w:val="18"/>
        </w:rPr>
        <w:t>current p</w:t>
      </w:r>
      <w:r w:rsidRPr="002A4962">
        <w:rPr>
          <w:rFonts w:ascii="Arno Pro" w:hAnsi="Arno Pro"/>
          <w:sz w:val="18"/>
          <w:szCs w:val="18"/>
        </w:rPr>
        <w:t>o</w:t>
      </w:r>
      <w:r w:rsidRPr="002A4962">
        <w:rPr>
          <w:rFonts w:ascii="Arno Pro" w:hAnsi="Arno Pro"/>
          <w:sz w:val="18"/>
          <w:szCs w:val="18"/>
        </w:rPr>
        <w:t>tential (</w:t>
      </w:r>
      <w:r w:rsidRPr="002A4962">
        <w:rPr>
          <w:rFonts w:ascii="Arno Pro" w:hAnsi="Arno Pro"/>
          <w:i/>
          <w:sz w:val="18"/>
          <w:szCs w:val="18"/>
        </w:rPr>
        <w:t>E</w:t>
      </w:r>
      <w:r w:rsidRPr="002A4962">
        <w:rPr>
          <w:rFonts w:ascii="Arno Pro" w:hAnsi="Arno Pro"/>
          <w:sz w:val="18"/>
          <w:szCs w:val="18"/>
          <w:vertAlign w:val="subscript"/>
        </w:rPr>
        <w:t>ZCP</w:t>
      </w:r>
      <w:r w:rsidRPr="002A4962">
        <w:rPr>
          <w:rFonts w:ascii="Arno Pro" w:hAnsi="Arno Pro"/>
          <w:sz w:val="18"/>
          <w:szCs w:val="18"/>
        </w:rPr>
        <w:t xml:space="preserve">) from which </w:t>
      </w:r>
      <w:r w:rsidR="00E869E2" w:rsidRPr="002A4962">
        <w:rPr>
          <w:rFonts w:ascii="Arno Pro" w:hAnsi="Arno Pro"/>
          <w:i/>
          <w:sz w:val="18"/>
          <w:szCs w:val="18"/>
        </w:rPr>
        <w:t>E</w:t>
      </w:r>
      <w:r w:rsidR="00092522" w:rsidRPr="002A4962">
        <w:rPr>
          <w:rFonts w:ascii="Arno Pro" w:hAnsi="Arno Pro"/>
          <w:sz w:val="18"/>
          <w:szCs w:val="18"/>
          <w:vertAlign w:val="subscript"/>
        </w:rPr>
        <w:t>TT</w:t>
      </w:r>
      <w:r w:rsidR="00E869E2" w:rsidRPr="002A4962">
        <w:rPr>
          <w:rFonts w:ascii="Arno Pro" w:hAnsi="Arno Pro"/>
          <w:sz w:val="18"/>
          <w:szCs w:val="18"/>
          <w:vertAlign w:val="subscript"/>
        </w:rPr>
        <w:t>/T</w:t>
      </w:r>
      <w:r w:rsidR="00092522" w:rsidRPr="002A4962">
        <w:rPr>
          <w:rFonts w:ascii="Arno Pro" w:hAnsi="Arno Pro"/>
          <w:sz w:val="18"/>
          <w:szCs w:val="18"/>
          <w:vertAlign w:val="subscript"/>
        </w:rPr>
        <w:t>S</w:t>
      </w:r>
      <w:r w:rsidR="00E869E2" w:rsidRPr="002A4962">
        <w:rPr>
          <w:rFonts w:ascii="Arno Pro" w:hAnsi="Arno Pro"/>
          <w:sz w:val="18"/>
          <w:szCs w:val="18"/>
          <w:vertAlign w:val="subscript"/>
        </w:rPr>
        <w:t xml:space="preserve"> </w:t>
      </w:r>
      <w:r w:rsidRPr="002A4962">
        <w:rPr>
          <w:rFonts w:ascii="Arno Pro" w:hAnsi="Arno Pro"/>
          <w:sz w:val="18"/>
          <w:szCs w:val="18"/>
        </w:rPr>
        <w:t xml:space="preserve">can be </w:t>
      </w:r>
      <w:r w:rsidR="00063C9A" w:rsidRPr="002A4962">
        <w:rPr>
          <w:rFonts w:ascii="Arno Pro" w:hAnsi="Arno Pro"/>
          <w:sz w:val="18"/>
          <w:szCs w:val="18"/>
        </w:rPr>
        <w:t>calculated</w:t>
      </w:r>
      <w:r w:rsidRPr="002A4962">
        <w:rPr>
          <w:rFonts w:ascii="Arno Pro" w:hAnsi="Arno Pro"/>
          <w:sz w:val="18"/>
          <w:szCs w:val="18"/>
        </w:rPr>
        <w:t xml:space="preserve"> </w:t>
      </w:r>
      <w:r w:rsidR="00336540">
        <w:rPr>
          <w:rFonts w:ascii="Arno Pro" w:hAnsi="Arno Pro"/>
          <w:sz w:val="18"/>
          <w:szCs w:val="18"/>
        </w:rPr>
        <w:t>using</w:t>
      </w:r>
      <w:r w:rsidRPr="002A4962">
        <w:rPr>
          <w:rFonts w:ascii="Arno Pro" w:hAnsi="Arno Pro"/>
          <w:sz w:val="18"/>
          <w:szCs w:val="18"/>
        </w:rPr>
        <w:t xml:space="preserve"> the </w:t>
      </w:r>
      <w:r w:rsidR="00E64CFF" w:rsidRPr="002A4962">
        <w:rPr>
          <w:rFonts w:ascii="Arno Pro" w:hAnsi="Arno Pro"/>
          <w:sz w:val="18"/>
          <w:szCs w:val="18"/>
        </w:rPr>
        <w:t>relevant Nernst equation</w:t>
      </w:r>
      <w:r w:rsidR="00564D48" w:rsidRPr="002A4962">
        <w:rPr>
          <w:rFonts w:ascii="Arno Pro" w:hAnsi="Arno Pro"/>
          <w:sz w:val="18"/>
          <w:szCs w:val="18"/>
        </w:rPr>
        <w:t xml:space="preserve"> (</w:t>
      </w:r>
      <w:r w:rsidR="00E869E2" w:rsidRPr="002A4962">
        <w:rPr>
          <w:rFonts w:ascii="Arno Pro" w:hAnsi="Arno Pro"/>
          <w:sz w:val="18"/>
          <w:szCs w:val="18"/>
        </w:rPr>
        <w:t>E</w:t>
      </w:r>
      <w:r w:rsidR="0045177D" w:rsidRPr="002A4962">
        <w:rPr>
          <w:rFonts w:ascii="Arno Pro" w:hAnsi="Arno Pro"/>
          <w:sz w:val="18"/>
          <w:szCs w:val="18"/>
        </w:rPr>
        <w:t xml:space="preserve">q. </w:t>
      </w:r>
      <w:r w:rsidR="009F69CA">
        <w:rPr>
          <w:rFonts w:ascii="Arno Pro" w:hAnsi="Arno Pro"/>
          <w:sz w:val="18"/>
          <w:szCs w:val="18"/>
        </w:rPr>
        <w:t>2</w:t>
      </w:r>
      <w:r w:rsidR="00564D48" w:rsidRPr="002A4962">
        <w:rPr>
          <w:rFonts w:ascii="Arno Pro" w:hAnsi="Arno Pro"/>
          <w:sz w:val="18"/>
          <w:szCs w:val="18"/>
        </w:rPr>
        <w:t xml:space="preserve">) </w:t>
      </w:r>
    </w:p>
    <w:p w:rsidR="00F260D0" w:rsidRPr="002A4962" w:rsidRDefault="000D7652" w:rsidP="000D26C8">
      <w:pPr>
        <w:spacing w:before="200"/>
        <w:rPr>
          <w:rFonts w:ascii="Arno Pro" w:hAnsi="Arno Pro"/>
          <w:sz w:val="18"/>
          <w:szCs w:val="18"/>
        </w:rPr>
      </w:pPr>
      <m:oMathPara>
        <m:oMathParaPr>
          <m:jc m:val="left"/>
        </m:oMathParaPr>
        <m:oMath>
          <m:d>
            <m:dPr>
              <m:ctrlPr>
                <w:rPr>
                  <w:rFonts w:ascii="Cambria Math" w:hAnsi="Cambria Math"/>
                  <w:i/>
                  <w:sz w:val="18"/>
                  <w:szCs w:val="18"/>
                </w:rPr>
              </m:ctrlPr>
            </m:dPr>
            <m:e>
              <m:r>
                <w:rPr>
                  <w:rFonts w:ascii="Cambria Math" w:hAnsi="Cambria Math"/>
                  <w:sz w:val="18"/>
                  <w:szCs w:val="18"/>
                </w:rPr>
                <m:t>2</m:t>
              </m:r>
            </m:e>
          </m:d>
          <m:r>
            <w:rPr>
              <w:rFonts w:ascii="Cambria Math" w:hAnsi="Cambria Math"/>
              <w:sz w:val="18"/>
              <w:szCs w:val="18"/>
            </w:rPr>
            <m:t xml:space="preserve">                             </m:t>
          </m:r>
          <m:sSub>
            <m:sSubPr>
              <m:ctrlPr>
                <w:rPr>
                  <w:rFonts w:ascii="Cambria Math" w:hAnsi="Cambria Math"/>
                  <w:i/>
                  <w:sz w:val="18"/>
                  <w:szCs w:val="18"/>
                </w:rPr>
              </m:ctrlPr>
            </m:sSubPr>
            <m:e>
              <m:r>
                <w:rPr>
                  <w:rFonts w:ascii="Cambria Math" w:hAnsi="Cambria Math"/>
                  <w:sz w:val="18"/>
                  <w:szCs w:val="18"/>
                </w:rPr>
                <m:t>E</m:t>
              </m:r>
            </m:e>
            <m:sub>
              <m:r>
                <w:rPr>
                  <w:rFonts w:ascii="Cambria Math" w:hAnsi="Cambria Math"/>
                  <w:sz w:val="18"/>
                  <w:szCs w:val="18"/>
                </w:rPr>
                <m:t>TT/TS</m:t>
              </m:r>
            </m:sub>
          </m:sSub>
          <m:r>
            <w:rPr>
              <w:rFonts w:ascii="Cambria Math" w:hAnsi="Cambria Math"/>
              <w:sz w:val="18"/>
              <w:szCs w:val="18"/>
            </w:rPr>
            <m:t xml:space="preserve"> =</m:t>
          </m:r>
          <m:sSub>
            <m:sSubPr>
              <m:ctrlPr>
                <w:rPr>
                  <w:rFonts w:ascii="Cambria Math" w:hAnsi="Cambria Math"/>
                  <w:i/>
                  <w:sz w:val="18"/>
                  <w:szCs w:val="18"/>
                </w:rPr>
              </m:ctrlPr>
            </m:sSubPr>
            <m:e>
              <m:r>
                <w:rPr>
                  <w:rFonts w:ascii="Cambria Math" w:hAnsi="Cambria Math"/>
                  <w:sz w:val="18"/>
                  <w:szCs w:val="18"/>
                </w:rPr>
                <m:t>E</m:t>
              </m:r>
            </m:e>
            <m:sub>
              <m:r>
                <m:rPr>
                  <m:sty m:val="p"/>
                </m:rPr>
                <w:rPr>
                  <w:rFonts w:ascii="Cambria Math" w:hAnsi="Cambria Math"/>
                  <w:sz w:val="18"/>
                  <w:szCs w:val="18"/>
                </w:rPr>
                <m:t>ZCP</m:t>
              </m:r>
            </m:sub>
          </m:sSub>
          <m:r>
            <w:rPr>
              <w:rFonts w:ascii="Cambria Math" w:hAnsi="Cambria Math"/>
              <w:sz w:val="18"/>
              <w:szCs w:val="18"/>
            </w:rPr>
            <m:t>-</m:t>
          </m:r>
          <m:f>
            <m:fPr>
              <m:ctrlPr>
                <w:rPr>
                  <w:rFonts w:ascii="Cambria Math" w:hAnsi="Cambria Math"/>
                  <w:i/>
                  <w:sz w:val="18"/>
                  <w:szCs w:val="18"/>
                </w:rPr>
              </m:ctrlPr>
            </m:fPr>
            <m:num>
              <m:r>
                <w:rPr>
                  <w:rFonts w:ascii="Cambria Math" w:hAnsi="Cambria Math"/>
                  <w:sz w:val="18"/>
                  <w:szCs w:val="18"/>
                </w:rPr>
                <m:t>RT</m:t>
              </m:r>
            </m:num>
            <m:den>
              <m:r>
                <w:rPr>
                  <w:rFonts w:ascii="Cambria Math" w:hAnsi="Cambria Math"/>
                  <w:sz w:val="18"/>
                  <w:szCs w:val="18"/>
                </w:rPr>
                <m:t>2F</m:t>
              </m:r>
            </m:den>
          </m:f>
          <m:func>
            <m:funcPr>
              <m:ctrlPr>
                <w:rPr>
                  <w:rFonts w:ascii="Cambria Math" w:hAnsi="Cambria Math"/>
                  <w:i/>
                  <w:sz w:val="18"/>
                  <w:szCs w:val="18"/>
                </w:rPr>
              </m:ctrlPr>
            </m:funcPr>
            <m:fName>
              <m:r>
                <m:rPr>
                  <m:sty m:val="p"/>
                </m:rPr>
                <w:rPr>
                  <w:rFonts w:ascii="Cambria Math" w:hAnsi="Cambria Math"/>
                  <w:sz w:val="18"/>
                  <w:szCs w:val="18"/>
                </w:rPr>
                <m:t xml:space="preserve"> ln</m:t>
              </m:r>
            </m:fName>
            <m:e>
              <m:d>
                <m:dPr>
                  <m:ctrlPr>
                    <w:rPr>
                      <w:rFonts w:ascii="Cambria Math" w:hAnsi="Cambria Math"/>
                      <w:i/>
                      <w:sz w:val="18"/>
                      <w:szCs w:val="18"/>
                    </w:rPr>
                  </m:ctrlPr>
                </m:dPr>
                <m:e>
                  <m:f>
                    <m:fPr>
                      <m:ctrlPr>
                        <w:rPr>
                          <w:rFonts w:ascii="Cambria Math" w:hAnsi="Cambria Math"/>
                          <w:i/>
                          <w:sz w:val="18"/>
                          <w:szCs w:val="18"/>
                        </w:rPr>
                      </m:ctrlPr>
                    </m:fPr>
                    <m:num>
                      <m:d>
                        <m:dPr>
                          <m:begChr m:val="["/>
                          <m:endChr m:val="]"/>
                          <m:ctrlPr>
                            <w:rPr>
                              <w:rFonts w:ascii="Cambria Math" w:hAnsi="Cambria Math"/>
                              <w:i/>
                              <w:sz w:val="18"/>
                              <w:szCs w:val="18"/>
                            </w:rPr>
                          </m:ctrlPr>
                        </m:dPr>
                        <m:e>
                          <m:sSub>
                            <m:sSubPr>
                              <m:ctrlPr>
                                <w:rPr>
                                  <w:rFonts w:ascii="Cambria Math" w:hAnsi="Cambria Math"/>
                                  <w:i/>
                                  <w:sz w:val="18"/>
                                  <w:szCs w:val="18"/>
                                </w:rPr>
                              </m:ctrlPr>
                            </m:sSubPr>
                            <m:e>
                              <m:r>
                                <w:rPr>
                                  <w:rFonts w:ascii="Cambria Math" w:hAnsi="Cambria Math"/>
                                  <w:sz w:val="18"/>
                                  <w:szCs w:val="18"/>
                                </w:rPr>
                                <m:t>S</m:t>
                              </m:r>
                            </m:e>
                            <m:sub>
                              <m:r>
                                <w:rPr>
                                  <w:rFonts w:ascii="Cambria Math" w:hAnsi="Cambria Math"/>
                                  <w:sz w:val="18"/>
                                  <w:szCs w:val="18"/>
                                </w:rPr>
                                <m:t>4</m:t>
                              </m:r>
                            </m:sub>
                          </m:sSub>
                          <m:sSubSup>
                            <m:sSubSupPr>
                              <m:ctrlPr>
                                <w:rPr>
                                  <w:rFonts w:ascii="Cambria Math" w:hAnsi="Cambria Math"/>
                                  <w:i/>
                                  <w:sz w:val="18"/>
                                  <w:szCs w:val="18"/>
                                </w:rPr>
                              </m:ctrlPr>
                            </m:sSubSupPr>
                            <m:e>
                              <m:r>
                                <w:rPr>
                                  <w:rFonts w:ascii="Cambria Math" w:hAnsi="Cambria Math"/>
                                  <w:sz w:val="18"/>
                                  <w:szCs w:val="18"/>
                                </w:rPr>
                                <m:t>O</m:t>
                              </m:r>
                            </m:e>
                            <m:sub>
                              <m:r>
                                <w:rPr>
                                  <w:rFonts w:ascii="Cambria Math" w:hAnsi="Cambria Math"/>
                                  <w:sz w:val="18"/>
                                  <w:szCs w:val="18"/>
                                </w:rPr>
                                <m:t>6</m:t>
                              </m:r>
                            </m:sub>
                            <m:sup>
                              <m:r>
                                <w:rPr>
                                  <w:rFonts w:ascii="Cambria Math" w:hAnsi="Cambria Math"/>
                                  <w:sz w:val="18"/>
                                  <w:szCs w:val="18"/>
                                </w:rPr>
                                <m:t>2-</m:t>
                              </m:r>
                            </m:sup>
                          </m:sSubSup>
                        </m:e>
                      </m:d>
                    </m:num>
                    <m:den>
                      <m:sSup>
                        <m:sSupPr>
                          <m:ctrlPr>
                            <w:rPr>
                              <w:rFonts w:ascii="Cambria Math" w:hAnsi="Cambria Math"/>
                              <w:i/>
                              <w:sz w:val="18"/>
                              <w:szCs w:val="18"/>
                            </w:rPr>
                          </m:ctrlPr>
                        </m:sSupPr>
                        <m:e>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S</m:t>
                              </m:r>
                            </m:e>
                            <m:sub>
                              <m:r>
                                <w:rPr>
                                  <w:rFonts w:ascii="Cambria Math" w:hAnsi="Cambria Math"/>
                                  <w:sz w:val="18"/>
                                  <w:szCs w:val="18"/>
                                </w:rPr>
                                <m:t>2</m:t>
                              </m:r>
                            </m:sub>
                          </m:sSub>
                          <m:sSubSup>
                            <m:sSubSupPr>
                              <m:ctrlPr>
                                <w:rPr>
                                  <w:rFonts w:ascii="Cambria Math" w:hAnsi="Cambria Math"/>
                                  <w:i/>
                                  <w:sz w:val="18"/>
                                  <w:szCs w:val="18"/>
                                </w:rPr>
                              </m:ctrlPr>
                            </m:sSubSupPr>
                            <m:e>
                              <m:r>
                                <w:rPr>
                                  <w:rFonts w:ascii="Cambria Math" w:hAnsi="Cambria Math"/>
                                  <w:sz w:val="18"/>
                                  <w:szCs w:val="18"/>
                                </w:rPr>
                                <m:t>O</m:t>
                              </m:r>
                            </m:e>
                            <m:sub>
                              <m:r>
                                <w:rPr>
                                  <w:rFonts w:ascii="Cambria Math" w:hAnsi="Cambria Math"/>
                                  <w:sz w:val="18"/>
                                  <w:szCs w:val="18"/>
                                </w:rPr>
                                <m:t>3</m:t>
                              </m:r>
                            </m:sub>
                            <m:sup>
                              <m:r>
                                <w:rPr>
                                  <w:rFonts w:ascii="Cambria Math" w:hAnsi="Cambria Math"/>
                                  <w:sz w:val="18"/>
                                  <w:szCs w:val="18"/>
                                </w:rPr>
                                <m:t>2-</m:t>
                              </m:r>
                            </m:sup>
                          </m:sSubSup>
                          <m:r>
                            <w:rPr>
                              <w:rFonts w:ascii="Cambria Math" w:hAnsi="Cambria Math"/>
                              <w:sz w:val="18"/>
                              <w:szCs w:val="18"/>
                            </w:rPr>
                            <m:t>]</m:t>
                          </m:r>
                        </m:e>
                        <m:sup>
                          <m:r>
                            <w:rPr>
                              <w:rFonts w:ascii="Cambria Math" w:hAnsi="Cambria Math"/>
                              <w:sz w:val="18"/>
                              <w:szCs w:val="18"/>
                            </w:rPr>
                            <m:t>2</m:t>
                          </m:r>
                        </m:sup>
                      </m:sSup>
                    </m:den>
                  </m:f>
                </m:e>
              </m:d>
            </m:e>
          </m:func>
        </m:oMath>
      </m:oMathPara>
    </w:p>
    <w:p w:rsidR="00CF7D1C" w:rsidRDefault="00CF7D1C" w:rsidP="00DC5ACE">
      <w:pPr>
        <w:pStyle w:val="TAMainText"/>
        <w:ind w:firstLine="0"/>
      </w:pPr>
      <w:r w:rsidRPr="002A4962">
        <w:t xml:space="preserve">where </w:t>
      </w:r>
      <w:r w:rsidRPr="002A4962">
        <w:rPr>
          <w:i/>
        </w:rPr>
        <w:t>R</w:t>
      </w:r>
      <w:r w:rsidR="009B2FBA" w:rsidRPr="002A4962">
        <w:rPr>
          <w:i/>
        </w:rPr>
        <w:t xml:space="preserve">, </w:t>
      </w:r>
      <w:r w:rsidRPr="002A4962">
        <w:rPr>
          <w:i/>
        </w:rPr>
        <w:t>F</w:t>
      </w:r>
      <w:r w:rsidRPr="002A4962">
        <w:t xml:space="preserve"> </w:t>
      </w:r>
      <w:r w:rsidR="009B2FBA" w:rsidRPr="002A4962">
        <w:t xml:space="preserve">and </w:t>
      </w:r>
      <w:r w:rsidRPr="002A4962">
        <w:rPr>
          <w:i/>
        </w:rPr>
        <w:t>T</w:t>
      </w:r>
      <w:r w:rsidR="005456FF" w:rsidRPr="002A4962">
        <w:rPr>
          <w:i/>
        </w:rPr>
        <w:t xml:space="preserve"> </w:t>
      </w:r>
      <w:r w:rsidRPr="002A4962">
        <w:t xml:space="preserve"> </w:t>
      </w:r>
      <w:r w:rsidR="009B2FBA" w:rsidRPr="002A4962">
        <w:t>have their usual meaning</w:t>
      </w:r>
      <w:r w:rsidR="001F5C71" w:rsidRPr="002A4962">
        <w:fldChar w:fldCharType="begin" w:fldLock="1"/>
      </w:r>
      <w:r w:rsidR="00A9012B">
        <w:instrText>ADDIN CSL_CITATION { "citationItems" : [ { "id" : "ITEM-1", "itemData" : { "DOI" : "10.1021/ja9534361", "ISBN" : "0002-7863", "ISSN" : "00027863", "author" : [ { "dropping-particle" : "", "family" : "Hirst", "given" : "Judy", "non-dropping-particle" : "", "parse-names" : false, "suffix" : "" }, { "dropping-particle" : "", "family" : "Sucheta", "given" : "Artur", "non-dropping-particle" : "", "parse-names" : false, "suffix" : "" }, { "dropping-particle" : "", "family" : "Ackrell", "given" : "Brian A C", "non-dropping-particle" : "", "parse-names" : false, "suffix" : "" }, { "dropping-particle" : "", "family" : "Armstrong", "given" : "Fraser A", "non-dropping-particle" : "", "parse-names" : false, "suffix" : "" } ], "container-title" : "Journal of the American Chemical Society", "id" : "ITEM-1", "issue" : "21", "issued" : { "date-parts" : [ [ "1996" ] ] }, "page" : "5031-5038", "title" : "Electrocatalytic voltammetry of succinate dehydrogenase: Direct quantification of the catalytic properties of a complex electron-transport enzyme", "type" : "article-journal", "volume" : "118" }, "uris" : [ "http://www.mendeley.com/documents/?uuid=37a24d8c-6daf-47f1-9435-247f9392c6b4" ] }, { "id" : "ITEM-2", "itemData" : { "DOI" : "10.1021/ja0343961", "ISBN" : "0002-7863", "ISSN" : "00027863", "PMID" : "12785808", "abstract" : "NADH:ubiquinone oxidoreductase (complex I) is the first enzyme of the mitochondrial electron transport chain and catalyzes the oxidation of beta-NADH by ubiquinone, coupled to transmembrane proton translocation. It contains a flavin mononucleotide (FMN) at the active site for NADH oxidation, up to eight iron-sulfur (FeS) clusters, and at least one ubiquinone binding site. Little is known about the mechanism of coupled electron-proton transfer in complex I. This communication demonstrates how the catalytic fragment of complex I, subcomplex Ilambda, can be adsorbed onto a pyrolytic graphite edge electrode to catalyze the interconversion of NADH and NAD+, with the electrode as the electron acceptor or donor. NADH oxidation and NAD+ reduction are completely reversible and occur without the application of an overpotential. The potential of zero current denotes the potential of the NAD+/NADH redox couple, and the dependence of ENAD+ on pH, and on the NADH:NAD+ ratio, is in accordance with the Nernst equation. The catalytic potential of the enzyme, Ecat, is close to one of the two reduction potentials of the active site FMN and to the potential of a nearby [2Fe - 2S] cluster; therefore, either one or both of these redox couples is suggested to be important in controlling NADH oxidation by complex I.", "author" : [ { "dropping-particle" : "", "family" : "Zu", "given" : "Yanbing", "non-dropping-particle" : "", "parse-names" : false, "suffix" : "" }, { "dropping-particle" : "", "family" : "Shannon", "given" : "Richard J.", "non-dropping-particle" : "", "parse-names" : false, "suffix" : "" }, { "dropping-particle" : "", "family" : "Hirst", "given" : "Judy", "non-dropping-particle" : "", "parse-names" : false, "suffix" : "" } ], "container-title" : "Journal of the American Chemical Society", "id" : "ITEM-2", "issue" : "20", "issued" : { "date-parts" : [ [ "2003" ] ] }, "page" : "6020-6021", "title" : "Reversible, electrochemical interconversion of NADH and NAD+ by the catalytic (I\u03bb) subcomplex of mitochondrial NADH:Ubiquinone oxidoreductase (complex I)", "type" : "article-journal", "volume" : "125" }, "uris" : [ "http://www.mendeley.com/documents/?uuid=32a9e64d-9589-454c-b5be-75a9b6c65cd2" ] }, { "id" : "ITEM-3", "itemData" : { "DOI" : "10.1021/ja073643o", "abstract" : "The Ni-containing carbon monoxide dehydrogenase I from Carboxydothermus\\nhydrogenoformans adsorbed on a pyrolytic graphite edge electrode\\ncatalyzes rapid CO2/CO interconversions at the thermodynamic potential.\\n", "author" : [ { "dropping-particle" : "", "family" : "Parkin", "given" : "Alison", "non-dropping-particle" : "", "parse-names" : false, "suffix" : "" }, { "dropping-particle" : "", "family" : "Seravalli", "given" : "Javier", "non-dropping-particle" : "", "parse-names" : false, "suffix" : "" }, { "dropping-particle" : "", "family" : "Vincent", "given" : "Kylie A", "non-dropping-particle" : "", "parse-names" : false, "suffix" : "" }, { "dropping-particle" : "", "family" : "Ragsdale", "given" : "Stephen W", "non-dropping-particle" : "", "parse-names" : false, "suffix" : "" }, { "dropping-particle" : "", "family" : "Armstrong", "given" : "Fraser A", "non-dropping-particle" : "", "parse-names" : false, "suffix" : "" } ], "container-title" : "Journal of the American Chemical Society", "id" : "ITEM-3", "issue" : "34", "issued" : { "date-parts" : [ [ "2007" ] ] }, "page" : "10328-10329", "title" : "Rapid and Efficient Electrocatalytic CO2/CO Interconversions by &lt;i&gt;Carboxydothermus hydrogenoformans&lt;/i&gt; CO Dehydrogenase I on an Electrode", "type" : "article-journal", "volume" : "129" }, "uris" : [ "http://www.mendeley.com/documents/?uuid=7b2cb7ef-4842-40c8-a077-dd84b2e8be79" ] } ], "mendeley" : { "formattedCitation" : "&lt;sup&gt;22\u201324&lt;/sup&gt;", "plainTextFormattedCitation" : "22\u201324", "previouslyFormattedCitation" : "&lt;sup&gt;22\u201324&lt;/sup&gt;" }, "properties" : { "noteIndex" : 0 }, "schema" : "https://github.com/citation-style-language/schema/raw/master/csl-citation.json" }</w:instrText>
      </w:r>
      <w:r w:rsidR="001F5C71" w:rsidRPr="002A4962">
        <w:fldChar w:fldCharType="separate"/>
      </w:r>
      <w:r w:rsidR="00A9012B" w:rsidRPr="00A9012B">
        <w:rPr>
          <w:noProof/>
          <w:vertAlign w:val="superscript"/>
        </w:rPr>
        <w:t>22–24</w:t>
      </w:r>
      <w:r w:rsidR="001F5C71" w:rsidRPr="002A4962">
        <w:fldChar w:fldCharType="end"/>
      </w:r>
      <w:r w:rsidR="005456FF" w:rsidRPr="002A4962">
        <w:t>.</w:t>
      </w:r>
      <w:r w:rsidR="003C4B5A" w:rsidRPr="002A4962">
        <w:t xml:space="preserve"> </w:t>
      </w:r>
      <w:r w:rsidR="005456FF" w:rsidRPr="002A4962">
        <w:t>A number of factors contribute to defining c</w:t>
      </w:r>
      <w:r w:rsidR="003C4B5A" w:rsidRPr="002A4962">
        <w:t>atalytic bias</w:t>
      </w:r>
      <w:r w:rsidR="001F5C71" w:rsidRPr="002A4962">
        <w:fldChar w:fldCharType="begin" w:fldLock="1"/>
      </w:r>
      <w:r w:rsidR="00A9012B">
        <w:instrText>ADDIN CSL_CITATION { "citationItems" : [ { "id" : "ITEM-1", "itemData" : { "DOI" : "10.1039/c3cp55230f", "ISSN" : "1463-9084", "PMID" : "24556983", "abstract" : "Despite being so large, many enzymes are not only excellent electrocatalysts - making possible chemical transformations under almost reversible conditions - but they also facilitate our understanding of electrocatalysis by allowing complex processes to be dissected systematically. The electrocatalytic voltammograms obtained for enzymes attached to an electrode expose fundamental aspects of electrocatalysis that can be addressed in ways that are not available to conventional molecular or surface electrocatalysts. The roles of individual components, each characterisable by diffraction or spectroscopy, can be tested and optimised by genetic engineering. Importantly, unlike small-molecule electrocatalysts (RMM &lt; 1000) that are structurally well-defined but invariably altered by being attached to a surface, the enzyme is a giant, multi-component assembly in which the active site is buried and relatively insensitive to the presence of the electrode and solvent interface. A central assertion is that for a given driving force (electrode potential) a true catalyst has no influence on the direction of the reaction; consequently, 'catalytic bias', i.e. the common observation that an enzyme or indeed any electrocatalyst operates preferentially in one direction, must arise from secondary effects beyond the elementary catalytic cycle. This Perspective highlights and extends a general model for electrocatalysis by surface-confined enzymes, and explains how two secondary effects control the bias: (i) the electrode potential at which electrons enter or leave the catalytic cycle; (ii) potential-dependent interconversions between states of the catalyst differing in catalytic activity due to changes in the composition and arrangements of atoms. The model, which is easily applied to enzymes that have been studied recently, highlights important considerations for understanding and developing surface-confined electrocatalysts.", "author" : [ { "dropping-particle" : "V", "family" : "Hexter", "given" : "Suzannah", "non-dropping-particle" : "", "parse-names" : false, "suffix" : "" }, { "dropping-particle" : "", "family" : "Esterle", "given" : "Thomas F", "non-dropping-particle" : "", "parse-names" : false, "suffix" : "" }, { "dropping-particle" : "", "family" : "Armstrong", "given" : "Fraser A", "non-dropping-particle" : "", "parse-names" : false, "suffix" : "" } ], "container-title" : "Phys. Chem. Chem. Phys.", "id" : "ITEM-1", "issue" : "24", "issued" : { "date-parts" : [ [ "2014" ] ] }, "page" : "11822-11833", "title" : "A unified model for surface electrocatalysis based on observations with enzymes", "type" : "article-journal", "volume" : "16" }, "uris" : [ "http://www.mendeley.com/documents/?uuid=fe30980e-ce06-48ca-b871-f65be321cf28" ] }, { "id" : "ITEM-2", "itemData" : { "DOI" : "10.1021/ja301802r", "ISBN" : "0002-7863", "ISSN" : "00027863", "PMID" : "22540997", "abstract" : "When enzymes are optimized for biotechnological purposes, the goal often is to increase stability or catalytic efficiency. However, many enzymes reversibly convert their substrate and product, and if one is interested in catalysis in only one direction, it may be necessary to prevent the reverse reaction. In other cases, reversibility may be advantageous because only an enzyme that can operate in both directions can turnover at a high rate even under conditions of low thermodynamic driving force. Therefore, understanding the basic mechanisms of reversibility in complex enzymes should help the rational engineering of these proteins. Here, we focus on NiFe hydrogenase, an enzyme that catalyzes H(2) oxidation and production, and we elucidate the mechanism that governs the catalytic bias (the ratio of maximal rates in the two directions). Unexpectedly, we found that this bias is not mainly determined by redox properties of the active site, but rather by steps which occur on sites of the proteins that are remote from the active site. We evidence a novel strategy for tuning the catalytic bias of an oxidoreductase, which consists in modulating the rate of a step that is limiting only in one direction of the reaction, without modifying the properties of the active site.", "author" : [ { "dropping-particle" : "", "family" : "Abou Hamdan", "given" : "Abbas", "non-dropping-particle" : "", "parse-names" : false, "suffix" : "" }, { "dropping-particle" : "", "family" : "Dementin", "given" : "S\u00e9bastien", "non-dropping-particle" : "", "parse-names" : false, "suffix" : "" }, { "dropping-particle" : "", "family" : "Liebgott", "given" : "Pierre Pol", "non-dropping-particle" : "", "parse-names" : false, "suffix" : "" }, { "dropping-particle" : "", "family" : "Gutierrez-Sanz", "given" : "Oscar", "non-dropping-particle" : "", "parse-names" : false, "suffix" : "" }, { "dropping-particle" : "", "family" : "Richaud", "given" : "Pierre", "non-dropping-particle" : "", "parse-names" : false, "suffix" : "" }, { "dropping-particle" : "", "family" : "Lacey", "given" : "Antonio L.", "non-dropping-particle" : "De", "parse-names" : false, "suffix" : "" }, { "dropping-particle" : "", "family" : "Roussett", "given" : "Marc", "non-dropping-particle" : "", "parse-names" : false, "suffix" : "" }, { "dropping-particle" : "", "family" : "Bertrand", "given" : "Patrick", "non-dropping-particle" : "", "parse-names" : false, "suffix" : "" }, { "dropping-particle" : "", "family" : "Cournac", "given" : "Laurent", "non-dropping-particle" : "", "parse-names" : false, "suffix" : "" }, { "dropping-particle" : "", "family" : "L\u00e9ger", "given" : "Christophe", "non-dropping-particle" : "", "parse-names" : false, "suffix" : "" } ], "container-title" : "Journal of the American Chemical Society", "id" : "ITEM-2", "issue" : "20", "issued" : { "date-parts" : [ [ "2012" ] ] }, "page" : "8368-8371", "title" : "Understanding and tuning the catalytic bias of hydrogenase", "type" : "article-journal", "volume" : "134" }, "uris" : [ "http://www.mendeley.com/documents/?uuid=66f9848a-bd31-495e-84a6-8faddda5e506" ] } ], "mendeley" : { "formattedCitation" : "&lt;sup&gt;25,26&lt;/sup&gt;", "plainTextFormattedCitation" : "25,26", "previouslyFormattedCitation" : "&lt;sup&gt;25,26&lt;/sup&gt;" }, "properties" : { "noteIndex" : 0 }, "schema" : "https://github.com/citation-style-language/schema/raw/master/csl-citation.json" }</w:instrText>
      </w:r>
      <w:r w:rsidR="001F5C71" w:rsidRPr="002A4962">
        <w:fldChar w:fldCharType="separate"/>
      </w:r>
      <w:r w:rsidR="00A9012B" w:rsidRPr="00A9012B">
        <w:rPr>
          <w:noProof/>
          <w:vertAlign w:val="superscript"/>
        </w:rPr>
        <w:t>25,26</w:t>
      </w:r>
      <w:r w:rsidR="001F5C71" w:rsidRPr="002A4962">
        <w:fldChar w:fldCharType="end"/>
      </w:r>
      <w:r w:rsidR="00030760">
        <w:t xml:space="preserve"> but their</w:t>
      </w:r>
      <w:r w:rsidR="004F0B31">
        <w:t xml:space="preserve"> </w:t>
      </w:r>
      <w:r w:rsidR="005456FF" w:rsidRPr="002A4962">
        <w:t>reso</w:t>
      </w:r>
      <w:r w:rsidR="00BA7DC3">
        <w:softHyphen/>
      </w:r>
      <w:r w:rsidR="005456FF" w:rsidRPr="002A4962">
        <w:t xml:space="preserve">lution for the </w:t>
      </w:r>
      <w:proofErr w:type="spellStart"/>
      <w:r w:rsidR="005456FF" w:rsidRPr="002A4962">
        <w:t>TsdA</w:t>
      </w:r>
      <w:proofErr w:type="spellEnd"/>
      <w:r w:rsidR="005456FF" w:rsidRPr="002A4962">
        <w:t xml:space="preserve"> enzymes lies beyond the scope of th</w:t>
      </w:r>
      <w:r w:rsidR="006E55E9" w:rsidRPr="002A4962">
        <w:t>e present</w:t>
      </w:r>
      <w:r w:rsidR="009B2FBA" w:rsidRPr="002A4962">
        <w:t xml:space="preserve"> </w:t>
      </w:r>
      <w:r w:rsidR="005456FF" w:rsidRPr="002A4962">
        <w:t>work</w:t>
      </w:r>
      <w:r w:rsidR="00236853" w:rsidRPr="002A4962">
        <w:t>.</w:t>
      </w:r>
    </w:p>
    <w:p w:rsidR="00090310" w:rsidRPr="002A4962" w:rsidRDefault="00090310" w:rsidP="00842060">
      <w:pPr>
        <w:pStyle w:val="TAMainText"/>
        <w:spacing w:after="120"/>
      </w:pPr>
      <w:r w:rsidRPr="002A4962">
        <w:t xml:space="preserve">Values for </w:t>
      </w:r>
      <w:r w:rsidRPr="002A4962">
        <w:rPr>
          <w:i/>
        </w:rPr>
        <w:t>E</w:t>
      </w:r>
      <w:r w:rsidRPr="002A4962">
        <w:rPr>
          <w:vertAlign w:val="subscript"/>
        </w:rPr>
        <w:t>ZCP</w:t>
      </w:r>
      <w:r w:rsidRPr="002A4962">
        <w:t xml:space="preserve"> were obtained by two methods</w:t>
      </w:r>
      <w:r w:rsidR="0095750D">
        <w:t xml:space="preserve"> as detailed in the Supporting Information</w:t>
      </w:r>
      <w:r w:rsidRPr="002A4962">
        <w:t xml:space="preserve">. In one approach </w:t>
      </w:r>
      <w:r w:rsidRPr="002A4962">
        <w:rPr>
          <w:i/>
        </w:rPr>
        <w:t>E</w:t>
      </w:r>
      <w:r w:rsidRPr="002A4962">
        <w:rPr>
          <w:vertAlign w:val="subscript"/>
        </w:rPr>
        <w:t>ZCP</w:t>
      </w:r>
      <w:r>
        <w:t xml:space="preserve"> was </w:t>
      </w:r>
      <w:r w:rsidRPr="002A4962">
        <w:t xml:space="preserve">defined as the points of intersection for cyclic </w:t>
      </w:r>
      <w:proofErr w:type="spellStart"/>
      <w:r w:rsidRPr="002A4962">
        <w:t>voltammo</w:t>
      </w:r>
      <w:r w:rsidR="0067018C">
        <w:softHyphen/>
      </w:r>
      <w:r w:rsidRPr="002A4962">
        <w:t>grams</w:t>
      </w:r>
      <w:proofErr w:type="spellEnd"/>
      <w:r w:rsidRPr="002A4962">
        <w:t xml:space="preserve"> recorded in the presence and absence of substrates (averaged for each scan direction), e.g., Fig. 1A and B. In the second approach the potential</w:t>
      </w:r>
      <w:r>
        <w:t xml:space="preserve"> required to </w:t>
      </w:r>
      <w:r w:rsidRPr="002A4962">
        <w:t>maintain zero current through the cell</w:t>
      </w:r>
      <w:r>
        <w:t xml:space="preserve"> was measured directly</w:t>
      </w:r>
      <w:r w:rsidRPr="002A4962">
        <w:t xml:space="preserve">. </w:t>
      </w:r>
      <w:r w:rsidR="0095750D" w:rsidRPr="002A4962">
        <w:t xml:space="preserve">For </w:t>
      </w:r>
      <w:r w:rsidR="008A1D93">
        <w:t>all expe</w:t>
      </w:r>
      <w:r w:rsidR="008A1D93">
        <w:t>r</w:t>
      </w:r>
      <w:r w:rsidR="008A1D93">
        <w:lastRenderedPageBreak/>
        <w:t>iments</w:t>
      </w:r>
      <w:r w:rsidR="0095750D" w:rsidRPr="002A4962">
        <w:t xml:space="preserve"> the thiosulfate/tetrathionate mixtures were prepared imme</w:t>
      </w:r>
      <w:r w:rsidR="0095750D">
        <w:softHyphen/>
      </w:r>
      <w:r w:rsidR="0095750D" w:rsidRPr="002A4962">
        <w:t>diately prior to use and with concentrations chosen to mini</w:t>
      </w:r>
      <w:r w:rsidR="0095750D">
        <w:softHyphen/>
      </w:r>
      <w:r w:rsidR="0095750D" w:rsidRPr="002A4962">
        <w:t>mize the likelihood of any significant reaction between tetrathionate and thiosulfate</w:t>
      </w:r>
      <w:r w:rsidR="001F5C71" w:rsidRPr="002A4962">
        <w:fldChar w:fldCharType="begin" w:fldLock="1"/>
      </w:r>
      <w:r w:rsidR="0095750D">
        <w:instrText>ADDIN CSL_CITATION { "citationItems" : [ { "id" : "ITEM-1", "itemData" : { "DOI" : "10.1021/ic9023025", "ISSN" : "00201669", "PMID" : "20961089", "abstract" : "The kinetics of reactions of trithionate and tetrathionate via different reaction pathways were studied in near-neutral solutions. In the case of trithionate, the predominant degradation reaction is hydrolysis to thiosulfate and sulfate. The pseudofirst-order rate constant is independent of pH and measured to be (6.2 \u00b1 0.2) \u00d7 10(-7) s(-1) for the pH range of 5.5-10.5. With tetrathionate, the reaction in both neutral and alkaline solutions occurs via a thiosulfate catalyzed rearrangement reaction to trithionate and pentathionate followed by their further reactions. The data suggest that when thiosulfate is completely absent, this first step will not occur, and in the presence of thiosulfate, the rate of the first step is independent of pH in the pH range 6-8. The secondary reactions include the hydrolysis of trithionate and the further rearrangement and degradation of pentathionate. This mechanism explains the dominant reaction products for both neutral and alkaline solutions. In the presence of thiosulfate and at near-neutral pH, the rearrangement reactions dominate over the degradation reactions and exhibit second-order kinetics, with the rate constants in the pH range of 6-8 determined to be (4.24 \u00b1 0.26) and (1.89 \u00b1 0.18) \u00d7 10(-4) M(-1) s(-1) for tetra- and pentathionates, respectively. At extremely low thiosulfate concentrations, the main secondary reaction is the hydrolysis of trithionate at pH &lt; 7, and at pH &gt; 7, the degradation of pentathionate.", "author" : [ { "dropping-particle" : "", "family" : "Zhang", "given" : "Hongguang", "non-dropping-particle" : "", "parse-names" : false, "suffix" : "" }, { "dropping-particle" : "", "family" : "Jeffrey", "given" : "Matthew I.", "non-dropping-particle" : "", "parse-names" : false, "suffix" : "" } ], "container-title" : "Inorganic Chemistry", "id" : "ITEM-1", "issue" : "22", "issued" : { "date-parts" : [ [ "2010" ] ] }, "page" : "10273-10282", "title" : "A kinetic study of rearrangement and degradation reactions of tetrathionate and trithionate in near-neutral solutions", "type" : "article-journal", "volume" : "49" }, "uris" : [ "http://www.mendeley.com/documents/?uuid=9d368cfc-e9cb-42ec-8dd3-99325599533d" ] }, { "id" : "ITEM-2", "itemData" : { "DOI" : "10.1021/ja01627a004", "ISSN" : "0002-7863", "author" : [ { "dropping-particle" : "", "family" : "Fava", "given" : "Antonino", "non-dropping-particle" : "", "parse-names" : false, "suffix" : "" }, { "dropping-particle" : "", "family" : "Bresadola", "given" : "Silvano", "non-dropping-particle" : "", "parse-names" : false, "suffix" : "" } ], "container-title" : "Journal of the American Chemical Society", "id" : "ITEM-2", "issue" : "22", "issued" : { "date-parts" : [ [ "1955" ] ] }, "page" : "5792-5794", "title" : "Kinetics of the Catalytic Rearrangement of Tetrathionate", "type" : "article-journal", "volume" : "77" }, "uris" : [ "http://www.mendeley.com/documents/?uuid=ba14cd7e-9068-42e5-902c-41c7325c66a2" ] } ], "mendeley" : { "formattedCitation" : "&lt;sup&gt;27,28&lt;/sup&gt;", "plainTextFormattedCitation" : "27,28", "previouslyFormattedCitation" : "&lt;sup&gt;27,28&lt;/sup&gt;" }, "properties" : { "noteIndex" : 0 }, "schema" : "https://github.com/citation-style-language/schema/raw/master/csl-citation.json" }</w:instrText>
      </w:r>
      <w:r w:rsidR="001F5C71" w:rsidRPr="002A4962">
        <w:fldChar w:fldCharType="separate"/>
      </w:r>
      <w:r w:rsidR="0095750D" w:rsidRPr="00A9012B">
        <w:rPr>
          <w:noProof/>
          <w:vertAlign w:val="superscript"/>
        </w:rPr>
        <w:t>27,28</w:t>
      </w:r>
      <w:r w:rsidR="001F5C71" w:rsidRPr="002A4962">
        <w:fldChar w:fldCharType="end"/>
      </w:r>
      <w:r w:rsidR="0095750D">
        <w:t xml:space="preserve">. </w:t>
      </w:r>
      <w:r w:rsidRPr="002A4962">
        <w:t>Measure</w:t>
      </w:r>
      <w:r w:rsidR="0067018C">
        <w:softHyphen/>
      </w:r>
      <w:r w:rsidRPr="002A4962">
        <w:t>ments by the se</w:t>
      </w:r>
      <w:r w:rsidRPr="002A4962">
        <w:t>c</w:t>
      </w:r>
      <w:r w:rsidRPr="002A4962">
        <w:t xml:space="preserve">ond method were typically complete within 3 minutes while those using the first method took approximately 15 minutes. No systematic differences were detected between </w:t>
      </w:r>
      <w:r w:rsidRPr="002A4962">
        <w:rPr>
          <w:i/>
        </w:rPr>
        <w:t>E</w:t>
      </w:r>
      <w:r w:rsidRPr="002A4962">
        <w:rPr>
          <w:vertAlign w:val="subscript"/>
        </w:rPr>
        <w:t>ZCP</w:t>
      </w:r>
      <w:r w:rsidRPr="002A4962">
        <w:t xml:space="preserve"> values determined by the two ap</w:t>
      </w:r>
      <w:r w:rsidR="00BA7DC3">
        <w:softHyphen/>
      </w:r>
      <w:r w:rsidRPr="002A4962">
        <w:t xml:space="preserve">proaches so the initial substrate concentrations were taken as those defining </w:t>
      </w:r>
      <w:r w:rsidRPr="002A4962">
        <w:rPr>
          <w:i/>
        </w:rPr>
        <w:t>E</w:t>
      </w:r>
      <w:r w:rsidRPr="002A4962">
        <w:rPr>
          <w:vertAlign w:val="subscript"/>
        </w:rPr>
        <w:t>ZCP</w:t>
      </w:r>
      <w:r w:rsidRPr="002A4962">
        <w:t>. The</w:t>
      </w:r>
      <w:r w:rsidR="007D26C9">
        <w:t xml:space="preserve"> corr</w:t>
      </w:r>
      <w:r w:rsidR="007D26C9">
        <w:t>e</w:t>
      </w:r>
      <w:r w:rsidR="007D26C9">
        <w:t xml:space="preserve">sponding values of </w:t>
      </w:r>
      <w:r w:rsidR="007D26C9" w:rsidRPr="008F3530">
        <w:rPr>
          <w:i/>
        </w:rPr>
        <w:t>E</w:t>
      </w:r>
      <w:r w:rsidR="007D26C9" w:rsidRPr="008F3530">
        <w:rPr>
          <w:vertAlign w:val="subscript"/>
        </w:rPr>
        <w:t xml:space="preserve">TT/TS </w:t>
      </w:r>
      <w:r w:rsidR="007D26C9">
        <w:t>lie between +18</w:t>
      </w:r>
      <w:r w:rsidR="00C72430">
        <w:t>7</w:t>
      </w:r>
      <w:r w:rsidR="007D26C9">
        <w:t xml:space="preserve"> and +20</w:t>
      </w:r>
      <w:r w:rsidR="00EC0EDD">
        <w:t>5</w:t>
      </w:r>
      <w:r w:rsidR="007D26C9">
        <w:t xml:space="preserve"> mV versus </w:t>
      </w:r>
      <w:proofErr w:type="gramStart"/>
      <w:r w:rsidR="007D26C9">
        <w:t>SHE</w:t>
      </w:r>
      <w:proofErr w:type="gramEnd"/>
      <w:r w:rsidR="007D26C9">
        <w:t xml:space="preserve">, Fig. 2 (black solid circles and triangles). </w:t>
      </w:r>
      <w:r w:rsidRPr="002A4962">
        <w:t xml:space="preserve"> </w:t>
      </w:r>
    </w:p>
    <w:p w:rsidR="001723B3" w:rsidRPr="002A4962" w:rsidRDefault="0070787F" w:rsidP="00EF6AD6">
      <w:pPr>
        <w:pStyle w:val="VCSchemeTitle"/>
        <w:jc w:val="center"/>
        <w:rPr>
          <w:sz w:val="18"/>
          <w:szCs w:val="18"/>
        </w:rPr>
      </w:pPr>
      <w:r>
        <w:rPr>
          <w:noProof/>
          <w:sz w:val="18"/>
          <w:szCs w:val="18"/>
        </w:rPr>
        <w:drawing>
          <wp:inline distT="0" distB="0" distL="0" distR="0">
            <wp:extent cx="2951567" cy="1962150"/>
            <wp:effectExtent l="0" t="0" r="127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51567" cy="1962150"/>
                    </a:xfrm>
                    <a:prstGeom prst="rect">
                      <a:avLst/>
                    </a:prstGeom>
                    <a:noFill/>
                  </pic:spPr>
                </pic:pic>
              </a:graphicData>
            </a:graphic>
          </wp:inline>
        </w:drawing>
      </w:r>
    </w:p>
    <w:p w:rsidR="001723B3" w:rsidRPr="002A4962" w:rsidRDefault="001723B3" w:rsidP="007D5685">
      <w:pPr>
        <w:pStyle w:val="VAFigureCaption"/>
      </w:pPr>
      <w:r w:rsidRPr="002A4962">
        <w:t>Figure 2.</w:t>
      </w:r>
      <w:r w:rsidRPr="002A4962">
        <w:rPr>
          <w:lang w:eastAsia="de-DE"/>
        </w:rPr>
        <w:t xml:space="preserve"> Values for the formal potential of the tetrathi</w:t>
      </w:r>
      <w:r w:rsidR="00BA7DC3">
        <w:rPr>
          <w:lang w:eastAsia="de-DE"/>
        </w:rPr>
        <w:softHyphen/>
      </w:r>
      <w:r w:rsidRPr="002A4962">
        <w:rPr>
          <w:lang w:eastAsia="de-DE"/>
        </w:rPr>
        <w:t>o</w:t>
      </w:r>
      <w:r w:rsidR="00731EF4">
        <w:rPr>
          <w:lang w:eastAsia="de-DE"/>
        </w:rPr>
        <w:softHyphen/>
      </w:r>
      <w:r w:rsidRPr="002A4962">
        <w:rPr>
          <w:lang w:eastAsia="de-DE"/>
        </w:rPr>
        <w:t xml:space="preserve">nate/thiosulfate couple, </w:t>
      </w:r>
      <w:r w:rsidRPr="002A4962">
        <w:rPr>
          <w:i/>
          <w:lang w:eastAsia="de-DE"/>
        </w:rPr>
        <w:t>E</w:t>
      </w:r>
      <w:r w:rsidRPr="002A4962">
        <w:rPr>
          <w:vertAlign w:val="subscript"/>
          <w:lang w:eastAsia="de-DE"/>
        </w:rPr>
        <w:t>TT/TS</w:t>
      </w:r>
      <w:r w:rsidRPr="002A4962">
        <w:rPr>
          <w:lang w:eastAsia="de-DE"/>
        </w:rPr>
        <w:t>, defined by protein film elec</w:t>
      </w:r>
      <w:r w:rsidR="00BA7DC3">
        <w:rPr>
          <w:lang w:eastAsia="de-DE"/>
        </w:rPr>
        <w:softHyphen/>
      </w:r>
      <w:r w:rsidRPr="002A4962">
        <w:rPr>
          <w:lang w:eastAsia="de-DE"/>
        </w:rPr>
        <w:t>trochemistry. Equal concentrations of S</w:t>
      </w:r>
      <w:r w:rsidRPr="002A4962">
        <w:rPr>
          <w:vertAlign w:val="subscript"/>
          <w:lang w:eastAsia="de-DE"/>
        </w:rPr>
        <w:t>2</w:t>
      </w:r>
      <w:r w:rsidRPr="002A4962">
        <w:rPr>
          <w:lang w:eastAsia="de-DE"/>
        </w:rPr>
        <w:t>O</w:t>
      </w:r>
      <w:r w:rsidRPr="002A4962">
        <w:rPr>
          <w:vertAlign w:val="subscript"/>
          <w:lang w:eastAsia="de-DE"/>
        </w:rPr>
        <w:t>3</w:t>
      </w:r>
      <w:r w:rsidRPr="002A4962">
        <w:rPr>
          <w:vertAlign w:val="superscript"/>
          <w:lang w:eastAsia="de-DE"/>
        </w:rPr>
        <w:t>2-</w:t>
      </w:r>
      <w:r w:rsidRPr="002A4962">
        <w:rPr>
          <w:lang w:eastAsia="de-DE"/>
        </w:rPr>
        <w:t xml:space="preserve"> and S</w:t>
      </w:r>
      <w:r w:rsidRPr="002A4962">
        <w:rPr>
          <w:vertAlign w:val="subscript"/>
          <w:lang w:eastAsia="de-DE"/>
        </w:rPr>
        <w:t>4</w:t>
      </w:r>
      <w:r w:rsidRPr="002A4962">
        <w:rPr>
          <w:lang w:eastAsia="de-DE"/>
        </w:rPr>
        <w:t>O</w:t>
      </w:r>
      <w:r w:rsidRPr="002A4962">
        <w:rPr>
          <w:vertAlign w:val="subscript"/>
          <w:lang w:eastAsia="de-DE"/>
        </w:rPr>
        <w:t>6</w:t>
      </w:r>
      <w:r w:rsidRPr="002A4962">
        <w:rPr>
          <w:vertAlign w:val="superscript"/>
          <w:lang w:eastAsia="de-DE"/>
        </w:rPr>
        <w:t>2-</w:t>
      </w:r>
      <w:r w:rsidRPr="002A4962">
        <w:rPr>
          <w:lang w:eastAsia="de-DE"/>
        </w:rPr>
        <w:t xml:space="preserve"> (black</w:t>
      </w:r>
      <w:r>
        <w:rPr>
          <w:lang w:eastAsia="de-DE"/>
        </w:rPr>
        <w:t>:</w:t>
      </w:r>
      <w:r w:rsidRPr="002A4962">
        <w:rPr>
          <w:lang w:eastAsia="de-DE"/>
        </w:rPr>
        <w:t xml:space="preserve"> symbols and x-axis</w:t>
      </w:r>
      <w:r>
        <w:rPr>
          <w:lang w:eastAsia="de-DE"/>
        </w:rPr>
        <w:t xml:space="preserve"> title</w:t>
      </w:r>
      <w:r w:rsidRPr="002A4962">
        <w:rPr>
          <w:lang w:eastAsia="de-DE"/>
        </w:rPr>
        <w:t>). Different concentrations of S</w:t>
      </w:r>
      <w:r w:rsidRPr="002A4962">
        <w:rPr>
          <w:vertAlign w:val="subscript"/>
          <w:lang w:eastAsia="de-DE"/>
        </w:rPr>
        <w:t>2</w:t>
      </w:r>
      <w:r w:rsidRPr="002A4962">
        <w:rPr>
          <w:lang w:eastAsia="de-DE"/>
        </w:rPr>
        <w:t>O</w:t>
      </w:r>
      <w:r w:rsidRPr="002A4962">
        <w:rPr>
          <w:vertAlign w:val="subscript"/>
          <w:lang w:eastAsia="de-DE"/>
        </w:rPr>
        <w:t>3</w:t>
      </w:r>
      <w:r w:rsidRPr="002A4962">
        <w:rPr>
          <w:vertAlign w:val="superscript"/>
          <w:lang w:eastAsia="de-DE"/>
        </w:rPr>
        <w:t>2-</w:t>
      </w:r>
      <w:r w:rsidRPr="002A4962">
        <w:rPr>
          <w:lang w:eastAsia="de-DE"/>
        </w:rPr>
        <w:t xml:space="preserve"> with [S</w:t>
      </w:r>
      <w:r w:rsidRPr="002A4962">
        <w:rPr>
          <w:vertAlign w:val="subscript"/>
          <w:lang w:eastAsia="de-DE"/>
        </w:rPr>
        <w:t>4</w:t>
      </w:r>
      <w:r w:rsidRPr="002A4962">
        <w:rPr>
          <w:lang w:eastAsia="de-DE"/>
        </w:rPr>
        <w:t>O</w:t>
      </w:r>
      <w:r w:rsidRPr="002A4962">
        <w:rPr>
          <w:vertAlign w:val="subscript"/>
          <w:lang w:eastAsia="de-DE"/>
        </w:rPr>
        <w:t>6</w:t>
      </w:r>
      <w:r w:rsidRPr="002A4962">
        <w:rPr>
          <w:vertAlign w:val="superscript"/>
          <w:lang w:eastAsia="de-DE"/>
        </w:rPr>
        <w:t>2-</w:t>
      </w:r>
      <w:r w:rsidRPr="002A4962">
        <w:rPr>
          <w:lang w:eastAsia="de-DE"/>
        </w:rPr>
        <w:t xml:space="preserve">] = 0.3 </w:t>
      </w:r>
      <w:proofErr w:type="spellStart"/>
      <w:r w:rsidRPr="002A4962">
        <w:rPr>
          <w:lang w:eastAsia="de-DE"/>
        </w:rPr>
        <w:t>mM</w:t>
      </w:r>
      <w:proofErr w:type="spellEnd"/>
      <w:r w:rsidRPr="002A4962">
        <w:rPr>
          <w:lang w:eastAsia="de-DE"/>
        </w:rPr>
        <w:t xml:space="preserve"> (</w:t>
      </w:r>
      <w:r>
        <w:rPr>
          <w:lang w:eastAsia="de-DE"/>
        </w:rPr>
        <w:t>red:</w:t>
      </w:r>
      <w:r w:rsidRPr="002A4962">
        <w:rPr>
          <w:lang w:eastAsia="de-DE"/>
        </w:rPr>
        <w:t xml:space="preserve"> crosses</w:t>
      </w:r>
      <w:r>
        <w:rPr>
          <w:lang w:eastAsia="de-DE"/>
        </w:rPr>
        <w:t xml:space="preserve"> and x-axis title</w:t>
      </w:r>
      <w:r w:rsidRPr="002A4962">
        <w:rPr>
          <w:lang w:eastAsia="de-DE"/>
        </w:rPr>
        <w:t>). Different concentrations of S</w:t>
      </w:r>
      <w:r w:rsidRPr="002A4962">
        <w:rPr>
          <w:vertAlign w:val="subscript"/>
          <w:lang w:eastAsia="de-DE"/>
        </w:rPr>
        <w:t>4</w:t>
      </w:r>
      <w:r w:rsidRPr="002A4962">
        <w:rPr>
          <w:lang w:eastAsia="de-DE"/>
        </w:rPr>
        <w:t>O</w:t>
      </w:r>
      <w:r w:rsidRPr="002A4962">
        <w:rPr>
          <w:vertAlign w:val="subscript"/>
          <w:lang w:eastAsia="de-DE"/>
        </w:rPr>
        <w:t>6</w:t>
      </w:r>
      <w:r w:rsidRPr="002A4962">
        <w:rPr>
          <w:vertAlign w:val="superscript"/>
          <w:lang w:eastAsia="de-DE"/>
        </w:rPr>
        <w:t>2-</w:t>
      </w:r>
      <w:r w:rsidRPr="002A4962">
        <w:rPr>
          <w:lang w:eastAsia="de-DE"/>
        </w:rPr>
        <w:t xml:space="preserve"> with [S</w:t>
      </w:r>
      <w:r w:rsidRPr="002A4962">
        <w:rPr>
          <w:vertAlign w:val="subscript"/>
          <w:lang w:eastAsia="de-DE"/>
        </w:rPr>
        <w:t>2</w:t>
      </w:r>
      <w:r w:rsidRPr="002A4962">
        <w:rPr>
          <w:lang w:eastAsia="de-DE"/>
        </w:rPr>
        <w:t>O</w:t>
      </w:r>
      <w:r w:rsidRPr="002A4962">
        <w:rPr>
          <w:vertAlign w:val="subscript"/>
          <w:lang w:eastAsia="de-DE"/>
        </w:rPr>
        <w:t>3</w:t>
      </w:r>
      <w:r w:rsidRPr="002A4962">
        <w:rPr>
          <w:vertAlign w:val="superscript"/>
          <w:lang w:eastAsia="de-DE"/>
        </w:rPr>
        <w:t>2-</w:t>
      </w:r>
      <w:r w:rsidRPr="002A4962">
        <w:rPr>
          <w:lang w:eastAsia="de-DE"/>
        </w:rPr>
        <w:t xml:space="preserve">] = 0.3 </w:t>
      </w:r>
      <w:proofErr w:type="spellStart"/>
      <w:r w:rsidRPr="002A4962">
        <w:rPr>
          <w:lang w:eastAsia="de-DE"/>
        </w:rPr>
        <w:t>mM</w:t>
      </w:r>
      <w:proofErr w:type="spellEnd"/>
      <w:r w:rsidRPr="002A4962">
        <w:rPr>
          <w:lang w:eastAsia="de-DE"/>
        </w:rPr>
        <w:t xml:space="preserve"> (blue</w:t>
      </w:r>
      <w:r>
        <w:rPr>
          <w:lang w:eastAsia="de-DE"/>
        </w:rPr>
        <w:t>:</w:t>
      </w:r>
      <w:r w:rsidRPr="002A4962">
        <w:rPr>
          <w:lang w:eastAsia="de-DE"/>
        </w:rPr>
        <w:t xml:space="preserve"> crosses</w:t>
      </w:r>
      <w:r>
        <w:rPr>
          <w:lang w:eastAsia="de-DE"/>
        </w:rPr>
        <w:t xml:space="preserve"> and x-axis title). See tex</w:t>
      </w:r>
      <w:r w:rsidRPr="002A4962">
        <w:rPr>
          <w:lang w:eastAsia="de-DE"/>
        </w:rPr>
        <w:t>t for details. Error bars were generated when at least two inde</w:t>
      </w:r>
      <w:r w:rsidR="0067018C">
        <w:rPr>
          <w:lang w:eastAsia="de-DE"/>
        </w:rPr>
        <w:softHyphen/>
      </w:r>
      <w:r w:rsidRPr="002A4962">
        <w:rPr>
          <w:lang w:eastAsia="de-DE"/>
        </w:rPr>
        <w:t>pendent measure</w:t>
      </w:r>
      <w:r w:rsidR="00BA7DC3">
        <w:rPr>
          <w:lang w:eastAsia="de-DE"/>
        </w:rPr>
        <w:softHyphen/>
      </w:r>
      <w:r w:rsidRPr="002A4962">
        <w:rPr>
          <w:lang w:eastAsia="de-DE"/>
        </w:rPr>
        <w:t xml:space="preserve">ments were made. </w:t>
      </w:r>
    </w:p>
    <w:p w:rsidR="001E1245" w:rsidRDefault="00B6793D" w:rsidP="00FC3ED6">
      <w:pPr>
        <w:pStyle w:val="TAMainText"/>
      </w:pPr>
      <w:r w:rsidRPr="002A4962">
        <w:t>Our analysis makes t</w:t>
      </w:r>
      <w:r w:rsidR="00D97995" w:rsidRPr="002A4962">
        <w:t>wo assumptions</w:t>
      </w:r>
      <w:r w:rsidRPr="002A4962">
        <w:t xml:space="preserve">. </w:t>
      </w:r>
      <w:r w:rsidR="00D97995" w:rsidRPr="002A4962">
        <w:t>First, that the e</w:t>
      </w:r>
      <w:r w:rsidR="00D97995" w:rsidRPr="002A4962">
        <w:t>n</w:t>
      </w:r>
      <w:r w:rsidR="00D97995" w:rsidRPr="002A4962">
        <w:t xml:space="preserve">zymes are true catalysts, changing the rate of attainment of equilibrium but not the position of equilibrium. </w:t>
      </w:r>
      <w:proofErr w:type="gramStart"/>
      <w:r w:rsidR="00D97995" w:rsidRPr="002A4962">
        <w:t>Second, that</w:t>
      </w:r>
      <w:proofErr w:type="gramEnd"/>
      <w:r w:rsidR="00D97995" w:rsidRPr="002A4962">
        <w:t xml:space="preserve"> the activities of thiosulfate and tetrathionate equate to their </w:t>
      </w:r>
      <w:r w:rsidR="00780AE7" w:rsidRPr="002A4962">
        <w:t xml:space="preserve">respective </w:t>
      </w:r>
      <w:r w:rsidR="00D97995" w:rsidRPr="002A4962">
        <w:t>concentrations under our experimental con</w:t>
      </w:r>
      <w:r w:rsidR="0067018C">
        <w:softHyphen/>
      </w:r>
      <w:r w:rsidR="00D97995" w:rsidRPr="002A4962">
        <w:t xml:space="preserve">ditions. </w:t>
      </w:r>
      <w:r w:rsidR="007E4995" w:rsidRPr="002A4962">
        <w:t xml:space="preserve">Further experiments performed with </w:t>
      </w:r>
      <w:proofErr w:type="spellStart"/>
      <w:r w:rsidR="007E4995" w:rsidRPr="002A4962">
        <w:rPr>
          <w:i/>
        </w:rPr>
        <w:t>Cj</w:t>
      </w:r>
      <w:r w:rsidR="00030760">
        <w:t>TsdA</w:t>
      </w:r>
      <w:proofErr w:type="spellEnd"/>
      <w:r w:rsidR="00030760">
        <w:t xml:space="preserve"> </w:t>
      </w:r>
      <w:r w:rsidR="007E4995" w:rsidRPr="002A4962">
        <w:t>con</w:t>
      </w:r>
      <w:r w:rsidR="00BA7DC3">
        <w:softHyphen/>
      </w:r>
      <w:r w:rsidR="007E4995" w:rsidRPr="002A4962">
        <w:t xml:space="preserve">firmed the validity of our approach. </w:t>
      </w:r>
      <w:r w:rsidR="00030760">
        <w:t xml:space="preserve">Thiosulfate was </w:t>
      </w:r>
      <w:r w:rsidR="0043498C" w:rsidRPr="002A4962">
        <w:t>intro</w:t>
      </w:r>
      <w:r w:rsidR="00BA7DC3">
        <w:softHyphen/>
      </w:r>
      <w:r w:rsidR="0043498C" w:rsidRPr="002A4962">
        <w:t xml:space="preserve">duced to a solution that contained 0.3 </w:t>
      </w:r>
      <w:proofErr w:type="spellStart"/>
      <w:r w:rsidR="0043498C" w:rsidRPr="002A4962">
        <w:t>mM</w:t>
      </w:r>
      <w:proofErr w:type="spellEnd"/>
      <w:r w:rsidR="0043498C" w:rsidRPr="002A4962">
        <w:t xml:space="preserve"> tetrathionate but initially no thiosulfa</w:t>
      </w:r>
      <w:r w:rsidR="00030760">
        <w:t xml:space="preserve">te, Fig. 3A. </w:t>
      </w:r>
      <w:r w:rsidR="00A009BC">
        <w:t>C</w:t>
      </w:r>
      <w:r w:rsidR="00030760">
        <w:t xml:space="preserve">yclic voltammetry </w:t>
      </w:r>
      <w:r w:rsidR="0043498C" w:rsidRPr="002A4962">
        <w:t>quanti</w:t>
      </w:r>
      <w:r w:rsidR="00BA7DC3">
        <w:softHyphen/>
      </w:r>
      <w:r w:rsidR="0043498C" w:rsidRPr="002A4962">
        <w:t xml:space="preserve">fied </w:t>
      </w:r>
      <w:r w:rsidR="00F5451F">
        <w:t>an</w:t>
      </w:r>
      <w:r w:rsidR="0043498C" w:rsidRPr="002A4962">
        <w:t xml:space="preserve"> increase in </w:t>
      </w:r>
      <w:r w:rsidR="00F5451F">
        <w:t xml:space="preserve">the ratio of </w:t>
      </w:r>
      <w:r w:rsidR="0043498C" w:rsidRPr="002A4962">
        <w:t>oxidative relative to reductive catalysis</w:t>
      </w:r>
      <w:r w:rsidR="00A009BC">
        <w:t xml:space="preserve"> o</w:t>
      </w:r>
      <w:r w:rsidR="00A009BC" w:rsidRPr="002A4962">
        <w:t>n increasing the thiosulfate con</w:t>
      </w:r>
      <w:r w:rsidR="00A009BC">
        <w:softHyphen/>
      </w:r>
      <w:r w:rsidR="00A009BC" w:rsidRPr="002A4962">
        <w:t xml:space="preserve">centration from 0.3 to 12 </w:t>
      </w:r>
      <w:proofErr w:type="spellStart"/>
      <w:r w:rsidR="00A009BC" w:rsidRPr="002A4962">
        <w:t>mM</w:t>
      </w:r>
      <w:r w:rsidR="0043498C" w:rsidRPr="002A4962">
        <w:t>.</w:t>
      </w:r>
      <w:proofErr w:type="spellEnd"/>
      <w:r w:rsidR="00656DB4" w:rsidRPr="002A4962">
        <w:t xml:space="preserve"> In addition </w:t>
      </w:r>
      <w:r w:rsidR="0043498C" w:rsidRPr="002A4962">
        <w:rPr>
          <w:i/>
        </w:rPr>
        <w:t>E</w:t>
      </w:r>
      <w:r w:rsidR="0043498C" w:rsidRPr="002A4962">
        <w:rPr>
          <w:vertAlign w:val="subscript"/>
        </w:rPr>
        <w:t>ZCP</w:t>
      </w:r>
      <w:r w:rsidR="0043498C" w:rsidRPr="002A4962">
        <w:t xml:space="preserve"> </w:t>
      </w:r>
      <w:r w:rsidR="00BE6CCF" w:rsidRPr="002A4962">
        <w:t xml:space="preserve">was displaced </w:t>
      </w:r>
      <w:r w:rsidR="007A7955" w:rsidRPr="002A4962">
        <w:t xml:space="preserve">by </w:t>
      </w:r>
      <w:r w:rsidR="00BE6CCF" w:rsidRPr="002A4962">
        <w:t>a</w:t>
      </w:r>
      <w:r w:rsidR="0043498C" w:rsidRPr="002A4962">
        <w:t>pproxi</w:t>
      </w:r>
      <w:r w:rsidR="00BA7DC3">
        <w:softHyphen/>
      </w:r>
      <w:r w:rsidR="0043498C" w:rsidRPr="002A4962">
        <w:t>ma</w:t>
      </w:r>
      <w:r w:rsidR="00D42A88">
        <w:softHyphen/>
      </w:r>
      <w:r w:rsidR="0043498C" w:rsidRPr="002A4962">
        <w:t>tely</w:t>
      </w:r>
      <w:r w:rsidR="000E1F93">
        <w:t xml:space="preserve"> </w:t>
      </w:r>
      <w:r w:rsidR="000E1F93">
        <w:noBreakHyphen/>
      </w:r>
      <w:r w:rsidR="0043498C" w:rsidRPr="002A4962">
        <w:t xml:space="preserve">100 mV. </w:t>
      </w:r>
      <w:r w:rsidR="00BE6CCF" w:rsidRPr="002A4962">
        <w:t>In a</w:t>
      </w:r>
      <w:r w:rsidR="0043498C" w:rsidRPr="002A4962">
        <w:t xml:space="preserve"> separate experiment the tetrathi</w:t>
      </w:r>
      <w:r w:rsidR="00BA7DC3">
        <w:softHyphen/>
      </w:r>
      <w:r w:rsidR="0043498C" w:rsidRPr="002A4962">
        <w:t xml:space="preserve">onate concentration </w:t>
      </w:r>
      <w:r w:rsidR="00BE6CCF" w:rsidRPr="002A4962">
        <w:t xml:space="preserve">was increased </w:t>
      </w:r>
      <w:r w:rsidR="0043498C" w:rsidRPr="002A4962">
        <w:t xml:space="preserve">from 0.05 to </w:t>
      </w:r>
      <w:r w:rsidR="007A7955" w:rsidRPr="002A4962">
        <w:t>0.</w:t>
      </w:r>
      <w:r w:rsidR="0043498C" w:rsidRPr="002A4962">
        <w:t xml:space="preserve">5 </w:t>
      </w:r>
      <w:proofErr w:type="spellStart"/>
      <w:r w:rsidR="0043498C" w:rsidRPr="002A4962">
        <w:t>mM</w:t>
      </w:r>
      <w:proofErr w:type="spellEnd"/>
      <w:r w:rsidR="0043498C" w:rsidRPr="002A4962">
        <w:t xml:space="preserve"> in a sol</w:t>
      </w:r>
      <w:r w:rsidR="0043498C" w:rsidRPr="002A4962">
        <w:t>u</w:t>
      </w:r>
      <w:r w:rsidR="0043498C" w:rsidRPr="002A4962">
        <w:t xml:space="preserve">tion containing </w:t>
      </w:r>
      <w:r w:rsidR="00BE6CCF" w:rsidRPr="002A4962">
        <w:t xml:space="preserve">initially </w:t>
      </w:r>
      <w:r w:rsidR="0043498C" w:rsidRPr="002A4962">
        <w:t xml:space="preserve">0.3 </w:t>
      </w:r>
      <w:proofErr w:type="spellStart"/>
      <w:r w:rsidR="0043498C" w:rsidRPr="002A4962">
        <w:t>mM</w:t>
      </w:r>
      <w:proofErr w:type="spellEnd"/>
      <w:r w:rsidR="0043498C" w:rsidRPr="002A4962">
        <w:t xml:space="preserve"> thiosulfate, Fig. 3B.</w:t>
      </w:r>
      <w:r w:rsidR="00BE6CCF" w:rsidRPr="002A4962">
        <w:t xml:space="preserve"> </w:t>
      </w:r>
      <w:r w:rsidR="007A7955" w:rsidRPr="002A4962">
        <w:t xml:space="preserve">Here </w:t>
      </w:r>
      <w:r w:rsidR="00BE6CCF" w:rsidRPr="002A4962">
        <w:rPr>
          <w:i/>
        </w:rPr>
        <w:t>E</w:t>
      </w:r>
      <w:r w:rsidR="00BE6CCF" w:rsidRPr="002A4962">
        <w:rPr>
          <w:vertAlign w:val="subscript"/>
        </w:rPr>
        <w:t>ZCP</w:t>
      </w:r>
      <w:r w:rsidR="00BE6CCF" w:rsidRPr="002A4962">
        <w:t xml:space="preserve"> was displaced </w:t>
      </w:r>
      <w:r w:rsidR="007A7955" w:rsidRPr="002A4962">
        <w:t xml:space="preserve">by </w:t>
      </w:r>
      <w:r w:rsidR="00BE6CCF" w:rsidRPr="002A4962">
        <w:t xml:space="preserve">approximately </w:t>
      </w:r>
      <w:r w:rsidR="007A7955" w:rsidRPr="002A4962">
        <w:t>+</w:t>
      </w:r>
      <w:r w:rsidR="00BE6CCF" w:rsidRPr="002A4962">
        <w:t xml:space="preserve">30 mV. </w:t>
      </w:r>
      <w:r w:rsidR="00780AE7" w:rsidRPr="002A4962">
        <w:t>How</w:t>
      </w:r>
      <w:r w:rsidR="00BA7DC3">
        <w:softHyphen/>
      </w:r>
      <w:r w:rsidR="00780AE7" w:rsidRPr="002A4962">
        <w:t>ever f</w:t>
      </w:r>
      <w:r w:rsidR="0043498C" w:rsidRPr="002A4962">
        <w:t xml:space="preserve">or both data sets the </w:t>
      </w:r>
      <w:r w:rsidR="0086287E" w:rsidRPr="002A4962">
        <w:t xml:space="preserve">values of </w:t>
      </w:r>
      <w:r w:rsidR="0086287E" w:rsidRPr="002A4962">
        <w:rPr>
          <w:i/>
        </w:rPr>
        <w:t>E</w:t>
      </w:r>
      <w:r w:rsidR="0086287E" w:rsidRPr="002A4962">
        <w:rPr>
          <w:vertAlign w:val="subscript"/>
        </w:rPr>
        <w:t>T</w:t>
      </w:r>
      <w:r w:rsidR="001E1245" w:rsidRPr="002A4962">
        <w:rPr>
          <w:vertAlign w:val="subscript"/>
        </w:rPr>
        <w:t>T</w:t>
      </w:r>
      <w:r w:rsidR="0086287E" w:rsidRPr="002A4962">
        <w:rPr>
          <w:vertAlign w:val="subscript"/>
        </w:rPr>
        <w:t>/T</w:t>
      </w:r>
      <w:r w:rsidR="001E1245" w:rsidRPr="002A4962">
        <w:rPr>
          <w:vertAlign w:val="subscript"/>
        </w:rPr>
        <w:t>S</w:t>
      </w:r>
      <w:r w:rsidR="0086287E" w:rsidRPr="002A4962">
        <w:t xml:space="preserve"> calculated from Eq. </w:t>
      </w:r>
      <w:r w:rsidR="00336540">
        <w:t>2</w:t>
      </w:r>
      <w:r w:rsidR="0086287E" w:rsidRPr="002A4962">
        <w:t xml:space="preserve"> were essentially independent of the </w:t>
      </w:r>
      <w:proofErr w:type="spellStart"/>
      <w:r w:rsidR="0043498C" w:rsidRPr="002A4962">
        <w:t>thiosul</w:t>
      </w:r>
      <w:r w:rsidR="0067018C">
        <w:softHyphen/>
      </w:r>
      <w:r w:rsidR="0043498C" w:rsidRPr="002A4962">
        <w:t>fate</w:t>
      </w:r>
      <w:proofErr w:type="gramStart"/>
      <w:r w:rsidR="0043498C" w:rsidRPr="002A4962">
        <w:t>:tetrathionate</w:t>
      </w:r>
      <w:proofErr w:type="spellEnd"/>
      <w:proofErr w:type="gramEnd"/>
      <w:r w:rsidR="0043498C" w:rsidRPr="002A4962">
        <w:t xml:space="preserve"> </w:t>
      </w:r>
      <w:r w:rsidR="0086287E" w:rsidRPr="002A4962">
        <w:t>ratio</w:t>
      </w:r>
      <w:r w:rsidR="0043498C" w:rsidRPr="002A4962">
        <w:t>, Fig. 2</w:t>
      </w:r>
      <w:r w:rsidR="00626578" w:rsidRPr="002A4962">
        <w:t xml:space="preserve"> </w:t>
      </w:r>
      <w:r w:rsidR="00780AE7" w:rsidRPr="002A4962">
        <w:t>(</w:t>
      </w:r>
      <w:r w:rsidR="00F5451F">
        <w:t xml:space="preserve">red and blue </w:t>
      </w:r>
      <w:r w:rsidR="00626578" w:rsidRPr="002A4962">
        <w:rPr>
          <w:color w:val="000000" w:themeColor="text1"/>
        </w:rPr>
        <w:t>crosses</w:t>
      </w:r>
      <w:r w:rsidR="00780AE7" w:rsidRPr="002A4962">
        <w:rPr>
          <w:color w:val="000000" w:themeColor="text1"/>
        </w:rPr>
        <w:t>)</w:t>
      </w:r>
      <w:r w:rsidR="0043498C" w:rsidRPr="002A4962">
        <w:t xml:space="preserve">. </w:t>
      </w:r>
      <w:r w:rsidR="001D42C7" w:rsidRPr="002A4962">
        <w:t xml:space="preserve">The </w:t>
      </w:r>
      <w:r w:rsidR="00780AE7" w:rsidRPr="002A4962">
        <w:t xml:space="preserve">values were </w:t>
      </w:r>
      <w:r w:rsidR="00F5451F">
        <w:t xml:space="preserve">also </w:t>
      </w:r>
      <w:r w:rsidR="001E1245" w:rsidRPr="002A4962">
        <w:t xml:space="preserve">in </w:t>
      </w:r>
      <w:r w:rsidR="00780AE7" w:rsidRPr="002A4962">
        <w:t xml:space="preserve">accord </w:t>
      </w:r>
      <w:r w:rsidR="0043498C" w:rsidRPr="002A4962">
        <w:t>with th</w:t>
      </w:r>
      <w:r w:rsidR="001D42C7" w:rsidRPr="002A4962">
        <w:t>os</w:t>
      </w:r>
      <w:r w:rsidR="0043498C" w:rsidRPr="002A4962">
        <w:t xml:space="preserve">e </w:t>
      </w:r>
      <w:r w:rsidR="0086287E" w:rsidRPr="002A4962">
        <w:t>de</w:t>
      </w:r>
      <w:r w:rsidR="001D42C7" w:rsidRPr="002A4962">
        <w:t xml:space="preserve">fined </w:t>
      </w:r>
      <w:r w:rsidR="00780AE7" w:rsidRPr="002A4962">
        <w:t xml:space="preserve">from </w:t>
      </w:r>
      <w:r w:rsidR="00FD7005" w:rsidRPr="002A4962">
        <w:t xml:space="preserve">the </w:t>
      </w:r>
      <w:r w:rsidR="00780AE7" w:rsidRPr="002A4962">
        <w:t xml:space="preserve">measurements </w:t>
      </w:r>
      <w:r w:rsidR="00FD7005" w:rsidRPr="002A4962">
        <w:t xml:space="preserve">with </w:t>
      </w:r>
      <w:r w:rsidR="00030760">
        <w:t>equal co</w:t>
      </w:r>
      <w:r w:rsidR="00030760">
        <w:t>n</w:t>
      </w:r>
      <w:r w:rsidR="00030760">
        <w:t xml:space="preserve">centrations of both </w:t>
      </w:r>
      <w:r w:rsidR="0086287E" w:rsidRPr="002A4962">
        <w:t>substrate</w:t>
      </w:r>
      <w:r w:rsidR="00F03685" w:rsidRPr="002A4962">
        <w:t>s</w:t>
      </w:r>
      <w:r w:rsidR="0086287E" w:rsidRPr="002A4962">
        <w:t>.</w:t>
      </w:r>
    </w:p>
    <w:p w:rsidR="00090310" w:rsidRDefault="00090310">
      <w:pPr>
        <w:pStyle w:val="TAMainText"/>
      </w:pPr>
      <w:r w:rsidRPr="002A4962">
        <w:t xml:space="preserve">The cyclic </w:t>
      </w:r>
      <w:proofErr w:type="spellStart"/>
      <w:r w:rsidRPr="002A4962">
        <w:t>voltammograms</w:t>
      </w:r>
      <w:proofErr w:type="spellEnd"/>
      <w:r w:rsidRPr="002A4962">
        <w:t xml:space="preserve"> </w:t>
      </w:r>
      <w:r w:rsidR="00913469">
        <w:t xml:space="preserve">presented above contain a wealth of information on the catalytic properties of </w:t>
      </w:r>
      <w:proofErr w:type="spellStart"/>
      <w:r w:rsidR="00913469">
        <w:t>TsdA</w:t>
      </w:r>
      <w:proofErr w:type="spellEnd"/>
      <w:r w:rsidR="00913469">
        <w:t xml:space="preserve"> enzymes. For example, thiosulfate is seen to inhibit tetrath</w:t>
      </w:r>
      <w:r w:rsidR="00913469">
        <w:t>i</w:t>
      </w:r>
      <w:r w:rsidR="00913469">
        <w:t>onate reduction</w:t>
      </w:r>
      <w:r w:rsidRPr="002A4962">
        <w:t>, Fig. 3A</w:t>
      </w:r>
      <w:r w:rsidR="00913469">
        <w:t>, and t</w:t>
      </w:r>
      <w:r w:rsidRPr="002A4962">
        <w:t xml:space="preserve">etrathionate </w:t>
      </w:r>
      <w:r w:rsidR="00913469">
        <w:t xml:space="preserve">to </w:t>
      </w:r>
      <w:r w:rsidRPr="002A4962">
        <w:t xml:space="preserve">inhibit thiosulfate oxidation, Fig. 3B. </w:t>
      </w:r>
      <w:r w:rsidR="008D782E">
        <w:t>However, t</w:t>
      </w:r>
      <w:r w:rsidRPr="002A4962">
        <w:t xml:space="preserve">hese </w:t>
      </w:r>
      <w:r w:rsidR="00F5451F">
        <w:t xml:space="preserve">features of </w:t>
      </w:r>
      <w:r w:rsidRPr="002A4962">
        <w:t xml:space="preserve">the catalytic properties of </w:t>
      </w:r>
      <w:proofErr w:type="spellStart"/>
      <w:r w:rsidRPr="002A4962">
        <w:rPr>
          <w:i/>
        </w:rPr>
        <w:t>Cj</w:t>
      </w:r>
      <w:r w:rsidRPr="002A4962">
        <w:t>TsdA</w:t>
      </w:r>
      <w:proofErr w:type="spellEnd"/>
      <w:r w:rsidRPr="002A4962">
        <w:t xml:space="preserve"> will be de</w:t>
      </w:r>
      <w:r w:rsidR="00BA7DC3">
        <w:softHyphen/>
      </w:r>
      <w:r w:rsidRPr="002A4962">
        <w:t xml:space="preserve">scribed more fully </w:t>
      </w:r>
      <w:r w:rsidRPr="002A4962">
        <w:lastRenderedPageBreak/>
        <w:t>elsewhere (</w:t>
      </w:r>
      <w:r>
        <w:t xml:space="preserve">JK, CD, </w:t>
      </w:r>
      <w:r w:rsidRPr="001C1445">
        <w:t>JB manuscript in prep</w:t>
      </w:r>
      <w:r w:rsidR="00BA7DC3">
        <w:softHyphen/>
      </w:r>
      <w:r w:rsidRPr="001C1445">
        <w:t>aration).</w:t>
      </w:r>
      <w:r w:rsidRPr="002A4962">
        <w:t xml:space="preserve"> Here we retain a focus on the experimental resolution of </w:t>
      </w:r>
      <w:r w:rsidRPr="002A4962">
        <w:rPr>
          <w:i/>
        </w:rPr>
        <w:t>E</w:t>
      </w:r>
      <w:r w:rsidRPr="002A4962">
        <w:rPr>
          <w:vertAlign w:val="subscript"/>
        </w:rPr>
        <w:t xml:space="preserve">TT/TS </w:t>
      </w:r>
      <w:r w:rsidRPr="002A4962">
        <w:t>and a final series of experiments that ad</w:t>
      </w:r>
      <w:r w:rsidR="00BA7DC3">
        <w:softHyphen/>
      </w:r>
      <w:r w:rsidRPr="002A4962">
        <w:t>dress the pH dependence of this parameter. Neither thio</w:t>
      </w:r>
      <w:r w:rsidR="0067018C">
        <w:softHyphen/>
      </w:r>
      <w:r w:rsidRPr="002A4962">
        <w:t>sulfate nor tetrathionate change their protonation state be</w:t>
      </w:r>
      <w:r w:rsidR="00BA7DC3">
        <w:softHyphen/>
      </w:r>
      <w:r w:rsidRPr="002A4962">
        <w:t>tween pH</w:t>
      </w:r>
      <w:r w:rsidR="000E1F93">
        <w:t> </w:t>
      </w:r>
      <w:r w:rsidRPr="002A4962">
        <w:t>5 and pH 7</w:t>
      </w:r>
      <w:r w:rsidR="001F5C71" w:rsidRPr="002A4962">
        <w:fldChar w:fldCharType="begin" w:fldLock="1"/>
      </w:r>
      <w:r w:rsidR="003B2989">
        <w:instrText>ADDIN CSL_CITATION { "citationItems" : [ { "id" : "ITEM-1", "itemData" : { "DOI" : "10.1016/0016-7037(92)90295-T", "ISSN" : "00167037", "abstract" : "Equilibrium potential-pH diagrams were constructed using a large set of thermodynamic data for a number of sulphur compounds, from 0 to 150\u00b0C. These diagrams were used to determine how access of oxygen in H2S bearing solutions influences corrosion. It is shown that occasional access of limited amounts of oxygen is not necessarily corrosive, but that continuous access of even traces of oxygen to a same volume of H2S solution can produce an important pH drop which may be the cause of corrosion. In the present state of knowledge concerning the reversibility or irreversibility of the reactions, these equilibrium diagrams should be considered as a guide for experimental researches involving systematic electrode potential and pH measurements, which might lead to a perfect understanding and mastering of the corrosions.", "author" : [ { "dropping-particle" : "", "family" : "Pourbaix", "given" : "Marcel", "non-dropping-particle" : "", "parse-names" : false, "suffix" : "" }, { "dropping-particle" : "", "family" : "Pourbaix", "given" : "Antoine", "non-dropping-particle" : "", "parse-names" : false, "suffix" : "" } ], "container-title" : "Geochimica et Cosmochimica Acta", "id" : "ITEM-1", "issue" : "8", "issued" : { "date-parts" : [ [ "1992" ] ] }, "page" : "3157-3178", "title" : "Potential-pH equilibrium diagrams for the system S-H2O from 25 to 150\u00b0C: Influence of access of oxygen in sulphide solutions", "type" : "article-journal", "volume" : "56" }, "uris" : [ "http://www.mendeley.com/documents/?uuid=3c7949fc-7851-4fc2-aa2e-ee3a060e8cc2" ] } ], "mendeley" : { "formattedCitation" : "&lt;sup&gt;9&lt;/sup&gt;", "plainTextFormattedCitation" : "9", "previouslyFormattedCitation" : "&lt;sup&gt;9&lt;/sup&gt;" }, "properties" : { "noteIndex" : 0 }, "schema" : "https://github.com/citation-style-language/schema/raw/master/csl-citation.json" }</w:instrText>
      </w:r>
      <w:r w:rsidR="001F5C71" w:rsidRPr="002A4962">
        <w:fldChar w:fldCharType="separate"/>
      </w:r>
      <w:r w:rsidR="00B22ABA" w:rsidRPr="00B22ABA">
        <w:rPr>
          <w:noProof/>
          <w:vertAlign w:val="superscript"/>
        </w:rPr>
        <w:t>9</w:t>
      </w:r>
      <w:r w:rsidR="001F5C71" w:rsidRPr="002A4962">
        <w:fldChar w:fldCharType="end"/>
      </w:r>
      <w:r w:rsidRPr="002A4962">
        <w:t>. As a</w:t>
      </w:r>
      <w:r>
        <w:t xml:space="preserve"> </w:t>
      </w:r>
      <w:r w:rsidRPr="002A4962">
        <w:t xml:space="preserve">consequence </w:t>
      </w:r>
      <w:r w:rsidRPr="002A4962">
        <w:rPr>
          <w:i/>
        </w:rPr>
        <w:t>E</w:t>
      </w:r>
      <w:r w:rsidRPr="002A4962">
        <w:rPr>
          <w:vertAlign w:val="subscript"/>
        </w:rPr>
        <w:t xml:space="preserve">TT/TS </w:t>
      </w:r>
      <w:r w:rsidRPr="002A4962">
        <w:t>will be inde</w:t>
      </w:r>
      <w:r w:rsidR="00BA7DC3">
        <w:softHyphen/>
      </w:r>
      <w:r w:rsidRPr="002A4962">
        <w:t>pendent of pH in this range. Measurements in</w:t>
      </w:r>
      <w:r>
        <w:t xml:space="preserve"> </w:t>
      </w:r>
      <w:r w:rsidRPr="002A4962">
        <w:t>solutions of equal concentrations of thi</w:t>
      </w:r>
      <w:r w:rsidRPr="002A4962">
        <w:t>o</w:t>
      </w:r>
      <w:r w:rsidRPr="002A4962">
        <w:t>sulfate and</w:t>
      </w:r>
      <w:r>
        <w:t xml:space="preserve"> </w:t>
      </w:r>
      <w:r w:rsidRPr="002A4962">
        <w:t xml:space="preserve">tetrathionate </w:t>
      </w:r>
      <w:r w:rsidR="001B46B7">
        <w:t xml:space="preserve">with </w:t>
      </w:r>
      <w:proofErr w:type="spellStart"/>
      <w:r w:rsidR="001B46B7" w:rsidRPr="008F3530">
        <w:rPr>
          <w:i/>
        </w:rPr>
        <w:t>Cj</w:t>
      </w:r>
      <w:r w:rsidR="001B46B7">
        <w:t>TsdA</w:t>
      </w:r>
      <w:proofErr w:type="spellEnd"/>
      <w:r w:rsidR="001B46B7">
        <w:t xml:space="preserve"> </w:t>
      </w:r>
      <w:r w:rsidRPr="002A4962">
        <w:t xml:space="preserve">at pH 6 or at pH 7 </w:t>
      </w:r>
      <w:r w:rsidRPr="00EA6821">
        <w:t xml:space="preserve">generated </w:t>
      </w:r>
      <w:r w:rsidRPr="00EA6821">
        <w:rPr>
          <w:i/>
        </w:rPr>
        <w:t>E</w:t>
      </w:r>
      <w:r w:rsidRPr="00EA6821">
        <w:rPr>
          <w:vertAlign w:val="subscript"/>
        </w:rPr>
        <w:t xml:space="preserve">TT/TS </w:t>
      </w:r>
      <w:r w:rsidR="00D40224" w:rsidRPr="00EA6821">
        <w:t>values w</w:t>
      </w:r>
      <w:r w:rsidRPr="00EA6821">
        <w:t>ith the predicted</w:t>
      </w:r>
      <w:r w:rsidRPr="002A4962">
        <w:t xml:space="preserve"> behavior, Fig.</w:t>
      </w:r>
      <w:r w:rsidR="000E1F93">
        <w:t> </w:t>
      </w:r>
      <w:r w:rsidRPr="002A4962">
        <w:t xml:space="preserve">2 (open circles and squares). Taking </w:t>
      </w:r>
      <w:r w:rsidR="00740BA7">
        <w:t xml:space="preserve">the </w:t>
      </w:r>
      <w:r w:rsidRPr="002A4962">
        <w:t>avera</w:t>
      </w:r>
      <w:r>
        <w:t xml:space="preserve">ge of </w:t>
      </w:r>
      <w:r w:rsidR="00EE1444">
        <w:t xml:space="preserve">the </w:t>
      </w:r>
      <w:r w:rsidR="00EC0EDD">
        <w:t>1</w:t>
      </w:r>
      <w:r w:rsidR="00C72430">
        <w:t>11</w:t>
      </w:r>
      <w:r w:rsidR="00740BA7">
        <w:t xml:space="preserve"> data points represented in Fig. 2 </w:t>
      </w:r>
      <w:r>
        <w:t xml:space="preserve">we </w:t>
      </w:r>
      <w:r w:rsidRPr="002A4962">
        <w:t xml:space="preserve">determine a value for </w:t>
      </w:r>
      <w:r w:rsidRPr="002A4962">
        <w:rPr>
          <w:i/>
          <w:color w:val="000000"/>
        </w:rPr>
        <w:t>E</w:t>
      </w:r>
      <w:r w:rsidRPr="002A4962">
        <w:rPr>
          <w:color w:val="000000"/>
          <w:vertAlign w:val="subscript"/>
        </w:rPr>
        <w:t>TT/TS</w:t>
      </w:r>
      <w:r w:rsidRPr="002A4962">
        <w:t xml:space="preserve"> of </w:t>
      </w:r>
      <w:r w:rsidR="00D40224" w:rsidRPr="00040045">
        <w:t>+</w:t>
      </w:r>
      <w:r w:rsidRPr="00040045">
        <w:t>198</w:t>
      </w:r>
      <w:r w:rsidR="000E1F93" w:rsidRPr="00040045">
        <w:t> </w:t>
      </w:r>
      <w:r w:rsidRPr="00040045">
        <w:t>±</w:t>
      </w:r>
      <w:r w:rsidR="000E1F93" w:rsidRPr="00040045">
        <w:t> </w:t>
      </w:r>
      <w:r w:rsidR="008F3530">
        <w:t>4</w:t>
      </w:r>
      <w:r w:rsidR="00C72430" w:rsidRPr="00040045">
        <w:t> </w:t>
      </w:r>
      <w:r w:rsidRPr="00040045">
        <w:t xml:space="preserve">mV </w:t>
      </w:r>
      <w:r w:rsidRPr="00040045">
        <w:rPr>
          <w:i/>
          <w:color w:val="000000"/>
        </w:rPr>
        <w:t>v</w:t>
      </w:r>
      <w:r w:rsidR="00D40224" w:rsidRPr="00040045">
        <w:rPr>
          <w:i/>
          <w:color w:val="000000"/>
        </w:rPr>
        <w:t>er</w:t>
      </w:r>
      <w:r w:rsidRPr="00040045">
        <w:rPr>
          <w:i/>
          <w:color w:val="000000"/>
        </w:rPr>
        <w:t>s</w:t>
      </w:r>
      <w:r w:rsidR="00D40224" w:rsidRPr="00040045">
        <w:rPr>
          <w:i/>
          <w:color w:val="000000"/>
        </w:rPr>
        <w:t>us</w:t>
      </w:r>
      <w:r w:rsidRPr="00040045">
        <w:rPr>
          <w:color w:val="000000"/>
        </w:rPr>
        <w:t xml:space="preserve"> </w:t>
      </w:r>
      <w:proofErr w:type="gramStart"/>
      <w:r w:rsidRPr="00040045">
        <w:rPr>
          <w:color w:val="000000"/>
        </w:rPr>
        <w:t>SHE</w:t>
      </w:r>
      <w:proofErr w:type="gramEnd"/>
      <w:r w:rsidR="00740BA7">
        <w:rPr>
          <w:color w:val="000000"/>
        </w:rPr>
        <w:t>.</w:t>
      </w:r>
      <w:r w:rsidR="007C793A">
        <w:rPr>
          <w:color w:val="000000"/>
        </w:rPr>
        <w:t xml:space="preserve"> </w:t>
      </w:r>
    </w:p>
    <w:p w:rsidR="001723B3" w:rsidRPr="002A4962" w:rsidRDefault="00090310" w:rsidP="007D5685">
      <w:pPr>
        <w:pStyle w:val="VCSchemeTitle"/>
        <w:jc w:val="center"/>
        <w:rPr>
          <w:sz w:val="18"/>
          <w:szCs w:val="18"/>
        </w:rPr>
      </w:pPr>
      <w:r>
        <w:rPr>
          <w:noProof/>
          <w:sz w:val="18"/>
          <w:szCs w:val="18"/>
        </w:rPr>
        <w:drawing>
          <wp:inline distT="0" distB="0" distL="0" distR="0">
            <wp:extent cx="2359270" cy="3286125"/>
            <wp:effectExtent l="0" t="0" r="3175" b="0"/>
            <wp:docPr id="1" name="Grafik 1" descr="G:\Paper 1\Figure 3 30.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aper 1\Figure 3 30.7..t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61117" cy="3288698"/>
                    </a:xfrm>
                    <a:prstGeom prst="rect">
                      <a:avLst/>
                    </a:prstGeom>
                    <a:noFill/>
                    <a:ln>
                      <a:noFill/>
                    </a:ln>
                  </pic:spPr>
                </pic:pic>
              </a:graphicData>
            </a:graphic>
          </wp:inline>
        </w:drawing>
      </w:r>
    </w:p>
    <w:p w:rsidR="001723B3" w:rsidRPr="002A4962" w:rsidRDefault="001723B3" w:rsidP="007D5685">
      <w:pPr>
        <w:pStyle w:val="VAFigureCaption"/>
      </w:pPr>
      <w:r w:rsidRPr="002A4962">
        <w:rPr>
          <w:lang w:eastAsia="de-DE"/>
        </w:rPr>
        <w:t>Figure 3. P</w:t>
      </w:r>
      <w:r w:rsidRPr="002A4962">
        <w:t xml:space="preserve">rotein film cyclic voltammetry for </w:t>
      </w:r>
      <w:proofErr w:type="spellStart"/>
      <w:r w:rsidRPr="002A4962">
        <w:rPr>
          <w:i/>
        </w:rPr>
        <w:t>Cj</w:t>
      </w:r>
      <w:r w:rsidRPr="002A4962">
        <w:t>TsdA</w:t>
      </w:r>
      <w:proofErr w:type="spellEnd"/>
      <w:r w:rsidRPr="002A4962">
        <w:t xml:space="preserve"> in A) </w:t>
      </w:r>
      <w:r w:rsidRPr="002A4962">
        <w:rPr>
          <w:lang w:eastAsia="de-DE"/>
        </w:rPr>
        <w:t xml:space="preserve">0.3 </w:t>
      </w:r>
      <w:proofErr w:type="spellStart"/>
      <w:r w:rsidRPr="002A4962">
        <w:rPr>
          <w:lang w:eastAsia="de-DE"/>
        </w:rPr>
        <w:t>mM</w:t>
      </w:r>
      <w:proofErr w:type="spellEnd"/>
      <w:r w:rsidRPr="002A4962">
        <w:rPr>
          <w:lang w:eastAsia="de-DE"/>
        </w:rPr>
        <w:t xml:space="preserve"> S</w:t>
      </w:r>
      <w:r w:rsidRPr="002A4962">
        <w:rPr>
          <w:vertAlign w:val="subscript"/>
          <w:lang w:eastAsia="de-DE"/>
        </w:rPr>
        <w:t>4</w:t>
      </w:r>
      <w:r w:rsidRPr="002A4962">
        <w:rPr>
          <w:lang w:eastAsia="de-DE"/>
        </w:rPr>
        <w:t>O</w:t>
      </w:r>
      <w:r w:rsidRPr="002A4962">
        <w:rPr>
          <w:vertAlign w:val="subscript"/>
          <w:lang w:eastAsia="de-DE"/>
        </w:rPr>
        <w:t>6</w:t>
      </w:r>
      <w:r w:rsidRPr="002A4962">
        <w:rPr>
          <w:vertAlign w:val="superscript"/>
          <w:lang w:eastAsia="de-DE"/>
        </w:rPr>
        <w:t>2-</w:t>
      </w:r>
      <w:r w:rsidRPr="002A4962">
        <w:rPr>
          <w:lang w:eastAsia="de-DE"/>
        </w:rPr>
        <w:t xml:space="preserve"> and B) 0.3 </w:t>
      </w:r>
      <w:proofErr w:type="spellStart"/>
      <w:r w:rsidRPr="002A4962">
        <w:rPr>
          <w:lang w:eastAsia="de-DE"/>
        </w:rPr>
        <w:t>mM</w:t>
      </w:r>
      <w:proofErr w:type="spellEnd"/>
      <w:r w:rsidRPr="002A4962">
        <w:rPr>
          <w:lang w:eastAsia="de-DE"/>
        </w:rPr>
        <w:t xml:space="preserve"> S</w:t>
      </w:r>
      <w:r w:rsidRPr="002A4962">
        <w:rPr>
          <w:vertAlign w:val="subscript"/>
          <w:lang w:eastAsia="de-DE"/>
        </w:rPr>
        <w:t>2</w:t>
      </w:r>
      <w:r w:rsidRPr="002A4962">
        <w:rPr>
          <w:lang w:eastAsia="de-DE"/>
        </w:rPr>
        <w:t>O</w:t>
      </w:r>
      <w:r w:rsidRPr="002A4962">
        <w:rPr>
          <w:vertAlign w:val="subscript"/>
          <w:lang w:eastAsia="de-DE"/>
        </w:rPr>
        <w:t>3</w:t>
      </w:r>
      <w:r w:rsidRPr="002A4962">
        <w:rPr>
          <w:vertAlign w:val="superscript"/>
          <w:lang w:eastAsia="de-DE"/>
        </w:rPr>
        <w:t>2-</w:t>
      </w:r>
      <w:r w:rsidRPr="002A4962">
        <w:rPr>
          <w:lang w:eastAsia="de-DE"/>
        </w:rPr>
        <w:t xml:space="preserve"> with increasing concentra</w:t>
      </w:r>
      <w:r w:rsidR="0067018C">
        <w:rPr>
          <w:lang w:eastAsia="de-DE"/>
        </w:rPr>
        <w:softHyphen/>
      </w:r>
      <w:r w:rsidRPr="002A4962">
        <w:rPr>
          <w:lang w:eastAsia="de-DE"/>
        </w:rPr>
        <w:t>tion of the second substrate as indicated. Cyclic voltammetry recorded prior to substrate addition (grey broken lines). Scan rate 10</w:t>
      </w:r>
      <w:r w:rsidRPr="001723B3">
        <w:rPr>
          <w:sz w:val="12"/>
          <w:szCs w:val="12"/>
          <w:lang w:eastAsia="de-DE"/>
        </w:rPr>
        <w:t xml:space="preserve"> </w:t>
      </w:r>
      <w:r w:rsidRPr="002A4962">
        <w:rPr>
          <w:lang w:eastAsia="de-DE"/>
        </w:rPr>
        <w:t>mV</w:t>
      </w:r>
      <w:r w:rsidRPr="001723B3">
        <w:rPr>
          <w:sz w:val="12"/>
          <w:szCs w:val="12"/>
          <w:lang w:eastAsia="de-DE"/>
        </w:rPr>
        <w:t xml:space="preserve"> </w:t>
      </w:r>
      <w:r w:rsidRPr="002A4962">
        <w:rPr>
          <w:lang w:eastAsia="de-DE"/>
        </w:rPr>
        <w:t>s</w:t>
      </w:r>
      <w:r w:rsidRPr="002A4962">
        <w:rPr>
          <w:vertAlign w:val="superscript"/>
          <w:lang w:eastAsia="de-DE"/>
        </w:rPr>
        <w:t>-1</w:t>
      </w:r>
      <w:r w:rsidRPr="002A4962">
        <w:rPr>
          <w:lang w:eastAsia="de-DE"/>
        </w:rPr>
        <w:t xml:space="preserve">, electrode rotation, 500 rpm in 100 </w:t>
      </w:r>
      <w:proofErr w:type="spellStart"/>
      <w:r w:rsidRPr="002A4962">
        <w:rPr>
          <w:lang w:eastAsia="de-DE"/>
        </w:rPr>
        <w:t>mM</w:t>
      </w:r>
      <w:proofErr w:type="spellEnd"/>
      <w:r w:rsidRPr="002A4962">
        <w:rPr>
          <w:lang w:eastAsia="de-DE"/>
        </w:rPr>
        <w:t xml:space="preserve"> ammo</w:t>
      </w:r>
      <w:r w:rsidR="00BA7DC3">
        <w:rPr>
          <w:lang w:eastAsia="de-DE"/>
        </w:rPr>
        <w:softHyphen/>
      </w:r>
      <w:r w:rsidRPr="002A4962">
        <w:rPr>
          <w:lang w:eastAsia="de-DE"/>
        </w:rPr>
        <w:t>nium acetate, 50</w:t>
      </w:r>
      <w:r>
        <w:rPr>
          <w:lang w:eastAsia="de-DE"/>
        </w:rPr>
        <w:t> </w:t>
      </w:r>
      <w:proofErr w:type="spellStart"/>
      <w:r w:rsidRPr="002A4962">
        <w:rPr>
          <w:lang w:eastAsia="de-DE"/>
        </w:rPr>
        <w:t>mM</w:t>
      </w:r>
      <w:proofErr w:type="spellEnd"/>
      <w:r w:rsidRPr="002A4962">
        <w:rPr>
          <w:lang w:eastAsia="de-DE"/>
        </w:rPr>
        <w:t xml:space="preserve"> </w:t>
      </w:r>
      <w:proofErr w:type="spellStart"/>
      <w:r w:rsidRPr="002A4962">
        <w:rPr>
          <w:lang w:eastAsia="de-DE"/>
        </w:rPr>
        <w:t>NaCl</w:t>
      </w:r>
      <w:proofErr w:type="spellEnd"/>
      <w:r w:rsidRPr="002A4962">
        <w:rPr>
          <w:lang w:eastAsia="de-DE"/>
        </w:rPr>
        <w:t xml:space="preserve">, pH 5, 42 </w:t>
      </w:r>
      <w:proofErr w:type="spellStart"/>
      <w:r w:rsidRPr="002A4962">
        <w:rPr>
          <w:vertAlign w:val="superscript"/>
          <w:lang w:eastAsia="de-DE"/>
        </w:rPr>
        <w:t>o</w:t>
      </w:r>
      <w:r w:rsidRPr="002A4962">
        <w:rPr>
          <w:lang w:eastAsia="de-DE"/>
        </w:rPr>
        <w:t>C.</w:t>
      </w:r>
      <w:proofErr w:type="spellEnd"/>
      <w:r w:rsidRPr="002A4962">
        <w:rPr>
          <w:lang w:eastAsia="de-DE"/>
        </w:rPr>
        <w:t xml:space="preserve"> </w:t>
      </w:r>
    </w:p>
    <w:p w:rsidR="0000388A" w:rsidRDefault="007F0510" w:rsidP="00FC3ED6">
      <w:pPr>
        <w:pStyle w:val="TAMainText"/>
        <w:rPr>
          <w:rFonts w:cs="Dutch801BT-Roman"/>
          <w:color w:val="000000" w:themeColor="text1"/>
        </w:rPr>
      </w:pPr>
      <w:r w:rsidRPr="002A4962">
        <w:t>The range of oxidation states (-2 to +8) available to sulfur and the abundance of compounds containing multiple sul</w:t>
      </w:r>
      <w:r w:rsidR="00BA7DC3">
        <w:softHyphen/>
      </w:r>
      <w:r w:rsidRPr="002A4962">
        <w:t>furs with different oxidation states leads to a rich and com</w:t>
      </w:r>
      <w:r w:rsidR="00BA7DC3">
        <w:softHyphen/>
      </w:r>
      <w:r w:rsidRPr="002A4962">
        <w:t>plex chemistry of aqueous sulfur oxoanions</w:t>
      </w:r>
      <w:r w:rsidR="001F5C71">
        <w:fldChar w:fldCharType="begin" w:fldLock="1"/>
      </w:r>
      <w:r w:rsidR="001C12AC">
        <w:instrText>ADDIN CSL_CITATION { "citationItems" : [ { "id" : "ITEM-1", "itemData" : { "ISBN" : "9780854046904", "author" : [ { "dropping-particle" : "", "family" : "Harding", "given" : "C", "non-dropping-particle" : "", "parse-names" : false, "suffix" : "" }, { "dropping-particle" : "", "family" : "Janes", "given" : "R", "non-dropping-particle" : "", "parse-names" : false, "suffix" : "" }, { "dropping-particle" : "", "family" : "Johnson", "given" : "D", "non-dropping-particle" : "", "parse-names" : false, "suffix" : "" } ], "id" : "ITEM-1", "issued" : { "date-parts" : [ [ "2002" ] ] }, "publisher" : "Royal Society of Chemistry", "publisher-place" : "Cambridge", "title" : "Elements of the P Block", "type" : "book" }, "uris" : [ "http://www.mendeley.com/documents/?uuid=e8dc812d-75fe-4791-a62e-55b1e3f0e5f1" ] }, { "id" : "ITEM-2", "itemData" : { "DOI" : "10.1021/jp0567873", "ISSN" : "15206106", "PMID" : "16471841", "abstract" : "It has been clearly shown that not only tetrathionate but also pentathionate or even higher polythionates is formed in the oxidation of thiosulfate by hypochlorous acid in a slightly acidic medium. In thiosulfate excess, the absorbance-time curves registered at 250 nm may go through a maximum followed by a minimum, suggesting the presence of a short-lived absorbing intermediate proposed to be S(2)O(3)OCl(3-). Matrix rank analysis (MRA) studies have revealed that altogether five independent absorbing species are present in the wavelength range 240-400 nm. A kinetic model is suggested to take all of the experimental observations into account.", "author" : [ { "dropping-particle" : "", "family" : "Varga", "given" : "D\u00e9nes", "non-dropping-particle" : "", "parse-names" : false, "suffix" : "" }, { "dropping-particle" : "", "family" : "Horv\u00e1th", "given" : "Attila K.", "non-dropping-particle" : "", "parse-names" : false, "suffix" : "" }, { "dropping-particle" : "", "family" : "Nagyp\u00e1l", "given" : "Istv\u00e1n", "non-dropping-particle" : "", "parse-names" : false, "suffix" : "" } ], "container-title" : "Journal of Physical Chemistry B", "id" : "ITEM-2", "issue" : "6", "issued" : { "date-parts" : [ [ "2006" ] ] }, "page" : "2467-2470", "title" : "Unexpected formation of higher polythionates in the oxidation of thiosulfate by hypochlorous acid in a slightly acidic medium", "type" : "article-journal", "volume" : "110" }, "uris" : [ "http://www.mendeley.com/documents/?uuid=3cd458d8-82ba-453e-b5b7-e96f06bf54b1" ] }, { "id" : "ITEM-3", "itemData" : { "author" : [ { "dropping-particle" : "", "family" : "Xu", "given" : "Li", "non-dropping-particle" : "", "parse-names" : false, "suffix" : "" }, { "dropping-particle" : "", "family" : "Horv\u00e1th", "given" : "Attila K.", "non-dropping-particle" : "", "parse-names" : false, "suffix" : "" } ], "container-title" : "The Journal of Physical Chemistry A", "id" : "ITEM-3", "issued" : { "date-parts" : [ [ "2014" ] ] }, "page" : "6171-6180", "title" : "A Possible Candidate to Be Classi fi ed as an Autocatalysis-Driven Clock Reaction: Kinetics of the Pentathionate \u2212 Iodate Reaction", "type" : "article-journal", "volume" : "118" }, "uris" : [ "http://www.mendeley.com/documents/?uuid=4b71bdeb-5093-4fe7-8924-22479c9caceb" ] } ], "mendeley" : { "formattedCitation" : "&lt;sup&gt;1,2,29&lt;/sup&gt;", "plainTextFormattedCitation" : "1,2,29" }, "properties" : { "noteIndex" : 0 }, "schema" : "https://github.com/citation-style-language/schema/raw/master/csl-citation.json" }</w:instrText>
      </w:r>
      <w:r w:rsidR="001F5C71">
        <w:fldChar w:fldCharType="separate"/>
      </w:r>
      <w:r w:rsidR="001C12AC" w:rsidRPr="001C12AC">
        <w:rPr>
          <w:noProof/>
          <w:vertAlign w:val="superscript"/>
        </w:rPr>
        <w:t>1,2,29</w:t>
      </w:r>
      <w:r w:rsidR="001F5C71">
        <w:fldChar w:fldCharType="end"/>
      </w:r>
      <w:r w:rsidRPr="002A4962">
        <w:t>. By exploit</w:t>
      </w:r>
      <w:r w:rsidR="00BA7DC3">
        <w:softHyphen/>
      </w:r>
      <w:r w:rsidRPr="002A4962">
        <w:t>ing enzymes as selective catalysts for the tetrathi</w:t>
      </w:r>
      <w:r w:rsidR="00BA7DC3">
        <w:softHyphen/>
      </w:r>
      <w:r w:rsidRPr="002A4962">
        <w:t>o</w:t>
      </w:r>
      <w:r w:rsidR="000D26C8">
        <w:softHyphen/>
      </w:r>
      <w:r w:rsidRPr="002A4962">
        <w:t xml:space="preserve">nate/thiosulfate interconversion we have been able to provide experimental resolution of a key thermodynamic parameter contributing to the description of such systems. The experimentally measured value of </w:t>
      </w:r>
      <w:r w:rsidRPr="002A4962">
        <w:rPr>
          <w:i/>
        </w:rPr>
        <w:t>E</w:t>
      </w:r>
      <w:r w:rsidRPr="002A4962">
        <w:rPr>
          <w:vertAlign w:val="subscript"/>
        </w:rPr>
        <w:t xml:space="preserve">TT/TS </w:t>
      </w:r>
      <w:r w:rsidRPr="002A4962">
        <w:t>lies within the range of values calculated previously</w:t>
      </w:r>
      <w:r w:rsidR="001F5C71">
        <w:fldChar w:fldCharType="begin" w:fldLock="1"/>
      </w:r>
      <w:r w:rsidR="003B2989">
        <w:instrText>ADDIN CSL_CITATION { "citationItems" : [ { "id" : "ITEM-1", "itemData" : { "DOI" : "10.1073/pnas.0803850105", "ISBN" : "0005-3678", "ISSN" : "0005-3678", "PMID" : "860983", "abstract" : "Images:", "author" : [ { "dropping-particle" : "", "family" : "Thauer", "given" : "R K", "non-dropping-particle" : "", "parse-names" : false, "suffix" : "" }, { "dropping-particle" : "", "family" : "Jungermann", "given" : "K", "non-dropping-particle" : "", "parse-names" : false, "suffix" : "" }, { "dropping-particle" : "", "family" : "Decker", "given" : "K", "non-dropping-particle" : "", "parse-names" : false, "suffix" : "" } ], "container-title" : "Bacteriological reviews", "id" : "ITEM-1", "issue" : "1", "issued" : { "date-parts" : [ [ "1977" ] ] }, "page" : "100-180", "title" : "Energy conservation in chemotrophic anaerobic bacteria.", "type" : "article-journal", "volume" : "41" }, "uris" : [ "http://www.mendeley.com/documents/?uuid=93ad00fa-ef4a-4ea8-887b-b312f7d529fc" ] }, { "id" : "ITEM-2", "itemData" : { "DOI" : "10.1099/00221287-71-1-133", "ISSN" : "0022-1287", "PMID" : "5039254", "author" : [ { "dropping-particle" : "", "family" : "Kapr\u00e1lek", "given" : "F", "non-dropping-particle" : "", "parse-names" : false, "suffix" : "" } ], "container-title" : "Journal of general microbiology", "id" : "ITEM-2", "issue" : "1", "issued" : { "date-parts" : [ [ "1972" ] ] }, "page" : "133-139", "title" : "The physiological role of tetrathionate respiration in growing &lt;i&gt;Citrobacter&lt;/i&gt;.", "type" : "article-journal", "volume" : "71" }, "uris" : [ "http://www.mendeley.com/documents/?uuid=31f3bae2-77ff-431c-93ad-1675b76200c0" ] }, { "id" : "ITEM-3", "itemData" : { "author" : [ { "dropping-particle" : "", "family" : "Cobble", "given" : "J W", "non-dropping-particle" : "", "parse-names" : false, "suffix" : "" }, { "dropping-particle" : "", "family" : "Stephens", "given" : "H P", "non-dropping-particle" : "", "parse-names" : false, "suffix" : "" }, { "dropping-particle" : "", "family" : "McKinnon", "given" : "I R", "non-dropping-particle" : "", "parse-names" : false, "suffix" : "" }, { "dropping-particle" : "", "family" : "Westrum", "given" : "E F", "non-dropping-particle" : "", "parse-names" : false, "suffix" : "" } ], "container-title" : "Inorg. Chem.", "id" : "ITEM-3", "issued" : { "date-parts" : [ [ "1972" ] ] }, "page" : "1669-1674", "title" : "Thermodynamics of oxygenated sulfur complex ions. Heat capacity from 5 to 300 K for K2S4O6 and from 273 to 373 K for S4O62\u2212. Revised thermodynamic functions for HSO3\u2212, SO32\u2212, S2O32\u2212, and S4O62\u2212 at 298 K. Revised potential of the thiosulfate-tetrathionate ", "type" : "article-journal", "volume" : "11" }, "uris" : [ "http://www.mendeley.com/documents/?uuid=c06d09b1-e8a6-48e2-af08-314ec86aa0ed" ] }, { "id" : "ITEM-4", "itemData" : { "DOI" : "10.1016/0016-7037(92)90002-Z", "ISSN" : "00167037", "abstract" : "The thermodynamic properties of aqueous sulfur species can be estimated using a structure-based, group contribution additivity method that is based upon first-order approximations. Free energy and enthalpy data used to calibrate the additivity model were critically selected from a variety of sources. Structural groups were chosen so as to minimize subjectivity and maximize the ease of recognition. We have chosen five fundamental groups to represent the major structural components: (1) S(n)*, polymeric sulfur (as 1/n, where n is the length of the longest continuous sulfur chain in the species), (2) O3SIV; (3) O3SVI; (4) O2SIII and (5) bridging oxygen. In addition, a modified \"charge-to-size\" ratio (C) is used to model the coulombic interaction between ions and the solvent. Thermodynamic data were broken into two sets, one for monovalent species and another for divalent species. Multiple linear regressions of these thermodynamic data were performed in terms of structural groups to yield the following relationships: DELTAG(f divalent)0 = -176.7O3SIV - 1270.4O3SVI - 691.8O2SIII + 1954.5S(n)* + 757.3O - 1182.2C + 55.0 DELTAH(f divalent)0 = -231.3O3SIV - 1316.9O3SVI - 734.1O2SIII + 2006.5S(n)* + 734.7O - 1212.5C - 33.2 DELTAG(f monovalent)0 = -536-9O3SIV - 635.1O3SVI - 351.7O2SIII - 128.OS(n)* - 140.3O - 828.0C + 64.1 DELTAH(f monovalent)0 = -105.4O3SIV - 366.5O3SII - 0.0O2SIII + 505.8S(n)* + 0.0O + 0.0O - 520.8. R2 Values for regressions exceeded 0.9999 and all residuals were normally distributed. Large values for the regression coefficients indicate that the choice of structural parameters is significant. These coefficients were used to estimate thermodynamic properties of a number of aqueous species for which no experimental data currently exist. Model-derived thermodynamic data were used to find the thermodynamic stability of intermediate sulfur species that occur during the aqueous oxidation of sulfide minerals. This exercise identified at least one thermodynamically feasible pathway for the overall reaction. The data were also used to construct an Eh-pH diagram for aqueous sulfur species with average sulfur oxidation states less than sulfate (VI). The structure-thermodynamic correlation was used to determine the likely structure of the aqueous S2O52- ion, which has been debated over the past 50 years.", "author" : [ { "dropping-particle" : "", "family" : "Williamson", "given" : "Mark A", "non-dropping-particle" : "", "parse-names" : false, "suffix" : "" }, { "dropping-particle" : "", "family" : "Rimstidt", "given" : "J.Donald", "non-dropping-particle" : "", "parse-names" : false, "suffix" : "" } ], "container-title" : "Geochimica et Cosmochimica Acta", "id" : "ITEM-4", "issue" : "11", "issued" : { "date-parts" : [ [ "1992" ] ] }, "page" : "3867-3880", "title" : "Correlation between structure and thermodynamic properties of aqueous sulfur species", "type" : "article-journal", "volume" : "56" }, "uris" : [ "http://www.mendeley.com/documents/?uuid=ec128438-ba63-4366-a38a-830e0f3549fb" ] } ], "mendeley" : { "formattedCitation" : "&lt;sup&gt;10\u201313&lt;/sup&gt;", "plainTextFormattedCitation" : "10\u201313", "previouslyFormattedCitation" : "&lt;sup&gt;10\u201313&lt;/sup&gt;" }, "properties" : { "noteIndex" : 0 }, "schema" : "https://github.com/citation-style-language/schema/raw/master/csl-citation.json" }</w:instrText>
      </w:r>
      <w:r w:rsidR="001F5C71">
        <w:fldChar w:fldCharType="separate"/>
      </w:r>
      <w:r w:rsidR="00B22ABA" w:rsidRPr="00B22ABA">
        <w:rPr>
          <w:noProof/>
          <w:vertAlign w:val="superscript"/>
        </w:rPr>
        <w:t>10–13</w:t>
      </w:r>
      <w:r w:rsidR="001F5C71">
        <w:fldChar w:fldCharType="end"/>
      </w:r>
      <w:r w:rsidRPr="002A4962">
        <w:t>. However, it is 174</w:t>
      </w:r>
      <w:r w:rsidR="000D26C8">
        <w:t> </w:t>
      </w:r>
      <w:r w:rsidRPr="002A4962">
        <w:t>mV more positive than the value of +24 mV</w:t>
      </w:r>
      <w:r w:rsidR="001F5C71" w:rsidRPr="002A4962">
        <w:fldChar w:fldCharType="begin" w:fldLock="1"/>
      </w:r>
      <w:r w:rsidR="003B2989">
        <w:instrText>ADDIN CSL_CITATION { "citationItems" : [ { "id" : "ITEM-1", "itemData" : { "DOI" : "10.1073/pnas.0803850105", "ISBN" : "0005-3678", "ISSN" : "0005-3678", "PMID" : "860983", "abstract" : "Images:", "author" : [ { "dropping-particle" : "", "family" : "Thauer", "given" : "R K", "non-dropping-particle" : "", "parse-names" : false, "suffix" : "" }, { "dropping-particle" : "", "family" : "Jungermann", "given" : "K", "non-dropping-particle" : "", "parse-names" : false, "suffix" : "" }, { "dropping-particle" : "", "family" : "Decker", "given" : "K", "non-dropping-particle" : "", "parse-names" : false, "suffix" : "" } ], "container-title" : "Bacteriological reviews", "id" : "ITEM-1", "issue" : "1", "issued" : { "date-parts" : [ [ "1977" ] ] }, "page" : "100-180", "title" : "Energy conservation in chemotrophic anaerobic bacteria.", "type" : "article-journal", "volume" : "41" }, "uris" : [ "http://www.mendeley.com/documents/?uuid=93ad00fa-ef4a-4ea8-887b-b312f7d529fc" ] } ], "mendeley" : { "formattedCitation" : "&lt;sup&gt;10&lt;/sup&gt;", "plainTextFormattedCitation" : "10", "previouslyFormattedCitation" : "&lt;sup&gt;10&lt;/sup&gt;" }, "properties" : { "noteIndex" : 0 }, "schema" : "https://github.com/citation-style-language/schema/raw/master/csl-citation.json" }</w:instrText>
      </w:r>
      <w:r w:rsidR="001F5C71" w:rsidRPr="002A4962">
        <w:fldChar w:fldCharType="separate"/>
      </w:r>
      <w:r w:rsidR="00B22ABA" w:rsidRPr="00B22ABA">
        <w:rPr>
          <w:noProof/>
          <w:vertAlign w:val="superscript"/>
        </w:rPr>
        <w:t>10</w:t>
      </w:r>
      <w:r w:rsidR="001F5C71" w:rsidRPr="002A4962">
        <w:fldChar w:fldCharType="end"/>
      </w:r>
      <w:r w:rsidRPr="002A4962">
        <w:t xml:space="preserve"> widely cited in the construction of redox towers. As a consequence more free energy is available to be harnessed during the respira</w:t>
      </w:r>
      <w:r w:rsidR="00BA7DC3">
        <w:softHyphen/>
      </w:r>
      <w:r w:rsidRPr="002A4962">
        <w:t>tory reduction of tetrathionate than was previ</w:t>
      </w:r>
      <w:r>
        <w:t xml:space="preserve">ously recognized. </w:t>
      </w:r>
      <w:r w:rsidRPr="002A4962">
        <w:t>At +198 mV the formal reduction potential of the tetrathionate/thiosulfate couple is more positive than the corresponding values for several prevalent terminal respira</w:t>
      </w:r>
      <w:r w:rsidR="0067018C">
        <w:softHyphen/>
      </w:r>
      <w:r w:rsidRPr="002A4962">
        <w:t>tory electron acceptor couples</w:t>
      </w:r>
      <w:r w:rsidR="00740BA7">
        <w:t xml:space="preserve"> at neutral </w:t>
      </w:r>
      <w:proofErr w:type="spellStart"/>
      <w:r w:rsidR="00740BA7">
        <w:t>pH</w:t>
      </w:r>
      <w:r w:rsidRPr="002A4962">
        <w:t>.</w:t>
      </w:r>
      <w:proofErr w:type="spellEnd"/>
      <w:r w:rsidRPr="002A4962">
        <w:t xml:space="preserve"> These include fumarate/succinate (+33 mV</w:t>
      </w:r>
      <w:r w:rsidR="00A97EF2">
        <w:t>)</w:t>
      </w:r>
      <w:r w:rsidR="001F5C71" w:rsidRPr="002A4962">
        <w:fldChar w:fldCharType="begin" w:fldLock="1"/>
      </w:r>
      <w:r w:rsidR="003B2989">
        <w:instrText>ADDIN CSL_CITATION { "citationItems" : [ { "id" : "ITEM-1", "itemData" : { "DOI" : "10.1073/pnas.0803850105", "ISBN" : "0005-3678", "ISSN" : "0005-3678", "PMID" : "860983", "abstract" : "Images:", "author" : [ { "dropping-particle" : "", "family" : "Thauer", "given" : "R K", "non-dropping-particle" : "", "parse-names" : false, "suffix" : "" }, { "dropping-particle" : "", "family" : "Jungermann", "given" : "K", "non-dropping-particle" : "", "parse-names" : false, "suffix" : "" }, { "dropping-particle" : "", "family" : "Decker", "given" : "K", "non-dropping-particle" : "", "parse-names" : false, "suffix" : "" } ], "container-title" : "Bacteriological reviews", "id" : "ITEM-1", "issue" : "1", "issued" : { "date-parts" : [ [ "1977" ] ] }, "page" : "100-180", "title" : "Energy conservation in chemotrophic anaerobic bacteria.", "type" : "article-journal", "volume" : "41" }, "uris" : [ "http://www.mendeley.com/documents/?uuid=93ad00fa-ef4a-4ea8-887b-b312f7d529fc" ] } ], "mendeley" : { "formattedCitation" : "&lt;sup&gt;10&lt;/sup&gt;", "plainTextFormattedCitation" : "10", "previouslyFormattedCitation" : "&lt;sup&gt;10&lt;/sup&gt;" }, "properties" : { "noteIndex" : 0 }, "schema" : "https://github.com/citation-style-language/schema/raw/master/csl-citation.json" }</w:instrText>
      </w:r>
      <w:r w:rsidR="001F5C71" w:rsidRPr="002A4962">
        <w:fldChar w:fldCharType="separate"/>
      </w:r>
      <w:r w:rsidR="00B22ABA" w:rsidRPr="00B22ABA">
        <w:rPr>
          <w:noProof/>
          <w:vertAlign w:val="superscript"/>
        </w:rPr>
        <w:t>10</w:t>
      </w:r>
      <w:r w:rsidR="001F5C71" w:rsidRPr="002A4962">
        <w:fldChar w:fldCharType="end"/>
      </w:r>
      <w:r w:rsidRPr="002A4962">
        <w:t>, trime</w:t>
      </w:r>
      <w:r w:rsidR="00F604F8">
        <w:t>thylamine oxide/</w:t>
      </w:r>
      <w:r w:rsidRPr="002A4962">
        <w:t>tri</w:t>
      </w:r>
      <w:r w:rsidR="00731EF4">
        <w:softHyphen/>
      </w:r>
      <w:r w:rsidRPr="002A4962">
        <w:t>methyl</w:t>
      </w:r>
      <w:r w:rsidR="00731EF4">
        <w:softHyphen/>
      </w:r>
      <w:r w:rsidR="00731EF4">
        <w:softHyphen/>
      </w:r>
      <w:r w:rsidRPr="002A4962">
        <w:t>amine (+130 mV</w:t>
      </w:r>
      <w:r w:rsidR="00A97EF2">
        <w:t>)</w:t>
      </w:r>
      <w:r w:rsidR="001F5C71" w:rsidRPr="002A4962">
        <w:fldChar w:fldCharType="begin" w:fldLock="1"/>
      </w:r>
      <w:r w:rsidR="00D469C6">
        <w:instrText>ADDIN CSL_CITATION { "citationItems" : [ { "id" : "ITEM-1", "itemData" : { "ISBN" : "0177711051", "author" : [ { "dropping-particle" : "", "family" : "Jones", "given" : "Colin William", "non-dropping-particle" : "", "parse-names" : false, "suffix" : "" } ], "id" : "ITEM-1", "issued" : { "date-parts" : [ [ "1982" ] ] }, "publisher" : "Thomas Nelson and Sons, Ltd.", "publisher-place" : "Walton-on-Thames", "title" : "Bacterial respiration and photosynthesis", "type" : "book" }, "uris" : [ "http://www.mendeley.com/documents/?uuid=490ecda4-b96c-49e7-9b77-f726ffb46da3" ] } ], "mendeley" : { "formattedCitation" : "&lt;sup&gt;30&lt;/sup&gt;", "plainTextFormattedCitation" : "30", "previouslyFormattedCitation" : "&lt;sup&gt;30&lt;/sup&gt;" }, "properties" : { "noteIndex" : 0 }, "schema" : "https://github.com/citation-style-language/schema/raw/master/csl-citation.json" }</w:instrText>
      </w:r>
      <w:r w:rsidR="001F5C71" w:rsidRPr="002A4962">
        <w:fldChar w:fldCharType="separate"/>
      </w:r>
      <w:r w:rsidR="00A9012B" w:rsidRPr="00A9012B">
        <w:rPr>
          <w:noProof/>
          <w:vertAlign w:val="superscript"/>
        </w:rPr>
        <w:t>30</w:t>
      </w:r>
      <w:r w:rsidR="001F5C71" w:rsidRPr="002A4962">
        <w:fldChar w:fldCharType="end"/>
      </w:r>
      <w:r w:rsidRPr="002A4962">
        <w:t xml:space="preserve"> and </w:t>
      </w:r>
      <w:proofErr w:type="spellStart"/>
      <w:r w:rsidRPr="002A4962">
        <w:t>dimethylsulfoxide</w:t>
      </w:r>
      <w:proofErr w:type="spellEnd"/>
      <w:r w:rsidRPr="002A4962">
        <w:t>/</w:t>
      </w:r>
      <w:proofErr w:type="spellStart"/>
      <w:r w:rsidRPr="002A4962">
        <w:t>di</w:t>
      </w:r>
      <w:r w:rsidR="00731EF4">
        <w:softHyphen/>
      </w:r>
      <w:r w:rsidRPr="002A4962">
        <w:t>methyl</w:t>
      </w:r>
      <w:r w:rsidR="00731EF4">
        <w:softHyphen/>
      </w:r>
      <w:r w:rsidRPr="002A4962">
        <w:lastRenderedPageBreak/>
        <w:t>sulfide</w:t>
      </w:r>
      <w:proofErr w:type="spellEnd"/>
      <w:r w:rsidRPr="002A4962">
        <w:t xml:space="preserve"> (+160</w:t>
      </w:r>
      <w:r w:rsidR="00C15FA4">
        <w:t> </w:t>
      </w:r>
      <w:r w:rsidRPr="002A4962">
        <w:t>mV</w:t>
      </w:r>
      <w:r w:rsidR="00A97EF2">
        <w:t>)</w:t>
      </w:r>
      <w:r w:rsidR="001F5C71" w:rsidRPr="002A4962">
        <w:fldChar w:fldCharType="begin" w:fldLock="1"/>
      </w:r>
      <w:r w:rsidR="00D469C6">
        <w:instrText>ADDIN CSL_CITATION { "citationItems" : [ { "id" : "ITEM-1", "itemData" : { "author" : [ { "dropping-particle" : "", "family" : "Wood", "given" : "Paul M", "non-dropping-particle" : "", "parse-names" : false, "suffix" : "" } ], "container-title" : "FEBS Lett", "id" : "ITEM-1", "issue" : "1", "issued" : { "date-parts" : [ [ "1981" ] ] }, "page" : "11-14", "title" : "The redox potential for dimethyl sulphoxide reduction to dimethyl sulphide", "type" : "article-journal", "volume" : "124" }, "uris" : [ "http://www.mendeley.com/documents/?uuid=4e59ada9-90b2-4840-bb51-3b42b820102a" ] } ], "mendeley" : { "formattedCitation" : "&lt;sup&gt;31&lt;/sup&gt;", "plainTextFormattedCitation" : "31", "previouslyFormattedCitation" : "&lt;sup&gt;31&lt;/sup&gt;" }, "properties" : { "noteIndex" : 0 }, "schema" : "https://github.com/citation-style-language/schema/raw/master/csl-citation.json" }</w:instrText>
      </w:r>
      <w:r w:rsidR="001F5C71" w:rsidRPr="002A4962">
        <w:fldChar w:fldCharType="separate"/>
      </w:r>
      <w:r w:rsidR="00A9012B" w:rsidRPr="00A9012B">
        <w:rPr>
          <w:noProof/>
          <w:vertAlign w:val="superscript"/>
        </w:rPr>
        <w:t>31</w:t>
      </w:r>
      <w:r w:rsidR="001F5C71" w:rsidRPr="002A4962">
        <w:fldChar w:fldCharType="end"/>
      </w:r>
      <w:r w:rsidRPr="002A4962">
        <w:t xml:space="preserve">. This can explain why </w:t>
      </w:r>
      <w:r w:rsidRPr="002A4962">
        <w:rPr>
          <w:i/>
        </w:rPr>
        <w:t>Salmonella</w:t>
      </w:r>
      <w:r w:rsidRPr="002A4962">
        <w:t xml:space="preserve"> </w:t>
      </w:r>
      <w:proofErr w:type="spellStart"/>
      <w:r w:rsidRPr="002A4962">
        <w:rPr>
          <w:i/>
        </w:rPr>
        <w:t>enterica</w:t>
      </w:r>
      <w:proofErr w:type="spellEnd"/>
      <w:r w:rsidRPr="002A4962">
        <w:t xml:space="preserve"> grows by oxidation of </w:t>
      </w:r>
      <w:proofErr w:type="spellStart"/>
      <w:r w:rsidRPr="002A4962">
        <w:t>propanediol</w:t>
      </w:r>
      <w:proofErr w:type="spellEnd"/>
      <w:r w:rsidRPr="002A4962">
        <w:t xml:space="preserve"> or ethanolamine in the presence of tetrathionate, but not </w:t>
      </w:r>
      <w:proofErr w:type="spellStart"/>
      <w:r w:rsidRPr="002A4962">
        <w:t>dimethylsulfoxide</w:t>
      </w:r>
      <w:proofErr w:type="spellEnd"/>
      <w:r w:rsidRPr="002A4962">
        <w:rPr>
          <w:rFonts w:cs="Dutch801BT-Roman"/>
        </w:rPr>
        <w:t>, tri</w:t>
      </w:r>
      <w:r w:rsidR="00731EF4">
        <w:rPr>
          <w:rFonts w:cs="Dutch801BT-Roman"/>
        </w:rPr>
        <w:softHyphen/>
      </w:r>
      <w:r w:rsidRPr="002A4962">
        <w:rPr>
          <w:rFonts w:cs="Dutch801BT-Roman"/>
        </w:rPr>
        <w:t>me</w:t>
      </w:r>
      <w:r w:rsidR="00BA7DC3">
        <w:rPr>
          <w:rFonts w:cs="Dutch801BT-Roman"/>
        </w:rPr>
        <w:softHyphen/>
      </w:r>
      <w:r w:rsidRPr="002A4962">
        <w:rPr>
          <w:rFonts w:cs="Dutch801BT-Roman"/>
        </w:rPr>
        <w:t>thyl</w:t>
      </w:r>
      <w:r w:rsidR="000D26C8">
        <w:rPr>
          <w:rFonts w:cs="Dutch801BT-Roman"/>
        </w:rPr>
        <w:softHyphen/>
      </w:r>
      <w:r w:rsidRPr="002A4962">
        <w:rPr>
          <w:rFonts w:cs="Dutch801BT-Roman"/>
        </w:rPr>
        <w:t xml:space="preserve">amine oxide or fumarate, as terminal respiratory electron acceptor. </w:t>
      </w:r>
      <w:r w:rsidR="007305E5" w:rsidRPr="007305E5">
        <w:t xml:space="preserve">This is despite </w:t>
      </w:r>
      <w:r w:rsidR="007305E5" w:rsidRPr="007305E5">
        <w:rPr>
          <w:i/>
        </w:rPr>
        <w:t xml:space="preserve">S. </w:t>
      </w:r>
      <w:proofErr w:type="spellStart"/>
      <w:r w:rsidR="007305E5" w:rsidRPr="007305E5">
        <w:rPr>
          <w:i/>
        </w:rPr>
        <w:t>enterica</w:t>
      </w:r>
      <w:proofErr w:type="spellEnd"/>
      <w:r w:rsidR="007305E5" w:rsidRPr="007305E5">
        <w:t xml:space="preserve"> having capacity to respire on these alternate terminal electron acceptors when more reduced electron donor(s) such as glycerol are used</w:t>
      </w:r>
      <w:r w:rsidR="001F5C71" w:rsidRPr="002A4962">
        <w:rPr>
          <w:rFonts w:cs="Dutch801BT-Roman"/>
        </w:rPr>
        <w:fldChar w:fldCharType="begin" w:fldLock="1"/>
      </w:r>
      <w:r w:rsidR="00D469C6">
        <w:rPr>
          <w:rFonts w:cs="Dutch801BT-Roman"/>
        </w:rPr>
        <w:instrText>ADDIN CSL_CITATION { "citationItems" : [ { "id" : "ITEM-1", "itemData" : { "DOI" : "10.1128/JB.183.8.2463", "ISSN" : "0021-9193 (Print)", "PMID" : "11274105", "abstract" : "Synthesis of cobalamin de novo by Salmonella enterica serovar Typhimurium strain LT2 and the absence ethanolamine. However, cofactor synthesis occurs only anaerobically, and neither of these carbon sources supports anaerobic growth with any of the alternative electron acceptors tested thus far. This paradox is resolved by the electron acceptor tetrathionate, which allows Salmonella to grow anaerobically on etha- nolamine or 1,2-propanediol by using endogenously synthesized B12 known conditions under which simple cob mutants (unable to make B12 of this ability in Escherichia coli present several problems. This large synthetic pathway is shared by virtually all salmonellae and must be maintained by selection, yet no conditions are known under which growth depends on endogenous B12 . The cofactor is required for degradation of 1,2-propanediol and . Tetrathionate provides the only ) show a growth defect. Genes involved in this metabolism include the ttr operon, which encodes tetrathionate reductase. This operon is globally regulated by OxrA (Fnr) and induced anaerobically by a two-component system in response to tetrathionate. Salmonella reduces tetrathionate to thiosulfate, which it can further reduce to H2 S, by using enzymes encoded by the genes phs and asr. The genes for 1,2-propanediol degradation (pdu) and B12 synthesis (cob), along with the genes for sulfur reduction (ttr, phs, and asr), constitute more than 1% of the Salmonella genome and are all absent from E. coli. In diverging from E. coli, Salmonella acquired some of these genes unilaterally and maintained others that are ancestral but have been lost from the E. coli lineage.", "author" : [ { "dropping-particle" : "", "family" : "Price-Carter", "given" : "Marian", "non-dropping-particle" : "", "parse-names" : false, "suffix" : "" }, { "dropping-particle" : "", "family" : "Tingey", "given" : "Justin", "non-dropping-particle" : "", "parse-names" : false, "suffix" : "" }, { "dropping-particle" : "", "family" : "Bobik", "given" : "Thomas A", "non-dropping-particle" : "", "parse-names" : false, "suffix" : "" }, { "dropping-particle" : "", "family" : "Roth", "given" : "John R", "non-dropping-particle" : "", "parse-names" : false, "suffix" : "" } ], "container-title" : "Journal of Bacteriology", "id" : "ITEM-1", "issue" : "8", "issued" : { "date-parts" : [ [ "2001" ] ] }, "page" : "2463-2475", "title" : "The Alternative Electron Acceptor Tetrathionate Supports B 12 -Dependent Anaerobic Growth of Salmonella enterica Serovar Typhimurium on Ethanolamine or 1 , 2-Propanediol", "type" : "article-journal", "volume" : "183" }, "uris" : [ "http://www.mendeley.com/documents/?uuid=6762703e-c044-4ebc-aa94-e25bc9d70386" ] } ], "mendeley" : { "formattedCitation" : "&lt;sup&gt;32&lt;/sup&gt;", "plainTextFormattedCitation" : "32", "previouslyFormattedCitation" : "&lt;sup&gt;32&lt;/sup&gt;" }, "properties" : { "noteIndex" : 0 }, "schema" : "https://github.com/citation-style-language/schema/raw/master/csl-citation.json" }</w:instrText>
      </w:r>
      <w:r w:rsidR="001F5C71" w:rsidRPr="002A4962">
        <w:rPr>
          <w:rFonts w:cs="Dutch801BT-Roman"/>
        </w:rPr>
        <w:fldChar w:fldCharType="separate"/>
      </w:r>
      <w:r w:rsidR="00A9012B" w:rsidRPr="00A9012B">
        <w:rPr>
          <w:rFonts w:cs="Dutch801BT-Roman"/>
          <w:noProof/>
          <w:vertAlign w:val="superscript"/>
        </w:rPr>
        <w:t>32</w:t>
      </w:r>
      <w:r w:rsidR="001F5C71" w:rsidRPr="002A4962">
        <w:rPr>
          <w:rFonts w:cs="Dutch801BT-Roman"/>
        </w:rPr>
        <w:fldChar w:fldCharType="end"/>
      </w:r>
      <w:r w:rsidR="007305E5" w:rsidRPr="007305E5">
        <w:t>.</w:t>
      </w:r>
      <w:r w:rsidR="007305E5">
        <w:t xml:space="preserve"> </w:t>
      </w:r>
      <w:r w:rsidRPr="001B7DF9">
        <w:rPr>
          <w:rFonts w:cs="Dutch801BT-Roman"/>
        </w:rPr>
        <w:t xml:space="preserve">Indeed tetrathionate may provide the respiratory electron acceptor in </w:t>
      </w:r>
      <w:r w:rsidR="0000388A" w:rsidRPr="001B7DF9">
        <w:rPr>
          <w:rFonts w:cs="Dutch801BT-Roman"/>
        </w:rPr>
        <w:t xml:space="preserve">many </w:t>
      </w:r>
      <w:r w:rsidRPr="001B7DF9">
        <w:rPr>
          <w:rFonts w:cs="Dutch801BT-Roman"/>
        </w:rPr>
        <w:t>more contexts than presently recog</w:t>
      </w:r>
      <w:r w:rsidR="0067018C" w:rsidRPr="001B7DF9">
        <w:rPr>
          <w:rFonts w:cs="Dutch801BT-Roman"/>
        </w:rPr>
        <w:softHyphen/>
      </w:r>
      <w:r w:rsidR="0000388A" w:rsidRPr="001B7DF9">
        <w:rPr>
          <w:rFonts w:cs="Dutch801BT-Roman"/>
        </w:rPr>
        <w:t xml:space="preserve">nized. </w:t>
      </w:r>
      <w:r w:rsidR="004C025E" w:rsidRPr="007305E5">
        <w:rPr>
          <w:rFonts w:cs="Dutch801BT-Roman"/>
        </w:rPr>
        <w:t>The lif</w:t>
      </w:r>
      <w:r w:rsidR="004C025E" w:rsidRPr="007305E5">
        <w:rPr>
          <w:rFonts w:cs="Dutch801BT-Roman"/>
        </w:rPr>
        <w:t>e</w:t>
      </w:r>
      <w:r w:rsidR="004C025E" w:rsidRPr="007305E5">
        <w:rPr>
          <w:rFonts w:cs="Dutch801BT-Roman"/>
        </w:rPr>
        <w:t>styles of pathogenic and commensal gut bacteria may benefit from respiratory reduction of the tetrathionate produced in the human intestine during inflammation</w:t>
      </w:r>
      <w:r w:rsidR="001F5C71" w:rsidRPr="007305E5">
        <w:rPr>
          <w:rFonts w:cs="Dutch801BT-Roman"/>
          <w:color w:val="000000" w:themeColor="text1"/>
        </w:rPr>
        <w:fldChar w:fldCharType="begin" w:fldLock="1"/>
      </w:r>
      <w:r w:rsidR="003B2989">
        <w:rPr>
          <w:rFonts w:cs="Dutch801BT-Roman"/>
          <w:color w:val="000000" w:themeColor="text1"/>
        </w:rPr>
        <w:instrText>ADDIN CSL_CITATION { "citationItems" : [ { "id" : "ITEM-1", "itemData" : { "DOI" : "10.3354/ame017255", "ISSN" : "09483055", "abstract" : " The role of tetrathionate in the sulfur cycle of Baltic Sea sediments was investigated in different habitats and under a variety of environmental conditions. Sediment profiles were recorded with regard to numbers of thiosulfate oxidizing bacteria, concentrations of sulfur compounds, and potential rates of thiosulfate oxidation. Products of thiosulfate oxidation were quantified in incubated sediment samples and in pure cultures. Evidence was found that tetrathionate is formed within these sediments, that sulfur oxidizing bacteria are present in considerable numbers, that these bacteria are of major importance in the oxidation of reduced sulfur compounds in their habitat, and that tetrathionate is an important oxidation product of these bacteria. Thiosulfate is oxidized by bacteria isolated from these sediments to varying proportions of tetrathionate, sulfate, and also elemental sulfur. In highly sulfidic sediments and in the presence of large amounts of organic matter, tetrathionate was present in sediment horizons in which thiosulfate and elemental sulfur also accumulated. A tetrathionate cycle is proposed to be active in natural marine and brackish water sediments in which, due to combined bacterial action and chemical reactions, a net oxidation of sulfide to elemental sulfur occurs in the presence of catalytic amounts of thiosulfate and tetrathionate. ", "author" : [ { "dropping-particle" : "", "family" : "Podgorsek", "given" : "Lilijana", "non-dropping-particle" : "", "parse-names" : false, "suffix" : "" }, { "dropping-particle" : "", "family" : "Imhoff", "given" : "Johannes F.", "non-dropping-particle" : "", "parse-names" : false, "suffix" : "" } ], "container-title" : "Aquatic Microbial Ecology", "id" : "ITEM-1", "issue" : "3", "issued" : { "date-parts" : [ [ "1999" ] ] }, "page" : "255-265", "title" : "Tetrathionate production by sulfur oxidizing bacteria and the role of tetrathionate in the sulfur cycle of Baltic Sea sediments", "type" : "article-journal", "volume" : "17" }, "uris" : [ "http://www.mendeley.com/documents/?uuid=9a6ea02f-c057-401c-863b-25288a138445" ] }, { "id" : "ITEM-2", "itemData" : { "DOI" : "10.1038/nature09415", "ISBN" : "1476-4687 (Electronic)\\n0028-0836 (Linking)", "ISSN" : "0028-0836", "PMID" : "20864996", "abstract" : "Salmonella enterica serotype Typhimurium (S. Typhimurium) causes acute gut inflammation by using its virulence factors to invade the intestinal epithelium and survive in mucosal macrophages. The inflammatory response enhances the transmission success of S. Typhimurium by promoting its outgrowth in the gut lumen through unknown mechanisms. Here we show that reactive oxygen species generated during inflammation react with endogenous, luminal sulphur compounds (thiosulphate) to form a new respiratory electron acceptor, tetrathionate. The genes conferring the ability to use tetrathionate as an electron acceptor produce a growth advantage for S. Typhimurium over the competing microbiota in the lumen of the inflamed gut. We conclude that S. Typhimurium virulence factors induce host-driven production of a new electron acceptor that allows the pathogen to use respiration to compete with fermenting gut microbes. Thus the ability to trigger intestinal inflammation is crucial for the biology of this diarrhoeal pathogen.", "author" : [ { "dropping-particle" : "", "family" : "Winter", "given" : "Sebastian E", "non-dropping-particle" : "", "parse-names" : false, "suffix" : "" }, { "dropping-particle" : "", "family" : "Thiennimitr", "given" : "Parameth", "non-dropping-particle" : "", "parse-names" : false, "suffix" : "" }, { "dropping-particle" : "", "family" : "Winter", "given" : "Maria G", "non-dropping-particle" : "", "parse-names" : false, "suffix" : "" }, { "dropping-particle" : "", "family" : "Butler", "given" : "Brian P", "non-dropping-particle" : "", "parse-names" : false, "suffix" : "" }, { "dropping-particle" : "", "family" : "Huseby", "given" : "Douglas L", "non-dropping-particle" : "", "parse-names" : false, "suffix" : "" }, { "dropping-particle" : "", "family" : "Crawford", "given" : "Robert W", "non-dropping-particle" : "", "parse-names" : false, "suffix" : "" }, { "dropping-particle" : "", "family" : "Russell", "given" : "Joseph M", "non-dropping-particle" : "", "parse-names" : false, "suffix" : "" }, { "dropping-particle" : "", "family" : "Bevins", "given" : "Charles L", "non-dropping-particle" : "", "parse-names" : false, "suffix" : "" }, { "dropping-particle" : "", "family" : "Adams", "given" : "L Garry", "non-dropping-particle" : "", "parse-names" : false, "suffix" : "" }, { "dropping-particle" : "", "family" : "Tsolis", "given" : "Ren\u00e9e M", "non-dropping-particle" : "", "parse-names" : false, "suffix" : "" }, { "dropping-particle" : "", "family" : "Roth", "given" : "John R", "non-dropping-particle" : "", "parse-names" : false, "suffix" : "" }, { "dropping-particle" : "", "family" : "B\u00e4umler", "given" : "Andreas J", "non-dropping-particle" : "", "parse-names" : false, "suffix" : "" } ], "container-title" : "Nature", "id" : "ITEM-2", "issue" : "7314", "issued" : { "date-parts" : [ [ "2010" ] ] }, "page" : "426-429", "title" : "Gut inflammation provides a respiratory electron acceptor for &lt;i&gt;Salmonella&lt;/i&gt;.", "type" : "article-journal", "volume" : "467" }, "uris" : [ "http://www.mendeley.com/documents/?uuid=a3fe8018-6366-4b10-a3c0-f706ca5e291f" ] } ], "mendeley" : { "formattedCitation" : "&lt;sup&gt;6,7&lt;/sup&gt;", "manualFormatting" : "6", "plainTextFormattedCitation" : "6,7", "previouslyFormattedCitation" : "&lt;sup&gt;6,7&lt;/sup&gt;" }, "properties" : { "noteIndex" : 0 }, "schema" : "https://github.com/citation-style-language/schema/raw/master/csl-citation.json" }</w:instrText>
      </w:r>
      <w:r w:rsidR="001F5C71" w:rsidRPr="007305E5">
        <w:rPr>
          <w:rFonts w:cs="Dutch801BT-Roman"/>
          <w:color w:val="000000" w:themeColor="text1"/>
        </w:rPr>
        <w:fldChar w:fldCharType="separate"/>
      </w:r>
      <w:r w:rsidR="007305E5" w:rsidRPr="007305E5">
        <w:rPr>
          <w:rFonts w:cs="Dutch801BT-Roman"/>
          <w:noProof/>
          <w:color w:val="000000" w:themeColor="text1"/>
          <w:vertAlign w:val="superscript"/>
        </w:rPr>
        <w:t>6</w:t>
      </w:r>
      <w:r w:rsidR="001F5C71" w:rsidRPr="007305E5">
        <w:rPr>
          <w:rFonts w:cs="Dutch801BT-Roman"/>
          <w:color w:val="000000" w:themeColor="text1"/>
        </w:rPr>
        <w:fldChar w:fldCharType="end"/>
      </w:r>
      <w:r w:rsidR="00553E7A">
        <w:rPr>
          <w:rFonts w:cs="Dutch801BT-Roman"/>
          <w:color w:val="000000" w:themeColor="text1"/>
        </w:rPr>
        <w:t>.</w:t>
      </w:r>
      <w:r w:rsidR="004C025E" w:rsidRPr="007305E5">
        <w:rPr>
          <w:rFonts w:cs="Dutch801BT-Roman"/>
          <w:color w:val="000000" w:themeColor="text1"/>
        </w:rPr>
        <w:t xml:space="preserve"> </w:t>
      </w:r>
      <w:r w:rsidR="004C025E" w:rsidRPr="007305E5">
        <w:rPr>
          <w:rFonts w:cs="Dutch801BT-Roman"/>
        </w:rPr>
        <w:t>In addition, f</w:t>
      </w:r>
      <w:r w:rsidR="00F52DEC" w:rsidRPr="007305E5">
        <w:rPr>
          <w:rFonts w:cs="Dutch801BT-Roman"/>
        </w:rPr>
        <w:t xml:space="preserve">or marine microbiota </w:t>
      </w:r>
      <w:r w:rsidR="008D5EAA" w:rsidRPr="007305E5">
        <w:rPr>
          <w:rFonts w:cs="Dutch801BT-Roman"/>
        </w:rPr>
        <w:t xml:space="preserve">at neutral pH </w:t>
      </w:r>
      <w:r w:rsidR="00F52DEC" w:rsidRPr="007305E5">
        <w:rPr>
          <w:rFonts w:cs="Dutch801BT-Roman"/>
        </w:rPr>
        <w:t>the tetrathionate in sed</w:t>
      </w:r>
      <w:r w:rsidR="00F52DEC" w:rsidRPr="007305E5">
        <w:rPr>
          <w:rFonts w:cs="Dutch801BT-Roman"/>
        </w:rPr>
        <w:t>i</w:t>
      </w:r>
      <w:r w:rsidR="00F52DEC" w:rsidRPr="007305E5">
        <w:rPr>
          <w:rFonts w:cs="Dutch801BT-Roman"/>
        </w:rPr>
        <w:t xml:space="preserve">ments represents a more </w:t>
      </w:r>
      <w:r w:rsidR="001B7DF9" w:rsidRPr="007305E5">
        <w:rPr>
          <w:rFonts w:cs="Dutch801BT-Roman"/>
        </w:rPr>
        <w:t xml:space="preserve">favorable </w:t>
      </w:r>
      <w:r w:rsidR="00F52DEC" w:rsidRPr="007305E5">
        <w:rPr>
          <w:rFonts w:cs="Dutch801BT-Roman"/>
        </w:rPr>
        <w:t xml:space="preserve">electron acceptor than the high abundance compounds </w:t>
      </w:r>
      <w:proofErr w:type="spellStart"/>
      <w:r w:rsidR="00F52DEC" w:rsidRPr="007305E5">
        <w:rPr>
          <w:rFonts w:cs="Dutch801BT-Roman"/>
        </w:rPr>
        <w:t>dimethylsulfoxide</w:t>
      </w:r>
      <w:proofErr w:type="spellEnd"/>
      <w:r w:rsidR="00F52DEC" w:rsidRPr="007305E5">
        <w:rPr>
          <w:rFonts w:cs="Dutch801BT-Roman"/>
        </w:rPr>
        <w:t xml:space="preserve"> and trim</w:t>
      </w:r>
      <w:r w:rsidR="00F52DEC" w:rsidRPr="007305E5">
        <w:rPr>
          <w:rFonts w:cs="Dutch801BT-Roman"/>
        </w:rPr>
        <w:t>e</w:t>
      </w:r>
      <w:r w:rsidR="00F52DEC" w:rsidRPr="007305E5">
        <w:rPr>
          <w:rFonts w:cs="Dutch801BT-Roman"/>
        </w:rPr>
        <w:t>thylamine oxide</w:t>
      </w:r>
      <w:r w:rsidR="001F5C71" w:rsidRPr="007305E5">
        <w:rPr>
          <w:rFonts w:cs="Dutch801BT-Roman"/>
          <w:color w:val="000000" w:themeColor="text1"/>
        </w:rPr>
        <w:fldChar w:fldCharType="begin" w:fldLock="1"/>
      </w:r>
      <w:r w:rsidR="00D469C6">
        <w:rPr>
          <w:rFonts w:cs="Dutch801BT-Roman"/>
          <w:color w:val="000000" w:themeColor="text1"/>
        </w:rPr>
        <w:instrText>ADDIN CSL_CITATION { "citationItems" : [ { "id" : "ITEM-1", "itemData" : { "author" : [ { "dropping-particle" : "", "family" : "Barrett", "given" : "E L", "non-dropping-particle" : "", "parse-names" : false, "suffix" : "" }, { "dropping-particle" : "", "family" : "Kwan", "given" : "H S", "non-dropping-particle" : "", "parse-names" : false, "suffix" : "" } ], "container-title" : "Ann. Rev. Microbiol.", "id" : "ITEM-1", "issued" : { "date-parts" : [ [ "1985" ] ] }, "page" : "131-149", "title" : "Bacterial Reduction of Trimethylamine Oxide", "type" : "article-journal", "volume" : "39" }, "uris" : [ "http://www.mendeley.com/documents/?uuid=c2aaf091-c83f-4496-9309-30f5e17315c0" ] } ], "mendeley" : { "formattedCitation" : "&lt;sup&gt;33&lt;/sup&gt;", "plainTextFormattedCitation" : "33", "previouslyFormattedCitation" : "&lt;sup&gt;33&lt;/sup&gt;" }, "properties" : { "noteIndex" : 0 }, "schema" : "https://github.com/citation-style-language/schema/raw/master/csl-citation.json" }</w:instrText>
      </w:r>
      <w:r w:rsidR="001F5C71" w:rsidRPr="007305E5">
        <w:rPr>
          <w:rFonts w:cs="Dutch801BT-Roman"/>
          <w:color w:val="000000" w:themeColor="text1"/>
        </w:rPr>
        <w:fldChar w:fldCharType="separate"/>
      </w:r>
      <w:r w:rsidR="00A9012B" w:rsidRPr="00A9012B">
        <w:rPr>
          <w:rFonts w:cs="Dutch801BT-Roman"/>
          <w:noProof/>
          <w:color w:val="000000" w:themeColor="text1"/>
          <w:vertAlign w:val="superscript"/>
        </w:rPr>
        <w:t>33</w:t>
      </w:r>
      <w:r w:rsidR="001F5C71" w:rsidRPr="007305E5">
        <w:rPr>
          <w:rFonts w:cs="Dutch801BT-Roman"/>
          <w:color w:val="000000" w:themeColor="text1"/>
        </w:rPr>
        <w:fldChar w:fldCharType="end"/>
      </w:r>
      <w:r w:rsidR="00553E7A">
        <w:rPr>
          <w:rFonts w:cs="Dutch801BT-Roman"/>
          <w:color w:val="000000" w:themeColor="text1"/>
        </w:rPr>
        <w:t>.</w:t>
      </w:r>
      <w:r w:rsidR="007305E5" w:rsidRPr="007305E5">
        <w:rPr>
          <w:rFonts w:cs="Dutch801BT-Roman"/>
          <w:color w:val="000000" w:themeColor="text1"/>
        </w:rPr>
        <w:t xml:space="preserve"> </w:t>
      </w:r>
    </w:p>
    <w:p w:rsidR="00FC3ED6" w:rsidRPr="00FC3ED6" w:rsidRDefault="00173D6C" w:rsidP="00FC3ED6">
      <w:pPr>
        <w:pStyle w:val="TAMainText"/>
        <w:rPr>
          <w:rFonts w:cs="Dutch801BT-Roman"/>
        </w:rPr>
      </w:pPr>
      <w:r w:rsidRPr="00FC3ED6">
        <w:t xml:space="preserve">An exact, experimentally achieved </w:t>
      </w:r>
      <w:r w:rsidR="00183B75" w:rsidRPr="002A4962">
        <w:rPr>
          <w:i/>
        </w:rPr>
        <w:t>E</w:t>
      </w:r>
      <w:r w:rsidR="00183B75" w:rsidRPr="002A4962">
        <w:rPr>
          <w:vertAlign w:val="subscript"/>
        </w:rPr>
        <w:t xml:space="preserve">TT/TS </w:t>
      </w:r>
      <w:r w:rsidRPr="00FC3ED6">
        <w:t>value as provi</w:t>
      </w:r>
      <w:r w:rsidRPr="00FC3ED6">
        <w:t>d</w:t>
      </w:r>
      <w:r w:rsidRPr="00FC3ED6">
        <w:t xml:space="preserve">ed here </w:t>
      </w:r>
      <w:r>
        <w:t>will also</w:t>
      </w:r>
      <w:r w:rsidRPr="00FC3ED6">
        <w:t xml:space="preserve"> contribute to a better understanding </w:t>
      </w:r>
      <w:r>
        <w:t>of industrial applications involving thiosulfate.</w:t>
      </w:r>
      <w:r w:rsidRPr="00FC3ED6">
        <w:t xml:space="preserve"> </w:t>
      </w:r>
      <w:r>
        <w:t xml:space="preserve">One prominent example is the use of thiosulfate </w:t>
      </w:r>
      <w:r w:rsidRPr="00FC3ED6">
        <w:t xml:space="preserve">instead of the hazardous cyanide as a </w:t>
      </w:r>
      <w:proofErr w:type="spellStart"/>
      <w:r w:rsidRPr="00FC3ED6">
        <w:t>lixiviant</w:t>
      </w:r>
      <w:proofErr w:type="spellEnd"/>
      <w:r w:rsidRPr="00FC3ED6">
        <w:t xml:space="preserve"> for gold</w:t>
      </w:r>
      <w:r>
        <w:t xml:space="preserve">. </w:t>
      </w:r>
      <w:r w:rsidR="00FC3ED6" w:rsidRPr="00FC3ED6">
        <w:t>Despite extensive research work in this area, neither commercialization of the thiosu</w:t>
      </w:r>
      <w:r w:rsidR="00FC3ED6" w:rsidRPr="00FC3ED6">
        <w:t>l</w:t>
      </w:r>
      <w:r w:rsidR="00FC3ED6" w:rsidRPr="00FC3ED6">
        <w:t>fate processes nor full knowledge of the underlying mechanism have been achieved</w:t>
      </w:r>
      <w:r w:rsidR="001F5C71">
        <w:fldChar w:fldCharType="begin" w:fldLock="1"/>
      </w:r>
      <w:r w:rsidR="001C12AC">
        <w:instrText>ADDIN CSL_CITATION { "citationItems" : [ { "id" : "ITEM-1", "itemData" : { "DOI" : "10.1016/S0304-386X(02)00169-X", "ISBN" : "0304-386X", "ISSN" : "0304386X", "abstract" : "A review is presented summarising the leaching of gold with ammoniacal thiosulfate solutions, and evaluating the current use and development of ion exchange resins for the recovery of gold and silver from such leach liquors. Comparisons are also made with other recovery processes, including carbon adsorption, solvent extraction, electrowinning and precipitation. Thiosulfate leaching chemistry is compared with cyanide leaching, and the problems associated with obtaining a high yield of recovered gold using the former process are discussed. The present limitations of using Resin-in-Pulp (RIP) and Resin-in-Leach (RIL) systems with thiosulfate liquors are indicated and possible solutions discussed. ?? 2002 Elsevier Science B.V. All rights reserved.", "author" : [ { "dropping-particle" : "", "family" : "Grosse", "given" : "Andrew C.", "non-dropping-particle" : "", "parse-names" : false, "suffix" : "" }, { "dropping-particle" : "", "family" : "Dicinoski", "given" : "Greg W.", "non-dropping-particle" : "", "parse-names" : false, "suffix" : "" }, { "dropping-particle" : "", "family" : "Shaw", "given" : "Matthew J.", "non-dropping-particle" : "", "parse-names" : false, "suffix" : "" }, { "dropping-particle" : "", "family" : "Haddad", "given" : "Paul R.", "non-dropping-particle" : "", "parse-names" : false, "suffix" : "" } ], "container-title" : "Hydrometallurgy", "id" : "ITEM-1", "issue" : "1-3", "issued" : { "date-parts" : [ [ "2003" ] ] }, "page" : "1-21", "title" : "Leaching and recovery of gold using ammoniacal thiosulfate leach liquors (a review)", "type" : "article-journal", "volume" : "69" }, "uris" : [ "http://www.mendeley.com/documents/?uuid=4c80f5a7-57ef-4e13-887d-13915dc0eed4" ] }, { "id" : "ITEM-2", "itemData" : { "DOI" : "10.1016/S0892-6875(00)00172-2", "ISBN" : "0892-6875", "ISSN" : "08926875", "abstract" : "The ammoniacal thiosulfate leaching process for gold and silver extraction has been reviewed in terms of leaching mechanism, thermodynamics, thiosulfate stability, and gold recovery options. The application to different ore types and process options have also been discussed. The thiosulfate leaching process it catalysed by copper and has several advantages over the conventional cyanidation process. Thiosulfate leaching can be considered a non-toxic process, the gold dissolution rates can be faster than conventional cyanidation and, due to the decreased interference of foreign cations, high gold recoveries can be obtained from the thiosulfate leaching of complex and carbonaceous-type ores. In addition, thiosulfate can be cheaper than cyanide. The chemistry of the ammonia-thiosulfate - copper system is complicated due to the simultaneous presence of complexing ligands such as ammonia and thiosulfate, the Cu(II)\ue5f8Cu(I) redox couple and the stability of thiosulfate in solution. However, by maintaining suitable concentrations of thiosulfate, ammonia, copper and oxygen in the leach solution, and consequently, suitable Eh and pH conditions, thiosulfate leaching can be made practical. Generally the thiosulfate leaching conditions reported in the literature are severe with high reagent consumption. Further investigations are required on leaching under low reagent concentrations over extended periods where reagent consumption is low. For high grade ores or refractory sulfide ores where some pretreatment processing is required to liberate gold, the in-situ generation of thiosulfate should be investigated in more detail. This may lessen thiosulfate consumption and liberate more gold through the oxidation of host sulfide minerals. Cementation (or metal displacement), resins and to a limited extent, activated carbon can be used to recovery gold from thiosulfate solutions. The use of resins to recover gold from solution appears to show some promise, however more work is required to develop suitable elution and recovery methods, and greater selectivity over copper. While difficulties remain to be overcome, thiosulfate leaching has considerable potential as an effective and less hazardous procedure for gold and silver extraction from auriferous ores.", "author" : [ { "dropping-particle" : "", "family" : "Aylmore", "given" : "M G", "non-dropping-particle" : "", "parse-names" : false, "suffix" : "" }, { "dropping-particle" : "", "family" : "Muir", "given" : "D M", "non-dropping-particle" : "", "parse-names" : false, "suffix" : "" } ], "container-title" : "Minerals Engineering", "id" : "ITEM-2", "issue" : "2", "issued" : { "date-parts" : [ [ "2001" ] ] }, "page" : "135-174", "title" : "Thiosulfate leaching of gold\u2014A review", "type" : "article-journal", "volume" : "14" }, "uris" : [ "http://www.mendeley.com/documents/?uuid=48f95399-88bb-4181-9862-adb5ed30424a" ] }, { "id" : "ITEM-3", "itemData" : { "DOI" : "10.1016/j.hydromet.2010.08.011", "ISBN" : "0304386X", "ISSN" : "0304386X", "abstract" : "Gold leaching with calcium, sodium and ammonium thiosulphate salts was investigated in both pure gold and ore leaching systems. The type of thiosulphate salts was found to influence significantly the solution and surface chemistry, and hence the leaching of pure gold and the pyrite concentrate in the ammoniacal thiosulphate solutions. Calcium thiosulphate gave a higher gold extraction rate with negligible consumption of thiosulphate in the leaching of pure gold. Sodium thiosulphate had the least thiosulphate consumption and the lowest gold extraction rate in the leaching of pure gold. Ammonium thiosulphate had a better gold extraction rate than sodium thiosulphate, but had the highest thiosulphate consumption due to lower solution pH in the leaching of pure gold. The difference in the leaching of pure gold by the thiosulphate salts was attributed to the ability of ion-pair formation of thiosulphate ion with the cations. The mineralogy affected substantially the gold leaching of the ores with different thiosulphate salts. The leaching of the sulphide gold ore with a low-sulphide content followed the same trend as the leaching of pure gold, where the dissolution behaviour of gold with different thiosulphate salts governed the gold extraction rate. In contrast, the extraction rate of gold from the pyrite concentrate was dependent not only on the leaching behaviour of gold but also on the interactions of the associated sulphide minerals. Ammonium thiosulphate had a marginally higher gold extraction rate from the pyrite concentrate than calcium thiosulphate, due to the greater extent of leaching of the copper sulphide minerals in the ammonium thiosulphate solution. The thiosulphate consumption was the lowest in the leaching of the pyrite concentrate with calcium thiosulphate. Sodium thiosulphate had the lowest gold extraction rate from the pyrite concentrate despite low thiosulphate consumption. Ammonium thiosulphate is preferred for the leaching of high-sulphide ores and calcium thiosulphate is preferred for the leaching of low-sulphide ores. ?? 2010 Elsevier B.V. All rights reserved.", "author" : [ { "dropping-particle" : "", "family" : "Feng", "given" : "D", "non-dropping-particle" : "", "parse-names" : false, "suffix" : "" }, { "dropping-particle" : "", "family" : "Deventer", "given" : "J S J", "non-dropping-particle" : "Van", "parse-names" : false, "suffix" : "" } ], "container-title" : "Hydrometallurgy", "id" : "ITEM-3", "issue" : "1-2", "issued" : { "date-parts" : [ [ "2010" ] ] }, "page" : "120-126", "publisher" : "Elsevier B.V.", "title" : "Effect of thiosulphate salts on ammoniacal thiosulphate leaching of gold", "type" : "article-journal", "volume" : "105" }, "uris" : [ "http://www.mendeley.com/documents/?uuid=7a0d8410-d258-4175-88d2-7b5fdafb3e65" ] } ], "mendeley" : { "formattedCitation" : "&lt;sup&gt;3,34,35&lt;/sup&gt;", "plainTextFormattedCitation" : "3,34,35", "previouslyFormattedCitation" : "&lt;sup&gt;3,34,35&lt;/sup&gt;" }, "properties" : { "noteIndex" : 0 }, "schema" : "https://github.com/citation-style-language/schema/raw/master/csl-citation.json" }</w:instrText>
      </w:r>
      <w:r w:rsidR="001F5C71">
        <w:fldChar w:fldCharType="separate"/>
      </w:r>
      <w:r w:rsidR="001D3990" w:rsidRPr="001D3990">
        <w:rPr>
          <w:noProof/>
          <w:vertAlign w:val="superscript"/>
        </w:rPr>
        <w:t>3,34,35</w:t>
      </w:r>
      <w:r w:rsidR="001F5C71">
        <w:fldChar w:fldCharType="end"/>
      </w:r>
      <w:r w:rsidR="00FC3ED6" w:rsidRPr="00FC3ED6">
        <w:t xml:space="preserve">. </w:t>
      </w:r>
      <w:r w:rsidR="00EA165C">
        <w:t xml:space="preserve">This is due </w:t>
      </w:r>
      <w:r w:rsidR="00EA165C" w:rsidRPr="00FC3ED6">
        <w:t xml:space="preserve">largely </w:t>
      </w:r>
      <w:r w:rsidR="00EA165C" w:rsidRPr="00D65664">
        <w:t>to the complex</w:t>
      </w:r>
      <w:r w:rsidR="00EA165C" w:rsidRPr="00FC3ED6">
        <w:t xml:space="preserve">ity of the chemical reactions </w:t>
      </w:r>
      <w:r w:rsidR="00EA165C">
        <w:t>accompanying the process and</w:t>
      </w:r>
      <w:r w:rsidR="00C21546">
        <w:t xml:space="preserve"> which </w:t>
      </w:r>
      <w:r w:rsidR="00FC3ED6" w:rsidRPr="00FC3ED6">
        <w:t>includ</w:t>
      </w:r>
      <w:r w:rsidR="00C21546">
        <w:t>e</w:t>
      </w:r>
      <w:r w:rsidR="00EA165C">
        <w:t xml:space="preserve"> </w:t>
      </w:r>
      <w:r w:rsidR="00FC3ED6" w:rsidRPr="00FC3ED6">
        <w:t xml:space="preserve">the formation of tetrathionate and other </w:t>
      </w:r>
      <w:proofErr w:type="spellStart"/>
      <w:r w:rsidR="00FC3ED6" w:rsidRPr="00FC3ED6">
        <w:t>polythionates</w:t>
      </w:r>
      <w:proofErr w:type="spellEnd"/>
      <w:r w:rsidR="00FC3ED6" w:rsidRPr="00FC3ED6">
        <w:t xml:space="preserve"> </w:t>
      </w:r>
      <w:r w:rsidR="00C841D8">
        <w:t xml:space="preserve">from the </w:t>
      </w:r>
      <w:r w:rsidR="00FC3ED6" w:rsidRPr="00FC3ED6">
        <w:t xml:space="preserve">oxidation of thiosulfate in aqueous solutions. </w:t>
      </w:r>
    </w:p>
    <w:p w:rsidR="00A71C00" w:rsidRDefault="00157E12" w:rsidP="00613A3F">
      <w:pPr>
        <w:pStyle w:val="TESupportingInfoTitle"/>
      </w:pPr>
      <w:r>
        <w:t>ASSOCIATED CONTENT</w:t>
      </w:r>
    </w:p>
    <w:p w:rsidR="00040532" w:rsidRDefault="00157E12" w:rsidP="00157E12">
      <w:pPr>
        <w:pStyle w:val="TESupportingInformation"/>
      </w:pPr>
      <w:r w:rsidRPr="00157E12">
        <w:rPr>
          <w:b/>
        </w:rPr>
        <w:t>Supporting Information</w:t>
      </w:r>
      <w:r>
        <w:t>.</w:t>
      </w:r>
      <w:r w:rsidR="00953990">
        <w:t xml:space="preserve"> </w:t>
      </w:r>
      <w:r w:rsidR="00040532">
        <w:t>Overproduction, purification and pre</w:t>
      </w:r>
      <w:r w:rsidR="00D15554">
        <w:t xml:space="preserve">paration of the </w:t>
      </w:r>
      <w:r w:rsidR="006143C2">
        <w:t>thiosulfate dehydrogenases. Electrochemi</w:t>
      </w:r>
      <w:r w:rsidR="00BA7DC3">
        <w:softHyphen/>
      </w:r>
      <w:r w:rsidR="006143C2">
        <w:t>cal procedures</w:t>
      </w:r>
      <w:r w:rsidR="000F20A4">
        <w:t xml:space="preserve">, resolution of </w:t>
      </w:r>
      <w:r w:rsidR="000F20A4" w:rsidRPr="008F3530">
        <w:rPr>
          <w:i/>
        </w:rPr>
        <w:t>E</w:t>
      </w:r>
      <w:r w:rsidR="000F20A4" w:rsidRPr="008F3530">
        <w:rPr>
          <w:vertAlign w:val="subscript"/>
        </w:rPr>
        <w:t>ZCP</w:t>
      </w:r>
      <w:r w:rsidR="006143C2">
        <w:t xml:space="preserve"> and quantification of catalytic bias resolved from Fig. 1.</w:t>
      </w:r>
      <w:r w:rsidR="00D15554">
        <w:t xml:space="preserve"> </w:t>
      </w:r>
      <w:r w:rsidR="003E5207">
        <w:t xml:space="preserve">This material is available free of charge via the Internet at </w:t>
      </w:r>
      <w:r w:rsidR="003E5207" w:rsidRPr="003E5207">
        <w:t>http://pubs.acs.org</w:t>
      </w:r>
      <w:r w:rsidR="00D15554">
        <w:t>.</w:t>
      </w:r>
    </w:p>
    <w:p w:rsidR="007331FF" w:rsidRDefault="007331FF" w:rsidP="000D26C8">
      <w:pPr>
        <w:pStyle w:val="AuthorInformationTitle"/>
        <w:spacing w:after="120"/>
      </w:pPr>
      <w:r>
        <w:t>A</w:t>
      </w:r>
      <w:r w:rsidR="00835CBD">
        <w:t>UTHOR INFORMATION</w:t>
      </w:r>
    </w:p>
    <w:p w:rsidR="00E75388" w:rsidRDefault="00101D1F" w:rsidP="000D26C8">
      <w:pPr>
        <w:pStyle w:val="FAAuthorInfoSubtitle"/>
      </w:pPr>
      <w:r>
        <w:t>Corresponding Author</w:t>
      </w:r>
      <w:r w:rsidR="00B73E15">
        <w:t>s</w:t>
      </w:r>
    </w:p>
    <w:p w:rsidR="00DC5ACE" w:rsidRDefault="005327A4" w:rsidP="00074BCE">
      <w:pPr>
        <w:pStyle w:val="StyleFACorrespondingAuthorFootnote7pt"/>
      </w:pPr>
      <w:r w:rsidRPr="00372B26">
        <w:t xml:space="preserve">* </w:t>
      </w:r>
      <w:r w:rsidR="00DC5ACE" w:rsidRPr="008F3530">
        <w:t>j.butt@uea.ac.uk</w:t>
      </w:r>
    </w:p>
    <w:p w:rsidR="007331FF" w:rsidRPr="005D2065" w:rsidRDefault="00B73E15" w:rsidP="00074BCE">
      <w:pPr>
        <w:pStyle w:val="StyleFACorrespondingAuthorFootnote7pt"/>
      </w:pPr>
      <w:r w:rsidRPr="00912210">
        <w:t xml:space="preserve">* </w:t>
      </w:r>
      <w:r w:rsidR="00596AEA" w:rsidRPr="00912210">
        <w:t>j</w:t>
      </w:r>
      <w:r w:rsidR="00372B26" w:rsidRPr="00912210">
        <w:t>ulia-kurth@gmx.de</w:t>
      </w:r>
    </w:p>
    <w:p w:rsidR="003D5345" w:rsidRDefault="003D5345" w:rsidP="000D26C8">
      <w:pPr>
        <w:pStyle w:val="FAAuthorInfoSubtitle"/>
      </w:pPr>
      <w:r>
        <w:t>Notes</w:t>
      </w:r>
    </w:p>
    <w:p w:rsidR="003D5345" w:rsidRPr="005D2065" w:rsidRDefault="003D5345" w:rsidP="00074BCE">
      <w:pPr>
        <w:pStyle w:val="StyleFACorrespondingAuthorFootnote7pt"/>
      </w:pPr>
      <w:r>
        <w:t>The authors declare no competing financial interest.</w:t>
      </w:r>
    </w:p>
    <w:p w:rsidR="007331FF" w:rsidRDefault="007331FF" w:rsidP="000D26C8">
      <w:pPr>
        <w:pStyle w:val="TDAckTitle"/>
        <w:spacing w:after="120"/>
      </w:pPr>
      <w:r w:rsidRPr="00A71C00">
        <w:t>ACKNOWLEDGMENT</w:t>
      </w:r>
      <w:r w:rsidR="003D5345">
        <w:t>S</w:t>
      </w:r>
    </w:p>
    <w:p w:rsidR="003D5345" w:rsidRDefault="00FF34FC" w:rsidP="003D5345">
      <w:pPr>
        <w:pStyle w:val="TDAcknowledgments"/>
      </w:pPr>
      <w:r>
        <w:t xml:space="preserve">We thank </w:t>
      </w:r>
      <w:proofErr w:type="spellStart"/>
      <w:r>
        <w:t>Jula</w:t>
      </w:r>
      <w:proofErr w:type="spellEnd"/>
      <w:r>
        <w:t xml:space="preserve"> Reuter for cloning </w:t>
      </w:r>
      <w:r w:rsidRPr="00FC2CC5">
        <w:rPr>
          <w:rFonts w:eastAsia="TimesNewRomanPSMT" w:cs="TimesNewRomanPSMT"/>
        </w:rPr>
        <w:t>pET_marpuDRAFT_1194</w:t>
      </w:r>
      <w:r w:rsidR="00BD3837">
        <w:rPr>
          <w:rFonts w:eastAsia="TimesNewRomanPSMT" w:cs="TimesNewRomanPSMT"/>
        </w:rPr>
        <w:t>,</w:t>
      </w:r>
      <w:r w:rsidRPr="00BE533F">
        <w:t xml:space="preserve"> </w:t>
      </w:r>
      <w:r>
        <w:t xml:space="preserve">Alexander </w:t>
      </w:r>
      <w:proofErr w:type="spellStart"/>
      <w:r>
        <w:t>Flegler</w:t>
      </w:r>
      <w:proofErr w:type="spellEnd"/>
      <w:r>
        <w:t xml:space="preserve"> for preparation of </w:t>
      </w:r>
      <w:proofErr w:type="spellStart"/>
      <w:r w:rsidRPr="00BD3837">
        <w:rPr>
          <w:i/>
        </w:rPr>
        <w:t>Mp</w:t>
      </w:r>
      <w:r>
        <w:t>Tsd</w:t>
      </w:r>
      <w:r w:rsidR="008E10F1">
        <w:t>BA</w:t>
      </w:r>
      <w:proofErr w:type="spellEnd"/>
      <w:r>
        <w:t xml:space="preserve"> and </w:t>
      </w:r>
      <w:proofErr w:type="spellStart"/>
      <w:r w:rsidR="00BD3837" w:rsidRPr="00BD3837">
        <w:rPr>
          <w:i/>
        </w:rPr>
        <w:t>Av</w:t>
      </w:r>
      <w:r w:rsidR="00BD3837">
        <w:t>TsdA</w:t>
      </w:r>
      <w:proofErr w:type="spellEnd"/>
      <w:r w:rsidR="00085605">
        <w:t xml:space="preserve">, </w:t>
      </w:r>
      <w:r w:rsidR="00854D1E" w:rsidRPr="00854D1E">
        <w:rPr>
          <w:color w:val="000000" w:themeColor="text1"/>
        </w:rPr>
        <w:t xml:space="preserve">Sam Rowe and Colin Lockwood for </w:t>
      </w:r>
      <w:r w:rsidR="00BD3837">
        <w:rPr>
          <w:color w:val="000000" w:themeColor="text1"/>
        </w:rPr>
        <w:t>assistance with the elec</w:t>
      </w:r>
      <w:r w:rsidR="00BA7DC3">
        <w:rPr>
          <w:color w:val="000000" w:themeColor="text1"/>
        </w:rPr>
        <w:softHyphen/>
      </w:r>
      <w:r w:rsidR="00BD3837">
        <w:rPr>
          <w:color w:val="000000" w:themeColor="text1"/>
        </w:rPr>
        <w:t>trochemical measurements</w:t>
      </w:r>
      <w:r w:rsidR="00F00793">
        <w:rPr>
          <w:color w:val="000000" w:themeColor="text1"/>
        </w:rPr>
        <w:t xml:space="preserve"> and Myles Cheesman for helpful discussion</w:t>
      </w:r>
      <w:r w:rsidR="00BD3837">
        <w:rPr>
          <w:color w:val="000000" w:themeColor="text1"/>
        </w:rPr>
        <w:t>.</w:t>
      </w:r>
      <w:r>
        <w:t xml:space="preserve"> </w:t>
      </w:r>
      <w:r w:rsidR="003D5345" w:rsidRPr="003D5345">
        <w:t xml:space="preserve">Funding was from the Deutsche </w:t>
      </w:r>
      <w:proofErr w:type="spellStart"/>
      <w:r w:rsidR="003D5345" w:rsidRPr="003D5345">
        <w:t>Forschungsge</w:t>
      </w:r>
      <w:r w:rsidR="00BA7DC3">
        <w:softHyphen/>
      </w:r>
      <w:r w:rsidR="003D5345" w:rsidRPr="003D5345">
        <w:t>meinschaft</w:t>
      </w:r>
      <w:proofErr w:type="spellEnd"/>
      <w:r w:rsidR="003D5345" w:rsidRPr="003D5345">
        <w:t xml:space="preserve"> (DA351/7-2) to CD, a scholarship to JK from the Aventis Foundation awarded by the Association of the Chemical Industry </w:t>
      </w:r>
      <w:r w:rsidR="000D7652">
        <w:t>(scholarship 700051)</w:t>
      </w:r>
      <w:r w:rsidR="000D7652">
        <w:t xml:space="preserve"> </w:t>
      </w:r>
      <w:bookmarkStart w:id="0" w:name="_GoBack"/>
      <w:bookmarkEnd w:id="0"/>
      <w:r w:rsidR="003D5345" w:rsidRPr="003D5345">
        <w:t>and the UK Biotec</w:t>
      </w:r>
      <w:r w:rsidR="003D5345" w:rsidRPr="003D5345">
        <w:t>h</w:t>
      </w:r>
      <w:r w:rsidR="003D5345" w:rsidRPr="003D5345">
        <w:t>nology and Biological Sciences Research Council grants K009885 and L022176 to JNB.</w:t>
      </w:r>
    </w:p>
    <w:p w:rsidR="000D26C8" w:rsidRPr="00613A3F" w:rsidRDefault="000D26C8" w:rsidP="00613A3F">
      <w:pPr>
        <w:spacing w:after="0"/>
        <w:rPr>
          <w:sz w:val="18"/>
          <w:szCs w:val="18"/>
        </w:rPr>
      </w:pPr>
    </w:p>
    <w:p w:rsidR="00101D1F" w:rsidRPr="00101D1F" w:rsidRDefault="00101D1F" w:rsidP="00613A3F">
      <w:pPr>
        <w:pStyle w:val="TDAckTitle"/>
        <w:spacing w:after="120"/>
      </w:pPr>
      <w:r>
        <w:t>REFERENCES</w:t>
      </w:r>
    </w:p>
    <w:p w:rsidR="001C12AC" w:rsidRPr="001C12AC" w:rsidRDefault="001F5C71" w:rsidP="008F3530">
      <w:pPr>
        <w:pStyle w:val="StandardWeb"/>
        <w:spacing w:before="0" w:beforeAutospacing="0" w:after="0" w:afterAutospacing="0"/>
        <w:ind w:left="641" w:hanging="641"/>
        <w:divId w:val="918363244"/>
        <w:rPr>
          <w:rFonts w:ascii="Arno Pro" w:hAnsi="Arno Pro"/>
          <w:noProof/>
          <w:sz w:val="16"/>
        </w:rPr>
      </w:pPr>
      <w:r w:rsidRPr="00EC5323">
        <w:rPr>
          <w:szCs w:val="16"/>
        </w:rPr>
        <w:fldChar w:fldCharType="begin" w:fldLock="1"/>
      </w:r>
      <w:r w:rsidR="00710B3C" w:rsidRPr="00EC5323">
        <w:rPr>
          <w:szCs w:val="16"/>
        </w:rPr>
        <w:instrText xml:space="preserve">ADDIN Mendeley Bibliography CSL_BIBLIOGRAPHY </w:instrText>
      </w:r>
      <w:r w:rsidRPr="00EC5323">
        <w:rPr>
          <w:szCs w:val="16"/>
        </w:rPr>
        <w:fldChar w:fldCharType="separate"/>
      </w:r>
      <w:r w:rsidR="001C12AC" w:rsidRPr="001C12AC">
        <w:rPr>
          <w:rFonts w:ascii="Arno Pro" w:hAnsi="Arno Pro"/>
          <w:noProof/>
          <w:sz w:val="16"/>
        </w:rPr>
        <w:t xml:space="preserve">(1) </w:t>
      </w:r>
      <w:r w:rsidR="001C12AC" w:rsidRPr="001C12AC">
        <w:rPr>
          <w:rFonts w:ascii="Arno Pro" w:hAnsi="Arno Pro"/>
          <w:noProof/>
          <w:sz w:val="16"/>
        </w:rPr>
        <w:tab/>
        <w:t xml:space="preserve">Harding, C.; Janes, R.; Johnson, D. </w:t>
      </w:r>
      <w:r w:rsidR="001C12AC" w:rsidRPr="001C12AC">
        <w:rPr>
          <w:rFonts w:ascii="Arno Pro" w:hAnsi="Arno Pro"/>
          <w:i/>
          <w:iCs/>
          <w:noProof/>
          <w:sz w:val="16"/>
        </w:rPr>
        <w:t>Elements of the P Block</w:t>
      </w:r>
      <w:r w:rsidR="001C12AC" w:rsidRPr="001C12AC">
        <w:rPr>
          <w:rFonts w:ascii="Arno Pro" w:hAnsi="Arno Pro"/>
          <w:noProof/>
          <w:sz w:val="16"/>
        </w:rPr>
        <w:t>; Royal Society of Chemistry: Cambridge, 2002.</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lastRenderedPageBreak/>
        <w:t xml:space="preserve">(2) </w:t>
      </w:r>
      <w:r w:rsidRPr="001C12AC">
        <w:rPr>
          <w:rFonts w:ascii="Arno Pro" w:hAnsi="Arno Pro"/>
          <w:noProof/>
          <w:sz w:val="16"/>
        </w:rPr>
        <w:tab/>
        <w:t xml:space="preserve">Varga, D.; Horváth, A. K.; Nagypál, I. </w:t>
      </w:r>
      <w:r w:rsidRPr="001C12AC">
        <w:rPr>
          <w:rFonts w:ascii="Arno Pro" w:hAnsi="Arno Pro"/>
          <w:i/>
          <w:iCs/>
          <w:noProof/>
          <w:sz w:val="16"/>
        </w:rPr>
        <w:t>J. Phys. Chem. B</w:t>
      </w:r>
      <w:r w:rsidRPr="001C12AC">
        <w:rPr>
          <w:rFonts w:ascii="Arno Pro" w:hAnsi="Arno Pro"/>
          <w:noProof/>
          <w:sz w:val="16"/>
        </w:rPr>
        <w:t xml:space="preserve"> </w:t>
      </w:r>
      <w:r w:rsidRPr="001C12AC">
        <w:rPr>
          <w:rFonts w:ascii="Arno Pro" w:hAnsi="Arno Pro"/>
          <w:b/>
          <w:bCs/>
          <w:noProof/>
          <w:sz w:val="16"/>
        </w:rPr>
        <w:t>2006</w:t>
      </w:r>
      <w:r w:rsidRPr="001C12AC">
        <w:rPr>
          <w:rFonts w:ascii="Arno Pro" w:hAnsi="Arno Pro"/>
          <w:noProof/>
          <w:sz w:val="16"/>
        </w:rPr>
        <w:t xml:space="preserve">, </w:t>
      </w:r>
      <w:r w:rsidRPr="001C12AC">
        <w:rPr>
          <w:rFonts w:ascii="Arno Pro" w:hAnsi="Arno Pro"/>
          <w:i/>
          <w:iCs/>
          <w:noProof/>
          <w:sz w:val="16"/>
        </w:rPr>
        <w:t>110</w:t>
      </w:r>
      <w:r w:rsidRPr="001C12AC">
        <w:rPr>
          <w:rFonts w:ascii="Arno Pro" w:hAnsi="Arno Pro"/>
          <w:noProof/>
          <w:sz w:val="16"/>
        </w:rPr>
        <w:t>, 2467–2470.</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(3) </w:t>
      </w:r>
      <w:r w:rsidRPr="001C12AC">
        <w:rPr>
          <w:rFonts w:ascii="Arno Pro" w:hAnsi="Arno Pro"/>
          <w:noProof/>
          <w:sz w:val="16"/>
        </w:rPr>
        <w:tab/>
        <w:t xml:space="preserve">Aylmore, M. G.; Muir, D. M. </w:t>
      </w:r>
      <w:r w:rsidRPr="001C12AC">
        <w:rPr>
          <w:rFonts w:ascii="Arno Pro" w:hAnsi="Arno Pro"/>
          <w:i/>
          <w:iCs/>
          <w:noProof/>
          <w:sz w:val="16"/>
        </w:rPr>
        <w:t>Miner. Eng.</w:t>
      </w:r>
      <w:r w:rsidRPr="001C12AC">
        <w:rPr>
          <w:rFonts w:ascii="Arno Pro" w:hAnsi="Arno Pro"/>
          <w:noProof/>
          <w:sz w:val="16"/>
        </w:rPr>
        <w:t xml:space="preserve"> </w:t>
      </w:r>
      <w:r w:rsidRPr="001C12AC">
        <w:rPr>
          <w:rFonts w:ascii="Arno Pro" w:hAnsi="Arno Pro"/>
          <w:b/>
          <w:bCs/>
          <w:noProof/>
          <w:sz w:val="16"/>
        </w:rPr>
        <w:t>2001</w:t>
      </w:r>
      <w:r w:rsidRPr="001C12AC">
        <w:rPr>
          <w:rFonts w:ascii="Arno Pro" w:hAnsi="Arno Pro"/>
          <w:noProof/>
          <w:sz w:val="16"/>
        </w:rPr>
        <w:t xml:space="preserve">, </w:t>
      </w:r>
      <w:r w:rsidRPr="001C12AC">
        <w:rPr>
          <w:rFonts w:ascii="Arno Pro" w:hAnsi="Arno Pro"/>
          <w:i/>
          <w:iCs/>
          <w:noProof/>
          <w:sz w:val="16"/>
        </w:rPr>
        <w:t>14</w:t>
      </w:r>
      <w:r w:rsidRPr="001C12AC">
        <w:rPr>
          <w:rFonts w:ascii="Arno Pro" w:hAnsi="Arno Pro"/>
          <w:noProof/>
          <w:sz w:val="16"/>
        </w:rPr>
        <w:t>, 135–174.</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(4) </w:t>
      </w:r>
      <w:r w:rsidRPr="001C12AC">
        <w:rPr>
          <w:rFonts w:ascii="Arno Pro" w:hAnsi="Arno Pro"/>
          <w:noProof/>
          <w:sz w:val="16"/>
        </w:rPr>
        <w:tab/>
        <w:t xml:space="preserve">Trudinger, P. A. </w:t>
      </w:r>
      <w:r w:rsidRPr="001C12AC">
        <w:rPr>
          <w:rFonts w:ascii="Arno Pro" w:hAnsi="Arno Pro"/>
          <w:i/>
          <w:iCs/>
          <w:noProof/>
          <w:sz w:val="16"/>
        </w:rPr>
        <w:t>J. Bacteriol.</w:t>
      </w:r>
      <w:r w:rsidRPr="001C12AC">
        <w:rPr>
          <w:rFonts w:ascii="Arno Pro" w:hAnsi="Arno Pro"/>
          <w:noProof/>
          <w:sz w:val="16"/>
        </w:rPr>
        <w:t xml:space="preserve"> </w:t>
      </w:r>
      <w:r w:rsidRPr="001C12AC">
        <w:rPr>
          <w:rFonts w:ascii="Arno Pro" w:hAnsi="Arno Pro"/>
          <w:b/>
          <w:bCs/>
          <w:noProof/>
          <w:sz w:val="16"/>
        </w:rPr>
        <w:t>1967</w:t>
      </w:r>
      <w:r w:rsidRPr="001C12AC">
        <w:rPr>
          <w:rFonts w:ascii="Arno Pro" w:hAnsi="Arno Pro"/>
          <w:noProof/>
          <w:sz w:val="16"/>
        </w:rPr>
        <w:t xml:space="preserve">, </w:t>
      </w:r>
      <w:r w:rsidRPr="001C12AC">
        <w:rPr>
          <w:rFonts w:ascii="Arno Pro" w:hAnsi="Arno Pro"/>
          <w:i/>
          <w:iCs/>
          <w:noProof/>
          <w:sz w:val="16"/>
        </w:rPr>
        <w:t>93</w:t>
      </w:r>
      <w:r w:rsidRPr="001C12AC">
        <w:rPr>
          <w:rFonts w:ascii="Arno Pro" w:hAnsi="Arno Pro"/>
          <w:noProof/>
          <w:sz w:val="16"/>
        </w:rPr>
        <w:t>, 550–559.</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(5) </w:t>
      </w:r>
      <w:r w:rsidRPr="001C12AC">
        <w:rPr>
          <w:rFonts w:ascii="Arno Pro" w:hAnsi="Arno Pro"/>
          <w:noProof/>
          <w:sz w:val="16"/>
        </w:rPr>
        <w:tab/>
        <w:t xml:space="preserve">Barrett, E. L.; Clark, M. A. </w:t>
      </w:r>
      <w:r w:rsidRPr="001C12AC">
        <w:rPr>
          <w:rFonts w:ascii="Arno Pro" w:hAnsi="Arno Pro"/>
          <w:i/>
          <w:iCs/>
          <w:noProof/>
          <w:sz w:val="16"/>
        </w:rPr>
        <w:t>Microbiol. Rev.</w:t>
      </w:r>
      <w:r w:rsidRPr="001C12AC">
        <w:rPr>
          <w:rFonts w:ascii="Arno Pro" w:hAnsi="Arno Pro"/>
          <w:noProof/>
          <w:sz w:val="16"/>
        </w:rPr>
        <w:t xml:space="preserve"> </w:t>
      </w:r>
      <w:r w:rsidRPr="001C12AC">
        <w:rPr>
          <w:rFonts w:ascii="Arno Pro" w:hAnsi="Arno Pro"/>
          <w:b/>
          <w:bCs/>
          <w:noProof/>
          <w:sz w:val="16"/>
        </w:rPr>
        <w:t>1987</w:t>
      </w:r>
      <w:r w:rsidRPr="001C12AC">
        <w:rPr>
          <w:rFonts w:ascii="Arno Pro" w:hAnsi="Arno Pro"/>
          <w:noProof/>
          <w:sz w:val="16"/>
        </w:rPr>
        <w:t xml:space="preserve">, </w:t>
      </w:r>
      <w:r w:rsidRPr="001C12AC">
        <w:rPr>
          <w:rFonts w:ascii="Arno Pro" w:hAnsi="Arno Pro"/>
          <w:i/>
          <w:iCs/>
          <w:noProof/>
          <w:sz w:val="16"/>
        </w:rPr>
        <w:t>51</w:t>
      </w:r>
      <w:r w:rsidRPr="001C12AC">
        <w:rPr>
          <w:rFonts w:ascii="Arno Pro" w:hAnsi="Arno Pro"/>
          <w:noProof/>
          <w:sz w:val="16"/>
        </w:rPr>
        <w:t>, 192–205.</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(6) </w:t>
      </w:r>
      <w:r w:rsidRPr="001C12AC">
        <w:rPr>
          <w:rFonts w:ascii="Arno Pro" w:hAnsi="Arno Pro"/>
          <w:noProof/>
          <w:sz w:val="16"/>
        </w:rPr>
        <w:tab/>
        <w:t xml:space="preserve">Podgorsek, L.; Imhoff, J. F. </w:t>
      </w:r>
      <w:r w:rsidRPr="001C12AC">
        <w:rPr>
          <w:rFonts w:ascii="Arno Pro" w:hAnsi="Arno Pro"/>
          <w:i/>
          <w:iCs/>
          <w:noProof/>
          <w:sz w:val="16"/>
        </w:rPr>
        <w:t>Aquat. Microb. Ecol.</w:t>
      </w:r>
      <w:r w:rsidRPr="001C12AC">
        <w:rPr>
          <w:rFonts w:ascii="Arno Pro" w:hAnsi="Arno Pro"/>
          <w:noProof/>
          <w:sz w:val="16"/>
        </w:rPr>
        <w:t xml:space="preserve"> </w:t>
      </w:r>
      <w:r w:rsidRPr="001C12AC">
        <w:rPr>
          <w:rFonts w:ascii="Arno Pro" w:hAnsi="Arno Pro"/>
          <w:b/>
          <w:bCs/>
          <w:noProof/>
          <w:sz w:val="16"/>
        </w:rPr>
        <w:t>1999</w:t>
      </w:r>
      <w:r w:rsidRPr="001C12AC">
        <w:rPr>
          <w:rFonts w:ascii="Arno Pro" w:hAnsi="Arno Pro"/>
          <w:noProof/>
          <w:sz w:val="16"/>
        </w:rPr>
        <w:t xml:space="preserve">, </w:t>
      </w:r>
      <w:r w:rsidRPr="001C12AC">
        <w:rPr>
          <w:rFonts w:ascii="Arno Pro" w:hAnsi="Arno Pro"/>
          <w:i/>
          <w:iCs/>
          <w:noProof/>
          <w:sz w:val="16"/>
        </w:rPr>
        <w:t>17</w:t>
      </w:r>
      <w:r w:rsidRPr="001C12AC">
        <w:rPr>
          <w:rFonts w:ascii="Arno Pro" w:hAnsi="Arno Pro"/>
          <w:noProof/>
          <w:sz w:val="16"/>
        </w:rPr>
        <w:t>, 255–265.</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(7) </w:t>
      </w:r>
      <w:r w:rsidRPr="001C12AC">
        <w:rPr>
          <w:rFonts w:ascii="Arno Pro" w:hAnsi="Arno Pro"/>
          <w:noProof/>
          <w:sz w:val="16"/>
        </w:rPr>
        <w:tab/>
        <w:t xml:space="preserve">Winter, S. E.; Thiennimitr, P.; Winter, M. G.; Butler, B. P.; Huseby, D. L.; Crawford, R. W.; Russell, J. M.; Bevins, C. L.; Adams, L. G.; Tsolis, R. M.; Roth, J. R.; Bäumler, A. J. </w:t>
      </w:r>
      <w:r w:rsidRPr="001C12AC">
        <w:rPr>
          <w:rFonts w:ascii="Arno Pro" w:hAnsi="Arno Pro"/>
          <w:i/>
          <w:iCs/>
          <w:noProof/>
          <w:sz w:val="16"/>
        </w:rPr>
        <w:t>Nature</w:t>
      </w:r>
      <w:r w:rsidRPr="001C12AC">
        <w:rPr>
          <w:rFonts w:ascii="Arno Pro" w:hAnsi="Arno Pro"/>
          <w:noProof/>
          <w:sz w:val="16"/>
        </w:rPr>
        <w:t xml:space="preserve"> </w:t>
      </w:r>
      <w:r w:rsidRPr="001C12AC">
        <w:rPr>
          <w:rFonts w:ascii="Arno Pro" w:hAnsi="Arno Pro"/>
          <w:b/>
          <w:bCs/>
          <w:noProof/>
          <w:sz w:val="16"/>
        </w:rPr>
        <w:t>2010</w:t>
      </w:r>
      <w:r w:rsidRPr="001C12AC">
        <w:rPr>
          <w:rFonts w:ascii="Arno Pro" w:hAnsi="Arno Pro"/>
          <w:noProof/>
          <w:sz w:val="16"/>
        </w:rPr>
        <w:t xml:space="preserve">, </w:t>
      </w:r>
      <w:r w:rsidRPr="001C12AC">
        <w:rPr>
          <w:rFonts w:ascii="Arno Pro" w:hAnsi="Arno Pro"/>
          <w:i/>
          <w:iCs/>
          <w:noProof/>
          <w:sz w:val="16"/>
        </w:rPr>
        <w:t>467</w:t>
      </w:r>
      <w:r w:rsidRPr="001C12AC">
        <w:rPr>
          <w:rFonts w:ascii="Arno Pro" w:hAnsi="Arno Pro"/>
          <w:noProof/>
          <w:sz w:val="16"/>
        </w:rPr>
        <w:t>, 426–429.</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8F3530">
        <w:rPr>
          <w:rFonts w:ascii="Arno Pro" w:hAnsi="Arno Pro"/>
          <w:noProof/>
          <w:sz w:val="16"/>
          <w:lang w:val="de-DE"/>
        </w:rPr>
        <w:t xml:space="preserve">(8) </w:t>
      </w:r>
      <w:r w:rsidRPr="008F3530">
        <w:rPr>
          <w:rFonts w:ascii="Arno Pro" w:hAnsi="Arno Pro"/>
          <w:noProof/>
          <w:sz w:val="16"/>
          <w:lang w:val="de-DE"/>
        </w:rPr>
        <w:tab/>
        <w:t xml:space="preserve">Liu, Y. W.; Denkmann, K.; Kosciow, K.; Dahl, C.; Kelly, D. J. </w:t>
      </w:r>
      <w:r w:rsidRPr="008F3530">
        <w:rPr>
          <w:rFonts w:ascii="Arno Pro" w:hAnsi="Arno Pro"/>
          <w:i/>
          <w:iCs/>
          <w:noProof/>
          <w:sz w:val="16"/>
          <w:lang w:val="de-DE"/>
        </w:rPr>
        <w:t xml:space="preserve">Mol. </w:t>
      </w:r>
      <w:r w:rsidRPr="001C12AC">
        <w:rPr>
          <w:rFonts w:ascii="Arno Pro" w:hAnsi="Arno Pro"/>
          <w:i/>
          <w:iCs/>
          <w:noProof/>
          <w:sz w:val="16"/>
        </w:rPr>
        <w:t>Microbiol.</w:t>
      </w:r>
      <w:r w:rsidRPr="001C12AC">
        <w:rPr>
          <w:rFonts w:ascii="Arno Pro" w:hAnsi="Arno Pro"/>
          <w:noProof/>
          <w:sz w:val="16"/>
        </w:rPr>
        <w:t xml:space="preserve"> </w:t>
      </w:r>
      <w:r w:rsidRPr="001C12AC">
        <w:rPr>
          <w:rFonts w:ascii="Arno Pro" w:hAnsi="Arno Pro"/>
          <w:b/>
          <w:bCs/>
          <w:noProof/>
          <w:sz w:val="16"/>
        </w:rPr>
        <w:t>2013</w:t>
      </w:r>
      <w:r w:rsidRPr="001C12AC">
        <w:rPr>
          <w:rFonts w:ascii="Arno Pro" w:hAnsi="Arno Pro"/>
          <w:noProof/>
          <w:sz w:val="16"/>
        </w:rPr>
        <w:t xml:space="preserve">, </w:t>
      </w:r>
      <w:r w:rsidRPr="001C12AC">
        <w:rPr>
          <w:rFonts w:ascii="Arno Pro" w:hAnsi="Arno Pro"/>
          <w:i/>
          <w:iCs/>
          <w:noProof/>
          <w:sz w:val="16"/>
        </w:rPr>
        <w:t>88</w:t>
      </w:r>
      <w:r w:rsidRPr="001C12AC">
        <w:rPr>
          <w:rFonts w:ascii="Arno Pro" w:hAnsi="Arno Pro"/>
          <w:noProof/>
          <w:sz w:val="16"/>
        </w:rPr>
        <w:t>, 173–188.</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(9) </w:t>
      </w:r>
      <w:r w:rsidRPr="001C12AC">
        <w:rPr>
          <w:rFonts w:ascii="Arno Pro" w:hAnsi="Arno Pro"/>
          <w:noProof/>
          <w:sz w:val="16"/>
        </w:rPr>
        <w:tab/>
        <w:t xml:space="preserve">Pourbaix, M.; Pourbaix, A. </w:t>
      </w:r>
      <w:r w:rsidRPr="001C12AC">
        <w:rPr>
          <w:rFonts w:ascii="Arno Pro" w:hAnsi="Arno Pro"/>
          <w:i/>
          <w:iCs/>
          <w:noProof/>
          <w:sz w:val="16"/>
        </w:rPr>
        <w:t>Geochim. Cosmochim. Acta</w:t>
      </w:r>
      <w:r w:rsidRPr="001C12AC">
        <w:rPr>
          <w:rFonts w:ascii="Arno Pro" w:hAnsi="Arno Pro"/>
          <w:noProof/>
          <w:sz w:val="16"/>
        </w:rPr>
        <w:t xml:space="preserve"> </w:t>
      </w:r>
      <w:r w:rsidRPr="001C12AC">
        <w:rPr>
          <w:rFonts w:ascii="Arno Pro" w:hAnsi="Arno Pro"/>
          <w:b/>
          <w:bCs/>
          <w:noProof/>
          <w:sz w:val="16"/>
        </w:rPr>
        <w:t>1992</w:t>
      </w:r>
      <w:r w:rsidRPr="001C12AC">
        <w:rPr>
          <w:rFonts w:ascii="Arno Pro" w:hAnsi="Arno Pro"/>
          <w:noProof/>
          <w:sz w:val="16"/>
        </w:rPr>
        <w:t xml:space="preserve">, </w:t>
      </w:r>
      <w:r w:rsidRPr="001C12AC">
        <w:rPr>
          <w:rFonts w:ascii="Arno Pro" w:hAnsi="Arno Pro"/>
          <w:i/>
          <w:iCs/>
          <w:noProof/>
          <w:sz w:val="16"/>
        </w:rPr>
        <w:t>56</w:t>
      </w:r>
      <w:r w:rsidRPr="001C12AC">
        <w:rPr>
          <w:rFonts w:ascii="Arno Pro" w:hAnsi="Arno Pro"/>
          <w:noProof/>
          <w:sz w:val="16"/>
        </w:rPr>
        <w:t>, 3157–3178.</w:t>
      </w:r>
    </w:p>
    <w:p w:rsidR="001C12AC" w:rsidRPr="008F3530" w:rsidRDefault="001C12AC" w:rsidP="008F3530">
      <w:pPr>
        <w:pStyle w:val="StandardWeb"/>
        <w:spacing w:before="0" w:beforeAutospacing="0" w:after="0" w:afterAutospacing="0"/>
        <w:ind w:left="641" w:hanging="641"/>
        <w:divId w:val="918363244"/>
        <w:rPr>
          <w:rFonts w:ascii="Arno Pro" w:hAnsi="Arno Pro"/>
          <w:noProof/>
          <w:sz w:val="16"/>
          <w:lang w:val="de-DE"/>
        </w:rPr>
      </w:pPr>
      <w:r w:rsidRPr="001C12AC">
        <w:rPr>
          <w:rFonts w:ascii="Arno Pro" w:hAnsi="Arno Pro"/>
          <w:noProof/>
          <w:sz w:val="16"/>
        </w:rPr>
        <w:t xml:space="preserve">(10) </w:t>
      </w:r>
      <w:r w:rsidRPr="001C12AC">
        <w:rPr>
          <w:rFonts w:ascii="Arno Pro" w:hAnsi="Arno Pro"/>
          <w:noProof/>
          <w:sz w:val="16"/>
        </w:rPr>
        <w:tab/>
        <w:t xml:space="preserve">Thauer, R. K.; Jungermann, K.; Decker, K. </w:t>
      </w:r>
      <w:r w:rsidRPr="001C12AC">
        <w:rPr>
          <w:rFonts w:ascii="Arno Pro" w:hAnsi="Arno Pro"/>
          <w:i/>
          <w:iCs/>
          <w:noProof/>
          <w:sz w:val="16"/>
        </w:rPr>
        <w:t xml:space="preserve">Bacteriol. </w:t>
      </w:r>
      <w:r w:rsidRPr="008F3530">
        <w:rPr>
          <w:rFonts w:ascii="Arno Pro" w:hAnsi="Arno Pro"/>
          <w:i/>
          <w:iCs/>
          <w:noProof/>
          <w:sz w:val="16"/>
          <w:lang w:val="de-DE"/>
        </w:rPr>
        <w:t>Rev.</w:t>
      </w:r>
      <w:r w:rsidRPr="008F3530">
        <w:rPr>
          <w:rFonts w:ascii="Arno Pro" w:hAnsi="Arno Pro"/>
          <w:noProof/>
          <w:sz w:val="16"/>
          <w:lang w:val="de-DE"/>
        </w:rPr>
        <w:t xml:space="preserve"> </w:t>
      </w:r>
      <w:r w:rsidRPr="008F3530">
        <w:rPr>
          <w:rFonts w:ascii="Arno Pro" w:hAnsi="Arno Pro"/>
          <w:b/>
          <w:bCs/>
          <w:noProof/>
          <w:sz w:val="16"/>
          <w:lang w:val="de-DE"/>
        </w:rPr>
        <w:t>1977</w:t>
      </w:r>
      <w:r w:rsidRPr="008F3530">
        <w:rPr>
          <w:rFonts w:ascii="Arno Pro" w:hAnsi="Arno Pro"/>
          <w:noProof/>
          <w:sz w:val="16"/>
          <w:lang w:val="de-DE"/>
        </w:rPr>
        <w:t xml:space="preserve">, </w:t>
      </w:r>
      <w:r w:rsidRPr="008F3530">
        <w:rPr>
          <w:rFonts w:ascii="Arno Pro" w:hAnsi="Arno Pro"/>
          <w:i/>
          <w:iCs/>
          <w:noProof/>
          <w:sz w:val="16"/>
          <w:lang w:val="de-DE"/>
        </w:rPr>
        <w:t>41</w:t>
      </w:r>
      <w:r w:rsidRPr="008F3530">
        <w:rPr>
          <w:rFonts w:ascii="Arno Pro" w:hAnsi="Arno Pro"/>
          <w:noProof/>
          <w:sz w:val="16"/>
          <w:lang w:val="de-DE"/>
        </w:rPr>
        <w:t>, 100–180.</w:t>
      </w:r>
    </w:p>
    <w:p w:rsidR="001C12AC" w:rsidRPr="008F3530" w:rsidRDefault="001C12AC" w:rsidP="008F3530">
      <w:pPr>
        <w:pStyle w:val="StandardWeb"/>
        <w:spacing w:before="0" w:beforeAutospacing="0" w:after="0" w:afterAutospacing="0"/>
        <w:ind w:left="641" w:hanging="641"/>
        <w:divId w:val="918363244"/>
        <w:rPr>
          <w:rFonts w:ascii="Arno Pro" w:hAnsi="Arno Pro"/>
          <w:noProof/>
          <w:sz w:val="16"/>
          <w:lang w:val="de-DE"/>
        </w:rPr>
      </w:pPr>
      <w:r w:rsidRPr="008F3530">
        <w:rPr>
          <w:rFonts w:ascii="Arno Pro" w:hAnsi="Arno Pro"/>
          <w:noProof/>
          <w:sz w:val="16"/>
          <w:lang w:val="de-DE"/>
        </w:rPr>
        <w:t xml:space="preserve">(11) </w:t>
      </w:r>
      <w:r w:rsidRPr="008F3530">
        <w:rPr>
          <w:rFonts w:ascii="Arno Pro" w:hAnsi="Arno Pro"/>
          <w:noProof/>
          <w:sz w:val="16"/>
          <w:lang w:val="de-DE"/>
        </w:rPr>
        <w:tab/>
        <w:t xml:space="preserve">Kaprálek, F. </w:t>
      </w:r>
      <w:r w:rsidRPr="008F3530">
        <w:rPr>
          <w:rFonts w:ascii="Arno Pro" w:hAnsi="Arno Pro"/>
          <w:i/>
          <w:iCs/>
          <w:noProof/>
          <w:sz w:val="16"/>
          <w:lang w:val="de-DE"/>
        </w:rPr>
        <w:t>J. Gen. Microbiol.</w:t>
      </w:r>
      <w:r w:rsidRPr="008F3530">
        <w:rPr>
          <w:rFonts w:ascii="Arno Pro" w:hAnsi="Arno Pro"/>
          <w:noProof/>
          <w:sz w:val="16"/>
          <w:lang w:val="de-DE"/>
        </w:rPr>
        <w:t xml:space="preserve"> </w:t>
      </w:r>
      <w:r w:rsidRPr="008F3530">
        <w:rPr>
          <w:rFonts w:ascii="Arno Pro" w:hAnsi="Arno Pro"/>
          <w:b/>
          <w:bCs/>
          <w:noProof/>
          <w:sz w:val="16"/>
          <w:lang w:val="de-DE"/>
        </w:rPr>
        <w:t>1972</w:t>
      </w:r>
      <w:r w:rsidRPr="008F3530">
        <w:rPr>
          <w:rFonts w:ascii="Arno Pro" w:hAnsi="Arno Pro"/>
          <w:noProof/>
          <w:sz w:val="16"/>
          <w:lang w:val="de-DE"/>
        </w:rPr>
        <w:t xml:space="preserve">, </w:t>
      </w:r>
      <w:r w:rsidRPr="008F3530">
        <w:rPr>
          <w:rFonts w:ascii="Arno Pro" w:hAnsi="Arno Pro"/>
          <w:i/>
          <w:iCs/>
          <w:noProof/>
          <w:sz w:val="16"/>
          <w:lang w:val="de-DE"/>
        </w:rPr>
        <w:t>71</w:t>
      </w:r>
      <w:r w:rsidRPr="008F3530">
        <w:rPr>
          <w:rFonts w:ascii="Arno Pro" w:hAnsi="Arno Pro"/>
          <w:noProof/>
          <w:sz w:val="16"/>
          <w:lang w:val="de-DE"/>
        </w:rPr>
        <w:t>, 133–139.</w:t>
      </w:r>
    </w:p>
    <w:p w:rsidR="001C12AC" w:rsidRPr="008F3530" w:rsidRDefault="001C12AC" w:rsidP="008F3530">
      <w:pPr>
        <w:pStyle w:val="StandardWeb"/>
        <w:spacing w:before="0" w:beforeAutospacing="0" w:after="0" w:afterAutospacing="0"/>
        <w:ind w:left="641" w:hanging="641"/>
        <w:divId w:val="918363244"/>
        <w:rPr>
          <w:rFonts w:ascii="Arno Pro" w:hAnsi="Arno Pro"/>
          <w:noProof/>
          <w:sz w:val="16"/>
          <w:lang w:val="de-DE"/>
        </w:rPr>
      </w:pPr>
      <w:r w:rsidRPr="008F3530">
        <w:rPr>
          <w:rFonts w:ascii="Arno Pro" w:hAnsi="Arno Pro"/>
          <w:noProof/>
          <w:sz w:val="16"/>
          <w:lang w:val="de-DE"/>
        </w:rPr>
        <w:t xml:space="preserve">(12) </w:t>
      </w:r>
      <w:r w:rsidRPr="008F3530">
        <w:rPr>
          <w:rFonts w:ascii="Arno Pro" w:hAnsi="Arno Pro"/>
          <w:noProof/>
          <w:sz w:val="16"/>
          <w:lang w:val="de-DE"/>
        </w:rPr>
        <w:tab/>
        <w:t xml:space="preserve">Cobble, J. W.; Stephens, H. P.; McKinnon, I. R.; Westrum, E. F. </w:t>
      </w:r>
      <w:r w:rsidRPr="008F3530">
        <w:rPr>
          <w:rFonts w:ascii="Arno Pro" w:hAnsi="Arno Pro"/>
          <w:i/>
          <w:iCs/>
          <w:noProof/>
          <w:sz w:val="16"/>
          <w:lang w:val="de-DE"/>
        </w:rPr>
        <w:t>Inorg. Chem.</w:t>
      </w:r>
      <w:r w:rsidRPr="008F3530">
        <w:rPr>
          <w:rFonts w:ascii="Arno Pro" w:hAnsi="Arno Pro"/>
          <w:noProof/>
          <w:sz w:val="16"/>
          <w:lang w:val="de-DE"/>
        </w:rPr>
        <w:t xml:space="preserve"> </w:t>
      </w:r>
      <w:r w:rsidRPr="008F3530">
        <w:rPr>
          <w:rFonts w:ascii="Arno Pro" w:hAnsi="Arno Pro"/>
          <w:b/>
          <w:bCs/>
          <w:noProof/>
          <w:sz w:val="16"/>
          <w:lang w:val="de-DE"/>
        </w:rPr>
        <w:t>1972</w:t>
      </w:r>
      <w:r w:rsidRPr="008F3530">
        <w:rPr>
          <w:rFonts w:ascii="Arno Pro" w:hAnsi="Arno Pro"/>
          <w:noProof/>
          <w:sz w:val="16"/>
          <w:lang w:val="de-DE"/>
        </w:rPr>
        <w:t xml:space="preserve">, </w:t>
      </w:r>
      <w:r w:rsidRPr="008F3530">
        <w:rPr>
          <w:rFonts w:ascii="Arno Pro" w:hAnsi="Arno Pro"/>
          <w:i/>
          <w:iCs/>
          <w:noProof/>
          <w:sz w:val="16"/>
          <w:lang w:val="de-DE"/>
        </w:rPr>
        <w:t>11</w:t>
      </w:r>
      <w:r w:rsidRPr="008F3530">
        <w:rPr>
          <w:rFonts w:ascii="Arno Pro" w:hAnsi="Arno Pro"/>
          <w:noProof/>
          <w:sz w:val="16"/>
          <w:lang w:val="de-DE"/>
        </w:rPr>
        <w:t>, 1669–1674.</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8F3530">
        <w:rPr>
          <w:rFonts w:ascii="Arno Pro" w:hAnsi="Arno Pro"/>
          <w:noProof/>
          <w:sz w:val="16"/>
          <w:lang w:val="de-DE"/>
        </w:rPr>
        <w:t xml:space="preserve">(13) </w:t>
      </w:r>
      <w:r w:rsidRPr="008F3530">
        <w:rPr>
          <w:rFonts w:ascii="Arno Pro" w:hAnsi="Arno Pro"/>
          <w:noProof/>
          <w:sz w:val="16"/>
          <w:lang w:val="de-DE"/>
        </w:rPr>
        <w:tab/>
        <w:t xml:space="preserve">Williamson, M. A.; Rimstidt, J. D. </w:t>
      </w:r>
      <w:r w:rsidRPr="008F3530">
        <w:rPr>
          <w:rFonts w:ascii="Arno Pro" w:hAnsi="Arno Pro"/>
          <w:i/>
          <w:iCs/>
          <w:noProof/>
          <w:sz w:val="16"/>
          <w:lang w:val="de-DE"/>
        </w:rPr>
        <w:t xml:space="preserve">Geochim. </w:t>
      </w:r>
      <w:r w:rsidRPr="001C12AC">
        <w:rPr>
          <w:rFonts w:ascii="Arno Pro" w:hAnsi="Arno Pro"/>
          <w:i/>
          <w:iCs/>
          <w:noProof/>
          <w:sz w:val="16"/>
        </w:rPr>
        <w:t>Cosmochim. Acta</w:t>
      </w:r>
      <w:r w:rsidRPr="001C12AC">
        <w:rPr>
          <w:rFonts w:ascii="Arno Pro" w:hAnsi="Arno Pro"/>
          <w:noProof/>
          <w:sz w:val="16"/>
        </w:rPr>
        <w:t xml:space="preserve"> </w:t>
      </w:r>
      <w:r w:rsidRPr="001C12AC">
        <w:rPr>
          <w:rFonts w:ascii="Arno Pro" w:hAnsi="Arno Pro"/>
          <w:b/>
          <w:bCs/>
          <w:noProof/>
          <w:sz w:val="16"/>
        </w:rPr>
        <w:t>1992</w:t>
      </w:r>
      <w:r w:rsidRPr="001C12AC">
        <w:rPr>
          <w:rFonts w:ascii="Arno Pro" w:hAnsi="Arno Pro"/>
          <w:noProof/>
          <w:sz w:val="16"/>
        </w:rPr>
        <w:t xml:space="preserve">, </w:t>
      </w:r>
      <w:r w:rsidRPr="001C12AC">
        <w:rPr>
          <w:rFonts w:ascii="Arno Pro" w:hAnsi="Arno Pro"/>
          <w:i/>
          <w:iCs/>
          <w:noProof/>
          <w:sz w:val="16"/>
        </w:rPr>
        <w:t>56</w:t>
      </w:r>
      <w:r w:rsidRPr="001C12AC">
        <w:rPr>
          <w:rFonts w:ascii="Arno Pro" w:hAnsi="Arno Pro"/>
          <w:noProof/>
          <w:sz w:val="16"/>
        </w:rPr>
        <w:t>, 3867–3880.</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(14) </w:t>
      </w:r>
      <w:r w:rsidRPr="001C12AC">
        <w:rPr>
          <w:rFonts w:ascii="Arno Pro" w:hAnsi="Arno Pro"/>
          <w:noProof/>
          <w:sz w:val="16"/>
        </w:rPr>
        <w:tab/>
        <w:t xml:space="preserve">Bard, A. J.; Parsons, R.; Jordan, J. </w:t>
      </w:r>
      <w:r w:rsidRPr="001C12AC">
        <w:rPr>
          <w:rFonts w:ascii="Arno Pro" w:hAnsi="Arno Pro"/>
          <w:i/>
          <w:iCs/>
          <w:noProof/>
          <w:sz w:val="16"/>
        </w:rPr>
        <w:t>Standard potentials in aqueous solution</w:t>
      </w:r>
      <w:r w:rsidRPr="001C12AC">
        <w:rPr>
          <w:rFonts w:ascii="Arno Pro" w:hAnsi="Arno Pro"/>
          <w:noProof/>
          <w:sz w:val="16"/>
        </w:rPr>
        <w:t>; Marcel Dekker: New York, 1985.</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(15) </w:t>
      </w:r>
      <w:r w:rsidRPr="001C12AC">
        <w:rPr>
          <w:rFonts w:ascii="Arno Pro" w:hAnsi="Arno Pro"/>
          <w:noProof/>
          <w:sz w:val="16"/>
        </w:rPr>
        <w:tab/>
        <w:t xml:space="preserve">Mel, H. C.; Hugus, Z. Z.; Latimer, W. M. </w:t>
      </w:r>
      <w:r w:rsidRPr="001C12AC">
        <w:rPr>
          <w:rFonts w:ascii="Arno Pro" w:hAnsi="Arno Pro"/>
          <w:i/>
          <w:iCs/>
          <w:noProof/>
          <w:sz w:val="16"/>
        </w:rPr>
        <w:t>J. Am. Chem. Soc.</w:t>
      </w:r>
      <w:r w:rsidRPr="001C12AC">
        <w:rPr>
          <w:rFonts w:ascii="Arno Pro" w:hAnsi="Arno Pro"/>
          <w:noProof/>
          <w:sz w:val="16"/>
        </w:rPr>
        <w:t xml:space="preserve"> </w:t>
      </w:r>
      <w:r w:rsidRPr="001C12AC">
        <w:rPr>
          <w:rFonts w:ascii="Arno Pro" w:hAnsi="Arno Pro"/>
          <w:b/>
          <w:bCs/>
          <w:noProof/>
          <w:sz w:val="16"/>
        </w:rPr>
        <w:t>1956</w:t>
      </w:r>
      <w:r w:rsidRPr="001C12AC">
        <w:rPr>
          <w:rFonts w:ascii="Arno Pro" w:hAnsi="Arno Pro"/>
          <w:noProof/>
          <w:sz w:val="16"/>
        </w:rPr>
        <w:t xml:space="preserve">, </w:t>
      </w:r>
      <w:r w:rsidRPr="001C12AC">
        <w:rPr>
          <w:rFonts w:ascii="Arno Pro" w:hAnsi="Arno Pro"/>
          <w:i/>
          <w:iCs/>
          <w:noProof/>
          <w:sz w:val="16"/>
        </w:rPr>
        <w:t>78</w:t>
      </w:r>
      <w:r w:rsidRPr="001C12AC">
        <w:rPr>
          <w:rFonts w:ascii="Arno Pro" w:hAnsi="Arno Pro"/>
          <w:noProof/>
          <w:sz w:val="16"/>
        </w:rPr>
        <w:t>, 1822–1826.</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(16) </w:t>
      </w:r>
      <w:r w:rsidRPr="001C12AC">
        <w:rPr>
          <w:rFonts w:ascii="Arno Pro" w:hAnsi="Arno Pro"/>
          <w:noProof/>
          <w:sz w:val="16"/>
        </w:rPr>
        <w:tab/>
        <w:t xml:space="preserve">Wagman, D. D.; Evans, W. H.; Parker, V. B.; Schumm, R. H.; Halow, I.; Bailey, S. M.; Churney, K. L.; Nuttall, R. L. </w:t>
      </w:r>
      <w:r w:rsidRPr="001C12AC">
        <w:rPr>
          <w:rFonts w:ascii="Arno Pro" w:hAnsi="Arno Pro"/>
          <w:i/>
          <w:iCs/>
          <w:noProof/>
          <w:sz w:val="16"/>
        </w:rPr>
        <w:t>Phys. Chem. Ref. Data</w:t>
      </w:r>
      <w:r w:rsidRPr="001C12AC">
        <w:rPr>
          <w:rFonts w:ascii="Arno Pro" w:hAnsi="Arno Pro"/>
          <w:noProof/>
          <w:sz w:val="16"/>
        </w:rPr>
        <w:t xml:space="preserve"> </w:t>
      </w:r>
      <w:r w:rsidRPr="001C12AC">
        <w:rPr>
          <w:rFonts w:ascii="Arno Pro" w:hAnsi="Arno Pro"/>
          <w:b/>
          <w:bCs/>
          <w:noProof/>
          <w:sz w:val="16"/>
        </w:rPr>
        <w:t>1982</w:t>
      </w:r>
      <w:r w:rsidRPr="001C12AC">
        <w:rPr>
          <w:rFonts w:ascii="Arno Pro" w:hAnsi="Arno Pro"/>
          <w:noProof/>
          <w:sz w:val="16"/>
        </w:rPr>
        <w:t xml:space="preserve">, </w:t>
      </w:r>
      <w:r w:rsidRPr="001C12AC">
        <w:rPr>
          <w:rFonts w:ascii="Arno Pro" w:hAnsi="Arno Pro"/>
          <w:i/>
          <w:iCs/>
          <w:noProof/>
          <w:sz w:val="16"/>
        </w:rPr>
        <w:t>11</w:t>
      </w:r>
      <w:r w:rsidRPr="001C12AC">
        <w:rPr>
          <w:rFonts w:ascii="Arno Pro" w:hAnsi="Arno Pro"/>
          <w:noProof/>
          <w:sz w:val="16"/>
        </w:rPr>
        <w:t>, Supplement No. 2.</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(17) </w:t>
      </w:r>
      <w:r w:rsidRPr="001C12AC">
        <w:rPr>
          <w:rFonts w:ascii="Arno Pro" w:hAnsi="Arno Pro"/>
          <w:noProof/>
          <w:sz w:val="16"/>
        </w:rPr>
        <w:tab/>
        <w:t xml:space="preserve">Latimer, W. M. </w:t>
      </w:r>
      <w:r w:rsidRPr="001C12AC">
        <w:rPr>
          <w:rFonts w:ascii="Arno Pro" w:hAnsi="Arno Pro"/>
          <w:i/>
          <w:iCs/>
          <w:noProof/>
          <w:sz w:val="16"/>
        </w:rPr>
        <w:t>Oxidation potentials</w:t>
      </w:r>
      <w:r w:rsidRPr="001C12AC">
        <w:rPr>
          <w:rFonts w:ascii="Arno Pro" w:hAnsi="Arno Pro"/>
          <w:noProof/>
          <w:sz w:val="16"/>
        </w:rPr>
        <w:t>, 2nd ed.; Prentice-Hall: New York, 1952.</w:t>
      </w:r>
    </w:p>
    <w:p w:rsidR="001C12AC" w:rsidRPr="008F3530" w:rsidRDefault="001C12AC" w:rsidP="008F3530">
      <w:pPr>
        <w:pStyle w:val="StandardWeb"/>
        <w:spacing w:before="0" w:beforeAutospacing="0" w:after="0" w:afterAutospacing="0"/>
        <w:ind w:left="641" w:hanging="641"/>
        <w:divId w:val="918363244"/>
        <w:rPr>
          <w:rFonts w:ascii="Arno Pro" w:hAnsi="Arno Pro"/>
          <w:noProof/>
          <w:sz w:val="16"/>
          <w:lang w:val="de-DE"/>
        </w:rPr>
      </w:pPr>
      <w:r w:rsidRPr="001C12AC">
        <w:rPr>
          <w:rFonts w:ascii="Arno Pro" w:hAnsi="Arno Pro"/>
          <w:noProof/>
          <w:sz w:val="16"/>
        </w:rPr>
        <w:t xml:space="preserve">(18) </w:t>
      </w:r>
      <w:r w:rsidRPr="001C12AC">
        <w:rPr>
          <w:rFonts w:ascii="Arno Pro" w:hAnsi="Arno Pro"/>
          <w:noProof/>
          <w:sz w:val="16"/>
        </w:rPr>
        <w:tab/>
        <w:t xml:space="preserve">Oelkers, E. H.; Helgeson, H. C.; Shock, E. L.; Sverjensky, D. A.; Johnson, J. W.; Pokrovskii, V. A. </w:t>
      </w:r>
      <w:r w:rsidRPr="001C12AC">
        <w:rPr>
          <w:rFonts w:ascii="Arno Pro" w:hAnsi="Arno Pro"/>
          <w:i/>
          <w:iCs/>
          <w:noProof/>
          <w:sz w:val="16"/>
        </w:rPr>
        <w:t xml:space="preserve">J. Phys. </w:t>
      </w:r>
      <w:r w:rsidRPr="008F3530">
        <w:rPr>
          <w:rFonts w:ascii="Arno Pro" w:hAnsi="Arno Pro"/>
          <w:i/>
          <w:iCs/>
          <w:noProof/>
          <w:sz w:val="16"/>
          <w:lang w:val="de-DE"/>
        </w:rPr>
        <w:t>Chem. Ref. Data</w:t>
      </w:r>
      <w:r w:rsidRPr="008F3530">
        <w:rPr>
          <w:rFonts w:ascii="Arno Pro" w:hAnsi="Arno Pro"/>
          <w:noProof/>
          <w:sz w:val="16"/>
          <w:lang w:val="de-DE"/>
        </w:rPr>
        <w:t xml:space="preserve"> </w:t>
      </w:r>
      <w:r w:rsidRPr="008F3530">
        <w:rPr>
          <w:rFonts w:ascii="Arno Pro" w:hAnsi="Arno Pro"/>
          <w:b/>
          <w:bCs/>
          <w:noProof/>
          <w:sz w:val="16"/>
          <w:lang w:val="de-DE"/>
        </w:rPr>
        <w:t>1995</w:t>
      </w:r>
      <w:r w:rsidRPr="008F3530">
        <w:rPr>
          <w:rFonts w:ascii="Arno Pro" w:hAnsi="Arno Pro"/>
          <w:noProof/>
          <w:sz w:val="16"/>
          <w:lang w:val="de-DE"/>
        </w:rPr>
        <w:t xml:space="preserve">, </w:t>
      </w:r>
      <w:r w:rsidRPr="008F3530">
        <w:rPr>
          <w:rFonts w:ascii="Arno Pro" w:hAnsi="Arno Pro"/>
          <w:i/>
          <w:iCs/>
          <w:noProof/>
          <w:sz w:val="16"/>
          <w:lang w:val="de-DE"/>
        </w:rPr>
        <w:t>24</w:t>
      </w:r>
      <w:r w:rsidRPr="008F3530">
        <w:rPr>
          <w:rFonts w:ascii="Arno Pro" w:hAnsi="Arno Pro"/>
          <w:noProof/>
          <w:sz w:val="16"/>
          <w:lang w:val="de-DE"/>
        </w:rPr>
        <w:t>, 1401–1560.</w:t>
      </w:r>
    </w:p>
    <w:p w:rsidR="001C12AC" w:rsidRPr="008F3530" w:rsidRDefault="001C12AC" w:rsidP="008F3530">
      <w:pPr>
        <w:pStyle w:val="StandardWeb"/>
        <w:spacing w:before="0" w:beforeAutospacing="0" w:after="0" w:afterAutospacing="0"/>
        <w:ind w:left="641" w:hanging="641"/>
        <w:divId w:val="918363244"/>
        <w:rPr>
          <w:rFonts w:ascii="Arno Pro" w:hAnsi="Arno Pro"/>
          <w:noProof/>
          <w:sz w:val="16"/>
          <w:lang w:val="de-DE"/>
        </w:rPr>
      </w:pPr>
      <w:r w:rsidRPr="008F3530">
        <w:rPr>
          <w:rFonts w:ascii="Arno Pro" w:hAnsi="Arno Pro"/>
          <w:noProof/>
          <w:sz w:val="16"/>
          <w:lang w:val="de-DE"/>
        </w:rPr>
        <w:t xml:space="preserve">(19) </w:t>
      </w:r>
      <w:r w:rsidRPr="008F3530">
        <w:rPr>
          <w:rFonts w:ascii="Arno Pro" w:hAnsi="Arno Pro"/>
          <w:noProof/>
          <w:sz w:val="16"/>
          <w:lang w:val="de-DE"/>
        </w:rPr>
        <w:tab/>
        <w:t xml:space="preserve">Denkmann, K.; Grein, F.; Zigann, R.; Siemen, A.; Bergmann, J.; van Helmont, S.; Nicolai, A.; Pereira, I. A. C.; Dahl, C. </w:t>
      </w:r>
      <w:r w:rsidRPr="008F3530">
        <w:rPr>
          <w:rFonts w:ascii="Arno Pro" w:hAnsi="Arno Pro"/>
          <w:i/>
          <w:iCs/>
          <w:noProof/>
          <w:sz w:val="16"/>
          <w:lang w:val="de-DE"/>
        </w:rPr>
        <w:t>Environ. Microbiol.</w:t>
      </w:r>
      <w:r w:rsidRPr="008F3530">
        <w:rPr>
          <w:rFonts w:ascii="Arno Pro" w:hAnsi="Arno Pro"/>
          <w:noProof/>
          <w:sz w:val="16"/>
          <w:lang w:val="de-DE"/>
        </w:rPr>
        <w:t xml:space="preserve"> </w:t>
      </w:r>
      <w:r w:rsidRPr="008F3530">
        <w:rPr>
          <w:rFonts w:ascii="Arno Pro" w:hAnsi="Arno Pro"/>
          <w:b/>
          <w:bCs/>
          <w:noProof/>
          <w:sz w:val="16"/>
          <w:lang w:val="de-DE"/>
        </w:rPr>
        <w:t>2012</w:t>
      </w:r>
      <w:r w:rsidRPr="008F3530">
        <w:rPr>
          <w:rFonts w:ascii="Arno Pro" w:hAnsi="Arno Pro"/>
          <w:noProof/>
          <w:sz w:val="16"/>
          <w:lang w:val="de-DE"/>
        </w:rPr>
        <w:t xml:space="preserve">, </w:t>
      </w:r>
      <w:r w:rsidRPr="008F3530">
        <w:rPr>
          <w:rFonts w:ascii="Arno Pro" w:hAnsi="Arno Pro"/>
          <w:i/>
          <w:iCs/>
          <w:noProof/>
          <w:sz w:val="16"/>
          <w:lang w:val="de-DE"/>
        </w:rPr>
        <w:t>14</w:t>
      </w:r>
      <w:r w:rsidRPr="008F3530">
        <w:rPr>
          <w:rFonts w:ascii="Arno Pro" w:hAnsi="Arno Pro"/>
          <w:noProof/>
          <w:sz w:val="16"/>
          <w:lang w:val="de-DE"/>
        </w:rPr>
        <w:t>, 2673–2688.</w:t>
      </w:r>
    </w:p>
    <w:p w:rsidR="001C12AC" w:rsidRPr="008F3530" w:rsidRDefault="001C12AC" w:rsidP="008F3530">
      <w:pPr>
        <w:pStyle w:val="StandardWeb"/>
        <w:spacing w:before="0" w:beforeAutospacing="0" w:after="0" w:afterAutospacing="0"/>
        <w:ind w:left="641" w:hanging="641"/>
        <w:divId w:val="918363244"/>
        <w:rPr>
          <w:rFonts w:ascii="Arno Pro" w:hAnsi="Arno Pro"/>
          <w:noProof/>
          <w:sz w:val="16"/>
          <w:lang w:val="de-DE"/>
        </w:rPr>
      </w:pPr>
      <w:r w:rsidRPr="008F3530">
        <w:rPr>
          <w:rFonts w:ascii="Arno Pro" w:hAnsi="Arno Pro"/>
          <w:noProof/>
          <w:sz w:val="16"/>
          <w:lang w:val="de-DE"/>
        </w:rPr>
        <w:t xml:space="preserve">(20) </w:t>
      </w:r>
      <w:r w:rsidRPr="008F3530">
        <w:rPr>
          <w:rFonts w:ascii="Arno Pro" w:hAnsi="Arno Pro"/>
          <w:noProof/>
          <w:sz w:val="16"/>
          <w:lang w:val="de-DE"/>
        </w:rPr>
        <w:tab/>
        <w:t xml:space="preserve">Brito, J. A.; Denkmann, K.; Pereira, I. A. C.; Archer, M.; Dahl, C. </w:t>
      </w:r>
      <w:r w:rsidRPr="008F3530">
        <w:rPr>
          <w:rFonts w:ascii="Arno Pro" w:hAnsi="Arno Pro"/>
          <w:i/>
          <w:iCs/>
          <w:noProof/>
          <w:sz w:val="16"/>
          <w:lang w:val="de-DE"/>
        </w:rPr>
        <w:t>J. Biol. Chem.</w:t>
      </w:r>
      <w:r w:rsidRPr="008F3530">
        <w:rPr>
          <w:rFonts w:ascii="Arno Pro" w:hAnsi="Arno Pro"/>
          <w:noProof/>
          <w:sz w:val="16"/>
          <w:lang w:val="de-DE"/>
        </w:rPr>
        <w:t xml:space="preserve"> </w:t>
      </w:r>
      <w:r w:rsidRPr="008F3530">
        <w:rPr>
          <w:rFonts w:ascii="Arno Pro" w:hAnsi="Arno Pro"/>
          <w:b/>
          <w:bCs/>
          <w:noProof/>
          <w:sz w:val="16"/>
          <w:lang w:val="de-DE"/>
        </w:rPr>
        <w:t>2015</w:t>
      </w:r>
      <w:r w:rsidRPr="008F3530">
        <w:rPr>
          <w:rFonts w:ascii="Arno Pro" w:hAnsi="Arno Pro"/>
          <w:noProof/>
          <w:sz w:val="16"/>
          <w:lang w:val="de-DE"/>
        </w:rPr>
        <w:t xml:space="preserve">, </w:t>
      </w:r>
      <w:r w:rsidRPr="008F3530">
        <w:rPr>
          <w:rFonts w:ascii="Arno Pro" w:hAnsi="Arno Pro"/>
          <w:i/>
          <w:iCs/>
          <w:noProof/>
          <w:sz w:val="16"/>
          <w:lang w:val="de-DE"/>
        </w:rPr>
        <w:t>290</w:t>
      </w:r>
      <w:r w:rsidRPr="008F3530">
        <w:rPr>
          <w:rFonts w:ascii="Arno Pro" w:hAnsi="Arno Pro"/>
          <w:noProof/>
          <w:sz w:val="16"/>
          <w:lang w:val="de-DE"/>
        </w:rPr>
        <w:t>, 9222–9238.</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8F3530">
        <w:rPr>
          <w:rFonts w:ascii="Arno Pro" w:hAnsi="Arno Pro"/>
          <w:noProof/>
          <w:sz w:val="16"/>
          <w:lang w:val="de-DE"/>
        </w:rPr>
        <w:t xml:space="preserve">(21) </w:t>
      </w:r>
      <w:r w:rsidRPr="008F3530">
        <w:rPr>
          <w:rFonts w:ascii="Arno Pro" w:hAnsi="Arno Pro"/>
          <w:noProof/>
          <w:sz w:val="16"/>
          <w:lang w:val="de-DE"/>
        </w:rPr>
        <w:tab/>
        <w:t xml:space="preserve">Léger, C.; Jones, A. K.; Albracht, S. P. J.; Armstrong, F. A. </w:t>
      </w:r>
      <w:r w:rsidRPr="008F3530">
        <w:rPr>
          <w:rFonts w:ascii="Arno Pro" w:hAnsi="Arno Pro"/>
          <w:i/>
          <w:iCs/>
          <w:noProof/>
          <w:sz w:val="16"/>
          <w:lang w:val="de-DE"/>
        </w:rPr>
        <w:t xml:space="preserve">J. Phys. </w:t>
      </w:r>
      <w:r w:rsidRPr="001C12AC">
        <w:rPr>
          <w:rFonts w:ascii="Arno Pro" w:hAnsi="Arno Pro"/>
          <w:i/>
          <w:iCs/>
          <w:noProof/>
          <w:sz w:val="16"/>
        </w:rPr>
        <w:t>Chem.</w:t>
      </w:r>
      <w:r w:rsidRPr="001C12AC">
        <w:rPr>
          <w:rFonts w:ascii="Arno Pro" w:hAnsi="Arno Pro"/>
          <w:noProof/>
          <w:sz w:val="16"/>
        </w:rPr>
        <w:t xml:space="preserve"> </w:t>
      </w:r>
      <w:r w:rsidRPr="001C12AC">
        <w:rPr>
          <w:rFonts w:ascii="Arno Pro" w:hAnsi="Arno Pro"/>
          <w:b/>
          <w:bCs/>
          <w:noProof/>
          <w:sz w:val="16"/>
        </w:rPr>
        <w:t>2002</w:t>
      </w:r>
      <w:r w:rsidRPr="001C12AC">
        <w:rPr>
          <w:rFonts w:ascii="Arno Pro" w:hAnsi="Arno Pro"/>
          <w:noProof/>
          <w:sz w:val="16"/>
        </w:rPr>
        <w:t xml:space="preserve">, </w:t>
      </w:r>
      <w:r w:rsidRPr="001C12AC">
        <w:rPr>
          <w:rFonts w:ascii="Arno Pro" w:hAnsi="Arno Pro"/>
          <w:i/>
          <w:iCs/>
          <w:noProof/>
          <w:sz w:val="16"/>
        </w:rPr>
        <w:t>106</w:t>
      </w:r>
      <w:r w:rsidRPr="001C12AC">
        <w:rPr>
          <w:rFonts w:ascii="Arno Pro" w:hAnsi="Arno Pro"/>
          <w:noProof/>
          <w:sz w:val="16"/>
        </w:rPr>
        <w:t>, 13058–13063.</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(22) </w:t>
      </w:r>
      <w:r w:rsidRPr="001C12AC">
        <w:rPr>
          <w:rFonts w:ascii="Arno Pro" w:hAnsi="Arno Pro"/>
          <w:noProof/>
          <w:sz w:val="16"/>
        </w:rPr>
        <w:tab/>
        <w:t xml:space="preserve">Hirst, J.; Sucheta, A.; Ackrell, B. A. C.; Armstrong, F. A. </w:t>
      </w:r>
      <w:r w:rsidRPr="001C12AC">
        <w:rPr>
          <w:rFonts w:ascii="Arno Pro" w:hAnsi="Arno Pro"/>
          <w:i/>
          <w:iCs/>
          <w:noProof/>
          <w:sz w:val="16"/>
        </w:rPr>
        <w:t>J. Am. Chem. Soc.</w:t>
      </w:r>
      <w:r w:rsidRPr="001C12AC">
        <w:rPr>
          <w:rFonts w:ascii="Arno Pro" w:hAnsi="Arno Pro"/>
          <w:noProof/>
          <w:sz w:val="16"/>
        </w:rPr>
        <w:t xml:space="preserve"> </w:t>
      </w:r>
      <w:r w:rsidRPr="001C12AC">
        <w:rPr>
          <w:rFonts w:ascii="Arno Pro" w:hAnsi="Arno Pro"/>
          <w:b/>
          <w:bCs/>
          <w:noProof/>
          <w:sz w:val="16"/>
        </w:rPr>
        <w:t>1996</w:t>
      </w:r>
      <w:r w:rsidRPr="001C12AC">
        <w:rPr>
          <w:rFonts w:ascii="Arno Pro" w:hAnsi="Arno Pro"/>
          <w:noProof/>
          <w:sz w:val="16"/>
        </w:rPr>
        <w:t xml:space="preserve">, </w:t>
      </w:r>
      <w:r w:rsidRPr="001C12AC">
        <w:rPr>
          <w:rFonts w:ascii="Arno Pro" w:hAnsi="Arno Pro"/>
          <w:i/>
          <w:iCs/>
          <w:noProof/>
          <w:sz w:val="16"/>
        </w:rPr>
        <w:t>118</w:t>
      </w:r>
      <w:r w:rsidRPr="001C12AC">
        <w:rPr>
          <w:rFonts w:ascii="Arno Pro" w:hAnsi="Arno Pro"/>
          <w:noProof/>
          <w:sz w:val="16"/>
        </w:rPr>
        <w:t>, 5031–5038.</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(23) </w:t>
      </w:r>
      <w:r w:rsidRPr="001C12AC">
        <w:rPr>
          <w:rFonts w:ascii="Arno Pro" w:hAnsi="Arno Pro"/>
          <w:noProof/>
          <w:sz w:val="16"/>
        </w:rPr>
        <w:tab/>
        <w:t xml:space="preserve">Zu, Y.; Shannon, R. J.; Hirst, J. </w:t>
      </w:r>
      <w:r w:rsidRPr="001C12AC">
        <w:rPr>
          <w:rFonts w:ascii="Arno Pro" w:hAnsi="Arno Pro"/>
          <w:i/>
          <w:iCs/>
          <w:noProof/>
          <w:sz w:val="16"/>
        </w:rPr>
        <w:t>J. Am. Chem. Soc.</w:t>
      </w:r>
      <w:r w:rsidRPr="001C12AC">
        <w:rPr>
          <w:rFonts w:ascii="Arno Pro" w:hAnsi="Arno Pro"/>
          <w:noProof/>
          <w:sz w:val="16"/>
        </w:rPr>
        <w:t xml:space="preserve"> </w:t>
      </w:r>
      <w:r w:rsidRPr="001C12AC">
        <w:rPr>
          <w:rFonts w:ascii="Arno Pro" w:hAnsi="Arno Pro"/>
          <w:b/>
          <w:bCs/>
          <w:noProof/>
          <w:sz w:val="16"/>
        </w:rPr>
        <w:t>2003</w:t>
      </w:r>
      <w:r w:rsidRPr="001C12AC">
        <w:rPr>
          <w:rFonts w:ascii="Arno Pro" w:hAnsi="Arno Pro"/>
          <w:noProof/>
          <w:sz w:val="16"/>
        </w:rPr>
        <w:t xml:space="preserve">, </w:t>
      </w:r>
      <w:r w:rsidRPr="001C12AC">
        <w:rPr>
          <w:rFonts w:ascii="Arno Pro" w:hAnsi="Arno Pro"/>
          <w:i/>
          <w:iCs/>
          <w:noProof/>
          <w:sz w:val="16"/>
        </w:rPr>
        <w:t>125</w:t>
      </w:r>
      <w:r w:rsidRPr="001C12AC">
        <w:rPr>
          <w:rFonts w:ascii="Arno Pro" w:hAnsi="Arno Pro"/>
          <w:noProof/>
          <w:sz w:val="16"/>
        </w:rPr>
        <w:t>, 6020–6021.</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(24) </w:t>
      </w:r>
      <w:r w:rsidRPr="001C12AC">
        <w:rPr>
          <w:rFonts w:ascii="Arno Pro" w:hAnsi="Arno Pro"/>
          <w:noProof/>
          <w:sz w:val="16"/>
        </w:rPr>
        <w:tab/>
        <w:t xml:space="preserve">Parkin, A.; Seravalli, J.; Vincent, K. A.; Ragsdale, S. W.; Armstrong, F. A. </w:t>
      </w:r>
      <w:r w:rsidRPr="001C12AC">
        <w:rPr>
          <w:rFonts w:ascii="Arno Pro" w:hAnsi="Arno Pro"/>
          <w:i/>
          <w:iCs/>
          <w:noProof/>
          <w:sz w:val="16"/>
        </w:rPr>
        <w:t>J. Am. Chem. Soc.</w:t>
      </w:r>
      <w:r w:rsidRPr="001C12AC">
        <w:rPr>
          <w:rFonts w:ascii="Arno Pro" w:hAnsi="Arno Pro"/>
          <w:noProof/>
          <w:sz w:val="16"/>
        </w:rPr>
        <w:t xml:space="preserve"> </w:t>
      </w:r>
      <w:r w:rsidRPr="001C12AC">
        <w:rPr>
          <w:rFonts w:ascii="Arno Pro" w:hAnsi="Arno Pro"/>
          <w:b/>
          <w:bCs/>
          <w:noProof/>
          <w:sz w:val="16"/>
        </w:rPr>
        <w:t>2007</w:t>
      </w:r>
      <w:r w:rsidRPr="001C12AC">
        <w:rPr>
          <w:rFonts w:ascii="Arno Pro" w:hAnsi="Arno Pro"/>
          <w:noProof/>
          <w:sz w:val="16"/>
        </w:rPr>
        <w:t xml:space="preserve">, </w:t>
      </w:r>
      <w:r w:rsidRPr="001C12AC">
        <w:rPr>
          <w:rFonts w:ascii="Arno Pro" w:hAnsi="Arno Pro"/>
          <w:i/>
          <w:iCs/>
          <w:noProof/>
          <w:sz w:val="16"/>
        </w:rPr>
        <w:t>129</w:t>
      </w:r>
      <w:r w:rsidRPr="001C12AC">
        <w:rPr>
          <w:rFonts w:ascii="Arno Pro" w:hAnsi="Arno Pro"/>
          <w:noProof/>
          <w:sz w:val="16"/>
        </w:rPr>
        <w:t>, 10328–10329.</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(25) </w:t>
      </w:r>
      <w:r w:rsidRPr="001C12AC">
        <w:rPr>
          <w:rFonts w:ascii="Arno Pro" w:hAnsi="Arno Pro"/>
          <w:noProof/>
          <w:sz w:val="16"/>
        </w:rPr>
        <w:tab/>
        <w:t xml:space="preserve">Hexter, S. V; Esterle, T. F.; Armstrong, F. A. </w:t>
      </w:r>
      <w:r w:rsidRPr="001C12AC">
        <w:rPr>
          <w:rFonts w:ascii="Arno Pro" w:hAnsi="Arno Pro"/>
          <w:i/>
          <w:iCs/>
          <w:noProof/>
          <w:sz w:val="16"/>
        </w:rPr>
        <w:t>Phys. Chem. Chem. Phys.</w:t>
      </w:r>
      <w:r w:rsidRPr="001C12AC">
        <w:rPr>
          <w:rFonts w:ascii="Arno Pro" w:hAnsi="Arno Pro"/>
          <w:noProof/>
          <w:sz w:val="16"/>
        </w:rPr>
        <w:t xml:space="preserve"> </w:t>
      </w:r>
      <w:r w:rsidRPr="001C12AC">
        <w:rPr>
          <w:rFonts w:ascii="Arno Pro" w:hAnsi="Arno Pro"/>
          <w:b/>
          <w:bCs/>
          <w:noProof/>
          <w:sz w:val="16"/>
        </w:rPr>
        <w:t>2014</w:t>
      </w:r>
      <w:r w:rsidRPr="001C12AC">
        <w:rPr>
          <w:rFonts w:ascii="Arno Pro" w:hAnsi="Arno Pro"/>
          <w:noProof/>
          <w:sz w:val="16"/>
        </w:rPr>
        <w:t xml:space="preserve">, </w:t>
      </w:r>
      <w:r w:rsidRPr="001C12AC">
        <w:rPr>
          <w:rFonts w:ascii="Arno Pro" w:hAnsi="Arno Pro"/>
          <w:i/>
          <w:iCs/>
          <w:noProof/>
          <w:sz w:val="16"/>
        </w:rPr>
        <w:t>16</w:t>
      </w:r>
      <w:r w:rsidRPr="001C12AC">
        <w:rPr>
          <w:rFonts w:ascii="Arno Pro" w:hAnsi="Arno Pro"/>
          <w:noProof/>
          <w:sz w:val="16"/>
        </w:rPr>
        <w:t>, 11822–11833.</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(26) </w:t>
      </w:r>
      <w:r w:rsidRPr="001C12AC">
        <w:rPr>
          <w:rFonts w:ascii="Arno Pro" w:hAnsi="Arno Pro"/>
          <w:noProof/>
          <w:sz w:val="16"/>
        </w:rPr>
        <w:tab/>
        <w:t xml:space="preserve">Abou Hamdan, A.; Dementin, S.; Liebgott, P. P.; Gutierrez-Sanz, O.; Richaud, P.; De Lacey, A. L.; Roussett, M.; Bertrand, P.; Cournac, L.; Léger, C. </w:t>
      </w:r>
      <w:r w:rsidRPr="001C12AC">
        <w:rPr>
          <w:rFonts w:ascii="Arno Pro" w:hAnsi="Arno Pro"/>
          <w:i/>
          <w:iCs/>
          <w:noProof/>
          <w:sz w:val="16"/>
        </w:rPr>
        <w:t>J. Am. Chem. Soc.</w:t>
      </w:r>
      <w:r w:rsidRPr="001C12AC">
        <w:rPr>
          <w:rFonts w:ascii="Arno Pro" w:hAnsi="Arno Pro"/>
          <w:noProof/>
          <w:sz w:val="16"/>
        </w:rPr>
        <w:t xml:space="preserve"> </w:t>
      </w:r>
      <w:r w:rsidRPr="001C12AC">
        <w:rPr>
          <w:rFonts w:ascii="Arno Pro" w:hAnsi="Arno Pro"/>
          <w:b/>
          <w:bCs/>
          <w:noProof/>
          <w:sz w:val="16"/>
        </w:rPr>
        <w:t>2012</w:t>
      </w:r>
      <w:r w:rsidRPr="001C12AC">
        <w:rPr>
          <w:rFonts w:ascii="Arno Pro" w:hAnsi="Arno Pro"/>
          <w:noProof/>
          <w:sz w:val="16"/>
        </w:rPr>
        <w:t xml:space="preserve">, </w:t>
      </w:r>
      <w:r w:rsidRPr="001C12AC">
        <w:rPr>
          <w:rFonts w:ascii="Arno Pro" w:hAnsi="Arno Pro"/>
          <w:i/>
          <w:iCs/>
          <w:noProof/>
          <w:sz w:val="16"/>
        </w:rPr>
        <w:t>134</w:t>
      </w:r>
      <w:r w:rsidRPr="001C12AC">
        <w:rPr>
          <w:rFonts w:ascii="Arno Pro" w:hAnsi="Arno Pro"/>
          <w:noProof/>
          <w:sz w:val="16"/>
        </w:rPr>
        <w:t>, 8368–8371.</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(27) </w:t>
      </w:r>
      <w:r w:rsidRPr="001C12AC">
        <w:rPr>
          <w:rFonts w:ascii="Arno Pro" w:hAnsi="Arno Pro"/>
          <w:noProof/>
          <w:sz w:val="16"/>
        </w:rPr>
        <w:tab/>
        <w:t xml:space="preserve">Zhang, H.; Jeffrey, M. I. </w:t>
      </w:r>
      <w:r w:rsidRPr="001C12AC">
        <w:rPr>
          <w:rFonts w:ascii="Arno Pro" w:hAnsi="Arno Pro"/>
          <w:i/>
          <w:iCs/>
          <w:noProof/>
          <w:sz w:val="16"/>
        </w:rPr>
        <w:t>Inorg. Chem.</w:t>
      </w:r>
      <w:r w:rsidRPr="001C12AC">
        <w:rPr>
          <w:rFonts w:ascii="Arno Pro" w:hAnsi="Arno Pro"/>
          <w:noProof/>
          <w:sz w:val="16"/>
        </w:rPr>
        <w:t xml:space="preserve"> </w:t>
      </w:r>
      <w:r w:rsidRPr="001C12AC">
        <w:rPr>
          <w:rFonts w:ascii="Arno Pro" w:hAnsi="Arno Pro"/>
          <w:b/>
          <w:bCs/>
          <w:noProof/>
          <w:sz w:val="16"/>
        </w:rPr>
        <w:t>2010</w:t>
      </w:r>
      <w:r w:rsidRPr="001C12AC">
        <w:rPr>
          <w:rFonts w:ascii="Arno Pro" w:hAnsi="Arno Pro"/>
          <w:noProof/>
          <w:sz w:val="16"/>
        </w:rPr>
        <w:t xml:space="preserve">, </w:t>
      </w:r>
      <w:r w:rsidRPr="001C12AC">
        <w:rPr>
          <w:rFonts w:ascii="Arno Pro" w:hAnsi="Arno Pro"/>
          <w:i/>
          <w:iCs/>
          <w:noProof/>
          <w:sz w:val="16"/>
        </w:rPr>
        <w:t>49</w:t>
      </w:r>
      <w:r w:rsidRPr="001C12AC">
        <w:rPr>
          <w:rFonts w:ascii="Arno Pro" w:hAnsi="Arno Pro"/>
          <w:noProof/>
          <w:sz w:val="16"/>
        </w:rPr>
        <w:t>, 10273–10282.</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(28) </w:t>
      </w:r>
      <w:r w:rsidRPr="001C12AC">
        <w:rPr>
          <w:rFonts w:ascii="Arno Pro" w:hAnsi="Arno Pro"/>
          <w:noProof/>
          <w:sz w:val="16"/>
        </w:rPr>
        <w:tab/>
        <w:t xml:space="preserve">Fava, A.; Bresadola, S. </w:t>
      </w:r>
      <w:r w:rsidRPr="001C12AC">
        <w:rPr>
          <w:rFonts w:ascii="Arno Pro" w:hAnsi="Arno Pro"/>
          <w:i/>
          <w:iCs/>
          <w:noProof/>
          <w:sz w:val="16"/>
        </w:rPr>
        <w:t>J. Am. Chem. Soc.</w:t>
      </w:r>
      <w:r w:rsidRPr="001C12AC">
        <w:rPr>
          <w:rFonts w:ascii="Arno Pro" w:hAnsi="Arno Pro"/>
          <w:noProof/>
          <w:sz w:val="16"/>
        </w:rPr>
        <w:t xml:space="preserve"> </w:t>
      </w:r>
      <w:r w:rsidRPr="001C12AC">
        <w:rPr>
          <w:rFonts w:ascii="Arno Pro" w:hAnsi="Arno Pro"/>
          <w:b/>
          <w:bCs/>
          <w:noProof/>
          <w:sz w:val="16"/>
        </w:rPr>
        <w:t>1955</w:t>
      </w:r>
      <w:r w:rsidRPr="001C12AC">
        <w:rPr>
          <w:rFonts w:ascii="Arno Pro" w:hAnsi="Arno Pro"/>
          <w:noProof/>
          <w:sz w:val="16"/>
        </w:rPr>
        <w:t xml:space="preserve">, </w:t>
      </w:r>
      <w:r w:rsidRPr="001C12AC">
        <w:rPr>
          <w:rFonts w:ascii="Arno Pro" w:hAnsi="Arno Pro"/>
          <w:i/>
          <w:iCs/>
          <w:noProof/>
          <w:sz w:val="16"/>
        </w:rPr>
        <w:t>77</w:t>
      </w:r>
      <w:r w:rsidRPr="001C12AC">
        <w:rPr>
          <w:rFonts w:ascii="Arno Pro" w:hAnsi="Arno Pro"/>
          <w:noProof/>
          <w:sz w:val="16"/>
        </w:rPr>
        <w:t>, 5792–5794.</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(29) </w:t>
      </w:r>
      <w:r w:rsidRPr="001C12AC">
        <w:rPr>
          <w:rFonts w:ascii="Arno Pro" w:hAnsi="Arno Pro"/>
          <w:noProof/>
          <w:sz w:val="16"/>
        </w:rPr>
        <w:tab/>
        <w:t xml:space="preserve">Xu, L.; Horváth, A. K. </w:t>
      </w:r>
      <w:r w:rsidRPr="001C12AC">
        <w:rPr>
          <w:rFonts w:ascii="Arno Pro" w:hAnsi="Arno Pro"/>
          <w:i/>
          <w:iCs/>
          <w:noProof/>
          <w:sz w:val="16"/>
        </w:rPr>
        <w:t>J. Phys. Chem. A</w:t>
      </w:r>
      <w:r w:rsidRPr="001C12AC">
        <w:rPr>
          <w:rFonts w:ascii="Arno Pro" w:hAnsi="Arno Pro"/>
          <w:noProof/>
          <w:sz w:val="16"/>
        </w:rPr>
        <w:t xml:space="preserve"> </w:t>
      </w:r>
      <w:r w:rsidRPr="001C12AC">
        <w:rPr>
          <w:rFonts w:ascii="Arno Pro" w:hAnsi="Arno Pro"/>
          <w:b/>
          <w:bCs/>
          <w:noProof/>
          <w:sz w:val="16"/>
        </w:rPr>
        <w:t>2014</w:t>
      </w:r>
      <w:r w:rsidRPr="001C12AC">
        <w:rPr>
          <w:rFonts w:ascii="Arno Pro" w:hAnsi="Arno Pro"/>
          <w:noProof/>
          <w:sz w:val="16"/>
        </w:rPr>
        <w:t xml:space="preserve">, </w:t>
      </w:r>
      <w:r w:rsidRPr="001C12AC">
        <w:rPr>
          <w:rFonts w:ascii="Arno Pro" w:hAnsi="Arno Pro"/>
          <w:i/>
          <w:iCs/>
          <w:noProof/>
          <w:sz w:val="16"/>
        </w:rPr>
        <w:t>118</w:t>
      </w:r>
      <w:r w:rsidRPr="001C12AC">
        <w:rPr>
          <w:rFonts w:ascii="Arno Pro" w:hAnsi="Arno Pro"/>
          <w:noProof/>
          <w:sz w:val="16"/>
        </w:rPr>
        <w:t>, 6171–6180.</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(30) </w:t>
      </w:r>
      <w:r w:rsidRPr="001C12AC">
        <w:rPr>
          <w:rFonts w:ascii="Arno Pro" w:hAnsi="Arno Pro"/>
          <w:noProof/>
          <w:sz w:val="16"/>
        </w:rPr>
        <w:tab/>
        <w:t xml:space="preserve">Jones, C. W. </w:t>
      </w:r>
      <w:r w:rsidRPr="001C12AC">
        <w:rPr>
          <w:rFonts w:ascii="Arno Pro" w:hAnsi="Arno Pro"/>
          <w:i/>
          <w:iCs/>
          <w:noProof/>
          <w:sz w:val="16"/>
        </w:rPr>
        <w:t>Bacterial respiration and photosynthesis</w:t>
      </w:r>
      <w:r w:rsidRPr="001C12AC">
        <w:rPr>
          <w:rFonts w:ascii="Arno Pro" w:hAnsi="Arno Pro"/>
          <w:noProof/>
          <w:sz w:val="16"/>
        </w:rPr>
        <w:t>; Thomas Nelson and Sons, Ltd.: Walton-on-Thames, 1982.</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(31) </w:t>
      </w:r>
      <w:r w:rsidRPr="001C12AC">
        <w:rPr>
          <w:rFonts w:ascii="Arno Pro" w:hAnsi="Arno Pro"/>
          <w:noProof/>
          <w:sz w:val="16"/>
        </w:rPr>
        <w:tab/>
        <w:t xml:space="preserve">Wood, P. M. </w:t>
      </w:r>
      <w:r w:rsidRPr="001C12AC">
        <w:rPr>
          <w:rFonts w:ascii="Arno Pro" w:hAnsi="Arno Pro"/>
          <w:i/>
          <w:iCs/>
          <w:noProof/>
          <w:sz w:val="16"/>
        </w:rPr>
        <w:t>FEBS Lett</w:t>
      </w:r>
      <w:r w:rsidRPr="001C12AC">
        <w:rPr>
          <w:rFonts w:ascii="Arno Pro" w:hAnsi="Arno Pro"/>
          <w:noProof/>
          <w:sz w:val="16"/>
        </w:rPr>
        <w:t xml:space="preserve"> </w:t>
      </w:r>
      <w:r w:rsidRPr="001C12AC">
        <w:rPr>
          <w:rFonts w:ascii="Arno Pro" w:hAnsi="Arno Pro"/>
          <w:b/>
          <w:bCs/>
          <w:noProof/>
          <w:sz w:val="16"/>
        </w:rPr>
        <w:t>1981</w:t>
      </w:r>
      <w:r w:rsidRPr="001C12AC">
        <w:rPr>
          <w:rFonts w:ascii="Arno Pro" w:hAnsi="Arno Pro"/>
          <w:noProof/>
          <w:sz w:val="16"/>
        </w:rPr>
        <w:t xml:space="preserve">, </w:t>
      </w:r>
      <w:r w:rsidRPr="001C12AC">
        <w:rPr>
          <w:rFonts w:ascii="Arno Pro" w:hAnsi="Arno Pro"/>
          <w:i/>
          <w:iCs/>
          <w:noProof/>
          <w:sz w:val="16"/>
        </w:rPr>
        <w:t>124</w:t>
      </w:r>
      <w:r w:rsidRPr="001C12AC">
        <w:rPr>
          <w:rFonts w:ascii="Arno Pro" w:hAnsi="Arno Pro"/>
          <w:noProof/>
          <w:sz w:val="16"/>
        </w:rPr>
        <w:t>, 11–14.</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(32) </w:t>
      </w:r>
      <w:r w:rsidRPr="001C12AC">
        <w:rPr>
          <w:rFonts w:ascii="Arno Pro" w:hAnsi="Arno Pro"/>
          <w:noProof/>
          <w:sz w:val="16"/>
        </w:rPr>
        <w:tab/>
        <w:t xml:space="preserve">Price-Carter, M.; Tingey, J.; Bobik, T. A.; Roth, J. R. </w:t>
      </w:r>
      <w:r w:rsidRPr="001C12AC">
        <w:rPr>
          <w:rFonts w:ascii="Arno Pro" w:hAnsi="Arno Pro"/>
          <w:i/>
          <w:iCs/>
          <w:noProof/>
          <w:sz w:val="16"/>
        </w:rPr>
        <w:t>J. Bacteriol.</w:t>
      </w:r>
      <w:r w:rsidRPr="001C12AC">
        <w:rPr>
          <w:rFonts w:ascii="Arno Pro" w:hAnsi="Arno Pro"/>
          <w:noProof/>
          <w:sz w:val="16"/>
        </w:rPr>
        <w:t xml:space="preserve"> </w:t>
      </w:r>
      <w:r w:rsidRPr="001C12AC">
        <w:rPr>
          <w:rFonts w:ascii="Arno Pro" w:hAnsi="Arno Pro"/>
          <w:b/>
          <w:bCs/>
          <w:noProof/>
          <w:sz w:val="16"/>
        </w:rPr>
        <w:t>2001</w:t>
      </w:r>
      <w:r w:rsidRPr="001C12AC">
        <w:rPr>
          <w:rFonts w:ascii="Arno Pro" w:hAnsi="Arno Pro"/>
          <w:noProof/>
          <w:sz w:val="16"/>
        </w:rPr>
        <w:t xml:space="preserve">, </w:t>
      </w:r>
      <w:r w:rsidRPr="001C12AC">
        <w:rPr>
          <w:rFonts w:ascii="Arno Pro" w:hAnsi="Arno Pro"/>
          <w:i/>
          <w:iCs/>
          <w:noProof/>
          <w:sz w:val="16"/>
        </w:rPr>
        <w:t>183</w:t>
      </w:r>
      <w:r w:rsidRPr="001C12AC">
        <w:rPr>
          <w:rFonts w:ascii="Arno Pro" w:hAnsi="Arno Pro"/>
          <w:noProof/>
          <w:sz w:val="16"/>
        </w:rPr>
        <w:t>, 2463–2475.</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(33) </w:t>
      </w:r>
      <w:r w:rsidRPr="001C12AC">
        <w:rPr>
          <w:rFonts w:ascii="Arno Pro" w:hAnsi="Arno Pro"/>
          <w:noProof/>
          <w:sz w:val="16"/>
        </w:rPr>
        <w:tab/>
        <w:t xml:space="preserve">Barrett, E. L.; Kwan, H. S. </w:t>
      </w:r>
      <w:r w:rsidRPr="001C12AC">
        <w:rPr>
          <w:rFonts w:ascii="Arno Pro" w:hAnsi="Arno Pro"/>
          <w:i/>
          <w:iCs/>
          <w:noProof/>
          <w:sz w:val="16"/>
        </w:rPr>
        <w:t>Ann. Rev. Microbiol.</w:t>
      </w:r>
      <w:r w:rsidRPr="001C12AC">
        <w:rPr>
          <w:rFonts w:ascii="Arno Pro" w:hAnsi="Arno Pro"/>
          <w:noProof/>
          <w:sz w:val="16"/>
        </w:rPr>
        <w:t xml:space="preserve"> </w:t>
      </w:r>
      <w:r w:rsidRPr="001C12AC">
        <w:rPr>
          <w:rFonts w:ascii="Arno Pro" w:hAnsi="Arno Pro"/>
          <w:b/>
          <w:bCs/>
          <w:noProof/>
          <w:sz w:val="16"/>
        </w:rPr>
        <w:t>1985</w:t>
      </w:r>
      <w:r w:rsidRPr="001C12AC">
        <w:rPr>
          <w:rFonts w:ascii="Arno Pro" w:hAnsi="Arno Pro"/>
          <w:noProof/>
          <w:sz w:val="16"/>
        </w:rPr>
        <w:t xml:space="preserve">, </w:t>
      </w:r>
      <w:r w:rsidRPr="001C12AC">
        <w:rPr>
          <w:rFonts w:ascii="Arno Pro" w:hAnsi="Arno Pro"/>
          <w:i/>
          <w:iCs/>
          <w:noProof/>
          <w:sz w:val="16"/>
        </w:rPr>
        <w:t>39</w:t>
      </w:r>
      <w:r w:rsidRPr="001C12AC">
        <w:rPr>
          <w:rFonts w:ascii="Arno Pro" w:hAnsi="Arno Pro"/>
          <w:noProof/>
          <w:sz w:val="16"/>
        </w:rPr>
        <w:t>, 131–149.</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(34) </w:t>
      </w:r>
      <w:r w:rsidRPr="001C12AC">
        <w:rPr>
          <w:rFonts w:ascii="Arno Pro" w:hAnsi="Arno Pro"/>
          <w:noProof/>
          <w:sz w:val="16"/>
        </w:rPr>
        <w:tab/>
        <w:t xml:space="preserve">Grosse, A. C.; Dicinoski, G. W.; Shaw, M. J.; Haddad, P. R. </w:t>
      </w:r>
      <w:r w:rsidRPr="001C12AC">
        <w:rPr>
          <w:rFonts w:ascii="Arno Pro" w:hAnsi="Arno Pro"/>
          <w:i/>
          <w:iCs/>
          <w:noProof/>
          <w:sz w:val="16"/>
        </w:rPr>
        <w:t>Hydrometallurgy</w:t>
      </w:r>
      <w:r w:rsidRPr="001C12AC">
        <w:rPr>
          <w:rFonts w:ascii="Arno Pro" w:hAnsi="Arno Pro"/>
          <w:noProof/>
          <w:sz w:val="16"/>
        </w:rPr>
        <w:t xml:space="preserve"> </w:t>
      </w:r>
      <w:r w:rsidRPr="001C12AC">
        <w:rPr>
          <w:rFonts w:ascii="Arno Pro" w:hAnsi="Arno Pro"/>
          <w:b/>
          <w:bCs/>
          <w:noProof/>
          <w:sz w:val="16"/>
        </w:rPr>
        <w:t>2003</w:t>
      </w:r>
      <w:r w:rsidRPr="001C12AC">
        <w:rPr>
          <w:rFonts w:ascii="Arno Pro" w:hAnsi="Arno Pro"/>
          <w:noProof/>
          <w:sz w:val="16"/>
        </w:rPr>
        <w:t xml:space="preserve">, </w:t>
      </w:r>
      <w:r w:rsidRPr="001C12AC">
        <w:rPr>
          <w:rFonts w:ascii="Arno Pro" w:hAnsi="Arno Pro"/>
          <w:i/>
          <w:iCs/>
          <w:noProof/>
          <w:sz w:val="16"/>
        </w:rPr>
        <w:t>69</w:t>
      </w:r>
      <w:r w:rsidRPr="001C12AC">
        <w:rPr>
          <w:rFonts w:ascii="Arno Pro" w:hAnsi="Arno Pro"/>
          <w:noProof/>
          <w:sz w:val="16"/>
        </w:rPr>
        <w:t>, 1–21.</w:t>
      </w:r>
    </w:p>
    <w:p w:rsidR="001C12AC" w:rsidRPr="001C12AC" w:rsidRDefault="001C12AC" w:rsidP="008F3530">
      <w:pPr>
        <w:pStyle w:val="StandardWeb"/>
        <w:spacing w:before="0" w:beforeAutospacing="0" w:after="0" w:afterAutospacing="0"/>
        <w:ind w:left="641" w:hanging="641"/>
        <w:divId w:val="918363244"/>
        <w:rPr>
          <w:rFonts w:ascii="Arno Pro" w:hAnsi="Arno Pro"/>
          <w:noProof/>
          <w:sz w:val="16"/>
        </w:rPr>
      </w:pPr>
      <w:r w:rsidRPr="001C12AC">
        <w:rPr>
          <w:rFonts w:ascii="Arno Pro" w:hAnsi="Arno Pro"/>
          <w:noProof/>
          <w:sz w:val="16"/>
        </w:rPr>
        <w:t xml:space="preserve">(35) </w:t>
      </w:r>
      <w:r w:rsidRPr="001C12AC">
        <w:rPr>
          <w:rFonts w:ascii="Arno Pro" w:hAnsi="Arno Pro"/>
          <w:noProof/>
          <w:sz w:val="16"/>
        </w:rPr>
        <w:tab/>
        <w:t xml:space="preserve">Feng, D.; Van Deventer, J. S. J. </w:t>
      </w:r>
      <w:r w:rsidRPr="001C12AC">
        <w:rPr>
          <w:rFonts w:ascii="Arno Pro" w:hAnsi="Arno Pro"/>
          <w:i/>
          <w:iCs/>
          <w:noProof/>
          <w:sz w:val="16"/>
        </w:rPr>
        <w:t>Hydrometallurgy</w:t>
      </w:r>
      <w:r w:rsidRPr="001C12AC">
        <w:rPr>
          <w:rFonts w:ascii="Arno Pro" w:hAnsi="Arno Pro"/>
          <w:noProof/>
          <w:sz w:val="16"/>
        </w:rPr>
        <w:t xml:space="preserve"> </w:t>
      </w:r>
      <w:r w:rsidRPr="001C12AC">
        <w:rPr>
          <w:rFonts w:ascii="Arno Pro" w:hAnsi="Arno Pro"/>
          <w:b/>
          <w:bCs/>
          <w:noProof/>
          <w:sz w:val="16"/>
        </w:rPr>
        <w:t>2010</w:t>
      </w:r>
      <w:r w:rsidRPr="001C12AC">
        <w:rPr>
          <w:rFonts w:ascii="Arno Pro" w:hAnsi="Arno Pro"/>
          <w:noProof/>
          <w:sz w:val="16"/>
        </w:rPr>
        <w:t xml:space="preserve">, </w:t>
      </w:r>
      <w:r w:rsidRPr="001C12AC">
        <w:rPr>
          <w:rFonts w:ascii="Arno Pro" w:hAnsi="Arno Pro"/>
          <w:i/>
          <w:iCs/>
          <w:noProof/>
          <w:sz w:val="16"/>
        </w:rPr>
        <w:t>105</w:t>
      </w:r>
      <w:r w:rsidRPr="001C12AC">
        <w:rPr>
          <w:rFonts w:ascii="Arno Pro" w:hAnsi="Arno Pro"/>
          <w:noProof/>
          <w:sz w:val="16"/>
        </w:rPr>
        <w:t xml:space="preserve">, 120–126. </w:t>
      </w:r>
    </w:p>
    <w:p w:rsidR="00D469C6" w:rsidRPr="00D469C6" w:rsidRDefault="001F5C71" w:rsidP="008F3530">
      <w:pPr>
        <w:pStyle w:val="StandardWeb"/>
        <w:spacing w:before="0" w:beforeAutospacing="0" w:after="0" w:afterAutospacing="0"/>
        <w:ind w:left="641" w:hanging="641"/>
        <w:divId w:val="1502813690"/>
        <w:rPr>
          <w:szCs w:val="16"/>
        </w:rPr>
      </w:pPr>
      <w:r w:rsidRPr="00EC5323">
        <w:rPr>
          <w:szCs w:val="16"/>
        </w:rPr>
        <w:fldChar w:fldCharType="end"/>
      </w:r>
    </w:p>
    <w:p w:rsidR="000D26C8" w:rsidRPr="00724F19" w:rsidRDefault="000D26C8" w:rsidP="00724F19">
      <w:pPr>
        <w:sectPr w:rsidR="000D26C8" w:rsidRPr="00724F19" w:rsidSect="00984F9E">
          <w:type w:val="continuous"/>
          <w:pgSz w:w="12240" w:h="15840"/>
          <w:pgMar w:top="720" w:right="1094" w:bottom="720" w:left="1094" w:header="720" w:footer="720" w:gutter="0"/>
          <w:cols w:num="2" w:space="461"/>
        </w:sectPr>
      </w:pPr>
    </w:p>
    <w:p w:rsidR="00090310" w:rsidRPr="00090310" w:rsidRDefault="00090310" w:rsidP="00090310">
      <w:pPr>
        <w:jc w:val="center"/>
        <w:rPr>
          <w:rFonts w:ascii="Arno Pro" w:hAnsi="Arno Pro"/>
          <w:b/>
          <w:szCs w:val="24"/>
        </w:rPr>
      </w:pPr>
      <w:r w:rsidRPr="00090310">
        <w:rPr>
          <w:rFonts w:ascii="Arno Pro" w:hAnsi="Arno Pro"/>
          <w:b/>
          <w:szCs w:val="24"/>
        </w:rPr>
        <w:lastRenderedPageBreak/>
        <w:t>TOC Graphic</w:t>
      </w:r>
    </w:p>
    <w:p w:rsidR="00090310" w:rsidRDefault="00084DFA" w:rsidP="007E0E39">
      <w:pPr>
        <w:pBdr>
          <w:bottom w:val="single" w:sz="4" w:space="1" w:color="auto"/>
        </w:pBdr>
        <w:spacing w:after="240"/>
        <w:jc w:val="center"/>
        <w:rPr>
          <w:rFonts w:ascii="Arno Pro" w:hAnsi="Arno Pro"/>
        </w:rPr>
      </w:pPr>
      <w:r>
        <w:rPr>
          <w:rFonts w:ascii="Arno Pro" w:hAnsi="Arno Pro"/>
          <w:noProof/>
        </w:rPr>
        <w:drawing>
          <wp:inline distT="0" distB="0" distL="0" distR="0">
            <wp:extent cx="3048000" cy="1694815"/>
            <wp:effectExtent l="0" t="0" r="0" b="63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8000" cy="1694815"/>
                    </a:xfrm>
                    <a:prstGeom prst="rect">
                      <a:avLst/>
                    </a:prstGeom>
                    <a:noFill/>
                  </pic:spPr>
                </pic:pic>
              </a:graphicData>
            </a:graphic>
          </wp:inline>
        </w:drawing>
      </w:r>
    </w:p>
    <w:sectPr w:rsidR="00090310" w:rsidSect="00984F9E">
      <w:headerReference w:type="even" r:id="rId15"/>
      <w:footerReference w:type="even" r:id="rId16"/>
      <w:footerReference w:type="default" r:id="rId17"/>
      <w:type w:val="continuous"/>
      <w:pgSz w:w="12240" w:h="15840"/>
      <w:pgMar w:top="720" w:right="1094" w:bottom="720" w:left="1094" w:header="0" w:footer="0" w:gutter="0"/>
      <w:cols w:space="47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778" w:rsidRDefault="00CD1778">
      <w:r>
        <w:separator/>
      </w:r>
    </w:p>
    <w:p w:rsidR="00CD1778" w:rsidRDefault="00CD1778"/>
  </w:endnote>
  <w:endnote w:type="continuationSeparator" w:id="0">
    <w:p w:rsidR="00CD1778" w:rsidRDefault="00CD1778">
      <w:r>
        <w:continuationSeparator/>
      </w:r>
    </w:p>
    <w:p w:rsidR="00CD1778" w:rsidRDefault="00CD17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Myriad Pro Light">
    <w:altName w:val="Corbel"/>
    <w:panose1 w:val="00000000000000000000"/>
    <w:charset w:val="00"/>
    <w:family w:val="swiss"/>
    <w:notTrueType/>
    <w:pitch w:val="variable"/>
    <w:sig w:usb0="00000001" w:usb1="5000204B" w:usb2="00000000" w:usb3="00000000" w:csb0="0000019F" w:csb1="00000000"/>
  </w:font>
  <w:font w:name="Arial">
    <w:panose1 w:val="020B0604020202020204"/>
    <w:charset w:val="00"/>
    <w:family w:val="swiss"/>
    <w:pitch w:val="variable"/>
    <w:sig w:usb0="E0002AFF" w:usb1="C0007843" w:usb2="00000009" w:usb3="00000000" w:csb0="000001FF" w:csb1="00000000"/>
  </w:font>
  <w:font w:name="Arno Pro">
    <w:altName w:val="Constantia"/>
    <w:panose1 w:val="00000000000000000000"/>
    <w:charset w:val="00"/>
    <w:family w:val="roman"/>
    <w:notTrueType/>
    <w:pitch w:val="variable"/>
    <w:sig w:usb0="00000001"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embedRegular r:id="rId1" w:subsetted="1" w:fontKey="{2D33DE69-39A6-404A-896F-3C891C8567DA}"/>
    <w:embedItalic r:id="rId2" w:subsetted="1" w:fontKey="{8AAAE2C8-A6D8-4859-8A76-5B2A6A251556}"/>
  </w:font>
  <w:font w:name="Dutch801BT-Roman">
    <w:panose1 w:val="00000000000000000000"/>
    <w:charset w:val="00"/>
    <w:family w:val="roman"/>
    <w:notTrueType/>
    <w:pitch w:val="default"/>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7005" w:rsidRDefault="00FD7005">
    <w:pPr>
      <w:framePr w:wrap="around" w:vAnchor="text" w:hAnchor="margin" w:xAlign="right" w:y="1"/>
      <w:rPr>
        <w:rStyle w:val="Seitenzahl"/>
      </w:rPr>
    </w:pPr>
    <w:proofErr w:type="gramStart"/>
    <w:r>
      <w:rPr>
        <w:rStyle w:val="Seitenzahl"/>
      </w:rPr>
      <w:t xml:space="preserve">PAGE  </w:t>
    </w:r>
    <w:r>
      <w:rPr>
        <w:rStyle w:val="Seitenzahl"/>
        <w:noProof/>
      </w:rPr>
      <w:t>2</w:t>
    </w:r>
    <w:proofErr w:type="gramEnd"/>
  </w:p>
  <w:p w:rsidR="00FD7005" w:rsidRDefault="00FD7005">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7005" w:rsidRDefault="00FD7005">
    <w:pP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7005" w:rsidRDefault="001F5C71">
    <w:pPr>
      <w:pStyle w:val="Fuzeile"/>
      <w:framePr w:wrap="around" w:vAnchor="text" w:hAnchor="margin" w:xAlign="right" w:y="1"/>
      <w:rPr>
        <w:rStyle w:val="Seitenzahl"/>
      </w:rPr>
    </w:pPr>
    <w:r>
      <w:rPr>
        <w:rStyle w:val="Seitenzahl"/>
      </w:rPr>
      <w:fldChar w:fldCharType="begin"/>
    </w:r>
    <w:r w:rsidR="00FD7005">
      <w:rPr>
        <w:rStyle w:val="Seitenzahl"/>
      </w:rPr>
      <w:instrText xml:space="preserve">PAGE  </w:instrText>
    </w:r>
    <w:r>
      <w:rPr>
        <w:rStyle w:val="Seitenzahl"/>
      </w:rPr>
      <w:fldChar w:fldCharType="separate"/>
    </w:r>
    <w:r w:rsidR="00FD7005">
      <w:rPr>
        <w:rStyle w:val="Seitenzahl"/>
        <w:noProof/>
      </w:rPr>
      <w:t>1</w:t>
    </w:r>
    <w:r>
      <w:rPr>
        <w:rStyle w:val="Seitenzahl"/>
      </w:rPr>
      <w:fldChar w:fldCharType="end"/>
    </w:r>
  </w:p>
  <w:p w:rsidR="00FD7005" w:rsidRDefault="00FD7005">
    <w:pPr>
      <w:pStyle w:val="Fuzeile"/>
      <w:ind w:right="360"/>
    </w:pPr>
  </w:p>
  <w:p w:rsidR="00FD7005" w:rsidRDefault="00FD7005"/>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7005" w:rsidRDefault="001F5C71">
    <w:pPr>
      <w:pStyle w:val="Fuzeile"/>
      <w:framePr w:wrap="around" w:vAnchor="text" w:hAnchor="margin" w:xAlign="right" w:y="1"/>
      <w:rPr>
        <w:rStyle w:val="Seitenzahl"/>
      </w:rPr>
    </w:pPr>
    <w:r>
      <w:rPr>
        <w:rStyle w:val="Seitenzahl"/>
      </w:rPr>
      <w:fldChar w:fldCharType="begin"/>
    </w:r>
    <w:r w:rsidR="00FD7005">
      <w:rPr>
        <w:rStyle w:val="Seitenzahl"/>
      </w:rPr>
      <w:instrText xml:space="preserve">PAGE  </w:instrText>
    </w:r>
    <w:r>
      <w:rPr>
        <w:rStyle w:val="Seitenzahl"/>
      </w:rPr>
      <w:fldChar w:fldCharType="separate"/>
    </w:r>
    <w:r w:rsidR="000D7652">
      <w:rPr>
        <w:rStyle w:val="Seitenzahl"/>
        <w:noProof/>
      </w:rPr>
      <w:t>5</w:t>
    </w:r>
    <w:r>
      <w:rPr>
        <w:rStyle w:val="Seitenzahl"/>
      </w:rPr>
      <w:fldChar w:fldCharType="end"/>
    </w:r>
  </w:p>
  <w:p w:rsidR="00FD7005" w:rsidRDefault="00FD7005">
    <w:pPr>
      <w:pStyle w:val="Fuzeile"/>
      <w:ind w:right="360"/>
    </w:pPr>
  </w:p>
  <w:p w:rsidR="00FD7005" w:rsidRDefault="00FD700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778" w:rsidRDefault="00CD1778">
      <w:r>
        <w:separator/>
      </w:r>
    </w:p>
    <w:p w:rsidR="00CD1778" w:rsidRDefault="00CD1778"/>
  </w:footnote>
  <w:footnote w:type="continuationSeparator" w:id="0">
    <w:p w:rsidR="00CD1778" w:rsidRDefault="00CD1778">
      <w:r>
        <w:continuationSeparator/>
      </w:r>
    </w:p>
    <w:p w:rsidR="00CD1778" w:rsidRDefault="00CD177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7005" w:rsidRDefault="00FD700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2">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3">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4">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5">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4"/>
  </w:num>
  <w:num w:numId="2">
    <w:abstractNumId w:val="2"/>
  </w:num>
  <w:num w:numId="3">
    <w:abstractNumId w:val="5"/>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3"/>
  <w:embedTrueTypeFonts/>
  <w:saveSubsetFonts/>
  <w:bordersDoNotSurroundHeader/>
  <w:bordersDoNotSurroundFooter/>
  <w:activeWritingStyle w:appName="MSWord" w:lang="en-US" w:vendorID="64" w:dllVersion="131078" w:nlCheck="1" w:checkStyle="1"/>
  <w:activeWritingStyle w:appName="MSWord" w:lang="de-DE"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consecutiveHyphenLimit w:val="1"/>
  <w:hyphenationZone w:val="357"/>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583"/>
    <w:rsid w:val="0000044F"/>
    <w:rsid w:val="00000CAF"/>
    <w:rsid w:val="00003441"/>
    <w:rsid w:val="000036AB"/>
    <w:rsid w:val="0000388A"/>
    <w:rsid w:val="0000492C"/>
    <w:rsid w:val="00004E4D"/>
    <w:rsid w:val="00005DAD"/>
    <w:rsid w:val="000201D0"/>
    <w:rsid w:val="00020385"/>
    <w:rsid w:val="00020D6B"/>
    <w:rsid w:val="00030117"/>
    <w:rsid w:val="0003046A"/>
    <w:rsid w:val="00030760"/>
    <w:rsid w:val="00040045"/>
    <w:rsid w:val="00040532"/>
    <w:rsid w:val="0004371B"/>
    <w:rsid w:val="00047B1B"/>
    <w:rsid w:val="00051141"/>
    <w:rsid w:val="00052452"/>
    <w:rsid w:val="00052701"/>
    <w:rsid w:val="00061CC7"/>
    <w:rsid w:val="00063274"/>
    <w:rsid w:val="00063C9A"/>
    <w:rsid w:val="00072B62"/>
    <w:rsid w:val="00074BCE"/>
    <w:rsid w:val="00077EFA"/>
    <w:rsid w:val="00084DFA"/>
    <w:rsid w:val="00085605"/>
    <w:rsid w:val="00090310"/>
    <w:rsid w:val="00091D85"/>
    <w:rsid w:val="00092522"/>
    <w:rsid w:val="00093622"/>
    <w:rsid w:val="00096F84"/>
    <w:rsid w:val="00097DEC"/>
    <w:rsid w:val="000A1D28"/>
    <w:rsid w:val="000A2AC6"/>
    <w:rsid w:val="000A3AB5"/>
    <w:rsid w:val="000A4729"/>
    <w:rsid w:val="000A53E3"/>
    <w:rsid w:val="000A65BB"/>
    <w:rsid w:val="000B1F6E"/>
    <w:rsid w:val="000B3FAD"/>
    <w:rsid w:val="000B4781"/>
    <w:rsid w:val="000D26C8"/>
    <w:rsid w:val="000D2D84"/>
    <w:rsid w:val="000D2DBB"/>
    <w:rsid w:val="000D3726"/>
    <w:rsid w:val="000D7652"/>
    <w:rsid w:val="000E08C8"/>
    <w:rsid w:val="000E1F93"/>
    <w:rsid w:val="000E4DED"/>
    <w:rsid w:val="000E7160"/>
    <w:rsid w:val="000E75E3"/>
    <w:rsid w:val="000E7680"/>
    <w:rsid w:val="000F1BCF"/>
    <w:rsid w:val="000F20A4"/>
    <w:rsid w:val="000F3A95"/>
    <w:rsid w:val="000F5369"/>
    <w:rsid w:val="000F7661"/>
    <w:rsid w:val="001014A8"/>
    <w:rsid w:val="00101D1F"/>
    <w:rsid w:val="00104897"/>
    <w:rsid w:val="0010513E"/>
    <w:rsid w:val="00116969"/>
    <w:rsid w:val="001218D2"/>
    <w:rsid w:val="00122A18"/>
    <w:rsid w:val="001304CA"/>
    <w:rsid w:val="00137025"/>
    <w:rsid w:val="001379DD"/>
    <w:rsid w:val="00141659"/>
    <w:rsid w:val="0015109A"/>
    <w:rsid w:val="00153998"/>
    <w:rsid w:val="0015618A"/>
    <w:rsid w:val="001563D0"/>
    <w:rsid w:val="00157E12"/>
    <w:rsid w:val="00165C01"/>
    <w:rsid w:val="001723B3"/>
    <w:rsid w:val="001735C7"/>
    <w:rsid w:val="00173D6C"/>
    <w:rsid w:val="00177702"/>
    <w:rsid w:val="00183B75"/>
    <w:rsid w:val="00183D57"/>
    <w:rsid w:val="001A3E58"/>
    <w:rsid w:val="001A40FD"/>
    <w:rsid w:val="001B13FB"/>
    <w:rsid w:val="001B46B7"/>
    <w:rsid w:val="001B7DF9"/>
    <w:rsid w:val="001C12AC"/>
    <w:rsid w:val="001C1445"/>
    <w:rsid w:val="001C4EAE"/>
    <w:rsid w:val="001D0850"/>
    <w:rsid w:val="001D0DA7"/>
    <w:rsid w:val="001D2CDC"/>
    <w:rsid w:val="001D3616"/>
    <w:rsid w:val="001D3990"/>
    <w:rsid w:val="001D42C7"/>
    <w:rsid w:val="001E1245"/>
    <w:rsid w:val="001E451C"/>
    <w:rsid w:val="001E7EE2"/>
    <w:rsid w:val="001F2EF9"/>
    <w:rsid w:val="001F5C71"/>
    <w:rsid w:val="001F772B"/>
    <w:rsid w:val="00201689"/>
    <w:rsid w:val="002031A2"/>
    <w:rsid w:val="00206D24"/>
    <w:rsid w:val="0021417C"/>
    <w:rsid w:val="002213AF"/>
    <w:rsid w:val="0022197F"/>
    <w:rsid w:val="0022443B"/>
    <w:rsid w:val="00225703"/>
    <w:rsid w:val="00226E2A"/>
    <w:rsid w:val="002365F2"/>
    <w:rsid w:val="00236853"/>
    <w:rsid w:val="0024409A"/>
    <w:rsid w:val="0025128A"/>
    <w:rsid w:val="002564D9"/>
    <w:rsid w:val="00256FAE"/>
    <w:rsid w:val="002618B7"/>
    <w:rsid w:val="0026490F"/>
    <w:rsid w:val="002670DE"/>
    <w:rsid w:val="002726F0"/>
    <w:rsid w:val="002729FB"/>
    <w:rsid w:val="00273FCF"/>
    <w:rsid w:val="002744A9"/>
    <w:rsid w:val="00277DE6"/>
    <w:rsid w:val="00282DB4"/>
    <w:rsid w:val="00285D23"/>
    <w:rsid w:val="0029059D"/>
    <w:rsid w:val="0029136E"/>
    <w:rsid w:val="00293948"/>
    <w:rsid w:val="0029408C"/>
    <w:rsid w:val="002943F2"/>
    <w:rsid w:val="002A323E"/>
    <w:rsid w:val="002A4962"/>
    <w:rsid w:val="002A7098"/>
    <w:rsid w:val="002A7D96"/>
    <w:rsid w:val="002B1576"/>
    <w:rsid w:val="002C3431"/>
    <w:rsid w:val="002C4353"/>
    <w:rsid w:val="002C71CA"/>
    <w:rsid w:val="002D7932"/>
    <w:rsid w:val="002E0BC2"/>
    <w:rsid w:val="002E41DE"/>
    <w:rsid w:val="002F6CED"/>
    <w:rsid w:val="00303D61"/>
    <w:rsid w:val="00310319"/>
    <w:rsid w:val="00310911"/>
    <w:rsid w:val="00311F5B"/>
    <w:rsid w:val="00325846"/>
    <w:rsid w:val="00335E25"/>
    <w:rsid w:val="00336540"/>
    <w:rsid w:val="0034450D"/>
    <w:rsid w:val="003465AC"/>
    <w:rsid w:val="00346F36"/>
    <w:rsid w:val="0035002E"/>
    <w:rsid w:val="003547B0"/>
    <w:rsid w:val="00357396"/>
    <w:rsid w:val="00360454"/>
    <w:rsid w:val="00364271"/>
    <w:rsid w:val="003653D2"/>
    <w:rsid w:val="00365645"/>
    <w:rsid w:val="003678BC"/>
    <w:rsid w:val="003679A1"/>
    <w:rsid w:val="00367F04"/>
    <w:rsid w:val="00372B26"/>
    <w:rsid w:val="00382807"/>
    <w:rsid w:val="00386A3E"/>
    <w:rsid w:val="0039437F"/>
    <w:rsid w:val="003A0F5F"/>
    <w:rsid w:val="003A3B41"/>
    <w:rsid w:val="003A3BD0"/>
    <w:rsid w:val="003B2989"/>
    <w:rsid w:val="003B32C2"/>
    <w:rsid w:val="003B4AF3"/>
    <w:rsid w:val="003B4EE1"/>
    <w:rsid w:val="003B50C0"/>
    <w:rsid w:val="003C2BE3"/>
    <w:rsid w:val="003C4B5A"/>
    <w:rsid w:val="003D5345"/>
    <w:rsid w:val="003D736B"/>
    <w:rsid w:val="003E4150"/>
    <w:rsid w:val="003E5207"/>
    <w:rsid w:val="003E77C4"/>
    <w:rsid w:val="003F7BD6"/>
    <w:rsid w:val="00407D9E"/>
    <w:rsid w:val="0041079D"/>
    <w:rsid w:val="00417B7F"/>
    <w:rsid w:val="00420AD1"/>
    <w:rsid w:val="00422950"/>
    <w:rsid w:val="00427112"/>
    <w:rsid w:val="00433BFF"/>
    <w:rsid w:val="0043498C"/>
    <w:rsid w:val="00434CAF"/>
    <w:rsid w:val="00436C37"/>
    <w:rsid w:val="0045177D"/>
    <w:rsid w:val="004564CF"/>
    <w:rsid w:val="00457838"/>
    <w:rsid w:val="00460672"/>
    <w:rsid w:val="00463BA6"/>
    <w:rsid w:val="0049449E"/>
    <w:rsid w:val="00496418"/>
    <w:rsid w:val="00496B72"/>
    <w:rsid w:val="004A0A41"/>
    <w:rsid w:val="004A1958"/>
    <w:rsid w:val="004A3995"/>
    <w:rsid w:val="004A3DB0"/>
    <w:rsid w:val="004A5B21"/>
    <w:rsid w:val="004A742B"/>
    <w:rsid w:val="004A7598"/>
    <w:rsid w:val="004B318F"/>
    <w:rsid w:val="004B41BB"/>
    <w:rsid w:val="004B4339"/>
    <w:rsid w:val="004C025E"/>
    <w:rsid w:val="004C2A44"/>
    <w:rsid w:val="004C31F6"/>
    <w:rsid w:val="004C7C1F"/>
    <w:rsid w:val="004E35E0"/>
    <w:rsid w:val="004E5827"/>
    <w:rsid w:val="004E7D40"/>
    <w:rsid w:val="004F0B31"/>
    <w:rsid w:val="004F5247"/>
    <w:rsid w:val="004F7E28"/>
    <w:rsid w:val="005031FE"/>
    <w:rsid w:val="0050655F"/>
    <w:rsid w:val="00511902"/>
    <w:rsid w:val="00513DEF"/>
    <w:rsid w:val="00515132"/>
    <w:rsid w:val="005161DB"/>
    <w:rsid w:val="005327A4"/>
    <w:rsid w:val="005329C7"/>
    <w:rsid w:val="00540013"/>
    <w:rsid w:val="005446A0"/>
    <w:rsid w:val="005456FF"/>
    <w:rsid w:val="00550B06"/>
    <w:rsid w:val="00551789"/>
    <w:rsid w:val="00552A07"/>
    <w:rsid w:val="00553E7A"/>
    <w:rsid w:val="005571F0"/>
    <w:rsid w:val="00561F0F"/>
    <w:rsid w:val="00564D48"/>
    <w:rsid w:val="00564DF5"/>
    <w:rsid w:val="00566E57"/>
    <w:rsid w:val="00573A25"/>
    <w:rsid w:val="005754B8"/>
    <w:rsid w:val="00575965"/>
    <w:rsid w:val="00576E27"/>
    <w:rsid w:val="0057791E"/>
    <w:rsid w:val="0058276B"/>
    <w:rsid w:val="005828BD"/>
    <w:rsid w:val="00582D13"/>
    <w:rsid w:val="00590688"/>
    <w:rsid w:val="005911E4"/>
    <w:rsid w:val="00591507"/>
    <w:rsid w:val="00591A57"/>
    <w:rsid w:val="0059238D"/>
    <w:rsid w:val="0059535F"/>
    <w:rsid w:val="00595DCB"/>
    <w:rsid w:val="00596AEA"/>
    <w:rsid w:val="00597281"/>
    <w:rsid w:val="005A0A63"/>
    <w:rsid w:val="005A5138"/>
    <w:rsid w:val="005B08A6"/>
    <w:rsid w:val="005B57D6"/>
    <w:rsid w:val="005B6F4E"/>
    <w:rsid w:val="005B7FAB"/>
    <w:rsid w:val="005C27B5"/>
    <w:rsid w:val="005C3046"/>
    <w:rsid w:val="005C3B66"/>
    <w:rsid w:val="005C448D"/>
    <w:rsid w:val="005C5FCB"/>
    <w:rsid w:val="005D0C10"/>
    <w:rsid w:val="005D1B5D"/>
    <w:rsid w:val="005D2065"/>
    <w:rsid w:val="005D4B44"/>
    <w:rsid w:val="005E439D"/>
    <w:rsid w:val="005E4C78"/>
    <w:rsid w:val="005F5C5C"/>
    <w:rsid w:val="005F647F"/>
    <w:rsid w:val="00602ED8"/>
    <w:rsid w:val="006036C7"/>
    <w:rsid w:val="00604E00"/>
    <w:rsid w:val="00604F23"/>
    <w:rsid w:val="006063DA"/>
    <w:rsid w:val="00606D0E"/>
    <w:rsid w:val="00607899"/>
    <w:rsid w:val="00613A37"/>
    <w:rsid w:val="00613A3F"/>
    <w:rsid w:val="006143C2"/>
    <w:rsid w:val="00614F2E"/>
    <w:rsid w:val="00616136"/>
    <w:rsid w:val="00616D68"/>
    <w:rsid w:val="006264F8"/>
    <w:rsid w:val="00626578"/>
    <w:rsid w:val="006268A3"/>
    <w:rsid w:val="00631B3F"/>
    <w:rsid w:val="00631E32"/>
    <w:rsid w:val="00633013"/>
    <w:rsid w:val="00635FB3"/>
    <w:rsid w:val="006366B0"/>
    <w:rsid w:val="00641DB8"/>
    <w:rsid w:val="00641DBA"/>
    <w:rsid w:val="0064353C"/>
    <w:rsid w:val="00645914"/>
    <w:rsid w:val="00651296"/>
    <w:rsid w:val="0065255E"/>
    <w:rsid w:val="006532A9"/>
    <w:rsid w:val="00656DB4"/>
    <w:rsid w:val="00664A76"/>
    <w:rsid w:val="0066553A"/>
    <w:rsid w:val="006663D2"/>
    <w:rsid w:val="00666B80"/>
    <w:rsid w:val="0067018C"/>
    <w:rsid w:val="00674ED7"/>
    <w:rsid w:val="00675F41"/>
    <w:rsid w:val="00676641"/>
    <w:rsid w:val="006823A0"/>
    <w:rsid w:val="00687BBA"/>
    <w:rsid w:val="006B2581"/>
    <w:rsid w:val="006B265B"/>
    <w:rsid w:val="006B293E"/>
    <w:rsid w:val="006B2F76"/>
    <w:rsid w:val="006B5E68"/>
    <w:rsid w:val="006C02E0"/>
    <w:rsid w:val="006C240E"/>
    <w:rsid w:val="006C5507"/>
    <w:rsid w:val="006D047F"/>
    <w:rsid w:val="006D2618"/>
    <w:rsid w:val="006D2700"/>
    <w:rsid w:val="006D3C6B"/>
    <w:rsid w:val="006D743F"/>
    <w:rsid w:val="006E55E9"/>
    <w:rsid w:val="006E5995"/>
    <w:rsid w:val="006E6BC5"/>
    <w:rsid w:val="006E79E6"/>
    <w:rsid w:val="006F268D"/>
    <w:rsid w:val="006F7C24"/>
    <w:rsid w:val="007009DA"/>
    <w:rsid w:val="00705705"/>
    <w:rsid w:val="00705A19"/>
    <w:rsid w:val="0070787F"/>
    <w:rsid w:val="00707915"/>
    <w:rsid w:val="00710B3C"/>
    <w:rsid w:val="007114DA"/>
    <w:rsid w:val="00711627"/>
    <w:rsid w:val="0071182A"/>
    <w:rsid w:val="00711CD9"/>
    <w:rsid w:val="007130C0"/>
    <w:rsid w:val="00715F8B"/>
    <w:rsid w:val="007179F0"/>
    <w:rsid w:val="007208AB"/>
    <w:rsid w:val="00724F19"/>
    <w:rsid w:val="00725E67"/>
    <w:rsid w:val="00726D6B"/>
    <w:rsid w:val="00727687"/>
    <w:rsid w:val="007305E5"/>
    <w:rsid w:val="00730BA7"/>
    <w:rsid w:val="00731EF4"/>
    <w:rsid w:val="0073311F"/>
    <w:rsid w:val="007331FF"/>
    <w:rsid w:val="007335A8"/>
    <w:rsid w:val="00740BA7"/>
    <w:rsid w:val="00741D09"/>
    <w:rsid w:val="00742B7E"/>
    <w:rsid w:val="00750816"/>
    <w:rsid w:val="00751EF2"/>
    <w:rsid w:val="007539D1"/>
    <w:rsid w:val="00753A26"/>
    <w:rsid w:val="007629D3"/>
    <w:rsid w:val="00767944"/>
    <w:rsid w:val="00771444"/>
    <w:rsid w:val="0077498C"/>
    <w:rsid w:val="00780AE7"/>
    <w:rsid w:val="00781C30"/>
    <w:rsid w:val="0079394D"/>
    <w:rsid w:val="00793D8A"/>
    <w:rsid w:val="0079656E"/>
    <w:rsid w:val="007A7955"/>
    <w:rsid w:val="007B2922"/>
    <w:rsid w:val="007B2AEF"/>
    <w:rsid w:val="007C1383"/>
    <w:rsid w:val="007C142F"/>
    <w:rsid w:val="007C4434"/>
    <w:rsid w:val="007C793A"/>
    <w:rsid w:val="007D1467"/>
    <w:rsid w:val="007D26C9"/>
    <w:rsid w:val="007D3953"/>
    <w:rsid w:val="007D4899"/>
    <w:rsid w:val="007D5138"/>
    <w:rsid w:val="007D5685"/>
    <w:rsid w:val="007E0E39"/>
    <w:rsid w:val="007E19EA"/>
    <w:rsid w:val="007E4995"/>
    <w:rsid w:val="007F0510"/>
    <w:rsid w:val="007F2A95"/>
    <w:rsid w:val="007F3FDD"/>
    <w:rsid w:val="007F6792"/>
    <w:rsid w:val="00800AFA"/>
    <w:rsid w:val="008019BC"/>
    <w:rsid w:val="00803489"/>
    <w:rsid w:val="00804DCD"/>
    <w:rsid w:val="00816141"/>
    <w:rsid w:val="00822ADA"/>
    <w:rsid w:val="00822EBE"/>
    <w:rsid w:val="008239D7"/>
    <w:rsid w:val="008252D2"/>
    <w:rsid w:val="008348A2"/>
    <w:rsid w:val="008357A5"/>
    <w:rsid w:val="00835CBD"/>
    <w:rsid w:val="008366E8"/>
    <w:rsid w:val="00837635"/>
    <w:rsid w:val="0083799E"/>
    <w:rsid w:val="0084172F"/>
    <w:rsid w:val="00842060"/>
    <w:rsid w:val="00853A4C"/>
    <w:rsid w:val="00854D1E"/>
    <w:rsid w:val="00857D54"/>
    <w:rsid w:val="0086287E"/>
    <w:rsid w:val="00865479"/>
    <w:rsid w:val="008655C0"/>
    <w:rsid w:val="00874854"/>
    <w:rsid w:val="00874957"/>
    <w:rsid w:val="00875900"/>
    <w:rsid w:val="008761C2"/>
    <w:rsid w:val="008764D2"/>
    <w:rsid w:val="008774D5"/>
    <w:rsid w:val="008868DA"/>
    <w:rsid w:val="008933EE"/>
    <w:rsid w:val="00896957"/>
    <w:rsid w:val="00897163"/>
    <w:rsid w:val="008A0FC5"/>
    <w:rsid w:val="008A1D93"/>
    <w:rsid w:val="008B2CE8"/>
    <w:rsid w:val="008B3498"/>
    <w:rsid w:val="008B58E7"/>
    <w:rsid w:val="008B620A"/>
    <w:rsid w:val="008C1583"/>
    <w:rsid w:val="008C53FF"/>
    <w:rsid w:val="008C6800"/>
    <w:rsid w:val="008D2DFE"/>
    <w:rsid w:val="008D3D15"/>
    <w:rsid w:val="008D567C"/>
    <w:rsid w:val="008D5EAA"/>
    <w:rsid w:val="008D782E"/>
    <w:rsid w:val="008E05E7"/>
    <w:rsid w:val="008E063B"/>
    <w:rsid w:val="008E10F1"/>
    <w:rsid w:val="008E4B40"/>
    <w:rsid w:val="008E54F1"/>
    <w:rsid w:val="008E58F9"/>
    <w:rsid w:val="008F3530"/>
    <w:rsid w:val="008F401E"/>
    <w:rsid w:val="008F4249"/>
    <w:rsid w:val="008F4B66"/>
    <w:rsid w:val="008F602A"/>
    <w:rsid w:val="00911F76"/>
    <w:rsid w:val="00912210"/>
    <w:rsid w:val="00913469"/>
    <w:rsid w:val="0092037A"/>
    <w:rsid w:val="009246AD"/>
    <w:rsid w:val="00926715"/>
    <w:rsid w:val="00927CDC"/>
    <w:rsid w:val="0093063C"/>
    <w:rsid w:val="00936A41"/>
    <w:rsid w:val="0093762A"/>
    <w:rsid w:val="009473B3"/>
    <w:rsid w:val="009477ED"/>
    <w:rsid w:val="00947C1E"/>
    <w:rsid w:val="009522C7"/>
    <w:rsid w:val="00953990"/>
    <w:rsid w:val="00956303"/>
    <w:rsid w:val="0095750D"/>
    <w:rsid w:val="00957C0B"/>
    <w:rsid w:val="00964B4B"/>
    <w:rsid w:val="00967927"/>
    <w:rsid w:val="00970C2A"/>
    <w:rsid w:val="0097667C"/>
    <w:rsid w:val="00984F9E"/>
    <w:rsid w:val="009A147E"/>
    <w:rsid w:val="009A30FA"/>
    <w:rsid w:val="009A3652"/>
    <w:rsid w:val="009B2FBA"/>
    <w:rsid w:val="009B3262"/>
    <w:rsid w:val="009B4232"/>
    <w:rsid w:val="009B46A9"/>
    <w:rsid w:val="009C06EB"/>
    <w:rsid w:val="009C1EBA"/>
    <w:rsid w:val="009C7E75"/>
    <w:rsid w:val="009D10A3"/>
    <w:rsid w:val="009D4E03"/>
    <w:rsid w:val="009E372C"/>
    <w:rsid w:val="009F5DBF"/>
    <w:rsid w:val="009F6750"/>
    <w:rsid w:val="009F69CA"/>
    <w:rsid w:val="009F6F82"/>
    <w:rsid w:val="009F73F8"/>
    <w:rsid w:val="00A009BC"/>
    <w:rsid w:val="00A0252B"/>
    <w:rsid w:val="00A02D62"/>
    <w:rsid w:val="00A033EA"/>
    <w:rsid w:val="00A045AF"/>
    <w:rsid w:val="00A12610"/>
    <w:rsid w:val="00A207CF"/>
    <w:rsid w:val="00A269C9"/>
    <w:rsid w:val="00A34AC2"/>
    <w:rsid w:val="00A444E1"/>
    <w:rsid w:val="00A460B5"/>
    <w:rsid w:val="00A46C91"/>
    <w:rsid w:val="00A470B9"/>
    <w:rsid w:val="00A47500"/>
    <w:rsid w:val="00A52EA1"/>
    <w:rsid w:val="00A5498F"/>
    <w:rsid w:val="00A61630"/>
    <w:rsid w:val="00A66999"/>
    <w:rsid w:val="00A66EDD"/>
    <w:rsid w:val="00A71C00"/>
    <w:rsid w:val="00A74ADE"/>
    <w:rsid w:val="00A77406"/>
    <w:rsid w:val="00A9012B"/>
    <w:rsid w:val="00A91DFA"/>
    <w:rsid w:val="00A97997"/>
    <w:rsid w:val="00A97EF2"/>
    <w:rsid w:val="00AA2F1C"/>
    <w:rsid w:val="00AB4002"/>
    <w:rsid w:val="00AC1839"/>
    <w:rsid w:val="00AC5F97"/>
    <w:rsid w:val="00AC60CC"/>
    <w:rsid w:val="00AC6438"/>
    <w:rsid w:val="00AC6AC5"/>
    <w:rsid w:val="00AC6E6B"/>
    <w:rsid w:val="00AD0E35"/>
    <w:rsid w:val="00AD2FBC"/>
    <w:rsid w:val="00AD54AE"/>
    <w:rsid w:val="00AE2878"/>
    <w:rsid w:val="00AE4276"/>
    <w:rsid w:val="00AE4B97"/>
    <w:rsid w:val="00AF1765"/>
    <w:rsid w:val="00AF2AD1"/>
    <w:rsid w:val="00B077E4"/>
    <w:rsid w:val="00B13411"/>
    <w:rsid w:val="00B14609"/>
    <w:rsid w:val="00B14E47"/>
    <w:rsid w:val="00B22ABA"/>
    <w:rsid w:val="00B23507"/>
    <w:rsid w:val="00B247E4"/>
    <w:rsid w:val="00B276E3"/>
    <w:rsid w:val="00B31A68"/>
    <w:rsid w:val="00B35692"/>
    <w:rsid w:val="00B36B6E"/>
    <w:rsid w:val="00B40376"/>
    <w:rsid w:val="00B41CD4"/>
    <w:rsid w:val="00B42432"/>
    <w:rsid w:val="00B42C29"/>
    <w:rsid w:val="00B43F42"/>
    <w:rsid w:val="00B4437C"/>
    <w:rsid w:val="00B563D9"/>
    <w:rsid w:val="00B57DB7"/>
    <w:rsid w:val="00B63699"/>
    <w:rsid w:val="00B6793D"/>
    <w:rsid w:val="00B70CC6"/>
    <w:rsid w:val="00B71491"/>
    <w:rsid w:val="00B73E15"/>
    <w:rsid w:val="00B7506D"/>
    <w:rsid w:val="00B7618D"/>
    <w:rsid w:val="00B838B4"/>
    <w:rsid w:val="00B83CF3"/>
    <w:rsid w:val="00B84475"/>
    <w:rsid w:val="00B849A0"/>
    <w:rsid w:val="00B875D7"/>
    <w:rsid w:val="00B91A6E"/>
    <w:rsid w:val="00B97259"/>
    <w:rsid w:val="00BA4FC3"/>
    <w:rsid w:val="00BA7DC3"/>
    <w:rsid w:val="00BA7EE3"/>
    <w:rsid w:val="00BB1134"/>
    <w:rsid w:val="00BB49B3"/>
    <w:rsid w:val="00BB7317"/>
    <w:rsid w:val="00BC038E"/>
    <w:rsid w:val="00BC3D29"/>
    <w:rsid w:val="00BC3E2A"/>
    <w:rsid w:val="00BC465F"/>
    <w:rsid w:val="00BC6B64"/>
    <w:rsid w:val="00BD0668"/>
    <w:rsid w:val="00BD16B0"/>
    <w:rsid w:val="00BD3837"/>
    <w:rsid w:val="00BD5122"/>
    <w:rsid w:val="00BD6FEF"/>
    <w:rsid w:val="00BD74F0"/>
    <w:rsid w:val="00BE03AF"/>
    <w:rsid w:val="00BE1738"/>
    <w:rsid w:val="00BE533F"/>
    <w:rsid w:val="00BE6CCF"/>
    <w:rsid w:val="00BF0DF8"/>
    <w:rsid w:val="00BF5178"/>
    <w:rsid w:val="00C00EB6"/>
    <w:rsid w:val="00C04A9F"/>
    <w:rsid w:val="00C06CFC"/>
    <w:rsid w:val="00C1291F"/>
    <w:rsid w:val="00C15FA4"/>
    <w:rsid w:val="00C168F2"/>
    <w:rsid w:val="00C20550"/>
    <w:rsid w:val="00C21546"/>
    <w:rsid w:val="00C30403"/>
    <w:rsid w:val="00C32DA3"/>
    <w:rsid w:val="00C42EE1"/>
    <w:rsid w:val="00C44122"/>
    <w:rsid w:val="00C45E7B"/>
    <w:rsid w:val="00C56A3B"/>
    <w:rsid w:val="00C66201"/>
    <w:rsid w:val="00C712E7"/>
    <w:rsid w:val="00C72430"/>
    <w:rsid w:val="00C726D0"/>
    <w:rsid w:val="00C72D78"/>
    <w:rsid w:val="00C7436E"/>
    <w:rsid w:val="00C77856"/>
    <w:rsid w:val="00C841D8"/>
    <w:rsid w:val="00C90C32"/>
    <w:rsid w:val="00C9140C"/>
    <w:rsid w:val="00C93DB9"/>
    <w:rsid w:val="00CA1298"/>
    <w:rsid w:val="00CA15CA"/>
    <w:rsid w:val="00CA49FF"/>
    <w:rsid w:val="00CA79D0"/>
    <w:rsid w:val="00CB2B7D"/>
    <w:rsid w:val="00CB7805"/>
    <w:rsid w:val="00CB79D7"/>
    <w:rsid w:val="00CC1590"/>
    <w:rsid w:val="00CC5876"/>
    <w:rsid w:val="00CC6C0D"/>
    <w:rsid w:val="00CD13F9"/>
    <w:rsid w:val="00CD1778"/>
    <w:rsid w:val="00CE1C3F"/>
    <w:rsid w:val="00CE2574"/>
    <w:rsid w:val="00CE313D"/>
    <w:rsid w:val="00CF668D"/>
    <w:rsid w:val="00CF7D1C"/>
    <w:rsid w:val="00D01D2B"/>
    <w:rsid w:val="00D0596F"/>
    <w:rsid w:val="00D05CAC"/>
    <w:rsid w:val="00D10FFC"/>
    <w:rsid w:val="00D137A0"/>
    <w:rsid w:val="00D13B1B"/>
    <w:rsid w:val="00D15554"/>
    <w:rsid w:val="00D224B8"/>
    <w:rsid w:val="00D22E01"/>
    <w:rsid w:val="00D3152E"/>
    <w:rsid w:val="00D40224"/>
    <w:rsid w:val="00D40722"/>
    <w:rsid w:val="00D41989"/>
    <w:rsid w:val="00D42A88"/>
    <w:rsid w:val="00D436C6"/>
    <w:rsid w:val="00D469C6"/>
    <w:rsid w:val="00D53480"/>
    <w:rsid w:val="00D56374"/>
    <w:rsid w:val="00D61DBF"/>
    <w:rsid w:val="00D61DD0"/>
    <w:rsid w:val="00D63C21"/>
    <w:rsid w:val="00D65413"/>
    <w:rsid w:val="00D65664"/>
    <w:rsid w:val="00D65C38"/>
    <w:rsid w:val="00D66756"/>
    <w:rsid w:val="00D708E0"/>
    <w:rsid w:val="00D727E8"/>
    <w:rsid w:val="00D72AF0"/>
    <w:rsid w:val="00D759B6"/>
    <w:rsid w:val="00D7797B"/>
    <w:rsid w:val="00D84AFB"/>
    <w:rsid w:val="00D85020"/>
    <w:rsid w:val="00D86677"/>
    <w:rsid w:val="00D874DC"/>
    <w:rsid w:val="00D9273D"/>
    <w:rsid w:val="00D928D2"/>
    <w:rsid w:val="00D933B8"/>
    <w:rsid w:val="00D97995"/>
    <w:rsid w:val="00DC164B"/>
    <w:rsid w:val="00DC5ACE"/>
    <w:rsid w:val="00DD1EEC"/>
    <w:rsid w:val="00DD29EF"/>
    <w:rsid w:val="00DE44CF"/>
    <w:rsid w:val="00DE78D2"/>
    <w:rsid w:val="00DF155A"/>
    <w:rsid w:val="00DF4270"/>
    <w:rsid w:val="00DF59F4"/>
    <w:rsid w:val="00DF683D"/>
    <w:rsid w:val="00E074F2"/>
    <w:rsid w:val="00E128D2"/>
    <w:rsid w:val="00E16822"/>
    <w:rsid w:val="00E2340D"/>
    <w:rsid w:val="00E32A18"/>
    <w:rsid w:val="00E34131"/>
    <w:rsid w:val="00E34772"/>
    <w:rsid w:val="00E40223"/>
    <w:rsid w:val="00E45245"/>
    <w:rsid w:val="00E46BD3"/>
    <w:rsid w:val="00E4786D"/>
    <w:rsid w:val="00E50345"/>
    <w:rsid w:val="00E64CFF"/>
    <w:rsid w:val="00E65825"/>
    <w:rsid w:val="00E710B3"/>
    <w:rsid w:val="00E7187B"/>
    <w:rsid w:val="00E74459"/>
    <w:rsid w:val="00E75388"/>
    <w:rsid w:val="00E75910"/>
    <w:rsid w:val="00E82BA1"/>
    <w:rsid w:val="00E82E62"/>
    <w:rsid w:val="00E846F5"/>
    <w:rsid w:val="00E84CB9"/>
    <w:rsid w:val="00E85F38"/>
    <w:rsid w:val="00E869E2"/>
    <w:rsid w:val="00E95FF4"/>
    <w:rsid w:val="00E96302"/>
    <w:rsid w:val="00EA138B"/>
    <w:rsid w:val="00EA165C"/>
    <w:rsid w:val="00EA282F"/>
    <w:rsid w:val="00EA2D46"/>
    <w:rsid w:val="00EA2F3F"/>
    <w:rsid w:val="00EA5773"/>
    <w:rsid w:val="00EA5C12"/>
    <w:rsid w:val="00EA6821"/>
    <w:rsid w:val="00EC068F"/>
    <w:rsid w:val="00EC0EDD"/>
    <w:rsid w:val="00EC53A0"/>
    <w:rsid w:val="00ED3665"/>
    <w:rsid w:val="00EE1444"/>
    <w:rsid w:val="00EE19BD"/>
    <w:rsid w:val="00EF4CD8"/>
    <w:rsid w:val="00EF6AD6"/>
    <w:rsid w:val="00F00052"/>
    <w:rsid w:val="00F00586"/>
    <w:rsid w:val="00F00793"/>
    <w:rsid w:val="00F03685"/>
    <w:rsid w:val="00F041DF"/>
    <w:rsid w:val="00F04841"/>
    <w:rsid w:val="00F103D7"/>
    <w:rsid w:val="00F10E56"/>
    <w:rsid w:val="00F13E51"/>
    <w:rsid w:val="00F260D0"/>
    <w:rsid w:val="00F36E35"/>
    <w:rsid w:val="00F44E02"/>
    <w:rsid w:val="00F458DD"/>
    <w:rsid w:val="00F52DEC"/>
    <w:rsid w:val="00F5421E"/>
    <w:rsid w:val="00F5451F"/>
    <w:rsid w:val="00F5781B"/>
    <w:rsid w:val="00F604F8"/>
    <w:rsid w:val="00F726A4"/>
    <w:rsid w:val="00F75C26"/>
    <w:rsid w:val="00F76973"/>
    <w:rsid w:val="00F77CE8"/>
    <w:rsid w:val="00F82852"/>
    <w:rsid w:val="00F841B3"/>
    <w:rsid w:val="00F847A2"/>
    <w:rsid w:val="00F84CC0"/>
    <w:rsid w:val="00F8537A"/>
    <w:rsid w:val="00F97782"/>
    <w:rsid w:val="00FA20BF"/>
    <w:rsid w:val="00FA2EED"/>
    <w:rsid w:val="00FB5A6A"/>
    <w:rsid w:val="00FB6C99"/>
    <w:rsid w:val="00FC3ED6"/>
    <w:rsid w:val="00FC7CD2"/>
    <w:rsid w:val="00FD0896"/>
    <w:rsid w:val="00FD0E8B"/>
    <w:rsid w:val="00FD5AEE"/>
    <w:rsid w:val="00FD7005"/>
    <w:rsid w:val="00FF055A"/>
    <w:rsid w:val="00FF34FC"/>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03441"/>
    <w:pPr>
      <w:spacing w:after="200"/>
      <w:jc w:val="both"/>
    </w:pPr>
    <w:rPr>
      <w:rFonts w:ascii="Times" w:hAnsi="Times"/>
      <w:sz w:val="24"/>
    </w:rPr>
  </w:style>
  <w:style w:type="paragraph" w:styleId="berschrift1">
    <w:name w:val="heading 1"/>
    <w:basedOn w:val="Standard"/>
    <w:next w:val="Standard"/>
    <w:qFormat/>
    <w:rsid w:val="00865479"/>
    <w:pPr>
      <w:keepNext/>
      <w:spacing w:before="180" w:after="60"/>
      <w:ind w:left="480" w:hanging="240"/>
      <w:outlineLvl w:val="0"/>
    </w:pPr>
    <w:rPr>
      <w:rFonts w:ascii="Myriad Pro Light" w:hAnsi="Myriad Pro Light" w:cs="Arial"/>
      <w:b/>
      <w:bCs/>
      <w:kern w:val="32"/>
      <w:sz w:val="22"/>
      <w:szCs w:val="32"/>
    </w:rPr>
  </w:style>
  <w:style w:type="paragraph" w:styleId="berschrift2">
    <w:name w:val="heading 2"/>
    <w:basedOn w:val="Standard"/>
    <w:next w:val="Standard"/>
    <w:qFormat/>
    <w:rsid w:val="00865479"/>
    <w:pPr>
      <w:keepNext/>
      <w:spacing w:before="60" w:after="60"/>
      <w:outlineLvl w:val="1"/>
    </w:pPr>
    <w:rPr>
      <w:rFonts w:ascii="Myriad Pro Light" w:hAnsi="Myriad Pro Light" w:cs="Arial"/>
      <w:b/>
      <w:bCs/>
      <w:iCs/>
      <w:sz w:val="20"/>
      <w:szCs w:val="28"/>
    </w:rPr>
  </w:style>
  <w:style w:type="paragraph" w:styleId="berschrift3">
    <w:name w:val="heading 3"/>
    <w:basedOn w:val="Standard"/>
    <w:next w:val="Standard"/>
    <w:qFormat/>
    <w:rsid w:val="00865479"/>
    <w:pPr>
      <w:keepNext/>
      <w:spacing w:before="60" w:after="60"/>
      <w:ind w:left="180"/>
      <w:outlineLvl w:val="2"/>
    </w:pPr>
    <w:rPr>
      <w:rFonts w:ascii="Myriad Pro Light" w:hAnsi="Myriad Pro Light" w:cs="Arial"/>
      <w:b/>
      <w:bCs/>
      <w:sz w:val="20"/>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BesuchterHyperlink">
    <w:name w:val="FollowedHyperlink"/>
    <w:rsid w:val="00003441"/>
    <w:rPr>
      <w:color w:val="800080"/>
      <w:u w:val="single"/>
    </w:rPr>
  </w:style>
  <w:style w:type="paragraph" w:styleId="Textkrper">
    <w:name w:val="Body Text"/>
    <w:basedOn w:val="Standard"/>
    <w:rsid w:val="00003441"/>
    <w:pPr>
      <w:jc w:val="center"/>
    </w:pPr>
    <w:rPr>
      <w:b/>
      <w:sz w:val="40"/>
    </w:rPr>
  </w:style>
  <w:style w:type="paragraph" w:styleId="Funotentext">
    <w:name w:val="footnote text"/>
    <w:basedOn w:val="Standard"/>
    <w:next w:val="TFReferencesSection"/>
    <w:semiHidden/>
    <w:rsid w:val="00003441"/>
  </w:style>
  <w:style w:type="paragraph" w:customStyle="1" w:styleId="TFReferencesSection">
    <w:name w:val="TF_References_Section"/>
    <w:basedOn w:val="Standard"/>
    <w:next w:val="Standard"/>
    <w:autoRedefine/>
    <w:rsid w:val="00AC5F97"/>
    <w:pPr>
      <w:spacing w:after="0"/>
      <w:ind w:firstLine="187"/>
    </w:pPr>
    <w:rPr>
      <w:rFonts w:ascii="Arno Pro" w:hAnsi="Arno Pro"/>
      <w:kern w:val="19"/>
      <w:sz w:val="17"/>
      <w:szCs w:val="14"/>
    </w:rPr>
  </w:style>
  <w:style w:type="paragraph" w:customStyle="1" w:styleId="TAMainText">
    <w:name w:val="TA_Main_Text"/>
    <w:basedOn w:val="Standard"/>
    <w:autoRedefine/>
    <w:rsid w:val="00FC3ED6"/>
    <w:pPr>
      <w:tabs>
        <w:tab w:val="left" w:pos="284"/>
        <w:tab w:val="left" w:pos="1843"/>
      </w:tabs>
      <w:spacing w:after="60"/>
      <w:ind w:firstLine="284"/>
    </w:pPr>
    <w:rPr>
      <w:rFonts w:ascii="Arno Pro" w:hAnsi="Arno Pro"/>
      <w:kern w:val="21"/>
      <w:sz w:val="18"/>
      <w:szCs w:val="18"/>
    </w:rPr>
  </w:style>
  <w:style w:type="paragraph" w:customStyle="1" w:styleId="BATitle">
    <w:name w:val="BA_Title"/>
    <w:basedOn w:val="Standard"/>
    <w:next w:val="BBAuthorName"/>
    <w:autoRedefine/>
    <w:rsid w:val="00427112"/>
    <w:pPr>
      <w:spacing w:before="1400" w:after="180"/>
      <w:jc w:val="left"/>
    </w:pPr>
    <w:rPr>
      <w:rFonts w:ascii="Myriad Pro Light" w:hAnsi="Myriad Pro Light"/>
      <w:b/>
      <w:kern w:val="36"/>
      <w:sz w:val="34"/>
    </w:rPr>
  </w:style>
  <w:style w:type="paragraph" w:customStyle="1" w:styleId="BBAuthorName">
    <w:name w:val="BB_Author_Name"/>
    <w:basedOn w:val="Standard"/>
    <w:next w:val="BCAuthorAddress"/>
    <w:autoRedefine/>
    <w:rsid w:val="000E75E3"/>
    <w:pPr>
      <w:spacing w:after="180"/>
      <w:jc w:val="left"/>
    </w:pPr>
    <w:rPr>
      <w:rFonts w:ascii="Arno Pro" w:hAnsi="Arno Pro"/>
      <w:kern w:val="26"/>
    </w:rPr>
  </w:style>
  <w:style w:type="paragraph" w:customStyle="1" w:styleId="BCAuthorAddress">
    <w:name w:val="BC_Author_Address"/>
    <w:basedOn w:val="Standard"/>
    <w:next w:val="BIEmailAddress"/>
    <w:autoRedefine/>
    <w:rsid w:val="00AC5F97"/>
    <w:pPr>
      <w:spacing w:after="60"/>
      <w:jc w:val="left"/>
    </w:pPr>
    <w:rPr>
      <w:rFonts w:ascii="Arno Pro" w:hAnsi="Arno Pro"/>
      <w:kern w:val="22"/>
      <w:sz w:val="20"/>
    </w:rPr>
  </w:style>
  <w:style w:type="paragraph" w:customStyle="1" w:styleId="BIEmailAddress">
    <w:name w:val="BI_Email_Address"/>
    <w:basedOn w:val="Standard"/>
    <w:next w:val="AIReceivedDate"/>
    <w:autoRedefine/>
    <w:rsid w:val="003A0F5F"/>
    <w:pPr>
      <w:spacing w:after="100"/>
      <w:jc w:val="left"/>
    </w:pPr>
    <w:rPr>
      <w:rFonts w:ascii="Arno Pro" w:hAnsi="Arno Pro"/>
      <w:sz w:val="18"/>
    </w:rPr>
  </w:style>
  <w:style w:type="paragraph" w:customStyle="1" w:styleId="AIReceivedDate">
    <w:name w:val="AI_Received_Date"/>
    <w:basedOn w:val="Standard"/>
    <w:next w:val="Standard"/>
    <w:autoRedefine/>
    <w:rsid w:val="00A444E1"/>
    <w:pPr>
      <w:spacing w:after="100"/>
      <w:jc w:val="left"/>
    </w:pPr>
    <w:rPr>
      <w:rFonts w:ascii="Arno Pro" w:hAnsi="Arno Pro"/>
      <w:sz w:val="18"/>
    </w:rPr>
  </w:style>
  <w:style w:type="paragraph" w:customStyle="1" w:styleId="BDAbstract">
    <w:name w:val="BD_Abstract"/>
    <w:basedOn w:val="Standard"/>
    <w:next w:val="TAMainText"/>
    <w:link w:val="BDAbstractChar"/>
    <w:autoRedefine/>
    <w:rsid w:val="006F7C24"/>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Standard"/>
    <w:next w:val="Standard"/>
    <w:link w:val="TDAcknowledgmentsChar"/>
    <w:autoRedefine/>
    <w:rsid w:val="00E75388"/>
    <w:pPr>
      <w:spacing w:after="0"/>
    </w:pPr>
    <w:rPr>
      <w:rFonts w:ascii="Arno Pro" w:hAnsi="Arno Pro"/>
      <w:kern w:val="20"/>
      <w:sz w:val="18"/>
    </w:rPr>
  </w:style>
  <w:style w:type="paragraph" w:customStyle="1" w:styleId="TESupportingInformation">
    <w:name w:val="TE_Supporting_Information"/>
    <w:basedOn w:val="Standard"/>
    <w:next w:val="Standard"/>
    <w:autoRedefine/>
    <w:rsid w:val="00157E12"/>
    <w:pPr>
      <w:spacing w:after="0"/>
    </w:pPr>
    <w:rPr>
      <w:rFonts w:ascii="Arno Pro" w:hAnsi="Arno Pro"/>
      <w:kern w:val="20"/>
      <w:sz w:val="18"/>
    </w:rPr>
  </w:style>
  <w:style w:type="paragraph" w:customStyle="1" w:styleId="VCSchemeTitle">
    <w:name w:val="VC_Scheme_Title"/>
    <w:basedOn w:val="Standard"/>
    <w:next w:val="Standard"/>
    <w:autoRedefine/>
    <w:rsid w:val="00427112"/>
    <w:pPr>
      <w:spacing w:after="180"/>
    </w:pPr>
    <w:rPr>
      <w:rFonts w:ascii="Arno Pro" w:hAnsi="Arno Pro"/>
      <w:b/>
      <w:kern w:val="21"/>
      <w:sz w:val="19"/>
    </w:rPr>
  </w:style>
  <w:style w:type="paragraph" w:customStyle="1" w:styleId="VDTableTitle">
    <w:name w:val="VD_Table_Title"/>
    <w:basedOn w:val="Standard"/>
    <w:next w:val="Standard"/>
    <w:autoRedefine/>
    <w:rsid w:val="00427112"/>
    <w:pPr>
      <w:spacing w:after="180"/>
    </w:pPr>
    <w:rPr>
      <w:rFonts w:ascii="Arno Pro" w:hAnsi="Arno Pro"/>
      <w:b/>
      <w:kern w:val="21"/>
      <w:sz w:val="19"/>
      <w:szCs w:val="19"/>
    </w:rPr>
  </w:style>
  <w:style w:type="paragraph" w:customStyle="1" w:styleId="VAFigureCaption">
    <w:name w:val="VA_Figure_Caption"/>
    <w:basedOn w:val="Standard"/>
    <w:next w:val="Standard"/>
    <w:autoRedefine/>
    <w:rsid w:val="007D5685"/>
    <w:pPr>
      <w:spacing w:before="200" w:after="120"/>
    </w:pPr>
    <w:rPr>
      <w:rFonts w:ascii="Arno Pro" w:hAnsi="Arno Pro"/>
      <w:kern w:val="20"/>
      <w:sz w:val="18"/>
    </w:rPr>
  </w:style>
  <w:style w:type="paragraph" w:customStyle="1" w:styleId="VBChartTitle">
    <w:name w:val="VB_Chart_Title"/>
    <w:basedOn w:val="Standard"/>
    <w:next w:val="Standard"/>
    <w:autoRedefine/>
    <w:rsid w:val="00427112"/>
    <w:pPr>
      <w:spacing w:after="180"/>
    </w:pPr>
    <w:rPr>
      <w:rFonts w:ascii="Arno Pro" w:hAnsi="Arno Pro"/>
      <w:b/>
      <w:kern w:val="21"/>
      <w:sz w:val="19"/>
    </w:rPr>
  </w:style>
  <w:style w:type="paragraph" w:customStyle="1" w:styleId="FETableFootnote">
    <w:name w:val="FE_Table_Footnote"/>
    <w:basedOn w:val="Standard"/>
    <w:next w:val="Standard"/>
    <w:autoRedefine/>
    <w:rsid w:val="000E75E3"/>
    <w:pPr>
      <w:spacing w:before="60" w:after="120"/>
      <w:ind w:firstLine="187"/>
    </w:pPr>
    <w:rPr>
      <w:rFonts w:ascii="Arno Pro" w:hAnsi="Arno Pro"/>
      <w:sz w:val="18"/>
    </w:rPr>
  </w:style>
  <w:style w:type="paragraph" w:customStyle="1" w:styleId="FCChartFootnote">
    <w:name w:val="FC_Chart_Footnote"/>
    <w:basedOn w:val="Standard"/>
    <w:next w:val="Standard"/>
    <w:autoRedefine/>
    <w:rsid w:val="00157E12"/>
    <w:pPr>
      <w:spacing w:before="60" w:after="120"/>
      <w:ind w:firstLine="187"/>
    </w:pPr>
    <w:rPr>
      <w:rFonts w:ascii="Arno Pro" w:hAnsi="Arno Pro"/>
      <w:sz w:val="18"/>
    </w:rPr>
  </w:style>
  <w:style w:type="paragraph" w:customStyle="1" w:styleId="FDSchemeFootnote">
    <w:name w:val="FD_Scheme_Footnote"/>
    <w:basedOn w:val="Standard"/>
    <w:next w:val="Standard"/>
    <w:autoRedefine/>
    <w:rsid w:val="00157E12"/>
    <w:pPr>
      <w:spacing w:before="60" w:after="120"/>
      <w:ind w:firstLine="187"/>
    </w:pPr>
    <w:rPr>
      <w:rFonts w:ascii="Arno Pro" w:hAnsi="Arno Pro"/>
      <w:sz w:val="18"/>
    </w:rPr>
  </w:style>
  <w:style w:type="paragraph" w:customStyle="1" w:styleId="TCTableBody">
    <w:name w:val="TC_Table_Body"/>
    <w:basedOn w:val="Standard"/>
    <w:next w:val="Standard"/>
    <w:link w:val="TCTableBodyChar"/>
    <w:autoRedefine/>
    <w:rsid w:val="000E75E3"/>
    <w:pPr>
      <w:spacing w:before="20" w:after="60"/>
    </w:pPr>
    <w:rPr>
      <w:rFonts w:ascii="Arno Pro" w:hAnsi="Arno Pro"/>
      <w:kern w:val="20"/>
      <w:sz w:val="18"/>
    </w:rPr>
  </w:style>
  <w:style w:type="paragraph" w:customStyle="1" w:styleId="StyleFACorrespondingAuthorFootnote7pt">
    <w:name w:val="Style FA_Corresponding_Author_Footnote + 7 pt"/>
    <w:basedOn w:val="Standard"/>
    <w:next w:val="BGKeywords"/>
    <w:link w:val="StyleFACorrespondingAuthorFootnote7ptChar"/>
    <w:autoRedefine/>
    <w:rsid w:val="00074BCE"/>
    <w:pPr>
      <w:spacing w:after="60"/>
    </w:pPr>
    <w:rPr>
      <w:rFonts w:ascii="Arno Pro" w:hAnsi="Arno Pro"/>
      <w:kern w:val="20"/>
      <w:sz w:val="18"/>
    </w:rPr>
  </w:style>
  <w:style w:type="paragraph" w:customStyle="1" w:styleId="BEAuthorBiography">
    <w:name w:val="BE_Author_Biography"/>
    <w:basedOn w:val="Standard"/>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Standard"/>
    <w:next w:val="Standard"/>
    <w:autoRedefine/>
    <w:rsid w:val="000E75E3"/>
    <w:pPr>
      <w:spacing w:after="60"/>
    </w:pPr>
    <w:rPr>
      <w:rFonts w:ascii="Arno Pro" w:hAnsi="Arno Pro"/>
      <w:kern w:val="22"/>
      <w:sz w:val="20"/>
    </w:rPr>
  </w:style>
  <w:style w:type="character" w:styleId="Hyperlink">
    <w:name w:val="Hyperlink"/>
    <w:rsid w:val="00003441"/>
    <w:rPr>
      <w:color w:val="0000FF"/>
      <w:u w:val="single"/>
    </w:rPr>
  </w:style>
  <w:style w:type="paragraph" w:styleId="Fuzeile">
    <w:name w:val="footer"/>
    <w:basedOn w:val="Standard"/>
    <w:rsid w:val="00003441"/>
    <w:pPr>
      <w:tabs>
        <w:tab w:val="center" w:pos="4320"/>
        <w:tab w:val="right" w:pos="8640"/>
      </w:tabs>
    </w:pPr>
  </w:style>
  <w:style w:type="paragraph" w:customStyle="1" w:styleId="BGKeywords">
    <w:name w:val="BG_Keywords"/>
    <w:basedOn w:val="Standard"/>
    <w:next w:val="BHBriefs"/>
    <w:autoRedefine/>
    <w:rsid w:val="00AC5F97"/>
    <w:pPr>
      <w:spacing w:after="220"/>
      <w:jc w:val="left"/>
    </w:pPr>
    <w:rPr>
      <w:rFonts w:ascii="Arno Pro" w:hAnsi="Arno Pro"/>
      <w:i/>
      <w:kern w:val="22"/>
      <w:sz w:val="20"/>
    </w:rPr>
  </w:style>
  <w:style w:type="paragraph" w:customStyle="1" w:styleId="BHBriefs">
    <w:name w:val="BH_Briefs"/>
    <w:basedOn w:val="Standard"/>
    <w:next w:val="BDAbstract"/>
    <w:autoRedefine/>
    <w:rsid w:val="000E75E3"/>
    <w:pPr>
      <w:spacing w:before="180" w:after="60"/>
      <w:jc w:val="left"/>
    </w:pPr>
    <w:rPr>
      <w:rFonts w:ascii="Arno Pro" w:hAnsi="Arno Pro"/>
      <w:kern w:val="22"/>
      <w:sz w:val="20"/>
    </w:rPr>
  </w:style>
  <w:style w:type="character" w:styleId="Seitenzahl">
    <w:name w:val="page number"/>
    <w:basedOn w:val="Absatz-Standardschriftart"/>
    <w:rsid w:val="00003441"/>
  </w:style>
  <w:style w:type="paragraph" w:styleId="Sprechblasentext">
    <w:name w:val="Balloon Text"/>
    <w:basedOn w:val="Standard"/>
    <w:semiHidden/>
    <w:rsid w:val="00E96302"/>
    <w:rPr>
      <w:rFonts w:ascii="Tahoma" w:hAnsi="Tahoma" w:cs="Tahoma"/>
      <w:sz w:val="16"/>
      <w:szCs w:val="16"/>
    </w:rPr>
  </w:style>
  <w:style w:type="character" w:styleId="Endnotenzeichen">
    <w:name w:val="endnote reference"/>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7ptChar">
    <w:name w:val="Style FA_Corresponding_Author_Footnote + 7 pt Char"/>
    <w:link w:val="StyleFACorrespondingAuthorFootnote7pt"/>
    <w:rsid w:val="00074BCE"/>
    <w:rPr>
      <w:rFonts w:ascii="Arno Pro" w:hAnsi="Arno Pro"/>
      <w:kern w:val="20"/>
      <w:sz w:val="18"/>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6F7C24"/>
    <w:rPr>
      <w:rFonts w:ascii="Arno Pro" w:hAnsi="Arno Pro"/>
      <w:kern w:val="21"/>
      <w:sz w:val="19"/>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TDAckTitle">
    <w:name w:val="TD_Ack_Title"/>
    <w:basedOn w:val="TDAcknowledgments"/>
    <w:link w:val="TDAckTitleChar"/>
    <w:rsid w:val="00AC5F97"/>
    <w:pPr>
      <w:spacing w:before="180" w:after="60"/>
    </w:pPr>
    <w:rPr>
      <w:rFonts w:ascii="Myriad Pro Light" w:hAnsi="Myriad Pro Light"/>
      <w:b/>
      <w:kern w:val="23"/>
      <w:sz w:val="21"/>
    </w:rPr>
  </w:style>
  <w:style w:type="character" w:customStyle="1" w:styleId="TDAcknowledgmentsChar">
    <w:name w:val="TD_Acknowledgments Char"/>
    <w:link w:val="TDAcknowledgments"/>
    <w:rsid w:val="00E75388"/>
    <w:rPr>
      <w:rFonts w:ascii="Arno Pro" w:hAnsi="Arno Pro"/>
      <w:kern w:val="20"/>
      <w:sz w:val="18"/>
      <w:lang w:val="en-US" w:eastAsia="en-US" w:bidi="ar-SA"/>
    </w:rPr>
  </w:style>
  <w:style w:type="character" w:customStyle="1" w:styleId="TDAckTitleChar">
    <w:name w:val="TD_Ack_Title Char"/>
    <w:link w:val="TDAckTitle"/>
    <w:rsid w:val="00AC5F97"/>
    <w:rPr>
      <w:rFonts w:ascii="Myriad Pro Light" w:hAnsi="Myriad Pro Light"/>
      <w:b/>
      <w:kern w:val="23"/>
      <w:sz w:val="21"/>
      <w:lang w:val="en-US" w:eastAsia="en-US" w:bidi="ar-SA"/>
    </w:rPr>
  </w:style>
  <w:style w:type="paragraph" w:customStyle="1" w:styleId="TESupportingInfoTitle">
    <w:name w:val="TE_Supporting_Info_Title"/>
    <w:basedOn w:val="TESupportingInformation"/>
    <w:autoRedefine/>
    <w:rsid w:val="00613A3F"/>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C5F97"/>
  </w:style>
  <w:style w:type="paragraph" w:customStyle="1" w:styleId="FAAuthorInfoSubtitle">
    <w:name w:val="FA_Author_Info_Subtitle"/>
    <w:basedOn w:val="Standard"/>
    <w:link w:val="FAAuthorInfoSubtitleChar"/>
    <w:autoRedefine/>
    <w:rsid w:val="000D26C8"/>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0D26C8"/>
    <w:rPr>
      <w:rFonts w:ascii="Myriad Pro Light" w:hAnsi="Myriad Pro Light"/>
      <w:b/>
      <w:kern w:val="21"/>
      <w:sz w:val="19"/>
      <w:szCs w:val="14"/>
    </w:rPr>
  </w:style>
  <w:style w:type="character" w:customStyle="1" w:styleId="TCTableBodyChar">
    <w:name w:val="TC_Table_Body Char"/>
    <w:link w:val="TCTableBody"/>
    <w:rsid w:val="000E75E3"/>
    <w:rPr>
      <w:rFonts w:ascii="Arno Pro" w:hAnsi="Arno Pro"/>
      <w:kern w:val="20"/>
      <w:sz w:val="18"/>
      <w:lang w:val="en-US" w:eastAsia="en-US" w:bidi="ar-SA"/>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character" w:styleId="Platzhaltertext">
    <w:name w:val="Placeholder Text"/>
    <w:basedOn w:val="Absatz-Standardschriftart"/>
    <w:uiPriority w:val="99"/>
    <w:semiHidden/>
    <w:rsid w:val="00710B3C"/>
    <w:rPr>
      <w:color w:val="808080"/>
    </w:rPr>
  </w:style>
  <w:style w:type="paragraph" w:styleId="StandardWeb">
    <w:name w:val="Normal (Web)"/>
    <w:basedOn w:val="Standard"/>
    <w:uiPriority w:val="99"/>
    <w:unhideWhenUsed/>
    <w:rsid w:val="00710B3C"/>
    <w:pPr>
      <w:spacing w:before="100" w:beforeAutospacing="1" w:after="100" w:afterAutospacing="1"/>
      <w:jc w:val="left"/>
    </w:pPr>
    <w:rPr>
      <w:rFonts w:ascii="Times New Roman" w:eastAsiaTheme="minorEastAsia" w:hAnsi="Times New Roman"/>
      <w:szCs w:val="24"/>
    </w:rPr>
  </w:style>
  <w:style w:type="character" w:styleId="Kommentarzeichen">
    <w:name w:val="annotation reference"/>
    <w:basedOn w:val="Absatz-Standardschriftart"/>
    <w:rsid w:val="008357A5"/>
    <w:rPr>
      <w:sz w:val="16"/>
      <w:szCs w:val="16"/>
    </w:rPr>
  </w:style>
  <w:style w:type="paragraph" w:styleId="Kommentartext">
    <w:name w:val="annotation text"/>
    <w:basedOn w:val="Standard"/>
    <w:link w:val="KommentartextZchn"/>
    <w:rsid w:val="008357A5"/>
    <w:rPr>
      <w:sz w:val="20"/>
    </w:rPr>
  </w:style>
  <w:style w:type="character" w:customStyle="1" w:styleId="KommentartextZchn">
    <w:name w:val="Kommentartext Zchn"/>
    <w:basedOn w:val="Absatz-Standardschriftart"/>
    <w:link w:val="Kommentartext"/>
    <w:rsid w:val="008357A5"/>
    <w:rPr>
      <w:rFonts w:ascii="Times" w:hAnsi="Times"/>
    </w:rPr>
  </w:style>
  <w:style w:type="paragraph" w:styleId="Kommentarthema">
    <w:name w:val="annotation subject"/>
    <w:basedOn w:val="Kommentartext"/>
    <w:next w:val="Kommentartext"/>
    <w:link w:val="KommentarthemaZchn"/>
    <w:rsid w:val="008357A5"/>
    <w:rPr>
      <w:b/>
      <w:bCs/>
    </w:rPr>
  </w:style>
  <w:style w:type="character" w:customStyle="1" w:styleId="KommentarthemaZchn">
    <w:name w:val="Kommentarthema Zchn"/>
    <w:basedOn w:val="KommentartextZchn"/>
    <w:link w:val="Kommentarthema"/>
    <w:rsid w:val="008357A5"/>
    <w:rPr>
      <w:rFonts w:ascii="Times" w:hAnsi="Times"/>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03441"/>
    <w:pPr>
      <w:spacing w:after="200"/>
      <w:jc w:val="both"/>
    </w:pPr>
    <w:rPr>
      <w:rFonts w:ascii="Times" w:hAnsi="Times"/>
      <w:sz w:val="24"/>
    </w:rPr>
  </w:style>
  <w:style w:type="paragraph" w:styleId="berschrift1">
    <w:name w:val="heading 1"/>
    <w:basedOn w:val="Standard"/>
    <w:next w:val="Standard"/>
    <w:qFormat/>
    <w:rsid w:val="00865479"/>
    <w:pPr>
      <w:keepNext/>
      <w:spacing w:before="180" w:after="60"/>
      <w:ind w:left="480" w:hanging="240"/>
      <w:outlineLvl w:val="0"/>
    </w:pPr>
    <w:rPr>
      <w:rFonts w:ascii="Myriad Pro Light" w:hAnsi="Myriad Pro Light" w:cs="Arial"/>
      <w:b/>
      <w:bCs/>
      <w:kern w:val="32"/>
      <w:sz w:val="22"/>
      <w:szCs w:val="32"/>
    </w:rPr>
  </w:style>
  <w:style w:type="paragraph" w:styleId="berschrift2">
    <w:name w:val="heading 2"/>
    <w:basedOn w:val="Standard"/>
    <w:next w:val="Standard"/>
    <w:qFormat/>
    <w:rsid w:val="00865479"/>
    <w:pPr>
      <w:keepNext/>
      <w:spacing w:before="60" w:after="60"/>
      <w:outlineLvl w:val="1"/>
    </w:pPr>
    <w:rPr>
      <w:rFonts w:ascii="Myriad Pro Light" w:hAnsi="Myriad Pro Light" w:cs="Arial"/>
      <w:b/>
      <w:bCs/>
      <w:iCs/>
      <w:sz w:val="20"/>
      <w:szCs w:val="28"/>
    </w:rPr>
  </w:style>
  <w:style w:type="paragraph" w:styleId="berschrift3">
    <w:name w:val="heading 3"/>
    <w:basedOn w:val="Standard"/>
    <w:next w:val="Standard"/>
    <w:qFormat/>
    <w:rsid w:val="00865479"/>
    <w:pPr>
      <w:keepNext/>
      <w:spacing w:before="60" w:after="60"/>
      <w:ind w:left="180"/>
      <w:outlineLvl w:val="2"/>
    </w:pPr>
    <w:rPr>
      <w:rFonts w:ascii="Myriad Pro Light" w:hAnsi="Myriad Pro Light" w:cs="Arial"/>
      <w:b/>
      <w:bCs/>
      <w:sz w:val="20"/>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BesuchterHyperlink">
    <w:name w:val="FollowedHyperlink"/>
    <w:rsid w:val="00003441"/>
    <w:rPr>
      <w:color w:val="800080"/>
      <w:u w:val="single"/>
    </w:rPr>
  </w:style>
  <w:style w:type="paragraph" w:styleId="Textkrper">
    <w:name w:val="Body Text"/>
    <w:basedOn w:val="Standard"/>
    <w:rsid w:val="00003441"/>
    <w:pPr>
      <w:jc w:val="center"/>
    </w:pPr>
    <w:rPr>
      <w:b/>
      <w:sz w:val="40"/>
    </w:rPr>
  </w:style>
  <w:style w:type="paragraph" w:styleId="Funotentext">
    <w:name w:val="footnote text"/>
    <w:basedOn w:val="Standard"/>
    <w:next w:val="TFReferencesSection"/>
    <w:semiHidden/>
    <w:rsid w:val="00003441"/>
  </w:style>
  <w:style w:type="paragraph" w:customStyle="1" w:styleId="TFReferencesSection">
    <w:name w:val="TF_References_Section"/>
    <w:basedOn w:val="Standard"/>
    <w:next w:val="Standard"/>
    <w:autoRedefine/>
    <w:rsid w:val="00AC5F97"/>
    <w:pPr>
      <w:spacing w:after="0"/>
      <w:ind w:firstLine="187"/>
    </w:pPr>
    <w:rPr>
      <w:rFonts w:ascii="Arno Pro" w:hAnsi="Arno Pro"/>
      <w:kern w:val="19"/>
      <w:sz w:val="17"/>
      <w:szCs w:val="14"/>
    </w:rPr>
  </w:style>
  <w:style w:type="paragraph" w:customStyle="1" w:styleId="TAMainText">
    <w:name w:val="TA_Main_Text"/>
    <w:basedOn w:val="Standard"/>
    <w:autoRedefine/>
    <w:rsid w:val="00FC3ED6"/>
    <w:pPr>
      <w:tabs>
        <w:tab w:val="left" w:pos="284"/>
        <w:tab w:val="left" w:pos="1843"/>
      </w:tabs>
      <w:spacing w:after="60"/>
      <w:ind w:firstLine="284"/>
    </w:pPr>
    <w:rPr>
      <w:rFonts w:ascii="Arno Pro" w:hAnsi="Arno Pro"/>
      <w:kern w:val="21"/>
      <w:sz w:val="18"/>
      <w:szCs w:val="18"/>
    </w:rPr>
  </w:style>
  <w:style w:type="paragraph" w:customStyle="1" w:styleId="BATitle">
    <w:name w:val="BA_Title"/>
    <w:basedOn w:val="Standard"/>
    <w:next w:val="BBAuthorName"/>
    <w:autoRedefine/>
    <w:rsid w:val="00427112"/>
    <w:pPr>
      <w:spacing w:before="1400" w:after="180"/>
      <w:jc w:val="left"/>
    </w:pPr>
    <w:rPr>
      <w:rFonts w:ascii="Myriad Pro Light" w:hAnsi="Myriad Pro Light"/>
      <w:b/>
      <w:kern w:val="36"/>
      <w:sz w:val="34"/>
    </w:rPr>
  </w:style>
  <w:style w:type="paragraph" w:customStyle="1" w:styleId="BBAuthorName">
    <w:name w:val="BB_Author_Name"/>
    <w:basedOn w:val="Standard"/>
    <w:next w:val="BCAuthorAddress"/>
    <w:autoRedefine/>
    <w:rsid w:val="000E75E3"/>
    <w:pPr>
      <w:spacing w:after="180"/>
      <w:jc w:val="left"/>
    </w:pPr>
    <w:rPr>
      <w:rFonts w:ascii="Arno Pro" w:hAnsi="Arno Pro"/>
      <w:kern w:val="26"/>
    </w:rPr>
  </w:style>
  <w:style w:type="paragraph" w:customStyle="1" w:styleId="BCAuthorAddress">
    <w:name w:val="BC_Author_Address"/>
    <w:basedOn w:val="Standard"/>
    <w:next w:val="BIEmailAddress"/>
    <w:autoRedefine/>
    <w:rsid w:val="00AC5F97"/>
    <w:pPr>
      <w:spacing w:after="60"/>
      <w:jc w:val="left"/>
    </w:pPr>
    <w:rPr>
      <w:rFonts w:ascii="Arno Pro" w:hAnsi="Arno Pro"/>
      <w:kern w:val="22"/>
      <w:sz w:val="20"/>
    </w:rPr>
  </w:style>
  <w:style w:type="paragraph" w:customStyle="1" w:styleId="BIEmailAddress">
    <w:name w:val="BI_Email_Address"/>
    <w:basedOn w:val="Standard"/>
    <w:next w:val="AIReceivedDate"/>
    <w:autoRedefine/>
    <w:rsid w:val="003A0F5F"/>
    <w:pPr>
      <w:spacing w:after="100"/>
      <w:jc w:val="left"/>
    </w:pPr>
    <w:rPr>
      <w:rFonts w:ascii="Arno Pro" w:hAnsi="Arno Pro"/>
      <w:sz w:val="18"/>
    </w:rPr>
  </w:style>
  <w:style w:type="paragraph" w:customStyle="1" w:styleId="AIReceivedDate">
    <w:name w:val="AI_Received_Date"/>
    <w:basedOn w:val="Standard"/>
    <w:next w:val="Standard"/>
    <w:autoRedefine/>
    <w:rsid w:val="00A444E1"/>
    <w:pPr>
      <w:spacing w:after="100"/>
      <w:jc w:val="left"/>
    </w:pPr>
    <w:rPr>
      <w:rFonts w:ascii="Arno Pro" w:hAnsi="Arno Pro"/>
      <w:sz w:val="18"/>
    </w:rPr>
  </w:style>
  <w:style w:type="paragraph" w:customStyle="1" w:styleId="BDAbstract">
    <w:name w:val="BD_Abstract"/>
    <w:basedOn w:val="Standard"/>
    <w:next w:val="TAMainText"/>
    <w:link w:val="BDAbstractChar"/>
    <w:autoRedefine/>
    <w:rsid w:val="006F7C24"/>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Standard"/>
    <w:next w:val="Standard"/>
    <w:link w:val="TDAcknowledgmentsChar"/>
    <w:autoRedefine/>
    <w:rsid w:val="00E75388"/>
    <w:pPr>
      <w:spacing w:after="0"/>
    </w:pPr>
    <w:rPr>
      <w:rFonts w:ascii="Arno Pro" w:hAnsi="Arno Pro"/>
      <w:kern w:val="20"/>
      <w:sz w:val="18"/>
    </w:rPr>
  </w:style>
  <w:style w:type="paragraph" w:customStyle="1" w:styleId="TESupportingInformation">
    <w:name w:val="TE_Supporting_Information"/>
    <w:basedOn w:val="Standard"/>
    <w:next w:val="Standard"/>
    <w:autoRedefine/>
    <w:rsid w:val="00157E12"/>
    <w:pPr>
      <w:spacing w:after="0"/>
    </w:pPr>
    <w:rPr>
      <w:rFonts w:ascii="Arno Pro" w:hAnsi="Arno Pro"/>
      <w:kern w:val="20"/>
      <w:sz w:val="18"/>
    </w:rPr>
  </w:style>
  <w:style w:type="paragraph" w:customStyle="1" w:styleId="VCSchemeTitle">
    <w:name w:val="VC_Scheme_Title"/>
    <w:basedOn w:val="Standard"/>
    <w:next w:val="Standard"/>
    <w:autoRedefine/>
    <w:rsid w:val="00427112"/>
    <w:pPr>
      <w:spacing w:after="180"/>
    </w:pPr>
    <w:rPr>
      <w:rFonts w:ascii="Arno Pro" w:hAnsi="Arno Pro"/>
      <w:b/>
      <w:kern w:val="21"/>
      <w:sz w:val="19"/>
    </w:rPr>
  </w:style>
  <w:style w:type="paragraph" w:customStyle="1" w:styleId="VDTableTitle">
    <w:name w:val="VD_Table_Title"/>
    <w:basedOn w:val="Standard"/>
    <w:next w:val="Standard"/>
    <w:autoRedefine/>
    <w:rsid w:val="00427112"/>
    <w:pPr>
      <w:spacing w:after="180"/>
    </w:pPr>
    <w:rPr>
      <w:rFonts w:ascii="Arno Pro" w:hAnsi="Arno Pro"/>
      <w:b/>
      <w:kern w:val="21"/>
      <w:sz w:val="19"/>
      <w:szCs w:val="19"/>
    </w:rPr>
  </w:style>
  <w:style w:type="paragraph" w:customStyle="1" w:styleId="VAFigureCaption">
    <w:name w:val="VA_Figure_Caption"/>
    <w:basedOn w:val="Standard"/>
    <w:next w:val="Standard"/>
    <w:autoRedefine/>
    <w:rsid w:val="007D5685"/>
    <w:pPr>
      <w:spacing w:before="200" w:after="120"/>
    </w:pPr>
    <w:rPr>
      <w:rFonts w:ascii="Arno Pro" w:hAnsi="Arno Pro"/>
      <w:kern w:val="20"/>
      <w:sz w:val="18"/>
    </w:rPr>
  </w:style>
  <w:style w:type="paragraph" w:customStyle="1" w:styleId="VBChartTitle">
    <w:name w:val="VB_Chart_Title"/>
    <w:basedOn w:val="Standard"/>
    <w:next w:val="Standard"/>
    <w:autoRedefine/>
    <w:rsid w:val="00427112"/>
    <w:pPr>
      <w:spacing w:after="180"/>
    </w:pPr>
    <w:rPr>
      <w:rFonts w:ascii="Arno Pro" w:hAnsi="Arno Pro"/>
      <w:b/>
      <w:kern w:val="21"/>
      <w:sz w:val="19"/>
    </w:rPr>
  </w:style>
  <w:style w:type="paragraph" w:customStyle="1" w:styleId="FETableFootnote">
    <w:name w:val="FE_Table_Footnote"/>
    <w:basedOn w:val="Standard"/>
    <w:next w:val="Standard"/>
    <w:autoRedefine/>
    <w:rsid w:val="000E75E3"/>
    <w:pPr>
      <w:spacing w:before="60" w:after="120"/>
      <w:ind w:firstLine="187"/>
    </w:pPr>
    <w:rPr>
      <w:rFonts w:ascii="Arno Pro" w:hAnsi="Arno Pro"/>
      <w:sz w:val="18"/>
    </w:rPr>
  </w:style>
  <w:style w:type="paragraph" w:customStyle="1" w:styleId="FCChartFootnote">
    <w:name w:val="FC_Chart_Footnote"/>
    <w:basedOn w:val="Standard"/>
    <w:next w:val="Standard"/>
    <w:autoRedefine/>
    <w:rsid w:val="00157E12"/>
    <w:pPr>
      <w:spacing w:before="60" w:after="120"/>
      <w:ind w:firstLine="187"/>
    </w:pPr>
    <w:rPr>
      <w:rFonts w:ascii="Arno Pro" w:hAnsi="Arno Pro"/>
      <w:sz w:val="18"/>
    </w:rPr>
  </w:style>
  <w:style w:type="paragraph" w:customStyle="1" w:styleId="FDSchemeFootnote">
    <w:name w:val="FD_Scheme_Footnote"/>
    <w:basedOn w:val="Standard"/>
    <w:next w:val="Standard"/>
    <w:autoRedefine/>
    <w:rsid w:val="00157E12"/>
    <w:pPr>
      <w:spacing w:before="60" w:after="120"/>
      <w:ind w:firstLine="187"/>
    </w:pPr>
    <w:rPr>
      <w:rFonts w:ascii="Arno Pro" w:hAnsi="Arno Pro"/>
      <w:sz w:val="18"/>
    </w:rPr>
  </w:style>
  <w:style w:type="paragraph" w:customStyle="1" w:styleId="TCTableBody">
    <w:name w:val="TC_Table_Body"/>
    <w:basedOn w:val="Standard"/>
    <w:next w:val="Standard"/>
    <w:link w:val="TCTableBodyChar"/>
    <w:autoRedefine/>
    <w:rsid w:val="000E75E3"/>
    <w:pPr>
      <w:spacing w:before="20" w:after="60"/>
    </w:pPr>
    <w:rPr>
      <w:rFonts w:ascii="Arno Pro" w:hAnsi="Arno Pro"/>
      <w:kern w:val="20"/>
      <w:sz w:val="18"/>
    </w:rPr>
  </w:style>
  <w:style w:type="paragraph" w:customStyle="1" w:styleId="StyleFACorrespondingAuthorFootnote7pt">
    <w:name w:val="Style FA_Corresponding_Author_Footnote + 7 pt"/>
    <w:basedOn w:val="Standard"/>
    <w:next w:val="BGKeywords"/>
    <w:link w:val="StyleFACorrespondingAuthorFootnote7ptChar"/>
    <w:autoRedefine/>
    <w:rsid w:val="00074BCE"/>
    <w:pPr>
      <w:spacing w:after="60"/>
    </w:pPr>
    <w:rPr>
      <w:rFonts w:ascii="Arno Pro" w:hAnsi="Arno Pro"/>
      <w:kern w:val="20"/>
      <w:sz w:val="18"/>
    </w:rPr>
  </w:style>
  <w:style w:type="paragraph" w:customStyle="1" w:styleId="BEAuthorBiography">
    <w:name w:val="BE_Author_Biography"/>
    <w:basedOn w:val="Standard"/>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Standard"/>
    <w:next w:val="Standard"/>
    <w:autoRedefine/>
    <w:rsid w:val="000E75E3"/>
    <w:pPr>
      <w:spacing w:after="60"/>
    </w:pPr>
    <w:rPr>
      <w:rFonts w:ascii="Arno Pro" w:hAnsi="Arno Pro"/>
      <w:kern w:val="22"/>
      <w:sz w:val="20"/>
    </w:rPr>
  </w:style>
  <w:style w:type="character" w:styleId="Hyperlink">
    <w:name w:val="Hyperlink"/>
    <w:rsid w:val="00003441"/>
    <w:rPr>
      <w:color w:val="0000FF"/>
      <w:u w:val="single"/>
    </w:rPr>
  </w:style>
  <w:style w:type="paragraph" w:styleId="Fuzeile">
    <w:name w:val="footer"/>
    <w:basedOn w:val="Standard"/>
    <w:rsid w:val="00003441"/>
    <w:pPr>
      <w:tabs>
        <w:tab w:val="center" w:pos="4320"/>
        <w:tab w:val="right" w:pos="8640"/>
      </w:tabs>
    </w:pPr>
  </w:style>
  <w:style w:type="paragraph" w:customStyle="1" w:styleId="BGKeywords">
    <w:name w:val="BG_Keywords"/>
    <w:basedOn w:val="Standard"/>
    <w:next w:val="BHBriefs"/>
    <w:autoRedefine/>
    <w:rsid w:val="00AC5F97"/>
    <w:pPr>
      <w:spacing w:after="220"/>
      <w:jc w:val="left"/>
    </w:pPr>
    <w:rPr>
      <w:rFonts w:ascii="Arno Pro" w:hAnsi="Arno Pro"/>
      <w:i/>
      <w:kern w:val="22"/>
      <w:sz w:val="20"/>
    </w:rPr>
  </w:style>
  <w:style w:type="paragraph" w:customStyle="1" w:styleId="BHBriefs">
    <w:name w:val="BH_Briefs"/>
    <w:basedOn w:val="Standard"/>
    <w:next w:val="BDAbstract"/>
    <w:autoRedefine/>
    <w:rsid w:val="000E75E3"/>
    <w:pPr>
      <w:spacing w:before="180" w:after="60"/>
      <w:jc w:val="left"/>
    </w:pPr>
    <w:rPr>
      <w:rFonts w:ascii="Arno Pro" w:hAnsi="Arno Pro"/>
      <w:kern w:val="22"/>
      <w:sz w:val="20"/>
    </w:rPr>
  </w:style>
  <w:style w:type="character" w:styleId="Seitenzahl">
    <w:name w:val="page number"/>
    <w:basedOn w:val="Absatz-Standardschriftart"/>
    <w:rsid w:val="00003441"/>
  </w:style>
  <w:style w:type="paragraph" w:styleId="Sprechblasentext">
    <w:name w:val="Balloon Text"/>
    <w:basedOn w:val="Standard"/>
    <w:semiHidden/>
    <w:rsid w:val="00E96302"/>
    <w:rPr>
      <w:rFonts w:ascii="Tahoma" w:hAnsi="Tahoma" w:cs="Tahoma"/>
      <w:sz w:val="16"/>
      <w:szCs w:val="16"/>
    </w:rPr>
  </w:style>
  <w:style w:type="character" w:styleId="Endnotenzeichen">
    <w:name w:val="endnote reference"/>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7ptChar">
    <w:name w:val="Style FA_Corresponding_Author_Footnote + 7 pt Char"/>
    <w:link w:val="StyleFACorrespondingAuthorFootnote7pt"/>
    <w:rsid w:val="00074BCE"/>
    <w:rPr>
      <w:rFonts w:ascii="Arno Pro" w:hAnsi="Arno Pro"/>
      <w:kern w:val="20"/>
      <w:sz w:val="18"/>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6F7C24"/>
    <w:rPr>
      <w:rFonts w:ascii="Arno Pro" w:hAnsi="Arno Pro"/>
      <w:kern w:val="21"/>
      <w:sz w:val="19"/>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TDAckTitle">
    <w:name w:val="TD_Ack_Title"/>
    <w:basedOn w:val="TDAcknowledgments"/>
    <w:link w:val="TDAckTitleChar"/>
    <w:rsid w:val="00AC5F97"/>
    <w:pPr>
      <w:spacing w:before="180" w:after="60"/>
    </w:pPr>
    <w:rPr>
      <w:rFonts w:ascii="Myriad Pro Light" w:hAnsi="Myriad Pro Light"/>
      <w:b/>
      <w:kern w:val="23"/>
      <w:sz w:val="21"/>
    </w:rPr>
  </w:style>
  <w:style w:type="character" w:customStyle="1" w:styleId="TDAcknowledgmentsChar">
    <w:name w:val="TD_Acknowledgments Char"/>
    <w:link w:val="TDAcknowledgments"/>
    <w:rsid w:val="00E75388"/>
    <w:rPr>
      <w:rFonts w:ascii="Arno Pro" w:hAnsi="Arno Pro"/>
      <w:kern w:val="20"/>
      <w:sz w:val="18"/>
      <w:lang w:val="en-US" w:eastAsia="en-US" w:bidi="ar-SA"/>
    </w:rPr>
  </w:style>
  <w:style w:type="character" w:customStyle="1" w:styleId="TDAckTitleChar">
    <w:name w:val="TD_Ack_Title Char"/>
    <w:link w:val="TDAckTitle"/>
    <w:rsid w:val="00AC5F97"/>
    <w:rPr>
      <w:rFonts w:ascii="Myriad Pro Light" w:hAnsi="Myriad Pro Light"/>
      <w:b/>
      <w:kern w:val="23"/>
      <w:sz w:val="21"/>
      <w:lang w:val="en-US" w:eastAsia="en-US" w:bidi="ar-SA"/>
    </w:rPr>
  </w:style>
  <w:style w:type="paragraph" w:customStyle="1" w:styleId="TESupportingInfoTitle">
    <w:name w:val="TE_Supporting_Info_Title"/>
    <w:basedOn w:val="TESupportingInformation"/>
    <w:autoRedefine/>
    <w:rsid w:val="00613A3F"/>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C5F97"/>
  </w:style>
  <w:style w:type="paragraph" w:customStyle="1" w:styleId="FAAuthorInfoSubtitle">
    <w:name w:val="FA_Author_Info_Subtitle"/>
    <w:basedOn w:val="Standard"/>
    <w:link w:val="FAAuthorInfoSubtitleChar"/>
    <w:autoRedefine/>
    <w:rsid w:val="000D26C8"/>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0D26C8"/>
    <w:rPr>
      <w:rFonts w:ascii="Myriad Pro Light" w:hAnsi="Myriad Pro Light"/>
      <w:b/>
      <w:kern w:val="21"/>
      <w:sz w:val="19"/>
      <w:szCs w:val="14"/>
    </w:rPr>
  </w:style>
  <w:style w:type="character" w:customStyle="1" w:styleId="TCTableBodyChar">
    <w:name w:val="TC_Table_Body Char"/>
    <w:link w:val="TCTableBody"/>
    <w:rsid w:val="000E75E3"/>
    <w:rPr>
      <w:rFonts w:ascii="Arno Pro" w:hAnsi="Arno Pro"/>
      <w:kern w:val="20"/>
      <w:sz w:val="18"/>
      <w:lang w:val="en-US" w:eastAsia="en-US" w:bidi="ar-SA"/>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character" w:styleId="Platzhaltertext">
    <w:name w:val="Placeholder Text"/>
    <w:basedOn w:val="Absatz-Standardschriftart"/>
    <w:uiPriority w:val="99"/>
    <w:semiHidden/>
    <w:rsid w:val="00710B3C"/>
    <w:rPr>
      <w:color w:val="808080"/>
    </w:rPr>
  </w:style>
  <w:style w:type="paragraph" w:styleId="StandardWeb">
    <w:name w:val="Normal (Web)"/>
    <w:basedOn w:val="Standard"/>
    <w:uiPriority w:val="99"/>
    <w:unhideWhenUsed/>
    <w:rsid w:val="00710B3C"/>
    <w:pPr>
      <w:spacing w:before="100" w:beforeAutospacing="1" w:after="100" w:afterAutospacing="1"/>
      <w:jc w:val="left"/>
    </w:pPr>
    <w:rPr>
      <w:rFonts w:ascii="Times New Roman" w:eastAsiaTheme="minorEastAsia" w:hAnsi="Times New Roman"/>
      <w:szCs w:val="24"/>
    </w:rPr>
  </w:style>
  <w:style w:type="character" w:styleId="Kommentarzeichen">
    <w:name w:val="annotation reference"/>
    <w:basedOn w:val="Absatz-Standardschriftart"/>
    <w:rsid w:val="008357A5"/>
    <w:rPr>
      <w:sz w:val="16"/>
      <w:szCs w:val="16"/>
    </w:rPr>
  </w:style>
  <w:style w:type="paragraph" w:styleId="Kommentartext">
    <w:name w:val="annotation text"/>
    <w:basedOn w:val="Standard"/>
    <w:link w:val="KommentartextZchn"/>
    <w:rsid w:val="008357A5"/>
    <w:rPr>
      <w:sz w:val="20"/>
    </w:rPr>
  </w:style>
  <w:style w:type="character" w:customStyle="1" w:styleId="KommentartextZchn">
    <w:name w:val="Kommentartext Zchn"/>
    <w:basedOn w:val="Absatz-Standardschriftart"/>
    <w:link w:val="Kommentartext"/>
    <w:rsid w:val="008357A5"/>
    <w:rPr>
      <w:rFonts w:ascii="Times" w:hAnsi="Times"/>
    </w:rPr>
  </w:style>
  <w:style w:type="paragraph" w:styleId="Kommentarthema">
    <w:name w:val="annotation subject"/>
    <w:basedOn w:val="Kommentartext"/>
    <w:next w:val="Kommentartext"/>
    <w:link w:val="KommentarthemaZchn"/>
    <w:rsid w:val="008357A5"/>
    <w:rPr>
      <w:b/>
      <w:bCs/>
    </w:rPr>
  </w:style>
  <w:style w:type="character" w:customStyle="1" w:styleId="KommentarthemaZchn">
    <w:name w:val="Kommentarthema Zchn"/>
    <w:basedOn w:val="KommentartextZchn"/>
    <w:link w:val="Kommentarthema"/>
    <w:rsid w:val="008357A5"/>
    <w:rPr>
      <w:rFonts w:ascii="Times" w:hAnsi="Times"/>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1479043">
      <w:bodyDiv w:val="1"/>
      <w:marLeft w:val="0"/>
      <w:marRight w:val="0"/>
      <w:marTop w:val="0"/>
      <w:marBottom w:val="0"/>
      <w:divBdr>
        <w:top w:val="none" w:sz="0" w:space="0" w:color="auto"/>
        <w:left w:val="none" w:sz="0" w:space="0" w:color="auto"/>
        <w:bottom w:val="none" w:sz="0" w:space="0" w:color="auto"/>
        <w:right w:val="none" w:sz="0" w:space="0" w:color="auto"/>
      </w:divBdr>
    </w:div>
    <w:div w:id="1031153882">
      <w:bodyDiv w:val="1"/>
      <w:marLeft w:val="0"/>
      <w:marRight w:val="0"/>
      <w:marTop w:val="0"/>
      <w:marBottom w:val="0"/>
      <w:divBdr>
        <w:top w:val="none" w:sz="0" w:space="0" w:color="auto"/>
        <w:left w:val="none" w:sz="0" w:space="0" w:color="auto"/>
        <w:bottom w:val="none" w:sz="0" w:space="0" w:color="auto"/>
        <w:right w:val="none" w:sz="0" w:space="0" w:color="auto"/>
      </w:divBdr>
      <w:divsChild>
        <w:div w:id="492989137">
          <w:marLeft w:val="0"/>
          <w:marRight w:val="0"/>
          <w:marTop w:val="0"/>
          <w:marBottom w:val="0"/>
          <w:divBdr>
            <w:top w:val="none" w:sz="0" w:space="0" w:color="auto"/>
            <w:left w:val="none" w:sz="0" w:space="0" w:color="auto"/>
            <w:bottom w:val="none" w:sz="0" w:space="0" w:color="auto"/>
            <w:right w:val="none" w:sz="0" w:space="0" w:color="auto"/>
          </w:divBdr>
          <w:divsChild>
            <w:div w:id="2008048597">
              <w:marLeft w:val="0"/>
              <w:marRight w:val="0"/>
              <w:marTop w:val="0"/>
              <w:marBottom w:val="0"/>
              <w:divBdr>
                <w:top w:val="none" w:sz="0" w:space="0" w:color="auto"/>
                <w:left w:val="none" w:sz="0" w:space="0" w:color="auto"/>
                <w:bottom w:val="none" w:sz="0" w:space="0" w:color="auto"/>
                <w:right w:val="none" w:sz="0" w:space="0" w:color="auto"/>
              </w:divBdr>
              <w:divsChild>
                <w:div w:id="1241869442">
                  <w:marLeft w:val="0"/>
                  <w:marRight w:val="0"/>
                  <w:marTop w:val="0"/>
                  <w:marBottom w:val="0"/>
                  <w:divBdr>
                    <w:top w:val="none" w:sz="0" w:space="0" w:color="auto"/>
                    <w:left w:val="none" w:sz="0" w:space="0" w:color="auto"/>
                    <w:bottom w:val="none" w:sz="0" w:space="0" w:color="auto"/>
                    <w:right w:val="none" w:sz="0" w:space="0" w:color="auto"/>
                  </w:divBdr>
                  <w:divsChild>
                    <w:div w:id="1445463801">
                      <w:marLeft w:val="0"/>
                      <w:marRight w:val="0"/>
                      <w:marTop w:val="0"/>
                      <w:marBottom w:val="0"/>
                      <w:divBdr>
                        <w:top w:val="none" w:sz="0" w:space="0" w:color="auto"/>
                        <w:left w:val="none" w:sz="0" w:space="0" w:color="auto"/>
                        <w:bottom w:val="none" w:sz="0" w:space="0" w:color="auto"/>
                        <w:right w:val="none" w:sz="0" w:space="0" w:color="auto"/>
                      </w:divBdr>
                      <w:divsChild>
                        <w:div w:id="1473868049">
                          <w:marLeft w:val="0"/>
                          <w:marRight w:val="0"/>
                          <w:marTop w:val="0"/>
                          <w:marBottom w:val="0"/>
                          <w:divBdr>
                            <w:top w:val="none" w:sz="0" w:space="0" w:color="auto"/>
                            <w:left w:val="none" w:sz="0" w:space="0" w:color="auto"/>
                            <w:bottom w:val="none" w:sz="0" w:space="0" w:color="auto"/>
                            <w:right w:val="none" w:sz="0" w:space="0" w:color="auto"/>
                          </w:divBdr>
                          <w:divsChild>
                            <w:div w:id="1301421988">
                              <w:marLeft w:val="0"/>
                              <w:marRight w:val="0"/>
                              <w:marTop w:val="0"/>
                              <w:marBottom w:val="0"/>
                              <w:divBdr>
                                <w:top w:val="none" w:sz="0" w:space="0" w:color="auto"/>
                                <w:left w:val="none" w:sz="0" w:space="0" w:color="auto"/>
                                <w:bottom w:val="none" w:sz="0" w:space="0" w:color="auto"/>
                                <w:right w:val="none" w:sz="0" w:space="0" w:color="auto"/>
                              </w:divBdr>
                              <w:divsChild>
                                <w:div w:id="20672018">
                                  <w:marLeft w:val="0"/>
                                  <w:marRight w:val="0"/>
                                  <w:marTop w:val="0"/>
                                  <w:marBottom w:val="0"/>
                                  <w:divBdr>
                                    <w:top w:val="none" w:sz="0" w:space="0" w:color="auto"/>
                                    <w:left w:val="none" w:sz="0" w:space="0" w:color="auto"/>
                                    <w:bottom w:val="none" w:sz="0" w:space="0" w:color="auto"/>
                                    <w:right w:val="none" w:sz="0" w:space="0" w:color="auto"/>
                                  </w:divBdr>
                                </w:div>
                                <w:div w:id="561869710">
                                  <w:marLeft w:val="0"/>
                                  <w:marRight w:val="0"/>
                                  <w:marTop w:val="0"/>
                                  <w:marBottom w:val="0"/>
                                  <w:divBdr>
                                    <w:top w:val="none" w:sz="0" w:space="0" w:color="auto"/>
                                    <w:left w:val="none" w:sz="0" w:space="0" w:color="auto"/>
                                    <w:bottom w:val="none" w:sz="0" w:space="0" w:color="auto"/>
                                    <w:right w:val="none" w:sz="0" w:space="0" w:color="auto"/>
                                  </w:divBdr>
                                  <w:divsChild>
                                    <w:div w:id="1441410275">
                                      <w:marLeft w:val="0"/>
                                      <w:marRight w:val="0"/>
                                      <w:marTop w:val="0"/>
                                      <w:marBottom w:val="0"/>
                                      <w:divBdr>
                                        <w:top w:val="none" w:sz="0" w:space="0" w:color="auto"/>
                                        <w:left w:val="none" w:sz="0" w:space="0" w:color="auto"/>
                                        <w:bottom w:val="none" w:sz="0" w:space="0" w:color="auto"/>
                                        <w:right w:val="none" w:sz="0" w:space="0" w:color="auto"/>
                                      </w:divBdr>
                                      <w:divsChild>
                                        <w:div w:id="237792631">
                                          <w:marLeft w:val="0"/>
                                          <w:marRight w:val="0"/>
                                          <w:marTop w:val="0"/>
                                          <w:marBottom w:val="0"/>
                                          <w:divBdr>
                                            <w:top w:val="none" w:sz="0" w:space="0" w:color="auto"/>
                                            <w:left w:val="none" w:sz="0" w:space="0" w:color="auto"/>
                                            <w:bottom w:val="none" w:sz="0" w:space="0" w:color="auto"/>
                                            <w:right w:val="none" w:sz="0" w:space="0" w:color="auto"/>
                                          </w:divBdr>
                                          <w:divsChild>
                                            <w:div w:id="1218248749">
                                              <w:marLeft w:val="0"/>
                                              <w:marRight w:val="0"/>
                                              <w:marTop w:val="0"/>
                                              <w:marBottom w:val="0"/>
                                              <w:divBdr>
                                                <w:top w:val="none" w:sz="0" w:space="0" w:color="auto"/>
                                                <w:left w:val="none" w:sz="0" w:space="0" w:color="auto"/>
                                                <w:bottom w:val="none" w:sz="0" w:space="0" w:color="auto"/>
                                                <w:right w:val="none" w:sz="0" w:space="0" w:color="auto"/>
                                              </w:divBdr>
                                              <w:divsChild>
                                                <w:div w:id="903829456">
                                                  <w:marLeft w:val="0"/>
                                                  <w:marRight w:val="0"/>
                                                  <w:marTop w:val="0"/>
                                                  <w:marBottom w:val="0"/>
                                                  <w:divBdr>
                                                    <w:top w:val="none" w:sz="0" w:space="0" w:color="auto"/>
                                                    <w:left w:val="none" w:sz="0" w:space="0" w:color="auto"/>
                                                    <w:bottom w:val="none" w:sz="0" w:space="0" w:color="auto"/>
                                                    <w:right w:val="none" w:sz="0" w:space="0" w:color="auto"/>
                                                  </w:divBdr>
                                                  <w:divsChild>
                                                    <w:div w:id="1872954911">
                                                      <w:marLeft w:val="0"/>
                                                      <w:marRight w:val="0"/>
                                                      <w:marTop w:val="0"/>
                                                      <w:marBottom w:val="0"/>
                                                      <w:divBdr>
                                                        <w:top w:val="none" w:sz="0" w:space="0" w:color="auto"/>
                                                        <w:left w:val="none" w:sz="0" w:space="0" w:color="auto"/>
                                                        <w:bottom w:val="none" w:sz="0" w:space="0" w:color="auto"/>
                                                        <w:right w:val="none" w:sz="0" w:space="0" w:color="auto"/>
                                                      </w:divBdr>
                                                      <w:divsChild>
                                                        <w:div w:id="1658650989">
                                                          <w:marLeft w:val="0"/>
                                                          <w:marRight w:val="0"/>
                                                          <w:marTop w:val="0"/>
                                                          <w:marBottom w:val="0"/>
                                                          <w:divBdr>
                                                            <w:top w:val="none" w:sz="0" w:space="0" w:color="auto"/>
                                                            <w:left w:val="none" w:sz="0" w:space="0" w:color="auto"/>
                                                            <w:bottom w:val="none" w:sz="0" w:space="0" w:color="auto"/>
                                                            <w:right w:val="none" w:sz="0" w:space="0" w:color="auto"/>
                                                          </w:divBdr>
                                                          <w:divsChild>
                                                            <w:div w:id="1528256558">
                                                              <w:marLeft w:val="0"/>
                                                              <w:marRight w:val="0"/>
                                                              <w:marTop w:val="0"/>
                                                              <w:marBottom w:val="0"/>
                                                              <w:divBdr>
                                                                <w:top w:val="none" w:sz="0" w:space="0" w:color="auto"/>
                                                                <w:left w:val="none" w:sz="0" w:space="0" w:color="auto"/>
                                                                <w:bottom w:val="none" w:sz="0" w:space="0" w:color="auto"/>
                                                                <w:right w:val="none" w:sz="0" w:space="0" w:color="auto"/>
                                                              </w:divBdr>
                                                              <w:divsChild>
                                                                <w:div w:id="1777940407">
                                                                  <w:marLeft w:val="0"/>
                                                                  <w:marRight w:val="0"/>
                                                                  <w:marTop w:val="0"/>
                                                                  <w:marBottom w:val="0"/>
                                                                  <w:divBdr>
                                                                    <w:top w:val="none" w:sz="0" w:space="0" w:color="auto"/>
                                                                    <w:left w:val="none" w:sz="0" w:space="0" w:color="auto"/>
                                                                    <w:bottom w:val="none" w:sz="0" w:space="0" w:color="auto"/>
                                                                    <w:right w:val="none" w:sz="0" w:space="0" w:color="auto"/>
                                                                  </w:divBdr>
                                                                  <w:divsChild>
                                                                    <w:div w:id="283316040">
                                                                      <w:marLeft w:val="0"/>
                                                                      <w:marRight w:val="0"/>
                                                                      <w:marTop w:val="0"/>
                                                                      <w:marBottom w:val="0"/>
                                                                      <w:divBdr>
                                                                        <w:top w:val="none" w:sz="0" w:space="0" w:color="auto"/>
                                                                        <w:left w:val="none" w:sz="0" w:space="0" w:color="auto"/>
                                                                        <w:bottom w:val="none" w:sz="0" w:space="0" w:color="auto"/>
                                                                        <w:right w:val="none" w:sz="0" w:space="0" w:color="auto"/>
                                                                      </w:divBdr>
                                                                      <w:divsChild>
                                                                        <w:div w:id="1948153051">
                                                                          <w:marLeft w:val="0"/>
                                                                          <w:marRight w:val="0"/>
                                                                          <w:marTop w:val="0"/>
                                                                          <w:marBottom w:val="0"/>
                                                                          <w:divBdr>
                                                                            <w:top w:val="none" w:sz="0" w:space="0" w:color="auto"/>
                                                                            <w:left w:val="none" w:sz="0" w:space="0" w:color="auto"/>
                                                                            <w:bottom w:val="none" w:sz="0" w:space="0" w:color="auto"/>
                                                                            <w:right w:val="none" w:sz="0" w:space="0" w:color="auto"/>
                                                                          </w:divBdr>
                                                                          <w:divsChild>
                                                                            <w:div w:id="1051688439">
                                                                              <w:marLeft w:val="0"/>
                                                                              <w:marRight w:val="0"/>
                                                                              <w:marTop w:val="0"/>
                                                                              <w:marBottom w:val="0"/>
                                                                              <w:divBdr>
                                                                                <w:top w:val="none" w:sz="0" w:space="0" w:color="auto"/>
                                                                                <w:left w:val="none" w:sz="0" w:space="0" w:color="auto"/>
                                                                                <w:bottom w:val="none" w:sz="0" w:space="0" w:color="auto"/>
                                                                                <w:right w:val="none" w:sz="0" w:space="0" w:color="auto"/>
                                                                              </w:divBdr>
                                                                              <w:divsChild>
                                                                                <w:div w:id="2035836933">
                                                                                  <w:marLeft w:val="0"/>
                                                                                  <w:marRight w:val="0"/>
                                                                                  <w:marTop w:val="0"/>
                                                                                  <w:marBottom w:val="0"/>
                                                                                  <w:divBdr>
                                                                                    <w:top w:val="none" w:sz="0" w:space="0" w:color="auto"/>
                                                                                    <w:left w:val="none" w:sz="0" w:space="0" w:color="auto"/>
                                                                                    <w:bottom w:val="none" w:sz="0" w:space="0" w:color="auto"/>
                                                                                    <w:right w:val="none" w:sz="0" w:space="0" w:color="auto"/>
                                                                                  </w:divBdr>
                                                                                  <w:divsChild>
                                                                                    <w:div w:id="946086958">
                                                                                      <w:marLeft w:val="0"/>
                                                                                      <w:marRight w:val="0"/>
                                                                                      <w:marTop w:val="0"/>
                                                                                      <w:marBottom w:val="0"/>
                                                                                      <w:divBdr>
                                                                                        <w:top w:val="none" w:sz="0" w:space="0" w:color="auto"/>
                                                                                        <w:left w:val="none" w:sz="0" w:space="0" w:color="auto"/>
                                                                                        <w:bottom w:val="none" w:sz="0" w:space="0" w:color="auto"/>
                                                                                        <w:right w:val="none" w:sz="0" w:space="0" w:color="auto"/>
                                                                                      </w:divBdr>
                                                                                      <w:divsChild>
                                                                                        <w:div w:id="1377699102">
                                                                                          <w:marLeft w:val="0"/>
                                                                                          <w:marRight w:val="0"/>
                                                                                          <w:marTop w:val="0"/>
                                                                                          <w:marBottom w:val="0"/>
                                                                                          <w:divBdr>
                                                                                            <w:top w:val="none" w:sz="0" w:space="0" w:color="auto"/>
                                                                                            <w:left w:val="none" w:sz="0" w:space="0" w:color="auto"/>
                                                                                            <w:bottom w:val="none" w:sz="0" w:space="0" w:color="auto"/>
                                                                                            <w:right w:val="none" w:sz="0" w:space="0" w:color="auto"/>
                                                                                          </w:divBdr>
                                                                                          <w:divsChild>
                                                                                            <w:div w:id="511339314">
                                                                                              <w:marLeft w:val="0"/>
                                                                                              <w:marRight w:val="0"/>
                                                                                              <w:marTop w:val="0"/>
                                                                                              <w:marBottom w:val="0"/>
                                                                                              <w:divBdr>
                                                                                                <w:top w:val="none" w:sz="0" w:space="0" w:color="auto"/>
                                                                                                <w:left w:val="none" w:sz="0" w:space="0" w:color="auto"/>
                                                                                                <w:bottom w:val="none" w:sz="0" w:space="0" w:color="auto"/>
                                                                                                <w:right w:val="none" w:sz="0" w:space="0" w:color="auto"/>
                                                                                              </w:divBdr>
                                                                                              <w:divsChild>
                                                                                                <w:div w:id="947397333">
                                                                                                  <w:marLeft w:val="0"/>
                                                                                                  <w:marRight w:val="0"/>
                                                                                                  <w:marTop w:val="0"/>
                                                                                                  <w:marBottom w:val="0"/>
                                                                                                  <w:divBdr>
                                                                                                    <w:top w:val="none" w:sz="0" w:space="0" w:color="auto"/>
                                                                                                    <w:left w:val="none" w:sz="0" w:space="0" w:color="auto"/>
                                                                                                    <w:bottom w:val="none" w:sz="0" w:space="0" w:color="auto"/>
                                                                                                    <w:right w:val="none" w:sz="0" w:space="0" w:color="auto"/>
                                                                                                  </w:divBdr>
                                                                                                  <w:divsChild>
                                                                                                    <w:div w:id="994530424">
                                                                                                      <w:marLeft w:val="0"/>
                                                                                                      <w:marRight w:val="0"/>
                                                                                                      <w:marTop w:val="0"/>
                                                                                                      <w:marBottom w:val="0"/>
                                                                                                      <w:divBdr>
                                                                                                        <w:top w:val="none" w:sz="0" w:space="0" w:color="auto"/>
                                                                                                        <w:left w:val="none" w:sz="0" w:space="0" w:color="auto"/>
                                                                                                        <w:bottom w:val="none" w:sz="0" w:space="0" w:color="auto"/>
                                                                                                        <w:right w:val="none" w:sz="0" w:space="0" w:color="auto"/>
                                                                                                      </w:divBdr>
                                                                                                      <w:divsChild>
                                                                                                        <w:div w:id="1921522665">
                                                                                                          <w:marLeft w:val="0"/>
                                                                                                          <w:marRight w:val="0"/>
                                                                                                          <w:marTop w:val="0"/>
                                                                                                          <w:marBottom w:val="0"/>
                                                                                                          <w:divBdr>
                                                                                                            <w:top w:val="none" w:sz="0" w:space="0" w:color="auto"/>
                                                                                                            <w:left w:val="none" w:sz="0" w:space="0" w:color="auto"/>
                                                                                                            <w:bottom w:val="none" w:sz="0" w:space="0" w:color="auto"/>
                                                                                                            <w:right w:val="none" w:sz="0" w:space="0" w:color="auto"/>
                                                                                                          </w:divBdr>
                                                                                                          <w:divsChild>
                                                                                                            <w:div w:id="536433732">
                                                                                                              <w:marLeft w:val="0"/>
                                                                                                              <w:marRight w:val="0"/>
                                                                                                              <w:marTop w:val="0"/>
                                                                                                              <w:marBottom w:val="0"/>
                                                                                                              <w:divBdr>
                                                                                                                <w:top w:val="none" w:sz="0" w:space="0" w:color="auto"/>
                                                                                                                <w:left w:val="none" w:sz="0" w:space="0" w:color="auto"/>
                                                                                                                <w:bottom w:val="none" w:sz="0" w:space="0" w:color="auto"/>
                                                                                                                <w:right w:val="none" w:sz="0" w:space="0" w:color="auto"/>
                                                                                                              </w:divBdr>
                                                                                                              <w:divsChild>
                                                                                                                <w:div w:id="622733417">
                                                                                                                  <w:marLeft w:val="0"/>
                                                                                                                  <w:marRight w:val="0"/>
                                                                                                                  <w:marTop w:val="0"/>
                                                                                                                  <w:marBottom w:val="0"/>
                                                                                                                  <w:divBdr>
                                                                                                                    <w:top w:val="none" w:sz="0" w:space="0" w:color="auto"/>
                                                                                                                    <w:left w:val="none" w:sz="0" w:space="0" w:color="auto"/>
                                                                                                                    <w:bottom w:val="none" w:sz="0" w:space="0" w:color="auto"/>
                                                                                                                    <w:right w:val="none" w:sz="0" w:space="0" w:color="auto"/>
                                                                                                                  </w:divBdr>
                                                                                                                  <w:divsChild>
                                                                                                                    <w:div w:id="1829596170">
                                                                                                                      <w:marLeft w:val="0"/>
                                                                                                                      <w:marRight w:val="0"/>
                                                                                                                      <w:marTop w:val="0"/>
                                                                                                                      <w:marBottom w:val="0"/>
                                                                                                                      <w:divBdr>
                                                                                                                        <w:top w:val="none" w:sz="0" w:space="0" w:color="auto"/>
                                                                                                                        <w:left w:val="none" w:sz="0" w:space="0" w:color="auto"/>
                                                                                                                        <w:bottom w:val="none" w:sz="0" w:space="0" w:color="auto"/>
                                                                                                                        <w:right w:val="none" w:sz="0" w:space="0" w:color="auto"/>
                                                                                                                      </w:divBdr>
                                                                                                                      <w:divsChild>
                                                                                                                        <w:div w:id="405037417">
                                                                                                                          <w:marLeft w:val="0"/>
                                                                                                                          <w:marRight w:val="0"/>
                                                                                                                          <w:marTop w:val="0"/>
                                                                                                                          <w:marBottom w:val="0"/>
                                                                                                                          <w:divBdr>
                                                                                                                            <w:top w:val="none" w:sz="0" w:space="0" w:color="auto"/>
                                                                                                                            <w:left w:val="none" w:sz="0" w:space="0" w:color="auto"/>
                                                                                                                            <w:bottom w:val="none" w:sz="0" w:space="0" w:color="auto"/>
                                                                                                                            <w:right w:val="none" w:sz="0" w:space="0" w:color="auto"/>
                                                                                                                          </w:divBdr>
                                                                                                                          <w:divsChild>
                                                                                                                            <w:div w:id="1871147227">
                                                                                                                              <w:marLeft w:val="0"/>
                                                                                                                              <w:marRight w:val="0"/>
                                                                                                                              <w:marTop w:val="0"/>
                                                                                                                              <w:marBottom w:val="0"/>
                                                                                                                              <w:divBdr>
                                                                                                                                <w:top w:val="none" w:sz="0" w:space="0" w:color="auto"/>
                                                                                                                                <w:left w:val="none" w:sz="0" w:space="0" w:color="auto"/>
                                                                                                                                <w:bottom w:val="none" w:sz="0" w:space="0" w:color="auto"/>
                                                                                                                                <w:right w:val="none" w:sz="0" w:space="0" w:color="auto"/>
                                                                                                                              </w:divBdr>
                                                                                                                              <w:divsChild>
                                                                                                                                <w:div w:id="905652695">
                                                                                                                                  <w:marLeft w:val="0"/>
                                                                                                                                  <w:marRight w:val="0"/>
                                                                                                                                  <w:marTop w:val="0"/>
                                                                                                                                  <w:marBottom w:val="0"/>
                                                                                                                                  <w:divBdr>
                                                                                                                                    <w:top w:val="none" w:sz="0" w:space="0" w:color="auto"/>
                                                                                                                                    <w:left w:val="none" w:sz="0" w:space="0" w:color="auto"/>
                                                                                                                                    <w:bottom w:val="none" w:sz="0" w:space="0" w:color="auto"/>
                                                                                                                                    <w:right w:val="none" w:sz="0" w:space="0" w:color="auto"/>
                                                                                                                                  </w:divBdr>
                                                                                                                                  <w:divsChild>
                                                                                                                                    <w:div w:id="2107261435">
                                                                                                                                      <w:marLeft w:val="0"/>
                                                                                                                                      <w:marRight w:val="0"/>
                                                                                                                                      <w:marTop w:val="0"/>
                                                                                                                                      <w:marBottom w:val="0"/>
                                                                                                                                      <w:divBdr>
                                                                                                                                        <w:top w:val="none" w:sz="0" w:space="0" w:color="auto"/>
                                                                                                                                        <w:left w:val="none" w:sz="0" w:space="0" w:color="auto"/>
                                                                                                                                        <w:bottom w:val="none" w:sz="0" w:space="0" w:color="auto"/>
                                                                                                                                        <w:right w:val="none" w:sz="0" w:space="0" w:color="auto"/>
                                                                                                                                      </w:divBdr>
                                                                                                                                      <w:divsChild>
                                                                                                                                        <w:div w:id="220364584">
                                                                                                                                          <w:marLeft w:val="0"/>
                                                                                                                                          <w:marRight w:val="0"/>
                                                                                                                                          <w:marTop w:val="0"/>
                                                                                                                                          <w:marBottom w:val="0"/>
                                                                                                                                          <w:divBdr>
                                                                                                                                            <w:top w:val="none" w:sz="0" w:space="0" w:color="auto"/>
                                                                                                                                            <w:left w:val="none" w:sz="0" w:space="0" w:color="auto"/>
                                                                                                                                            <w:bottom w:val="none" w:sz="0" w:space="0" w:color="auto"/>
                                                                                                                                            <w:right w:val="none" w:sz="0" w:space="0" w:color="auto"/>
                                                                                                                                          </w:divBdr>
                                                                                                                                          <w:divsChild>
                                                                                                                                            <w:div w:id="2060392931">
                                                                                                                                              <w:marLeft w:val="0"/>
                                                                                                                                              <w:marRight w:val="0"/>
                                                                                                                                              <w:marTop w:val="0"/>
                                                                                                                                              <w:marBottom w:val="0"/>
                                                                                                                                              <w:divBdr>
                                                                                                                                                <w:top w:val="none" w:sz="0" w:space="0" w:color="auto"/>
                                                                                                                                                <w:left w:val="none" w:sz="0" w:space="0" w:color="auto"/>
                                                                                                                                                <w:bottom w:val="none" w:sz="0" w:space="0" w:color="auto"/>
                                                                                                                                                <w:right w:val="none" w:sz="0" w:space="0" w:color="auto"/>
                                                                                                                                              </w:divBdr>
                                                                                                                                              <w:divsChild>
                                                                                                                                                <w:div w:id="1635789079">
                                                                                                                                                  <w:marLeft w:val="0"/>
                                                                                                                                                  <w:marRight w:val="0"/>
                                                                                                                                                  <w:marTop w:val="0"/>
                                                                                                                                                  <w:marBottom w:val="0"/>
                                                                                                                                                  <w:divBdr>
                                                                                                                                                    <w:top w:val="none" w:sz="0" w:space="0" w:color="auto"/>
                                                                                                                                                    <w:left w:val="none" w:sz="0" w:space="0" w:color="auto"/>
                                                                                                                                                    <w:bottom w:val="none" w:sz="0" w:space="0" w:color="auto"/>
                                                                                                                                                    <w:right w:val="none" w:sz="0" w:space="0" w:color="auto"/>
                                                                                                                                                  </w:divBdr>
                                                                                                                                                  <w:divsChild>
                                                                                                                                                    <w:div w:id="1986155628">
                                                                                                                                                      <w:marLeft w:val="0"/>
                                                                                                                                                      <w:marRight w:val="0"/>
                                                                                                                                                      <w:marTop w:val="0"/>
                                                                                                                                                      <w:marBottom w:val="0"/>
                                                                                                                                                      <w:divBdr>
                                                                                                                                                        <w:top w:val="none" w:sz="0" w:space="0" w:color="auto"/>
                                                                                                                                                        <w:left w:val="none" w:sz="0" w:space="0" w:color="auto"/>
                                                                                                                                                        <w:bottom w:val="none" w:sz="0" w:space="0" w:color="auto"/>
                                                                                                                                                        <w:right w:val="none" w:sz="0" w:space="0" w:color="auto"/>
                                                                                                                                                      </w:divBdr>
                                                                                                                                                      <w:divsChild>
                                                                                                                                                        <w:div w:id="1686783710">
                                                                                                                                                          <w:marLeft w:val="0"/>
                                                                                                                                                          <w:marRight w:val="0"/>
                                                                                                                                                          <w:marTop w:val="0"/>
                                                                                                                                                          <w:marBottom w:val="0"/>
                                                                                                                                                          <w:divBdr>
                                                                                                                                                            <w:top w:val="none" w:sz="0" w:space="0" w:color="auto"/>
                                                                                                                                                            <w:left w:val="none" w:sz="0" w:space="0" w:color="auto"/>
                                                                                                                                                            <w:bottom w:val="none" w:sz="0" w:space="0" w:color="auto"/>
                                                                                                                                                            <w:right w:val="none" w:sz="0" w:space="0" w:color="auto"/>
                                                                                                                                                          </w:divBdr>
                                                                                                                                                          <w:divsChild>
                                                                                                                                                            <w:div w:id="1286425568">
                                                                                                                                                              <w:marLeft w:val="0"/>
                                                                                                                                                              <w:marRight w:val="0"/>
                                                                                                                                                              <w:marTop w:val="0"/>
                                                                                                                                                              <w:marBottom w:val="0"/>
                                                                                                                                                              <w:divBdr>
                                                                                                                                                                <w:top w:val="none" w:sz="0" w:space="0" w:color="auto"/>
                                                                                                                                                                <w:left w:val="none" w:sz="0" w:space="0" w:color="auto"/>
                                                                                                                                                                <w:bottom w:val="none" w:sz="0" w:space="0" w:color="auto"/>
                                                                                                                                                                <w:right w:val="none" w:sz="0" w:space="0" w:color="auto"/>
                                                                                                                                                              </w:divBdr>
                                                                                                                                                              <w:divsChild>
                                                                                                                                                                <w:div w:id="1070418720">
                                                                                                                                                                  <w:marLeft w:val="0"/>
                                                                                                                                                                  <w:marRight w:val="0"/>
                                                                                                                                                                  <w:marTop w:val="0"/>
                                                                                                                                                                  <w:marBottom w:val="0"/>
                                                                                                                                                                  <w:divBdr>
                                                                                                                                                                    <w:top w:val="none" w:sz="0" w:space="0" w:color="auto"/>
                                                                                                                                                                    <w:left w:val="none" w:sz="0" w:space="0" w:color="auto"/>
                                                                                                                                                                    <w:bottom w:val="none" w:sz="0" w:space="0" w:color="auto"/>
                                                                                                                                                                    <w:right w:val="none" w:sz="0" w:space="0" w:color="auto"/>
                                                                                                                                                                  </w:divBdr>
                                                                                                                                                                  <w:divsChild>
                                                                                                                                                                    <w:div w:id="842550415">
                                                                                                                                                                      <w:marLeft w:val="0"/>
                                                                                                                                                                      <w:marRight w:val="0"/>
                                                                                                                                                                      <w:marTop w:val="0"/>
                                                                                                                                                                      <w:marBottom w:val="0"/>
                                                                                                                                                                      <w:divBdr>
                                                                                                                                                                        <w:top w:val="none" w:sz="0" w:space="0" w:color="auto"/>
                                                                                                                                                                        <w:left w:val="none" w:sz="0" w:space="0" w:color="auto"/>
                                                                                                                                                                        <w:bottom w:val="none" w:sz="0" w:space="0" w:color="auto"/>
                                                                                                                                                                        <w:right w:val="none" w:sz="0" w:space="0" w:color="auto"/>
                                                                                                                                                                      </w:divBdr>
                                                                                                                                                                      <w:divsChild>
                                                                                                                                                                        <w:div w:id="532547295">
                                                                                                                                                                          <w:marLeft w:val="0"/>
                                                                                                                                                                          <w:marRight w:val="0"/>
                                                                                                                                                                          <w:marTop w:val="0"/>
                                                                                                                                                                          <w:marBottom w:val="0"/>
                                                                                                                                                                          <w:divBdr>
                                                                                                                                                                            <w:top w:val="none" w:sz="0" w:space="0" w:color="auto"/>
                                                                                                                                                                            <w:left w:val="none" w:sz="0" w:space="0" w:color="auto"/>
                                                                                                                                                                            <w:bottom w:val="none" w:sz="0" w:space="0" w:color="auto"/>
                                                                                                                                                                            <w:right w:val="none" w:sz="0" w:space="0" w:color="auto"/>
                                                                                                                                                                          </w:divBdr>
                                                                                                                                                                          <w:divsChild>
                                                                                                                                                                            <w:div w:id="322045695">
                                                                                                                                                                              <w:marLeft w:val="0"/>
                                                                                                                                                                              <w:marRight w:val="0"/>
                                                                                                                                                                              <w:marTop w:val="0"/>
                                                                                                                                                                              <w:marBottom w:val="0"/>
                                                                                                                                                                              <w:divBdr>
                                                                                                                                                                                <w:top w:val="none" w:sz="0" w:space="0" w:color="auto"/>
                                                                                                                                                                                <w:left w:val="none" w:sz="0" w:space="0" w:color="auto"/>
                                                                                                                                                                                <w:bottom w:val="none" w:sz="0" w:space="0" w:color="auto"/>
                                                                                                                                                                                <w:right w:val="none" w:sz="0" w:space="0" w:color="auto"/>
                                                                                                                                                                              </w:divBdr>
                                                                                                                                                                              <w:divsChild>
                                                                                                                                                                                <w:div w:id="1191600738">
                                                                                                                                                                                  <w:marLeft w:val="0"/>
                                                                                                                                                                                  <w:marRight w:val="0"/>
                                                                                                                                                                                  <w:marTop w:val="0"/>
                                                                                                                                                                                  <w:marBottom w:val="0"/>
                                                                                                                                                                                  <w:divBdr>
                                                                                                                                                                                    <w:top w:val="none" w:sz="0" w:space="0" w:color="auto"/>
                                                                                                                                                                                    <w:left w:val="none" w:sz="0" w:space="0" w:color="auto"/>
                                                                                                                                                                                    <w:bottom w:val="none" w:sz="0" w:space="0" w:color="auto"/>
                                                                                                                                                                                    <w:right w:val="none" w:sz="0" w:space="0" w:color="auto"/>
                                                                                                                                                                                  </w:divBdr>
                                                                                                                                                                                  <w:divsChild>
                                                                                                                                                                                    <w:div w:id="350684551">
                                                                                                                                                                                      <w:marLeft w:val="0"/>
                                                                                                                                                                                      <w:marRight w:val="0"/>
                                                                                                                                                                                      <w:marTop w:val="0"/>
                                                                                                                                                                                      <w:marBottom w:val="0"/>
                                                                                                                                                                                      <w:divBdr>
                                                                                                                                                                                        <w:top w:val="none" w:sz="0" w:space="0" w:color="auto"/>
                                                                                                                                                                                        <w:left w:val="none" w:sz="0" w:space="0" w:color="auto"/>
                                                                                                                                                                                        <w:bottom w:val="none" w:sz="0" w:space="0" w:color="auto"/>
                                                                                                                                                                                        <w:right w:val="none" w:sz="0" w:space="0" w:color="auto"/>
                                                                                                                                                                                      </w:divBdr>
                                                                                                                                                                                      <w:divsChild>
                                                                                                                                                                                        <w:div w:id="1531258083">
                                                                                                                                                                                          <w:marLeft w:val="0"/>
                                                                                                                                                                                          <w:marRight w:val="0"/>
                                                                                                                                                                                          <w:marTop w:val="0"/>
                                                                                                                                                                                          <w:marBottom w:val="0"/>
                                                                                                                                                                                          <w:divBdr>
                                                                                                                                                                                            <w:top w:val="none" w:sz="0" w:space="0" w:color="auto"/>
                                                                                                                                                                                            <w:left w:val="none" w:sz="0" w:space="0" w:color="auto"/>
                                                                                                                                                                                            <w:bottom w:val="none" w:sz="0" w:space="0" w:color="auto"/>
                                                                                                                                                                                            <w:right w:val="none" w:sz="0" w:space="0" w:color="auto"/>
                                                                                                                                                                                          </w:divBdr>
                                                                                                                                                                                          <w:divsChild>
                                                                                                                                                                                            <w:div w:id="1254970874">
                                                                                                                                                                                              <w:marLeft w:val="0"/>
                                                                                                                                                                                              <w:marRight w:val="0"/>
                                                                                                                                                                                              <w:marTop w:val="0"/>
                                                                                                                                                                                              <w:marBottom w:val="0"/>
                                                                                                                                                                                              <w:divBdr>
                                                                                                                                                                                                <w:top w:val="none" w:sz="0" w:space="0" w:color="auto"/>
                                                                                                                                                                                                <w:left w:val="none" w:sz="0" w:space="0" w:color="auto"/>
                                                                                                                                                                                                <w:bottom w:val="none" w:sz="0" w:space="0" w:color="auto"/>
                                                                                                                                                                                                <w:right w:val="none" w:sz="0" w:space="0" w:color="auto"/>
                                                                                                                                                                                              </w:divBdr>
                                                                                                                                                                                              <w:divsChild>
                                                                                                                                                                                                <w:div w:id="2024014000">
                                                                                                                                                                                                  <w:marLeft w:val="0"/>
                                                                                                                                                                                                  <w:marRight w:val="0"/>
                                                                                                                                                                                                  <w:marTop w:val="0"/>
                                                                                                                                                                                                  <w:marBottom w:val="0"/>
                                                                                                                                                                                                  <w:divBdr>
                                                                                                                                                                                                    <w:top w:val="none" w:sz="0" w:space="0" w:color="auto"/>
                                                                                                                                                                                                    <w:left w:val="none" w:sz="0" w:space="0" w:color="auto"/>
                                                                                                                                                                                                    <w:bottom w:val="none" w:sz="0" w:space="0" w:color="auto"/>
                                                                                                                                                                                                    <w:right w:val="none" w:sz="0" w:space="0" w:color="auto"/>
                                                                                                                                                                                                  </w:divBdr>
                                                                                                                                                                                                  <w:divsChild>
                                                                                                                                                                                                    <w:div w:id="1100876249">
                                                                                                                                                                                                      <w:marLeft w:val="0"/>
                                                                                                                                                                                                      <w:marRight w:val="0"/>
                                                                                                                                                                                                      <w:marTop w:val="0"/>
                                                                                                                                                                                                      <w:marBottom w:val="0"/>
                                                                                                                                                                                                      <w:divBdr>
                                                                                                                                                                                                        <w:top w:val="none" w:sz="0" w:space="0" w:color="auto"/>
                                                                                                                                                                                                        <w:left w:val="none" w:sz="0" w:space="0" w:color="auto"/>
                                                                                                                                                                                                        <w:bottom w:val="none" w:sz="0" w:space="0" w:color="auto"/>
                                                                                                                                                                                                        <w:right w:val="none" w:sz="0" w:space="0" w:color="auto"/>
                                                                                                                                                                                                      </w:divBdr>
                                                                                                                                                                                                      <w:divsChild>
                                                                                                                                                                                                        <w:div w:id="264271607">
                                                                                                                                                                                                          <w:marLeft w:val="0"/>
                                                                                                                                                                                                          <w:marRight w:val="0"/>
                                                                                                                                                                                                          <w:marTop w:val="0"/>
                                                                                                                                                                                                          <w:marBottom w:val="0"/>
                                                                                                                                                                                                          <w:divBdr>
                                                                                                                                                                                                            <w:top w:val="none" w:sz="0" w:space="0" w:color="auto"/>
                                                                                                                                                                                                            <w:left w:val="none" w:sz="0" w:space="0" w:color="auto"/>
                                                                                                                                                                                                            <w:bottom w:val="none" w:sz="0" w:space="0" w:color="auto"/>
                                                                                                                                                                                                            <w:right w:val="none" w:sz="0" w:space="0" w:color="auto"/>
                                                                                                                                                                                                          </w:divBdr>
                                                                                                                                                                                                          <w:divsChild>
                                                                                                                                                                                                            <w:div w:id="1001155502">
                                                                                                                                                                                                              <w:marLeft w:val="0"/>
                                                                                                                                                                                                              <w:marRight w:val="0"/>
                                                                                                                                                                                                              <w:marTop w:val="0"/>
                                                                                                                                                                                                              <w:marBottom w:val="0"/>
                                                                                                                                                                                                              <w:divBdr>
                                                                                                                                                                                                                <w:top w:val="none" w:sz="0" w:space="0" w:color="auto"/>
                                                                                                                                                                                                                <w:left w:val="none" w:sz="0" w:space="0" w:color="auto"/>
                                                                                                                                                                                                                <w:bottom w:val="none" w:sz="0" w:space="0" w:color="auto"/>
                                                                                                                                                                                                                <w:right w:val="none" w:sz="0" w:space="0" w:color="auto"/>
                                                                                                                                                                                                              </w:divBdr>
                                                                                                                                                                                                              <w:divsChild>
                                                                                                                                                                                                                <w:div w:id="1533768347">
                                                                                                                                                                                                                  <w:marLeft w:val="0"/>
                                                                                                                                                                                                                  <w:marRight w:val="0"/>
                                                                                                                                                                                                                  <w:marTop w:val="0"/>
                                                                                                                                                                                                                  <w:marBottom w:val="0"/>
                                                                                                                                                                                                                  <w:divBdr>
                                                                                                                                                                                                                    <w:top w:val="none" w:sz="0" w:space="0" w:color="auto"/>
                                                                                                                                                                                                                    <w:left w:val="none" w:sz="0" w:space="0" w:color="auto"/>
                                                                                                                                                                                                                    <w:bottom w:val="none" w:sz="0" w:space="0" w:color="auto"/>
                                                                                                                                                                                                                    <w:right w:val="none" w:sz="0" w:space="0" w:color="auto"/>
                                                                                                                                                                                                                  </w:divBdr>
                                                                                                                                                                                                                  <w:divsChild>
                                                                                                                                                                                                                    <w:div w:id="1292830667">
                                                                                                                                                                                                                      <w:marLeft w:val="0"/>
                                                                                                                                                                                                                      <w:marRight w:val="0"/>
                                                                                                                                                                                                                      <w:marTop w:val="0"/>
                                                                                                                                                                                                                      <w:marBottom w:val="0"/>
                                                                                                                                                                                                                      <w:divBdr>
                                                                                                                                                                                                                        <w:top w:val="none" w:sz="0" w:space="0" w:color="auto"/>
                                                                                                                                                                                                                        <w:left w:val="none" w:sz="0" w:space="0" w:color="auto"/>
                                                                                                                                                                                                                        <w:bottom w:val="none" w:sz="0" w:space="0" w:color="auto"/>
                                                                                                                                                                                                                        <w:right w:val="none" w:sz="0" w:space="0" w:color="auto"/>
                                                                                                                                                                                                                      </w:divBdr>
                                                                                                                                                                                                                      <w:divsChild>
                                                                                                                                                                                                                        <w:div w:id="850876114">
                                                                                                                                                                                                                          <w:marLeft w:val="0"/>
                                                                                                                                                                                                                          <w:marRight w:val="0"/>
                                                                                                                                                                                                                          <w:marTop w:val="0"/>
                                                                                                                                                                                                                          <w:marBottom w:val="0"/>
                                                                                                                                                                                                                          <w:divBdr>
                                                                                                                                                                                                                            <w:top w:val="none" w:sz="0" w:space="0" w:color="auto"/>
                                                                                                                                                                                                                            <w:left w:val="none" w:sz="0" w:space="0" w:color="auto"/>
                                                                                                                                                                                                                            <w:bottom w:val="none" w:sz="0" w:space="0" w:color="auto"/>
                                                                                                                                                                                                                            <w:right w:val="none" w:sz="0" w:space="0" w:color="auto"/>
                                                                                                                                                                                                                          </w:divBdr>
                                                                                                                                                                                                                          <w:divsChild>
                                                                                                                                                                                                                            <w:div w:id="251621419">
                                                                                                                                                                                                                              <w:marLeft w:val="0"/>
                                                                                                                                                                                                                              <w:marRight w:val="0"/>
                                                                                                                                                                                                                              <w:marTop w:val="0"/>
                                                                                                                                                                                                                              <w:marBottom w:val="0"/>
                                                                                                                                                                                                                              <w:divBdr>
                                                                                                                                                                                                                                <w:top w:val="none" w:sz="0" w:space="0" w:color="auto"/>
                                                                                                                                                                                                                                <w:left w:val="none" w:sz="0" w:space="0" w:color="auto"/>
                                                                                                                                                                                                                                <w:bottom w:val="none" w:sz="0" w:space="0" w:color="auto"/>
                                                                                                                                                                                                                                <w:right w:val="none" w:sz="0" w:space="0" w:color="auto"/>
                                                                                                                                                                                                                              </w:divBdr>
                                                                                                                                                                                                                              <w:divsChild>
                                                                                                                                                                                                                                <w:div w:id="742726055">
                                                                                                                                                                                                                                  <w:marLeft w:val="0"/>
                                                                                                                                                                                                                                  <w:marRight w:val="0"/>
                                                                                                                                                                                                                                  <w:marTop w:val="0"/>
                                                                                                                                                                                                                                  <w:marBottom w:val="0"/>
                                                                                                                                                                                                                                  <w:divBdr>
                                                                                                                                                                                                                                    <w:top w:val="none" w:sz="0" w:space="0" w:color="auto"/>
                                                                                                                                                                                                                                    <w:left w:val="none" w:sz="0" w:space="0" w:color="auto"/>
                                                                                                                                                                                                                                    <w:bottom w:val="none" w:sz="0" w:space="0" w:color="auto"/>
                                                                                                                                                                                                                                    <w:right w:val="none" w:sz="0" w:space="0" w:color="auto"/>
                                                                                                                                                                                                                                  </w:divBdr>
                                                                                                                                                                                                                                  <w:divsChild>
                                                                                                                                                                                                                                    <w:div w:id="1143620295">
                                                                                                                                                                                                                                      <w:marLeft w:val="0"/>
                                                                                                                                                                                                                                      <w:marRight w:val="0"/>
                                                                                                                                                                                                                                      <w:marTop w:val="0"/>
                                                                                                                                                                                                                                      <w:marBottom w:val="0"/>
                                                                                                                                                                                                                                      <w:divBdr>
                                                                                                                                                                                                                                        <w:top w:val="none" w:sz="0" w:space="0" w:color="auto"/>
                                                                                                                                                                                                                                        <w:left w:val="none" w:sz="0" w:space="0" w:color="auto"/>
                                                                                                                                                                                                                                        <w:bottom w:val="none" w:sz="0" w:space="0" w:color="auto"/>
                                                                                                                                                                                                                                        <w:right w:val="none" w:sz="0" w:space="0" w:color="auto"/>
                                                                                                                                                                                                                                      </w:divBdr>
                                                                                                                                                                                                                                      <w:divsChild>
                                                                                                                                                                                                                                        <w:div w:id="788939869">
                                                                                                                                                                                                                                          <w:marLeft w:val="0"/>
                                                                                                                                                                                                                                          <w:marRight w:val="0"/>
                                                                                                                                                                                                                                          <w:marTop w:val="0"/>
                                                                                                                                                                                                                                          <w:marBottom w:val="0"/>
                                                                                                                                                                                                                                          <w:divBdr>
                                                                                                                                                                                                                                            <w:top w:val="none" w:sz="0" w:space="0" w:color="auto"/>
                                                                                                                                                                                                                                            <w:left w:val="none" w:sz="0" w:space="0" w:color="auto"/>
                                                                                                                                                                                                                                            <w:bottom w:val="none" w:sz="0" w:space="0" w:color="auto"/>
                                                                                                                                                                                                                                            <w:right w:val="none" w:sz="0" w:space="0" w:color="auto"/>
                                                                                                                                                                                                                                          </w:divBdr>
                                                                                                                                                                                                                                          <w:divsChild>
                                                                                                                                                                                                                                            <w:div w:id="34896083">
                                                                                                                                                                                                                                              <w:marLeft w:val="0"/>
                                                                                                                                                                                                                                              <w:marRight w:val="0"/>
                                                                                                                                                                                                                                              <w:marTop w:val="0"/>
                                                                                                                                                                                                                                              <w:marBottom w:val="0"/>
                                                                                                                                                                                                                                              <w:divBdr>
                                                                                                                                                                                                                                                <w:top w:val="none" w:sz="0" w:space="0" w:color="auto"/>
                                                                                                                                                                                                                                                <w:left w:val="none" w:sz="0" w:space="0" w:color="auto"/>
                                                                                                                                                                                                                                                <w:bottom w:val="none" w:sz="0" w:space="0" w:color="auto"/>
                                                                                                                                                                                                                                                <w:right w:val="none" w:sz="0" w:space="0" w:color="auto"/>
                                                                                                                                                                                                                                              </w:divBdr>
                                                                                                                                                                                                                                              <w:divsChild>
                                                                                                                                                                                                                                                <w:div w:id="1583837297">
                                                                                                                                                                                                                                                  <w:marLeft w:val="0"/>
                                                                                                                                                                                                                                                  <w:marRight w:val="0"/>
                                                                                                                                                                                                                                                  <w:marTop w:val="0"/>
                                                                                                                                                                                                                                                  <w:marBottom w:val="0"/>
                                                                                                                                                                                                                                                  <w:divBdr>
                                                                                                                                                                                                                                                    <w:top w:val="none" w:sz="0" w:space="0" w:color="auto"/>
                                                                                                                                                                                                                                                    <w:left w:val="none" w:sz="0" w:space="0" w:color="auto"/>
                                                                                                                                                                                                                                                    <w:bottom w:val="none" w:sz="0" w:space="0" w:color="auto"/>
                                                                                                                                                                                                                                                    <w:right w:val="none" w:sz="0" w:space="0" w:color="auto"/>
                                                                                                                                                                                                                                                  </w:divBdr>
                                                                                                                                                                                                                                                  <w:divsChild>
                                                                                                                                                                                                                                                    <w:div w:id="1116753817">
                                                                                                                                                                                                                                                      <w:marLeft w:val="0"/>
                                                                                                                                                                                                                                                      <w:marRight w:val="0"/>
                                                                                                                                                                                                                                                      <w:marTop w:val="0"/>
                                                                                                                                                                                                                                                      <w:marBottom w:val="0"/>
                                                                                                                                                                                                                                                      <w:divBdr>
                                                                                                                                                                                                                                                        <w:top w:val="none" w:sz="0" w:space="0" w:color="auto"/>
                                                                                                                                                                                                                                                        <w:left w:val="none" w:sz="0" w:space="0" w:color="auto"/>
                                                                                                                                                                                                                                                        <w:bottom w:val="none" w:sz="0" w:space="0" w:color="auto"/>
                                                                                                                                                                                                                                                        <w:right w:val="none" w:sz="0" w:space="0" w:color="auto"/>
                                                                                                                                                                                                                                                      </w:divBdr>
                                                                                                                                                                                                                                                      <w:divsChild>
                                                                                                                                                                                                                                                        <w:div w:id="419523949">
                                                                                                                                                                                                                                                          <w:marLeft w:val="0"/>
                                                                                                                                                                                                                                                          <w:marRight w:val="0"/>
                                                                                                                                                                                                                                                          <w:marTop w:val="0"/>
                                                                                                                                                                                                                                                          <w:marBottom w:val="0"/>
                                                                                                                                                                                                                                                          <w:divBdr>
                                                                                                                                                                                                                                                            <w:top w:val="none" w:sz="0" w:space="0" w:color="auto"/>
                                                                                                                                                                                                                                                            <w:left w:val="none" w:sz="0" w:space="0" w:color="auto"/>
                                                                                                                                                                                                                                                            <w:bottom w:val="none" w:sz="0" w:space="0" w:color="auto"/>
                                                                                                                                                                                                                                                            <w:right w:val="none" w:sz="0" w:space="0" w:color="auto"/>
                                                                                                                                                                                                                                                          </w:divBdr>
                                                                                                                                                                                                                                                          <w:divsChild>
                                                                                                                                                                                                                                                            <w:div w:id="841091773">
                                                                                                                                                                                                                                                              <w:marLeft w:val="0"/>
                                                                                                                                                                                                                                                              <w:marRight w:val="0"/>
                                                                                                                                                                                                                                                              <w:marTop w:val="0"/>
                                                                                                                                                                                                                                                              <w:marBottom w:val="0"/>
                                                                                                                                                                                                                                                              <w:divBdr>
                                                                                                                                                                                                                                                                <w:top w:val="none" w:sz="0" w:space="0" w:color="auto"/>
                                                                                                                                                                                                                                                                <w:left w:val="none" w:sz="0" w:space="0" w:color="auto"/>
                                                                                                                                                                                                                                                                <w:bottom w:val="none" w:sz="0" w:space="0" w:color="auto"/>
                                                                                                                                                                                                                                                                <w:right w:val="none" w:sz="0" w:space="0" w:color="auto"/>
                                                                                                                                                                                                                                                              </w:divBdr>
                                                                                                                                                                                                                                                              <w:divsChild>
                                                                                                                                                                                                                                                                <w:div w:id="408773321">
                                                                                                                                                                                                                                                                  <w:marLeft w:val="0"/>
                                                                                                                                                                                                                                                                  <w:marRight w:val="0"/>
                                                                                                                                                                                                                                                                  <w:marTop w:val="0"/>
                                                                                                                                                                                                                                                                  <w:marBottom w:val="0"/>
                                                                                                                                                                                                                                                                  <w:divBdr>
                                                                                                                                                                                                                                                                    <w:top w:val="none" w:sz="0" w:space="0" w:color="auto"/>
                                                                                                                                                                                                                                                                    <w:left w:val="none" w:sz="0" w:space="0" w:color="auto"/>
                                                                                                                                                                                                                                                                    <w:bottom w:val="none" w:sz="0" w:space="0" w:color="auto"/>
                                                                                                                                                                                                                                                                    <w:right w:val="none" w:sz="0" w:space="0" w:color="auto"/>
                                                                                                                                                                                                                                                                  </w:divBdr>
                                                                                                                                                                                                                                                                  <w:divsChild>
                                                                                                                                                                                                                                                                    <w:div w:id="1452747392">
                                                                                                                                                                                                                                                                      <w:marLeft w:val="0"/>
                                                                                                                                                                                                                                                                      <w:marRight w:val="0"/>
                                                                                                                                                                                                                                                                      <w:marTop w:val="0"/>
                                                                                                                                                                                                                                                                      <w:marBottom w:val="0"/>
                                                                                                                                                                                                                                                                      <w:divBdr>
                                                                                                                                                                                                                                                                        <w:top w:val="none" w:sz="0" w:space="0" w:color="auto"/>
                                                                                                                                                                                                                                                                        <w:left w:val="none" w:sz="0" w:space="0" w:color="auto"/>
                                                                                                                                                                                                                                                                        <w:bottom w:val="none" w:sz="0" w:space="0" w:color="auto"/>
                                                                                                                                                                                                                                                                        <w:right w:val="none" w:sz="0" w:space="0" w:color="auto"/>
                                                                                                                                                                                                                                                                      </w:divBdr>
                                                                                                                                                                                                                                                                      <w:divsChild>
                                                                                                                                                                                                                                                                        <w:div w:id="1145664849">
                                                                                                                                                                                                                                                                          <w:marLeft w:val="0"/>
                                                                                                                                                                                                                                                                          <w:marRight w:val="0"/>
                                                                                                                                                                                                                                                                          <w:marTop w:val="0"/>
                                                                                                                                                                                                                                                                          <w:marBottom w:val="0"/>
                                                                                                                                                                                                                                                                          <w:divBdr>
                                                                                                                                                                                                                                                                            <w:top w:val="none" w:sz="0" w:space="0" w:color="auto"/>
                                                                                                                                                                                                                                                                            <w:left w:val="none" w:sz="0" w:space="0" w:color="auto"/>
                                                                                                                                                                                                                                                                            <w:bottom w:val="none" w:sz="0" w:space="0" w:color="auto"/>
                                                                                                                                                                                                                                                                            <w:right w:val="none" w:sz="0" w:space="0" w:color="auto"/>
                                                                                                                                                                                                                                                                          </w:divBdr>
                                                                                                                                                                                                                                                                          <w:divsChild>
                                                                                                                                                                                                                                                                            <w:div w:id="2143303787">
                                                                                                                                                                                                                                                                              <w:marLeft w:val="0"/>
                                                                                                                                                                                                                                                                              <w:marRight w:val="0"/>
                                                                                                                                                                                                                                                                              <w:marTop w:val="0"/>
                                                                                                                                                                                                                                                                              <w:marBottom w:val="0"/>
                                                                                                                                                                                                                                                                              <w:divBdr>
                                                                                                                                                                                                                                                                                <w:top w:val="none" w:sz="0" w:space="0" w:color="auto"/>
                                                                                                                                                                                                                                                                                <w:left w:val="none" w:sz="0" w:space="0" w:color="auto"/>
                                                                                                                                                                                                                                                                                <w:bottom w:val="none" w:sz="0" w:space="0" w:color="auto"/>
                                                                                                                                                                                                                                                                                <w:right w:val="none" w:sz="0" w:space="0" w:color="auto"/>
                                                                                                                                                                                                                                                                              </w:divBdr>
                                                                                                                                                                                                                                                                              <w:divsChild>
                                                                                                                                                                                                                                                                                <w:div w:id="781195178">
                                                                                                                                                                                                                                                                                  <w:marLeft w:val="0"/>
                                                                                                                                                                                                                                                                                  <w:marRight w:val="0"/>
                                                                                                                                                                                                                                                                                  <w:marTop w:val="0"/>
                                                                                                                                                                                                                                                                                  <w:marBottom w:val="0"/>
                                                                                                                                                                                                                                                                                  <w:divBdr>
                                                                                                                                                                                                                                                                                    <w:top w:val="none" w:sz="0" w:space="0" w:color="auto"/>
                                                                                                                                                                                                                                                                                    <w:left w:val="none" w:sz="0" w:space="0" w:color="auto"/>
                                                                                                                                                                                                                                                                                    <w:bottom w:val="none" w:sz="0" w:space="0" w:color="auto"/>
                                                                                                                                                                                                                                                                                    <w:right w:val="none" w:sz="0" w:space="0" w:color="auto"/>
                                                                                                                                                                                                                                                                                  </w:divBdr>
                                                                                                                                                                                                                                                                                  <w:divsChild>
                                                                                                                                                                                                                                                                                    <w:div w:id="1299340411">
                                                                                                                                                                                                                                                                                      <w:marLeft w:val="0"/>
                                                                                                                                                                                                                                                                                      <w:marRight w:val="0"/>
                                                                                                                                                                                                                                                                                      <w:marTop w:val="0"/>
                                                                                                                                                                                                                                                                                      <w:marBottom w:val="0"/>
                                                                                                                                                                                                                                                                                      <w:divBdr>
                                                                                                                                                                                                                                                                                        <w:top w:val="none" w:sz="0" w:space="0" w:color="auto"/>
                                                                                                                                                                                                                                                                                        <w:left w:val="none" w:sz="0" w:space="0" w:color="auto"/>
                                                                                                                                                                                                                                                                                        <w:bottom w:val="none" w:sz="0" w:space="0" w:color="auto"/>
                                                                                                                                                                                                                                                                                        <w:right w:val="none" w:sz="0" w:space="0" w:color="auto"/>
                                                                                                                                                                                                                                                                                      </w:divBdr>
                                                                                                                                                                                                                                                                                      <w:divsChild>
                                                                                                                                                                                                                                                                                        <w:div w:id="48652966">
                                                                                                                                                                                                                                                                                          <w:marLeft w:val="0"/>
                                                                                                                                                                                                                                                                                          <w:marRight w:val="0"/>
                                                                                                                                                                                                                                                                                          <w:marTop w:val="0"/>
                                                                                                                                                                                                                                                                                          <w:marBottom w:val="0"/>
                                                                                                                                                                                                                                                                                          <w:divBdr>
                                                                                                                                                                                                                                                                                            <w:top w:val="none" w:sz="0" w:space="0" w:color="auto"/>
                                                                                                                                                                                                                                                                                            <w:left w:val="none" w:sz="0" w:space="0" w:color="auto"/>
                                                                                                                                                                                                                                                                                            <w:bottom w:val="none" w:sz="0" w:space="0" w:color="auto"/>
                                                                                                                                                                                                                                                                                            <w:right w:val="none" w:sz="0" w:space="0" w:color="auto"/>
                                                                                                                                                                                                                                                                                          </w:divBdr>
                                                                                                                                                                                                                                                                                          <w:divsChild>
                                                                                                                                                                                                                                                                                            <w:div w:id="1655991428">
                                                                                                                                                                                                                                                                                              <w:marLeft w:val="0"/>
                                                                                                                                                                                                                                                                                              <w:marRight w:val="0"/>
                                                                                                                                                                                                                                                                                              <w:marTop w:val="0"/>
                                                                                                                                                                                                                                                                                              <w:marBottom w:val="0"/>
                                                                                                                                                                                                                                                                                              <w:divBdr>
                                                                                                                                                                                                                                                                                                <w:top w:val="none" w:sz="0" w:space="0" w:color="auto"/>
                                                                                                                                                                                                                                                                                                <w:left w:val="none" w:sz="0" w:space="0" w:color="auto"/>
                                                                                                                                                                                                                                                                                                <w:bottom w:val="none" w:sz="0" w:space="0" w:color="auto"/>
                                                                                                                                                                                                                                                                                                <w:right w:val="none" w:sz="0" w:space="0" w:color="auto"/>
                                                                                                                                                                                                                                                                                              </w:divBdr>
                                                                                                                                                                                                                                                                                              <w:divsChild>
                                                                                                                                                                                                                                                                                                <w:div w:id="1363049994">
                                                                                                                                                                                                                                                                                                  <w:marLeft w:val="0"/>
                                                                                                                                                                                                                                                                                                  <w:marRight w:val="0"/>
                                                                                                                                                                                                                                                                                                  <w:marTop w:val="0"/>
                                                                                                                                                                                                                                                                                                  <w:marBottom w:val="0"/>
                                                                                                                                                                                                                                                                                                  <w:divBdr>
                                                                                                                                                                                                                                                                                                    <w:top w:val="none" w:sz="0" w:space="0" w:color="auto"/>
                                                                                                                                                                                                                                                                                                    <w:left w:val="none" w:sz="0" w:space="0" w:color="auto"/>
                                                                                                                                                                                                                                                                                                    <w:bottom w:val="none" w:sz="0" w:space="0" w:color="auto"/>
                                                                                                                                                                                                                                                                                                    <w:right w:val="none" w:sz="0" w:space="0" w:color="auto"/>
                                                                                                                                                                                                                                                                                                  </w:divBdr>
                                                                                                                                                                                                                                                                                                </w:div>
                                                                                                                                                                                                                                                                                                <w:div w:id="1900359948">
                                                                                                                                                                                                                                                                                                  <w:marLeft w:val="0"/>
                                                                                                                                                                                                                                                                                                  <w:marRight w:val="0"/>
                                                                                                                                                                                                                                                                                                  <w:marTop w:val="0"/>
                                                                                                                                                                                                                                                                                                  <w:marBottom w:val="0"/>
                                                                                                                                                                                                                                                                                                  <w:divBdr>
                                                                                                                                                                                                                                                                                                    <w:top w:val="none" w:sz="0" w:space="0" w:color="auto"/>
                                                                                                                                                                                                                                                                                                    <w:left w:val="none" w:sz="0" w:space="0" w:color="auto"/>
                                                                                                                                                                                                                                                                                                    <w:bottom w:val="none" w:sz="0" w:space="0" w:color="auto"/>
                                                                                                                                                                                                                                                                                                    <w:right w:val="none" w:sz="0" w:space="0" w:color="auto"/>
                                                                                                                                                                                                                                                                                                  </w:divBdr>
                                                                                                                                                                                                                                                                                                  <w:divsChild>
                                                                                                                                                                                                                                                                                                    <w:div w:id="1920821282">
                                                                                                                                                                                                                                                                                                      <w:marLeft w:val="0"/>
                                                                                                                                                                                                                                                                                                      <w:marRight w:val="0"/>
                                                                                                                                                                                                                                                                                                      <w:marTop w:val="0"/>
                                                                                                                                                                                                                                                                                                      <w:marBottom w:val="0"/>
                                                                                                                                                                                                                                                                                                      <w:divBdr>
                                                                                                                                                                                                                                                                                                        <w:top w:val="none" w:sz="0" w:space="0" w:color="auto"/>
                                                                                                                                                                                                                                                                                                        <w:left w:val="none" w:sz="0" w:space="0" w:color="auto"/>
                                                                                                                                                                                                                                                                                                        <w:bottom w:val="none" w:sz="0" w:space="0" w:color="auto"/>
                                                                                                                                                                                                                                                                                                        <w:right w:val="none" w:sz="0" w:space="0" w:color="auto"/>
                                                                                                                                                                                                                                                                                                      </w:divBdr>
                                                                                                                                                                                                                                                                                                      <w:divsChild>
                                                                                                                                                                                                                                                                                                        <w:div w:id="1539968935">
                                                                                                                                                                                                                                                                                                          <w:marLeft w:val="0"/>
                                                                                                                                                                                                                                                                                                          <w:marRight w:val="0"/>
                                                                                                                                                                                                                                                                                                          <w:marTop w:val="0"/>
                                                                                                                                                                                                                                                                                                          <w:marBottom w:val="0"/>
                                                                                                                                                                                                                                                                                                          <w:divBdr>
                                                                                                                                                                                                                                                                                                            <w:top w:val="none" w:sz="0" w:space="0" w:color="auto"/>
                                                                                                                                                                                                                                                                                                            <w:left w:val="none" w:sz="0" w:space="0" w:color="auto"/>
                                                                                                                                                                                                                                                                                                            <w:bottom w:val="none" w:sz="0" w:space="0" w:color="auto"/>
                                                                                                                                                                                                                                                                                                            <w:right w:val="none" w:sz="0" w:space="0" w:color="auto"/>
                                                                                                                                                                                                                                                                                                          </w:divBdr>
                                                                                                                                                                                                                                                                                                          <w:divsChild>
                                                                                                                                                                                                                                                                                                            <w:div w:id="199437063">
                                                                                                                                                                                                                                                                                                              <w:marLeft w:val="0"/>
                                                                                                                                                                                                                                                                                                              <w:marRight w:val="0"/>
                                                                                                                                                                                                                                                                                                              <w:marTop w:val="0"/>
                                                                                                                                                                                                                                                                                                              <w:marBottom w:val="0"/>
                                                                                                                                                                                                                                                                                                              <w:divBdr>
                                                                                                                                                                                                                                                                                                                <w:top w:val="none" w:sz="0" w:space="0" w:color="auto"/>
                                                                                                                                                                                                                                                                                                                <w:left w:val="none" w:sz="0" w:space="0" w:color="auto"/>
                                                                                                                                                                                                                                                                                                                <w:bottom w:val="none" w:sz="0" w:space="0" w:color="auto"/>
                                                                                                                                                                                                                                                                                                                <w:right w:val="none" w:sz="0" w:space="0" w:color="auto"/>
                                                                                                                                                                                                                                                                                                              </w:divBdr>
                                                                                                                                                                                                                                                                                                              <w:divsChild>
                                                                                                                                                                                                                                                                                                                <w:div w:id="1107503165">
                                                                                                                                                                                                                                                                                                                  <w:marLeft w:val="0"/>
                                                                                                                                                                                                                                                                                                                  <w:marRight w:val="0"/>
                                                                                                                                                                                                                                                                                                                  <w:marTop w:val="0"/>
                                                                                                                                                                                                                                                                                                                  <w:marBottom w:val="0"/>
                                                                                                                                                                                                                                                                                                                  <w:divBdr>
                                                                                                                                                                                                                                                                                                                    <w:top w:val="none" w:sz="0" w:space="0" w:color="auto"/>
                                                                                                                                                                                                                                                                                                                    <w:left w:val="none" w:sz="0" w:space="0" w:color="auto"/>
                                                                                                                                                                                                                                                                                                                    <w:bottom w:val="none" w:sz="0" w:space="0" w:color="auto"/>
                                                                                                                                                                                                                                                                                                                    <w:right w:val="none" w:sz="0" w:space="0" w:color="auto"/>
                                                                                                                                                                                                                                                                                                                  </w:divBdr>
                                                                                                                                                                                                                                                                                                                  <w:divsChild>
                                                                                                                                                                                                                                                                                                                    <w:div w:id="1314796684">
                                                                                                                                                                                                                                                                                                                      <w:marLeft w:val="0"/>
                                                                                                                                                                                                                                                                                                                      <w:marRight w:val="0"/>
                                                                                                                                                                                                                                                                                                                      <w:marTop w:val="0"/>
                                                                                                                                                                                                                                                                                                                      <w:marBottom w:val="0"/>
                                                                                                                                                                                                                                                                                                                      <w:divBdr>
                                                                                                                                                                                                                                                                                                                        <w:top w:val="none" w:sz="0" w:space="0" w:color="auto"/>
                                                                                                                                                                                                                                                                                                                        <w:left w:val="none" w:sz="0" w:space="0" w:color="auto"/>
                                                                                                                                                                                                                                                                                                                        <w:bottom w:val="none" w:sz="0" w:space="0" w:color="auto"/>
                                                                                                                                                                                                                                                                                                                        <w:right w:val="none" w:sz="0" w:space="0" w:color="auto"/>
                                                                                                                                                                                                                                                                                                                      </w:divBdr>
                                                                                                                                                                                                                                                                                                                      <w:divsChild>
                                                                                                                                                                                                                                                                                                                        <w:div w:id="57636893">
                                                                                                                                                                                                                                                                                                                          <w:marLeft w:val="0"/>
                                                                                                                                                                                                                                                                                                                          <w:marRight w:val="0"/>
                                                                                                                                                                                                                                                                                                                          <w:marTop w:val="0"/>
                                                                                                                                                                                                                                                                                                                          <w:marBottom w:val="0"/>
                                                                                                                                                                                                                                                                                                                          <w:divBdr>
                                                                                                                                                                                                                                                                                                                            <w:top w:val="none" w:sz="0" w:space="0" w:color="auto"/>
                                                                                                                                                                                                                                                                                                                            <w:left w:val="none" w:sz="0" w:space="0" w:color="auto"/>
                                                                                                                                                                                                                                                                                                                            <w:bottom w:val="none" w:sz="0" w:space="0" w:color="auto"/>
                                                                                                                                                                                                                                                                                                                            <w:right w:val="none" w:sz="0" w:space="0" w:color="auto"/>
                                                                                                                                                                                                                                                                                                                          </w:divBdr>
                                                                                                                                                                                                                                                                                                                          <w:divsChild>
                                                                                                                                                                                                                                                                                                                            <w:div w:id="2097706248">
                                                                                                                                                                                                                                                                                                                              <w:marLeft w:val="0"/>
                                                                                                                                                                                                                                                                                                                              <w:marRight w:val="0"/>
                                                                                                                                                                                                                                                                                                                              <w:marTop w:val="0"/>
                                                                                                                                                                                                                                                                                                                              <w:marBottom w:val="0"/>
                                                                                                                                                                                                                                                                                                                              <w:divBdr>
                                                                                                                                                                                                                                                                                                                                <w:top w:val="none" w:sz="0" w:space="0" w:color="auto"/>
                                                                                                                                                                                                                                                                                                                                <w:left w:val="none" w:sz="0" w:space="0" w:color="auto"/>
                                                                                                                                                                                                                                                                                                                                <w:bottom w:val="none" w:sz="0" w:space="0" w:color="auto"/>
                                                                                                                                                                                                                                                                                                                                <w:right w:val="none" w:sz="0" w:space="0" w:color="auto"/>
                                                                                                                                                                                                                                                                                                                              </w:divBdr>
                                                                                                                                                                                                                                                                                                                              <w:divsChild>
                                                                                                                                                                                                                                                                                                                                <w:div w:id="1277643712">
                                                                                                                                                                                                                                                                                                                                  <w:marLeft w:val="0"/>
                                                                                                                                                                                                                                                                                                                                  <w:marRight w:val="0"/>
                                                                                                                                                                                                                                                                                                                                  <w:marTop w:val="0"/>
                                                                                                                                                                                                                                                                                                                                  <w:marBottom w:val="0"/>
                                                                                                                                                                                                                                                                                                                                  <w:divBdr>
                                                                                                                                                                                                                                                                                                                                    <w:top w:val="none" w:sz="0" w:space="0" w:color="auto"/>
                                                                                                                                                                                                                                                                                                                                    <w:left w:val="none" w:sz="0" w:space="0" w:color="auto"/>
                                                                                                                                                                                                                                                                                                                                    <w:bottom w:val="none" w:sz="0" w:space="0" w:color="auto"/>
                                                                                                                                                                                                                                                                                                                                    <w:right w:val="none" w:sz="0" w:space="0" w:color="auto"/>
                                                                                                                                                                                                                                                                                                                                  </w:divBdr>
                                                                                                                                                                                                                                                                                                                                  <w:divsChild>
                                                                                                                                                                                                                                                                                                                                    <w:div w:id="1884175972">
                                                                                                                                                                                                                                                                                                                                      <w:marLeft w:val="0"/>
                                                                                                                                                                                                                                                                                                                                      <w:marRight w:val="0"/>
                                                                                                                                                                                                                                                                                                                                      <w:marTop w:val="0"/>
                                                                                                                                                                                                                                                                                                                                      <w:marBottom w:val="0"/>
                                                                                                                                                                                                                                                                                                                                      <w:divBdr>
                                                                                                                                                                                                                                                                                                                                        <w:top w:val="none" w:sz="0" w:space="0" w:color="auto"/>
                                                                                                                                                                                                                                                                                                                                        <w:left w:val="none" w:sz="0" w:space="0" w:color="auto"/>
                                                                                                                                                                                                                                                                                                                                        <w:bottom w:val="none" w:sz="0" w:space="0" w:color="auto"/>
                                                                                                                                                                                                                                                                                                                                        <w:right w:val="none" w:sz="0" w:space="0" w:color="auto"/>
                                                                                                                                                                                                                                                                                                                                      </w:divBdr>
                                                                                                                                                                                                                                                                                                                                      <w:divsChild>
                                                                                                                                                                                                                                                                                                                                        <w:div w:id="2055276772">
                                                                                                                                                                                                                                                                                                                                          <w:marLeft w:val="0"/>
                                                                                                                                                                                                                                                                                                                                          <w:marRight w:val="0"/>
                                                                                                                                                                                                                                                                                                                                          <w:marTop w:val="0"/>
                                                                                                                                                                                                                                                                                                                                          <w:marBottom w:val="0"/>
                                                                                                                                                                                                                                                                                                                                          <w:divBdr>
                                                                                                                                                                                                                                                                                                                                            <w:top w:val="none" w:sz="0" w:space="0" w:color="auto"/>
                                                                                                                                                                                                                                                                                                                                            <w:left w:val="none" w:sz="0" w:space="0" w:color="auto"/>
                                                                                                                                                                                                                                                                                                                                            <w:bottom w:val="none" w:sz="0" w:space="0" w:color="auto"/>
                                                                                                                                                                                                                                                                                                                                            <w:right w:val="none" w:sz="0" w:space="0" w:color="auto"/>
                                                                                                                                                                                                                                                                                                                                          </w:divBdr>
                                                                                                                                                                                                                                                                                                                                          <w:divsChild>
                                                                                                                                                                                                                                                                                                                                            <w:div w:id="59863937">
                                                                                                                                                                                                                                                                                                                                              <w:marLeft w:val="0"/>
                                                                                                                                                                                                                                                                                                                                              <w:marRight w:val="0"/>
                                                                                                                                                                                                                                                                                                                                              <w:marTop w:val="0"/>
                                                                                                                                                                                                                                                                                                                                              <w:marBottom w:val="0"/>
                                                                                                                                                                                                                                                                                                                                              <w:divBdr>
                                                                                                                                                                                                                                                                                                                                                <w:top w:val="none" w:sz="0" w:space="0" w:color="auto"/>
                                                                                                                                                                                                                                                                                                                                                <w:left w:val="none" w:sz="0" w:space="0" w:color="auto"/>
                                                                                                                                                                                                                                                                                                                                                <w:bottom w:val="none" w:sz="0" w:space="0" w:color="auto"/>
                                                                                                                                                                                                                                                                                                                                                <w:right w:val="none" w:sz="0" w:space="0" w:color="auto"/>
                                                                                                                                                                                                                                                                                                                                              </w:divBdr>
                                                                                                                                                                                                                                                                                                                                              <w:divsChild>
                                                                                                                                                                                                                                                                                                                                                <w:div w:id="338586218">
                                                                                                                                                                                                                                                                                                                                                  <w:marLeft w:val="0"/>
                                                                                                                                                                                                                                                                                                                                                  <w:marRight w:val="0"/>
                                                                                                                                                                                                                                                                                                                                                  <w:marTop w:val="0"/>
                                                                                                                                                                                                                                                                                                                                                  <w:marBottom w:val="0"/>
                                                                                                                                                                                                                                                                                                                                                  <w:divBdr>
                                                                                                                                                                                                                                                                                                                                                    <w:top w:val="none" w:sz="0" w:space="0" w:color="auto"/>
                                                                                                                                                                                                                                                                                                                                                    <w:left w:val="none" w:sz="0" w:space="0" w:color="auto"/>
                                                                                                                                                                                                                                                                                                                                                    <w:bottom w:val="none" w:sz="0" w:space="0" w:color="auto"/>
                                                                                                                                                                                                                                                                                                                                                    <w:right w:val="none" w:sz="0" w:space="0" w:color="auto"/>
                                                                                                                                                                                                                                                                                                                                                  </w:divBdr>
                                                                                                                                                                                                                                                                                                                                                  <w:divsChild>
                                                                                                                                                                                                                                                                                                                                                    <w:div w:id="603420590">
                                                                                                                                                                                                                                                                                                                                                      <w:marLeft w:val="0"/>
                                                                                                                                                                                                                                                                                                                                                      <w:marRight w:val="0"/>
                                                                                                                                                                                                                                                                                                                                                      <w:marTop w:val="0"/>
                                                                                                                                                                                                                                                                                                                                                      <w:marBottom w:val="0"/>
                                                                                                                                                                                                                                                                                                                                                      <w:divBdr>
                                                                                                                                                                                                                                                                                                                                                        <w:top w:val="none" w:sz="0" w:space="0" w:color="auto"/>
                                                                                                                                                                                                                                                                                                                                                        <w:left w:val="none" w:sz="0" w:space="0" w:color="auto"/>
                                                                                                                                                                                                                                                                                                                                                        <w:bottom w:val="none" w:sz="0" w:space="0" w:color="auto"/>
                                                                                                                                                                                                                                                                                                                                                        <w:right w:val="none" w:sz="0" w:space="0" w:color="auto"/>
                                                                                                                                                                                                                                                                                                                                                      </w:divBdr>
                                                                                                                                                                                                                                                                                                                                                      <w:divsChild>
                                                                                                                                                                                                                                                                                                                                                        <w:div w:id="676226546">
                                                                                                                                                                                                                                                                                                                                                          <w:marLeft w:val="0"/>
                                                                                                                                                                                                                                                                                                                                                          <w:marRight w:val="0"/>
                                                                                                                                                                                                                                                                                                                                                          <w:marTop w:val="0"/>
                                                                                                                                                                                                                                                                                                                                                          <w:marBottom w:val="0"/>
                                                                                                                                                                                                                                                                                                                                                          <w:divBdr>
                                                                                                                                                                                                                                                                                                                                                            <w:top w:val="none" w:sz="0" w:space="0" w:color="auto"/>
                                                                                                                                                                                                                                                                                                                                                            <w:left w:val="none" w:sz="0" w:space="0" w:color="auto"/>
                                                                                                                                                                                                                                                                                                                                                            <w:bottom w:val="none" w:sz="0" w:space="0" w:color="auto"/>
                                                                                                                                                                                                                                                                                                                                                            <w:right w:val="none" w:sz="0" w:space="0" w:color="auto"/>
                                                                                                                                                                                                                                                                                                                                                          </w:divBdr>
                                                                                                                                                                                                                                                                                                                                                          <w:divsChild>
                                                                                                                                                                                                                                                                                                                                                            <w:div w:id="1529951471">
                                                                                                                                                                                                                                                                                                                                                              <w:marLeft w:val="0"/>
                                                                                                                                                                                                                                                                                                                                                              <w:marRight w:val="0"/>
                                                                                                                                                                                                                                                                                                                                                              <w:marTop w:val="0"/>
                                                                                                                                                                                                                                                                                                                                                              <w:marBottom w:val="0"/>
                                                                                                                                                                                                                                                                                                                                                              <w:divBdr>
                                                                                                                                                                                                                                                                                                                                                                <w:top w:val="none" w:sz="0" w:space="0" w:color="auto"/>
                                                                                                                                                                                                                                                                                                                                                                <w:left w:val="none" w:sz="0" w:space="0" w:color="auto"/>
                                                                                                                                                                                                                                                                                                                                                                <w:bottom w:val="none" w:sz="0" w:space="0" w:color="auto"/>
                                                                                                                                                                                                                                                                                                                                                                <w:right w:val="none" w:sz="0" w:space="0" w:color="auto"/>
                                                                                                                                                                                                                                                                                                                                                              </w:divBdr>
                                                                                                                                                                                                                                                                                                                                                              <w:divsChild>
                                                                                                                                                                                                                                                                                                                                                                <w:div w:id="215288331">
                                                                                                                                                                                                                                                                                                                                                                  <w:marLeft w:val="0"/>
                                                                                                                                                                                                                                                                                                                                                                  <w:marRight w:val="0"/>
                                                                                                                                                                                                                                                                                                                                                                  <w:marTop w:val="0"/>
                                                                                                                                                                                                                                                                                                                                                                  <w:marBottom w:val="0"/>
                                                                                                                                                                                                                                                                                                                                                                  <w:divBdr>
                                                                                                                                                                                                                                                                                                                                                                    <w:top w:val="none" w:sz="0" w:space="0" w:color="auto"/>
                                                                                                                                                                                                                                                                                                                                                                    <w:left w:val="none" w:sz="0" w:space="0" w:color="auto"/>
                                                                                                                                                                                                                                                                                                                                                                    <w:bottom w:val="none" w:sz="0" w:space="0" w:color="auto"/>
                                                                                                                                                                                                                                                                                                                                                                    <w:right w:val="none" w:sz="0" w:space="0" w:color="auto"/>
                                                                                                                                                                                                                                                                                                                                                                  </w:divBdr>
                                                                                                                                                                                                                                                                                                                                                                  <w:divsChild>
                                                                                                                                                                                                                                                                                                                                                                    <w:div w:id="237255777">
                                                                                                                                                                                                                                                                                                                                                                      <w:marLeft w:val="0"/>
                                                                                                                                                                                                                                                                                                                                                                      <w:marRight w:val="0"/>
                                                                                                                                                                                                                                                                                                                                                                      <w:marTop w:val="0"/>
                                                                                                                                                                                                                                                                                                                                                                      <w:marBottom w:val="0"/>
                                                                                                                                                                                                                                                                                                                                                                      <w:divBdr>
                                                                                                                                                                                                                                                                                                                                                                        <w:top w:val="none" w:sz="0" w:space="0" w:color="auto"/>
                                                                                                                                                                                                                                                                                                                                                                        <w:left w:val="none" w:sz="0" w:space="0" w:color="auto"/>
                                                                                                                                                                                                                                                                                                                                                                        <w:bottom w:val="none" w:sz="0" w:space="0" w:color="auto"/>
                                                                                                                                                                                                                                                                                                                                                                        <w:right w:val="none" w:sz="0" w:space="0" w:color="auto"/>
                                                                                                                                                                                                                                                                                                                                                                      </w:divBdr>
                                                                                                                                                                                                                                                                                                                                                                      <w:divsChild>
                                                                                                                                                                                                                                                                                                                                                                        <w:div w:id="2123529795">
                                                                                                                                                                                                                                                                                                                                                                          <w:marLeft w:val="0"/>
                                                                                                                                                                                                                                                                                                                                                                          <w:marRight w:val="0"/>
                                                                                                                                                                                                                                                                                                                                                                          <w:marTop w:val="0"/>
                                                                                                                                                                                                                                                                                                                                                                          <w:marBottom w:val="0"/>
                                                                                                                                                                                                                                                                                                                                                                          <w:divBdr>
                                                                                                                                                                                                                                                                                                                                                                            <w:top w:val="none" w:sz="0" w:space="0" w:color="auto"/>
                                                                                                                                                                                                                                                                                                                                                                            <w:left w:val="none" w:sz="0" w:space="0" w:color="auto"/>
                                                                                                                                                                                                                                                                                                                                                                            <w:bottom w:val="none" w:sz="0" w:space="0" w:color="auto"/>
                                                                                                                                                                                                                                                                                                                                                                            <w:right w:val="none" w:sz="0" w:space="0" w:color="auto"/>
                                                                                                                                                                                                                                                                                                                                                                          </w:divBdr>
                                                                                                                                                                                                                                                                                                                                                                          <w:divsChild>
                                                                                                                                                                                                                                                                                                                                                                            <w:div w:id="2141878796">
                                                                                                                                                                                                                                                                                                                                                                              <w:marLeft w:val="0"/>
                                                                                                                                                                                                                                                                                                                                                                              <w:marRight w:val="0"/>
                                                                                                                                                                                                                                                                                                                                                                              <w:marTop w:val="0"/>
                                                                                                                                                                                                                                                                                                                                                                              <w:marBottom w:val="0"/>
                                                                                                                                                                                                                                                                                                                                                                              <w:divBdr>
                                                                                                                                                                                                                                                                                                                                                                                <w:top w:val="none" w:sz="0" w:space="0" w:color="auto"/>
                                                                                                                                                                                                                                                                                                                                                                                <w:left w:val="none" w:sz="0" w:space="0" w:color="auto"/>
                                                                                                                                                                                                                                                                                                                                                                                <w:bottom w:val="none" w:sz="0" w:space="0" w:color="auto"/>
                                                                                                                                                                                                                                                                                                                                                                                <w:right w:val="none" w:sz="0" w:space="0" w:color="auto"/>
                                                                                                                                                                                                                                                                                                                                                                              </w:divBdr>
                                                                                                                                                                                                                                                                                                                                                                              <w:divsChild>
                                                                                                                                                                                                                                                                                                                                                                                <w:div w:id="898247603">
                                                                                                                                                                                                                                                                                                                                                                                  <w:marLeft w:val="0"/>
                                                                                                                                                                                                                                                                                                                                                                                  <w:marRight w:val="0"/>
                                                                                                                                                                                                                                                                                                                                                                                  <w:marTop w:val="0"/>
                                                                                                                                                                                                                                                                                                                                                                                  <w:marBottom w:val="0"/>
                                                                                                                                                                                                                                                                                                                                                                                  <w:divBdr>
                                                                                                                                                                                                                                                                                                                                                                                    <w:top w:val="none" w:sz="0" w:space="0" w:color="auto"/>
                                                                                                                                                                                                                                                                                                                                                                                    <w:left w:val="none" w:sz="0" w:space="0" w:color="auto"/>
                                                                                                                                                                                                                                                                                                                                                                                    <w:bottom w:val="none" w:sz="0" w:space="0" w:color="auto"/>
                                                                                                                                                                                                                                                                                                                                                                                    <w:right w:val="none" w:sz="0" w:space="0" w:color="auto"/>
                                                                                                                                                                                                                                                                                                                                                                                  </w:divBdr>
                                                                                                                                                                                                                                                                                                                                                                                  <w:divsChild>
                                                                                                                                                                                                                                                                                                                                                                                    <w:div w:id="1443843010">
                                                                                                                                                                                                                                                                                                                                                                                      <w:marLeft w:val="0"/>
                                                                                                                                                                                                                                                                                                                                                                                      <w:marRight w:val="0"/>
                                                                                                                                                                                                                                                                                                                                                                                      <w:marTop w:val="0"/>
                                                                                                                                                                                                                                                                                                                                                                                      <w:marBottom w:val="0"/>
                                                                                                                                                                                                                                                                                                                                                                                      <w:divBdr>
                                                                                                                                                                                                                                                                                                                                                                                        <w:top w:val="none" w:sz="0" w:space="0" w:color="auto"/>
                                                                                                                                                                                                                                                                                                                                                                                        <w:left w:val="none" w:sz="0" w:space="0" w:color="auto"/>
                                                                                                                                                                                                                                                                                                                                                                                        <w:bottom w:val="none" w:sz="0" w:space="0" w:color="auto"/>
                                                                                                                                                                                                                                                                                                                                                                                        <w:right w:val="none" w:sz="0" w:space="0" w:color="auto"/>
                                                                                                                                                                                                                                                                                                                                                                                      </w:divBdr>
                                                                                                                                                                                                                                                                                                                                                                                      <w:divsChild>
                                                                                                                                                                                                                                                                                                                                                                                        <w:div w:id="1502813690">
                                                                                                                                                                                                                                                                                                                                                                                          <w:marLeft w:val="0"/>
                                                                                                                                                                                                                                                                                                                                                                                          <w:marRight w:val="0"/>
                                                                                                                                                                                                                                                                                                                                                                                          <w:marTop w:val="0"/>
                                                                                                                                                                                                                                                                                                                                                                                          <w:marBottom w:val="0"/>
                                                                                                                                                                                                                                                                                                                                                                                          <w:divBdr>
                                                                                                                                                                                                                                                                                                                                                                                            <w:top w:val="none" w:sz="0" w:space="0" w:color="auto"/>
                                                                                                                                                                                                                                                                                                                                                                                            <w:left w:val="none" w:sz="0" w:space="0" w:color="auto"/>
                                                                                                                                                                                                                                                                                                                                                                                            <w:bottom w:val="none" w:sz="0" w:space="0" w:color="auto"/>
                                                                                                                                                                                                                                                                                                                                                                                            <w:right w:val="none" w:sz="0" w:space="0" w:color="auto"/>
                                                                                                                                                                                                                                                                                                                                                                                          </w:divBdr>
                                                                                                                                                                                                                                                                                                                                                                                          <w:divsChild>
                                                                                                                                                                                                                                                                                                                                                                                            <w:div w:id="91836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1710792">
      <w:bodyDiv w:val="1"/>
      <w:marLeft w:val="0"/>
      <w:marRight w:val="0"/>
      <w:marTop w:val="0"/>
      <w:marBottom w:val="0"/>
      <w:divBdr>
        <w:top w:val="none" w:sz="0" w:space="0" w:color="auto"/>
        <w:left w:val="none" w:sz="0" w:space="0" w:color="auto"/>
        <w:bottom w:val="none" w:sz="0" w:space="0" w:color="auto"/>
        <w:right w:val="none" w:sz="0" w:space="0" w:color="auto"/>
      </w:divBdr>
    </w:div>
    <w:div w:id="1836725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png"/></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T~1\AppData\Local\Temp\cm_com_msw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E8F736-6D9C-40CB-A811-576EF66EB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cm_com_msw2010</Template>
  <TotalTime>0</TotalTime>
  <Pages>5</Pages>
  <Words>3141</Words>
  <Characters>138893</Characters>
  <Application>Microsoft Office Word</Application>
  <DocSecurity>0</DocSecurity>
  <Lines>1157</Lines>
  <Paragraphs>283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141751</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Christiane Dahl</dc:creator>
  <cp:lastModifiedBy>Julia</cp:lastModifiedBy>
  <cp:revision>4</cp:revision>
  <cp:lastPrinted>2015-09-28T09:05:00Z</cp:lastPrinted>
  <dcterms:created xsi:type="dcterms:W3CDTF">2015-09-28T10:23:00Z</dcterms:created>
  <dcterms:modified xsi:type="dcterms:W3CDTF">2015-10-07T12:44:00Z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svhelmont@hotmail.de@www.mendeley.com</vt:lpwstr>
  </property>
  <property fmtid="{D5CDD505-2E9C-101B-9397-08002B2CF9AE}" pid="4" name="Mendeley Citation Style_1">
    <vt:lpwstr>http://csl.mendeley.com/styles/20977571/american-chemical-society-page-first</vt:lpwstr>
  </property>
  <property fmtid="{D5CDD505-2E9C-101B-9397-08002B2CF9AE}" pid="5" name="Mendeley Recent Style Id 0_1">
    <vt:lpwstr>http://csl.mendeley.com/styles/20977571/american-chemical-society-page-first</vt:lpwstr>
  </property>
  <property fmtid="{D5CDD505-2E9C-101B-9397-08002B2CF9AE}" pid="6" name="Mendeley Recent Style Name 0_1">
    <vt:lpwstr>American Chemical Society (page-first) - Sebastian Dunkelsonne</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16th edition (author-date)</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http://www.zotero.org/styles/journal-of-the-american-chemical-society</vt:lpwstr>
  </property>
  <property fmtid="{D5CDD505-2E9C-101B-9397-08002B2CF9AE}" pid="18" name="Mendeley Recent Style Name 6_1">
    <vt:lpwstr>Journal of the American Chemical Society</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_AdHocReviewCycleID">
    <vt:i4>-1999543103</vt:i4>
  </property>
  <property fmtid="{D5CDD505-2E9C-101B-9397-08002B2CF9AE}" pid="26" name="_NewReviewCycle">
    <vt:lpwstr/>
  </property>
  <property fmtid="{D5CDD505-2E9C-101B-9397-08002B2CF9AE}" pid="27" name="_EmailSubject">
    <vt:lpwstr>revised manuscript</vt:lpwstr>
  </property>
  <property fmtid="{D5CDD505-2E9C-101B-9397-08002B2CF9AE}" pid="28" name="_AuthorEmail">
    <vt:lpwstr>J.Butt@uea.ac.uk</vt:lpwstr>
  </property>
  <property fmtid="{D5CDD505-2E9C-101B-9397-08002B2CF9AE}" pid="29" name="_AuthorEmailDisplayName">
    <vt:lpwstr>Julea Butt (BIO)</vt:lpwstr>
  </property>
  <property fmtid="{D5CDD505-2E9C-101B-9397-08002B2CF9AE}" pid="30" name="_ReviewingToolsShownOnce">
    <vt:lpwstr/>
  </property>
</Properties>
</file>