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276" w:rsidRDefault="002D5276">
      <w:pPr>
        <w:rPr>
          <w:b/>
          <w:sz w:val="24"/>
          <w:szCs w:val="24"/>
        </w:rPr>
      </w:pPr>
      <w:r>
        <w:rPr>
          <w:b/>
          <w:bCs/>
          <w:sz w:val="24"/>
          <w:szCs w:val="24"/>
        </w:rPr>
        <w:t>Children’s guardians and independent reviewing officers</w:t>
      </w:r>
      <w:r w:rsidRPr="002D5276">
        <w:rPr>
          <w:b/>
          <w:bCs/>
          <w:sz w:val="24"/>
          <w:szCs w:val="24"/>
        </w:rPr>
        <w:t>:</w:t>
      </w:r>
      <w:r>
        <w:rPr>
          <w:b/>
          <w:bCs/>
          <w:sz w:val="24"/>
          <w:szCs w:val="24"/>
        </w:rPr>
        <w:t xml:space="preserve"> representing </w:t>
      </w:r>
      <w:r w:rsidRPr="002D5276">
        <w:rPr>
          <w:b/>
          <w:bCs/>
          <w:sz w:val="24"/>
          <w:szCs w:val="24"/>
        </w:rPr>
        <w:t>children’s interests in care proceedings and beyond</w:t>
      </w:r>
      <w:r w:rsidRPr="002D5276">
        <w:rPr>
          <w:b/>
          <w:sz w:val="24"/>
          <w:szCs w:val="24"/>
        </w:rPr>
        <w:t xml:space="preserve"> </w:t>
      </w:r>
    </w:p>
    <w:p w:rsidR="00512E28" w:rsidRPr="00512E28" w:rsidRDefault="00512E28">
      <w:pPr>
        <w:rPr>
          <w:i/>
          <w:sz w:val="24"/>
          <w:szCs w:val="24"/>
        </w:rPr>
      </w:pPr>
      <w:r w:rsidRPr="00512E28">
        <w:rPr>
          <w:i/>
          <w:sz w:val="24"/>
          <w:szCs w:val="24"/>
        </w:rPr>
        <w:t xml:space="preserve">Jonathan Dickens, </w:t>
      </w:r>
      <w:r w:rsidR="00766C6B">
        <w:rPr>
          <w:i/>
          <w:sz w:val="24"/>
          <w:szCs w:val="24"/>
        </w:rPr>
        <w:t xml:space="preserve">Centre for Research on Children and Families, </w:t>
      </w:r>
      <w:r w:rsidRPr="00512E28">
        <w:rPr>
          <w:i/>
          <w:sz w:val="24"/>
          <w:szCs w:val="24"/>
        </w:rPr>
        <w:t>University of East Anglia</w:t>
      </w:r>
    </w:p>
    <w:p w:rsidR="002D5276" w:rsidRDefault="002D5276">
      <w:pPr>
        <w:rPr>
          <w:sz w:val="24"/>
          <w:szCs w:val="24"/>
        </w:rPr>
      </w:pPr>
      <w:r w:rsidRPr="002D5276">
        <w:rPr>
          <w:sz w:val="24"/>
          <w:szCs w:val="24"/>
        </w:rPr>
        <w:t>This paper draws on research</w:t>
      </w:r>
      <w:r w:rsidR="00E2112B">
        <w:rPr>
          <w:sz w:val="24"/>
          <w:szCs w:val="24"/>
        </w:rPr>
        <w:t xml:space="preserve"> into care planning and the role of the independent reviewing officer for looked after children, and pulls out </w:t>
      </w:r>
      <w:r w:rsidR="00E474D3">
        <w:rPr>
          <w:sz w:val="24"/>
          <w:szCs w:val="24"/>
        </w:rPr>
        <w:t xml:space="preserve">key </w:t>
      </w:r>
      <w:r w:rsidR="00E2112B">
        <w:rPr>
          <w:sz w:val="24"/>
          <w:szCs w:val="24"/>
        </w:rPr>
        <w:t xml:space="preserve">messages for children’s guardians. </w:t>
      </w:r>
      <w:r w:rsidR="00941CD8">
        <w:rPr>
          <w:sz w:val="24"/>
          <w:szCs w:val="24"/>
        </w:rPr>
        <w:t xml:space="preserve">It is based on </w:t>
      </w:r>
      <w:r w:rsidR="00D24791">
        <w:rPr>
          <w:sz w:val="24"/>
          <w:szCs w:val="24"/>
        </w:rPr>
        <w:t xml:space="preserve">a </w:t>
      </w:r>
      <w:r w:rsidR="00941CD8">
        <w:rPr>
          <w:sz w:val="24"/>
          <w:szCs w:val="24"/>
        </w:rPr>
        <w:t xml:space="preserve">presentation given at the 2015 NAGALRO conference. </w:t>
      </w:r>
      <w:r w:rsidR="00E2112B">
        <w:rPr>
          <w:sz w:val="24"/>
          <w:szCs w:val="24"/>
        </w:rPr>
        <w:t>There are important similarities and differences in the roles of these two professionals. Clarity about the distinctions and understanding of the overlaps is essential for good working relationships, and to ensure that plans are made and implemented in the best interests of the children.</w:t>
      </w:r>
    </w:p>
    <w:p w:rsidR="004B63FA" w:rsidRPr="004B63FA" w:rsidRDefault="00D75DF7">
      <w:pPr>
        <w:rPr>
          <w:b/>
          <w:sz w:val="24"/>
          <w:szCs w:val="24"/>
        </w:rPr>
      </w:pPr>
      <w:r w:rsidRPr="004B63FA">
        <w:rPr>
          <w:b/>
          <w:sz w:val="24"/>
          <w:szCs w:val="24"/>
        </w:rPr>
        <w:t>Context</w:t>
      </w:r>
      <w:r w:rsidR="00CD2659">
        <w:rPr>
          <w:b/>
          <w:sz w:val="24"/>
          <w:szCs w:val="24"/>
        </w:rPr>
        <w:t>s</w:t>
      </w:r>
    </w:p>
    <w:p w:rsidR="00D75DF7" w:rsidRPr="004B63FA" w:rsidRDefault="00D75DF7">
      <w:pPr>
        <w:rPr>
          <w:i/>
          <w:sz w:val="24"/>
          <w:szCs w:val="24"/>
        </w:rPr>
      </w:pPr>
      <w:r w:rsidRPr="004B63FA">
        <w:rPr>
          <w:i/>
          <w:sz w:val="24"/>
          <w:szCs w:val="24"/>
        </w:rPr>
        <w:t xml:space="preserve">1: </w:t>
      </w:r>
      <w:r w:rsidR="00E474D3" w:rsidRPr="004B63FA">
        <w:rPr>
          <w:i/>
          <w:sz w:val="24"/>
          <w:szCs w:val="24"/>
        </w:rPr>
        <w:t>T</w:t>
      </w:r>
      <w:r w:rsidRPr="004B63FA">
        <w:rPr>
          <w:i/>
          <w:sz w:val="24"/>
          <w:szCs w:val="24"/>
        </w:rPr>
        <w:t>he role of the IRO</w:t>
      </w:r>
    </w:p>
    <w:p w:rsidR="00D75DF7" w:rsidRDefault="00E2112B">
      <w:pPr>
        <w:rPr>
          <w:sz w:val="24"/>
          <w:szCs w:val="24"/>
        </w:rPr>
      </w:pPr>
      <w:r>
        <w:rPr>
          <w:sz w:val="24"/>
          <w:szCs w:val="24"/>
        </w:rPr>
        <w:t xml:space="preserve">The statutory role of IRO was created in response to misgivings from the courts about the willingness and ability of local authorities to implement the plans that were agreed </w:t>
      </w:r>
      <w:r w:rsidR="00E474D3">
        <w:rPr>
          <w:sz w:val="24"/>
          <w:szCs w:val="24"/>
        </w:rPr>
        <w:t xml:space="preserve">in </w:t>
      </w:r>
      <w:r>
        <w:rPr>
          <w:sz w:val="24"/>
          <w:szCs w:val="24"/>
        </w:rPr>
        <w:t xml:space="preserve">care proceedings. </w:t>
      </w:r>
      <w:r w:rsidR="00775C14">
        <w:rPr>
          <w:sz w:val="24"/>
          <w:szCs w:val="24"/>
        </w:rPr>
        <w:t>R</w:t>
      </w:r>
      <w:r w:rsidR="00775C14" w:rsidRPr="00775C14">
        <w:rPr>
          <w:sz w:val="24"/>
          <w:szCs w:val="24"/>
        </w:rPr>
        <w:t>esearch showed the doubts to be misplaced</w:t>
      </w:r>
      <w:r w:rsidR="00775C14">
        <w:rPr>
          <w:sz w:val="24"/>
          <w:szCs w:val="24"/>
        </w:rPr>
        <w:t xml:space="preserve"> (</w:t>
      </w:r>
      <w:r w:rsidR="00775C14" w:rsidRPr="00775C14">
        <w:rPr>
          <w:sz w:val="24"/>
          <w:szCs w:val="24"/>
        </w:rPr>
        <w:t xml:space="preserve">Hunt and Macleod, 1999; </w:t>
      </w:r>
      <w:proofErr w:type="spellStart"/>
      <w:r w:rsidR="00775C14" w:rsidRPr="00775C14">
        <w:rPr>
          <w:sz w:val="24"/>
          <w:szCs w:val="24"/>
        </w:rPr>
        <w:t>Harwin</w:t>
      </w:r>
      <w:proofErr w:type="spellEnd"/>
      <w:r w:rsidR="00775C14" w:rsidRPr="00775C14">
        <w:rPr>
          <w:sz w:val="24"/>
          <w:szCs w:val="24"/>
        </w:rPr>
        <w:t xml:space="preserve"> </w:t>
      </w:r>
      <w:r w:rsidR="00775C14" w:rsidRPr="00775C14">
        <w:rPr>
          <w:i/>
          <w:sz w:val="24"/>
          <w:szCs w:val="24"/>
        </w:rPr>
        <w:t>et al.</w:t>
      </w:r>
      <w:r w:rsidR="00775C14" w:rsidRPr="00775C14">
        <w:rPr>
          <w:sz w:val="24"/>
          <w:szCs w:val="24"/>
        </w:rPr>
        <w:t>,</w:t>
      </w:r>
      <w:r w:rsidR="00775C14">
        <w:rPr>
          <w:sz w:val="24"/>
          <w:szCs w:val="24"/>
        </w:rPr>
        <w:t xml:space="preserve"> 2003), but nevertheless they </w:t>
      </w:r>
      <w:r w:rsidR="00D24791">
        <w:rPr>
          <w:sz w:val="24"/>
          <w:szCs w:val="24"/>
        </w:rPr>
        <w:t>led to</w:t>
      </w:r>
      <w:r>
        <w:rPr>
          <w:sz w:val="24"/>
          <w:szCs w:val="24"/>
        </w:rPr>
        <w:t xml:space="preserve"> </w:t>
      </w:r>
      <w:r w:rsidR="00D75DF7">
        <w:rPr>
          <w:sz w:val="24"/>
          <w:szCs w:val="24"/>
        </w:rPr>
        <w:t>a</w:t>
      </w:r>
      <w:r>
        <w:rPr>
          <w:sz w:val="24"/>
          <w:szCs w:val="24"/>
        </w:rPr>
        <w:t xml:space="preserve"> Court of Appeal </w:t>
      </w:r>
      <w:r w:rsidR="00D75DF7">
        <w:rPr>
          <w:sz w:val="24"/>
          <w:szCs w:val="24"/>
        </w:rPr>
        <w:t>judgment in 200</w:t>
      </w:r>
      <w:r w:rsidR="00A56F18">
        <w:rPr>
          <w:sz w:val="24"/>
          <w:szCs w:val="24"/>
        </w:rPr>
        <w:t>1</w:t>
      </w:r>
      <w:r w:rsidR="00D75DF7">
        <w:rPr>
          <w:sz w:val="24"/>
          <w:szCs w:val="24"/>
        </w:rPr>
        <w:t xml:space="preserve"> which proposed </w:t>
      </w:r>
      <w:r>
        <w:rPr>
          <w:sz w:val="24"/>
          <w:szCs w:val="24"/>
        </w:rPr>
        <w:t>that the</w:t>
      </w:r>
      <w:r w:rsidR="00E474D3">
        <w:rPr>
          <w:sz w:val="24"/>
          <w:szCs w:val="24"/>
        </w:rPr>
        <w:t xml:space="preserve"> essential </w:t>
      </w:r>
      <w:r>
        <w:rPr>
          <w:sz w:val="24"/>
          <w:szCs w:val="24"/>
        </w:rPr>
        <w:t xml:space="preserve">items on a care plan should be starred, and if they were not achieved within the required timescale, the case should be brought back to court. This judgment was overturned in the House of Lords </w:t>
      </w:r>
      <w:r w:rsidR="00A56F18">
        <w:rPr>
          <w:sz w:val="24"/>
          <w:szCs w:val="24"/>
        </w:rPr>
        <w:t xml:space="preserve">in 2002 </w:t>
      </w:r>
      <w:r>
        <w:rPr>
          <w:sz w:val="24"/>
          <w:szCs w:val="24"/>
        </w:rPr>
        <w:t>for overstepping the proper boundary between the courts and local authorities, but</w:t>
      </w:r>
      <w:r w:rsidR="00D75DF7">
        <w:rPr>
          <w:sz w:val="24"/>
          <w:szCs w:val="24"/>
        </w:rPr>
        <w:t xml:space="preserve"> the concerns were seen as valid, and in need of a remedy. This led to the creation of IROs in the</w:t>
      </w:r>
      <w:r w:rsidR="00A56F18">
        <w:rPr>
          <w:sz w:val="24"/>
          <w:szCs w:val="24"/>
        </w:rPr>
        <w:t xml:space="preserve"> Adoption and Children A</w:t>
      </w:r>
      <w:r w:rsidR="00D75DF7">
        <w:rPr>
          <w:sz w:val="24"/>
          <w:szCs w:val="24"/>
        </w:rPr>
        <w:t>ct 2002. They came into being 2004, but within a very short time doubts were being expressed about their effectiveness and their independence. (IROs are independent of the line management of the case, but employed by the local authority.) In response to these doubts, the Children and Young Persons Act 2008 strengthened the care planning and review requirements, and the</w:t>
      </w:r>
      <w:r w:rsidR="00E474D3">
        <w:rPr>
          <w:sz w:val="24"/>
          <w:szCs w:val="24"/>
        </w:rPr>
        <w:t xml:space="preserve"> powers and duties of </w:t>
      </w:r>
      <w:r w:rsidR="00D75DF7">
        <w:rPr>
          <w:sz w:val="24"/>
          <w:szCs w:val="24"/>
        </w:rPr>
        <w:t>the IRO. New regulations and statutory guidance came into force in April 2011</w:t>
      </w:r>
      <w:r w:rsidR="003F5ECC">
        <w:rPr>
          <w:sz w:val="24"/>
          <w:szCs w:val="24"/>
        </w:rPr>
        <w:t xml:space="preserve"> </w:t>
      </w:r>
      <w:r w:rsidR="003F5ECC" w:rsidRPr="003F5ECC">
        <w:rPr>
          <w:sz w:val="24"/>
          <w:szCs w:val="24"/>
        </w:rPr>
        <w:t>(DCSF, 2010a, b)</w:t>
      </w:r>
      <w:r w:rsidR="00D75DF7">
        <w:rPr>
          <w:sz w:val="24"/>
          <w:szCs w:val="24"/>
        </w:rPr>
        <w:t>. The research project on which this paper is based investigated how these new measures were being put into effect.</w:t>
      </w:r>
    </w:p>
    <w:p w:rsidR="00A56F18" w:rsidRDefault="00A56F18">
      <w:pPr>
        <w:rPr>
          <w:sz w:val="24"/>
          <w:szCs w:val="24"/>
        </w:rPr>
      </w:pPr>
      <w:r>
        <w:rPr>
          <w:sz w:val="24"/>
          <w:szCs w:val="24"/>
        </w:rPr>
        <w:t xml:space="preserve">Since April 2011 there have been continuing doubts about the effectiveness of IROs, highlighted by the judgment in the </w:t>
      </w:r>
      <w:r w:rsidRPr="00A56F18">
        <w:rPr>
          <w:i/>
          <w:sz w:val="24"/>
          <w:szCs w:val="24"/>
        </w:rPr>
        <w:t>Lancashire</w:t>
      </w:r>
      <w:r>
        <w:rPr>
          <w:sz w:val="24"/>
          <w:szCs w:val="24"/>
        </w:rPr>
        <w:t xml:space="preserve"> case</w:t>
      </w:r>
      <w:r w:rsidR="00C2748C">
        <w:rPr>
          <w:sz w:val="24"/>
          <w:szCs w:val="24"/>
        </w:rPr>
        <w:t xml:space="preserve"> in 2012</w:t>
      </w:r>
      <w:r>
        <w:rPr>
          <w:sz w:val="24"/>
          <w:szCs w:val="24"/>
        </w:rPr>
        <w:t xml:space="preserve"> (</w:t>
      </w:r>
      <w:r w:rsidR="00995FB6" w:rsidRPr="00995FB6">
        <w:rPr>
          <w:i/>
          <w:iCs/>
          <w:sz w:val="24"/>
          <w:szCs w:val="24"/>
          <w:lang w:val="en"/>
        </w:rPr>
        <w:t>A and S v Lancashire County Council</w:t>
      </w:r>
      <w:r w:rsidR="00995FB6" w:rsidRPr="00995FB6">
        <w:rPr>
          <w:sz w:val="24"/>
          <w:szCs w:val="24"/>
          <w:lang w:val="en"/>
        </w:rPr>
        <w:t xml:space="preserve"> [2012] EWHC 1689 (</w:t>
      </w:r>
      <w:proofErr w:type="spellStart"/>
      <w:proofErr w:type="gramStart"/>
      <w:r w:rsidR="00995FB6" w:rsidRPr="00995FB6">
        <w:rPr>
          <w:sz w:val="24"/>
          <w:szCs w:val="24"/>
          <w:lang w:val="en"/>
        </w:rPr>
        <w:t>Fam</w:t>
      </w:r>
      <w:proofErr w:type="spellEnd"/>
      <w:proofErr w:type="gramEnd"/>
      <w:r w:rsidR="00995FB6" w:rsidRPr="00995FB6">
        <w:rPr>
          <w:sz w:val="24"/>
          <w:szCs w:val="24"/>
          <w:lang w:val="en"/>
        </w:rPr>
        <w:t>)</w:t>
      </w:r>
      <w:r w:rsidR="00995FB6">
        <w:rPr>
          <w:sz w:val="24"/>
          <w:szCs w:val="24"/>
          <w:lang w:val="en"/>
        </w:rPr>
        <w:t xml:space="preserve">). Here, </w:t>
      </w:r>
      <w:r>
        <w:rPr>
          <w:sz w:val="24"/>
          <w:szCs w:val="24"/>
        </w:rPr>
        <w:t xml:space="preserve">the court held the IRO personally responsible (as well as the local authority) for breaches of two boys’ human rights. </w:t>
      </w:r>
      <w:r w:rsidR="00C2748C">
        <w:rPr>
          <w:sz w:val="24"/>
          <w:szCs w:val="24"/>
        </w:rPr>
        <w:t>C</w:t>
      </w:r>
      <w:r>
        <w:rPr>
          <w:sz w:val="24"/>
          <w:szCs w:val="24"/>
        </w:rPr>
        <w:t>oncerns about high workloads, poor management and support structures</w:t>
      </w:r>
      <w:r w:rsidR="00E54C41">
        <w:rPr>
          <w:sz w:val="24"/>
          <w:szCs w:val="24"/>
        </w:rPr>
        <w:t>,</w:t>
      </w:r>
      <w:r>
        <w:rPr>
          <w:sz w:val="24"/>
          <w:szCs w:val="24"/>
        </w:rPr>
        <w:t xml:space="preserve"> and limited impact have </w:t>
      </w:r>
      <w:r w:rsidR="00C2748C">
        <w:rPr>
          <w:sz w:val="24"/>
          <w:szCs w:val="24"/>
        </w:rPr>
        <w:t xml:space="preserve">also </w:t>
      </w:r>
      <w:r>
        <w:rPr>
          <w:sz w:val="24"/>
          <w:szCs w:val="24"/>
        </w:rPr>
        <w:t>been raised by Ofsted (2013) and research by the National Children’s Bureau (</w:t>
      </w:r>
      <w:r w:rsidR="0083040F">
        <w:rPr>
          <w:sz w:val="24"/>
          <w:szCs w:val="24"/>
        </w:rPr>
        <w:t xml:space="preserve">2013, </w:t>
      </w:r>
      <w:r>
        <w:rPr>
          <w:sz w:val="24"/>
          <w:szCs w:val="24"/>
        </w:rPr>
        <w:t>2014).</w:t>
      </w:r>
    </w:p>
    <w:p w:rsidR="00D75DF7" w:rsidRPr="004B63FA" w:rsidRDefault="00E474D3">
      <w:pPr>
        <w:rPr>
          <w:i/>
          <w:sz w:val="24"/>
          <w:szCs w:val="24"/>
        </w:rPr>
      </w:pPr>
      <w:r w:rsidRPr="004B63FA">
        <w:rPr>
          <w:i/>
          <w:sz w:val="24"/>
          <w:szCs w:val="24"/>
        </w:rPr>
        <w:t>2: C</w:t>
      </w:r>
      <w:r w:rsidR="00D75DF7" w:rsidRPr="004B63FA">
        <w:rPr>
          <w:i/>
          <w:sz w:val="24"/>
          <w:szCs w:val="24"/>
        </w:rPr>
        <w:t>are proceedings</w:t>
      </w:r>
      <w:r w:rsidRPr="004B63FA">
        <w:rPr>
          <w:i/>
          <w:sz w:val="24"/>
          <w:szCs w:val="24"/>
        </w:rPr>
        <w:t xml:space="preserve"> and children’s guardians</w:t>
      </w:r>
    </w:p>
    <w:p w:rsidR="00E474D3" w:rsidRDefault="00E474D3" w:rsidP="00D75DF7">
      <w:pPr>
        <w:rPr>
          <w:sz w:val="24"/>
          <w:szCs w:val="24"/>
        </w:rPr>
      </w:pPr>
      <w:r>
        <w:rPr>
          <w:sz w:val="24"/>
          <w:szCs w:val="24"/>
        </w:rPr>
        <w:t xml:space="preserve">In the period between the publication of the </w:t>
      </w:r>
      <w:r w:rsidR="00D75DF7">
        <w:rPr>
          <w:sz w:val="24"/>
          <w:szCs w:val="24"/>
        </w:rPr>
        <w:t xml:space="preserve">new regulations and guidance </w:t>
      </w:r>
      <w:r>
        <w:rPr>
          <w:sz w:val="24"/>
          <w:szCs w:val="24"/>
        </w:rPr>
        <w:t xml:space="preserve">in 2010, and them coming into force in 2011, </w:t>
      </w:r>
      <w:r w:rsidR="00D75DF7">
        <w:rPr>
          <w:sz w:val="24"/>
          <w:szCs w:val="24"/>
        </w:rPr>
        <w:t xml:space="preserve">a review of the family justice system was </w:t>
      </w:r>
      <w:r>
        <w:rPr>
          <w:sz w:val="24"/>
          <w:szCs w:val="24"/>
        </w:rPr>
        <w:t>launched</w:t>
      </w:r>
      <w:r w:rsidR="00D75DF7">
        <w:rPr>
          <w:sz w:val="24"/>
          <w:szCs w:val="24"/>
        </w:rPr>
        <w:t xml:space="preserve">. </w:t>
      </w:r>
      <w:r>
        <w:rPr>
          <w:sz w:val="24"/>
          <w:szCs w:val="24"/>
        </w:rPr>
        <w:t>One of its leading recommendations was that care proceedings should be completed, normally, within 26 weeks</w:t>
      </w:r>
      <w:r w:rsidR="003F5ECC">
        <w:rPr>
          <w:sz w:val="24"/>
          <w:szCs w:val="24"/>
        </w:rPr>
        <w:t xml:space="preserve"> (FJR, 2011)</w:t>
      </w:r>
      <w:r>
        <w:rPr>
          <w:sz w:val="24"/>
          <w:szCs w:val="24"/>
        </w:rPr>
        <w:t xml:space="preserve">. This was accepted by the government and was incorporated into primary legislation in the Children and Families Act 2014. This came into force in April </w:t>
      </w:r>
      <w:r>
        <w:rPr>
          <w:sz w:val="24"/>
          <w:szCs w:val="24"/>
        </w:rPr>
        <w:lastRenderedPageBreak/>
        <w:t xml:space="preserve">2014, but even before that the courts, local authorities and Cafcass </w:t>
      </w:r>
      <w:r w:rsidR="00CD2B56">
        <w:rPr>
          <w:sz w:val="24"/>
          <w:szCs w:val="24"/>
        </w:rPr>
        <w:t xml:space="preserve">had been working </w:t>
      </w:r>
      <w:r w:rsidR="00B43856">
        <w:rPr>
          <w:sz w:val="24"/>
          <w:szCs w:val="24"/>
        </w:rPr>
        <w:t>to</w:t>
      </w:r>
      <w:r w:rsidR="00CD2B56">
        <w:rPr>
          <w:sz w:val="24"/>
          <w:szCs w:val="24"/>
        </w:rPr>
        <w:t xml:space="preserve"> </w:t>
      </w:r>
      <w:r>
        <w:rPr>
          <w:sz w:val="24"/>
          <w:szCs w:val="24"/>
        </w:rPr>
        <w:t xml:space="preserve">the new deadline. </w:t>
      </w:r>
    </w:p>
    <w:p w:rsidR="0058578C" w:rsidRDefault="00E474D3">
      <w:r>
        <w:rPr>
          <w:sz w:val="24"/>
          <w:szCs w:val="24"/>
        </w:rPr>
        <w:t>The new requirements for quicker proceedings ha</w:t>
      </w:r>
      <w:r w:rsidR="00995FB6">
        <w:rPr>
          <w:sz w:val="24"/>
          <w:szCs w:val="24"/>
        </w:rPr>
        <w:t>ve</w:t>
      </w:r>
      <w:r>
        <w:rPr>
          <w:sz w:val="24"/>
          <w:szCs w:val="24"/>
        </w:rPr>
        <w:t xml:space="preserve"> significant implications for the roles of the children’s guardian and the IRO. </w:t>
      </w:r>
      <w:r w:rsidR="00650A82">
        <w:t xml:space="preserve">It </w:t>
      </w:r>
      <w:r w:rsidR="009B2357">
        <w:t xml:space="preserve">is important that there are effective links between </w:t>
      </w:r>
      <w:r w:rsidR="00650A82">
        <w:t>the two</w:t>
      </w:r>
      <w:r w:rsidR="009B2357">
        <w:t>, with clear communication and avoidance of unhelpful or unnecessary duplication.</w:t>
      </w:r>
      <w:r w:rsidR="003B488F">
        <w:t xml:space="preserve"> This </w:t>
      </w:r>
      <w:r w:rsidR="00995FB6">
        <w:t>led</w:t>
      </w:r>
      <w:r w:rsidR="003B488F">
        <w:t xml:space="preserve"> to </w:t>
      </w:r>
      <w:r w:rsidR="00512E28">
        <w:t xml:space="preserve">a </w:t>
      </w:r>
      <w:r w:rsidR="003B488F">
        <w:t xml:space="preserve">new national protocol </w:t>
      </w:r>
      <w:r w:rsidR="009020E1">
        <w:t>for links between Cafcass and IRO services</w:t>
      </w:r>
      <w:r w:rsidR="003B488F">
        <w:t xml:space="preserve"> (ADCS and Cafcass, 2014).</w:t>
      </w:r>
      <w:r w:rsidR="00FB1DCB">
        <w:t xml:space="preserve"> </w:t>
      </w:r>
      <w:r w:rsidR="00995FB6">
        <w:t xml:space="preserve">This </w:t>
      </w:r>
      <w:r w:rsidR="00CB594E">
        <w:t xml:space="preserve">recognises that responsibility for effective contact between the guardian and the IRO is shared between both parties. </w:t>
      </w:r>
      <w:r w:rsidR="00650A82">
        <w:t xml:space="preserve">It </w:t>
      </w:r>
      <w:r w:rsidR="00CB594E">
        <w:t xml:space="preserve">specifies that is the responsibility of the guardian to make contact with the IRO, and that the need for and nature of any ongoing consultation should be decided between them. It specifies that the IRO should inform the guardian of </w:t>
      </w:r>
      <w:r w:rsidR="0092645E">
        <w:t xml:space="preserve">the </w:t>
      </w:r>
      <w:r w:rsidR="00CB594E">
        <w:t xml:space="preserve">arrangements for child care reviews, and ensure that </w:t>
      </w:r>
      <w:r w:rsidR="0092645E">
        <w:t>he/she is</w:t>
      </w:r>
      <w:r w:rsidR="00CB594E">
        <w:t xml:space="preserve"> sent copies of the records. The IRO should be supplied with copies of all the court papers, including care plans, experts</w:t>
      </w:r>
      <w:r w:rsidR="000508E8">
        <w:t>’</w:t>
      </w:r>
      <w:r w:rsidR="00CB594E">
        <w:t xml:space="preserve"> reports, the </w:t>
      </w:r>
      <w:r w:rsidR="000508E8">
        <w:t>g</w:t>
      </w:r>
      <w:r w:rsidR="00CB594E">
        <w:t>uardian’s report</w:t>
      </w:r>
      <w:r w:rsidR="000508E8">
        <w:t xml:space="preserve">(s), orders and judgments. </w:t>
      </w:r>
      <w:r w:rsidR="00CB594E">
        <w:t>The IRO is required to enter a record of any discussions with the guardian on the child’s case file.</w:t>
      </w:r>
    </w:p>
    <w:p w:rsidR="0092645E" w:rsidRDefault="003F2BB0" w:rsidP="0092645E">
      <w:r>
        <w:t xml:space="preserve">If </w:t>
      </w:r>
      <w:r w:rsidRPr="003F2BB0">
        <w:t xml:space="preserve">the </w:t>
      </w:r>
      <w:r>
        <w:t xml:space="preserve">guardian has </w:t>
      </w:r>
      <w:r w:rsidRPr="003F2BB0">
        <w:t>concern</w:t>
      </w:r>
      <w:r>
        <w:t>s</w:t>
      </w:r>
      <w:r w:rsidRPr="003F2BB0">
        <w:t xml:space="preserve"> about the </w:t>
      </w:r>
      <w:r>
        <w:t>l</w:t>
      </w:r>
      <w:r w:rsidRPr="003F2BB0">
        <w:t xml:space="preserve">ocal </w:t>
      </w:r>
      <w:r>
        <w:t>a</w:t>
      </w:r>
      <w:r w:rsidRPr="003F2BB0">
        <w:t xml:space="preserve">uthority’s management of the case they </w:t>
      </w:r>
      <w:r w:rsidR="0092645E">
        <w:t>‘</w:t>
      </w:r>
      <w:r w:rsidRPr="003F2BB0">
        <w:t>may</w:t>
      </w:r>
      <w:r w:rsidR="0092645E">
        <w:t>’</w:t>
      </w:r>
      <w:r w:rsidRPr="003F2BB0">
        <w:t xml:space="preserve"> consult with the </w:t>
      </w:r>
      <w:r>
        <w:t>IRO, and the IRO is required to inform them of any s</w:t>
      </w:r>
      <w:r w:rsidRPr="003F2BB0">
        <w:t>ignificant issues that arise in planning and review meetings</w:t>
      </w:r>
      <w:r>
        <w:t>. The protocol specifies that the guardian’s attendance at reviews ‘</w:t>
      </w:r>
      <w:r w:rsidRPr="003F2BB0">
        <w:t>is generally not required</w:t>
      </w:r>
      <w:r>
        <w:t xml:space="preserve">’, but the guardian is expected to </w:t>
      </w:r>
      <w:r w:rsidRPr="003F2BB0">
        <w:t xml:space="preserve">consult with the IRO prior to the review </w:t>
      </w:r>
      <w:r>
        <w:t>‘</w:t>
      </w:r>
      <w:r w:rsidRPr="003F2BB0">
        <w:t>when appropriate</w:t>
      </w:r>
      <w:r>
        <w:t xml:space="preserve">’. </w:t>
      </w:r>
      <w:r w:rsidR="0092645E">
        <w:t>After the proceedings end, the guardian</w:t>
      </w:r>
      <w:r w:rsidR="0092645E" w:rsidRPr="0092645E">
        <w:t xml:space="preserve"> </w:t>
      </w:r>
      <w:r w:rsidR="0092645E">
        <w:t>is required to</w:t>
      </w:r>
      <w:r w:rsidR="0092645E" w:rsidRPr="0092645E">
        <w:t xml:space="preserve"> ensure the final court care plan is provided to the IRO</w:t>
      </w:r>
      <w:r w:rsidR="0092645E">
        <w:t>,</w:t>
      </w:r>
      <w:r w:rsidR="0092645E" w:rsidRPr="0092645E">
        <w:t xml:space="preserve"> discuss it with them and provide written handover </w:t>
      </w:r>
      <w:r w:rsidR="0092645E">
        <w:t xml:space="preserve">information </w:t>
      </w:r>
      <w:r w:rsidR="0092645E" w:rsidRPr="0092645E">
        <w:t xml:space="preserve">on </w:t>
      </w:r>
      <w:r w:rsidR="0092645E">
        <w:t xml:space="preserve">a standard </w:t>
      </w:r>
      <w:r w:rsidR="0092645E" w:rsidRPr="0092645E">
        <w:t>template.</w:t>
      </w:r>
      <w:r w:rsidR="0092645E">
        <w:t xml:space="preserve"> The protocol states ‘</w:t>
      </w:r>
      <w:r w:rsidR="0092645E" w:rsidRPr="0092645E">
        <w:t xml:space="preserve">Following the withdrawal of the </w:t>
      </w:r>
      <w:r w:rsidR="0092645E">
        <w:t>c</w:t>
      </w:r>
      <w:r w:rsidR="0092645E" w:rsidRPr="0092645E">
        <w:t xml:space="preserve">hildren’s </w:t>
      </w:r>
      <w:r w:rsidR="0092645E">
        <w:t>g</w:t>
      </w:r>
      <w:r w:rsidR="0092645E" w:rsidRPr="0092645E">
        <w:t>uardian the IRO remains the only independent scrutiniser of the local authority’s actions in relation</w:t>
      </w:r>
      <w:r w:rsidR="0092645E">
        <w:t xml:space="preserve"> to the care plan for the child’.</w:t>
      </w:r>
    </w:p>
    <w:p w:rsidR="00650A82" w:rsidRPr="004B63FA" w:rsidRDefault="00650A82" w:rsidP="003F2BB0">
      <w:pPr>
        <w:rPr>
          <w:i/>
        </w:rPr>
      </w:pPr>
      <w:r w:rsidRPr="004B63FA">
        <w:rPr>
          <w:i/>
        </w:rPr>
        <w:t>3: Looked after children</w:t>
      </w:r>
    </w:p>
    <w:p w:rsidR="00366258" w:rsidRDefault="00366258" w:rsidP="003F2BB0">
      <w:r>
        <w:t>It is worth noting that the profile of looked after children as a whole is rather different to the profile of children involved in care proceedings. IROs and guardians will be working with the same young people whilst the case is care proceedings (nearly always: there are some cases where the child might be in proceedings but not looked after, for example if there is an interim supervision order, or no order) but most of the children and young people on the IRO’s caseload will not be in care proceedings.</w:t>
      </w:r>
    </w:p>
    <w:p w:rsidR="00366258" w:rsidRDefault="00366258" w:rsidP="003F2BB0">
      <w:r>
        <w:t xml:space="preserve">To illustrate the point, there were about 8,000 children who were the subject of interim care orders </w:t>
      </w:r>
      <w:r w:rsidR="00512E28">
        <w:t xml:space="preserve">on </w:t>
      </w:r>
      <w:r>
        <w:t>31 March 2014, but there were 68,840 children who were looked after on that day</w:t>
      </w:r>
      <w:r w:rsidR="00995FB6">
        <w:t xml:space="preserve"> (</w:t>
      </w:r>
      <w:proofErr w:type="spellStart"/>
      <w:r w:rsidR="00995FB6">
        <w:t>DfE</w:t>
      </w:r>
      <w:proofErr w:type="spellEnd"/>
      <w:r w:rsidR="00995FB6">
        <w:t>, 2014</w:t>
      </w:r>
      <w:r w:rsidR="00E54C41">
        <w:t>).</w:t>
      </w:r>
      <w:r w:rsidR="00512E28">
        <w:t xml:space="preserve"> So children in care proceedings are just 12% of the looked after population. </w:t>
      </w:r>
      <w:r>
        <w:t>Just under half of the</w:t>
      </w:r>
      <w:r w:rsidR="00512E28">
        <w:t xml:space="preserve"> looked after </w:t>
      </w:r>
      <w:r>
        <w:t xml:space="preserve">children </w:t>
      </w:r>
      <w:r w:rsidR="004B63FA">
        <w:t xml:space="preserve">were </w:t>
      </w:r>
      <w:r>
        <w:t>on care orders</w:t>
      </w:r>
      <w:r w:rsidR="009020E1">
        <w:t xml:space="preserve"> (46%)</w:t>
      </w:r>
      <w:r w:rsidR="004B63FA">
        <w:t>,</w:t>
      </w:r>
      <w:r w:rsidR="00512E28">
        <w:t xml:space="preserve"> about 13% </w:t>
      </w:r>
      <w:r w:rsidR="004B63FA">
        <w:t xml:space="preserve">were on placement orders, and </w:t>
      </w:r>
      <w:r w:rsidR="009020E1">
        <w:t>just under three in ten w</w:t>
      </w:r>
      <w:r w:rsidR="004B63FA">
        <w:t>ere accommodated under section 20</w:t>
      </w:r>
      <w:r w:rsidR="009020E1">
        <w:t xml:space="preserve"> (28%)</w:t>
      </w:r>
      <w:r w:rsidR="004B63FA">
        <w:t xml:space="preserve">. </w:t>
      </w:r>
    </w:p>
    <w:p w:rsidR="00366258" w:rsidRDefault="004B63FA" w:rsidP="003F2BB0">
      <w:r>
        <w:t>The age profile of children in care proceedings and children looked after is also rather different. Almost 60% of the children in care proceedings are aged under five, but they make up less than a quarter of the looked after children population. Almost 60% of looked after children are aged over ten, but they make less than a fifth of the children in care proceedings</w:t>
      </w:r>
      <w:r w:rsidR="009020E1">
        <w:t xml:space="preserve"> (</w:t>
      </w:r>
      <w:proofErr w:type="spellStart"/>
      <w:r w:rsidR="009020E1">
        <w:t>DfE</w:t>
      </w:r>
      <w:proofErr w:type="spellEnd"/>
      <w:r w:rsidR="009020E1">
        <w:t>, 2014 and Cafcass, 2014)</w:t>
      </w:r>
      <w:r>
        <w:t>. So IROs are typically working with an older group of children, some of whom may have been on care orders for many years, and others who may have entered care relatively recently, but not be on any order.</w:t>
      </w:r>
      <w:r w:rsidR="00512E28">
        <w:t xml:space="preserve"> It is not unusual for children to enter care under section 20, and then for care proceedings to be started later. This means that IROs may have known the child for some time before the case comes to court.</w:t>
      </w:r>
    </w:p>
    <w:p w:rsidR="00650A82" w:rsidRPr="004B63FA" w:rsidRDefault="00650A82" w:rsidP="003F2BB0">
      <w:pPr>
        <w:rPr>
          <w:b/>
        </w:rPr>
      </w:pPr>
      <w:r w:rsidRPr="004B63FA">
        <w:rPr>
          <w:b/>
        </w:rPr>
        <w:t>The research study</w:t>
      </w:r>
    </w:p>
    <w:p w:rsidR="00650A82" w:rsidRDefault="00650A82" w:rsidP="003F2BB0">
      <w:r>
        <w:lastRenderedPageBreak/>
        <w:t>The research was a mixed methods study, using quantitative and qualitative approaches. There was a file study of 122 cases of looked after children in four local authorities (30 per area, but 32 in the largest). The children had a range of legal statuses, ages and lengths of time in care. There were also in-d</w:t>
      </w:r>
      <w:r w:rsidR="00995FB6">
        <w:t>epth interviews with IROs (54) and social workers (54</w:t>
      </w:r>
      <w:r>
        <w:t xml:space="preserve">) on a subsample of these cases, and interviews with parents (15) and young people (15). There was a multi-professional focus group in each area, and two focus groups with young people who were or had been looked after. There were nationally distributed questionnaires for </w:t>
      </w:r>
      <w:r w:rsidR="00995FB6">
        <w:t xml:space="preserve">IROs (65), </w:t>
      </w:r>
      <w:r>
        <w:t>team managers</w:t>
      </w:r>
      <w:r w:rsidR="00995FB6">
        <w:t xml:space="preserve"> (46), </w:t>
      </w:r>
      <w:r>
        <w:t>and children’s guardians</w:t>
      </w:r>
      <w:r w:rsidR="00995FB6">
        <w:t xml:space="preserve"> (39)</w:t>
      </w:r>
      <w:r>
        <w:t>.</w:t>
      </w:r>
      <w:r w:rsidR="003F5ECC">
        <w:t xml:space="preserve"> A summary of the research is available online (C</w:t>
      </w:r>
      <w:r w:rsidR="00CF4AE0">
        <w:t>R</w:t>
      </w:r>
      <w:r w:rsidR="003F5ECC">
        <w:t>CF, 2014).</w:t>
      </w:r>
    </w:p>
    <w:p w:rsidR="00512E28" w:rsidRDefault="003B488F" w:rsidP="003F2BB0">
      <w:r>
        <w:t xml:space="preserve">The </w:t>
      </w:r>
      <w:r w:rsidR="00CF4AE0">
        <w:t>main</w:t>
      </w:r>
      <w:r>
        <w:t xml:space="preserve"> part of the present study was undertaken before the new </w:t>
      </w:r>
      <w:r w:rsidR="009B7FD5">
        <w:t xml:space="preserve">ADCS-Cafcass </w:t>
      </w:r>
      <w:r>
        <w:t>protocol was launched</w:t>
      </w:r>
      <w:r w:rsidR="00F21CCA">
        <w:t xml:space="preserve"> (</w:t>
      </w:r>
      <w:r>
        <w:t>the beginning of 2014</w:t>
      </w:r>
      <w:r w:rsidR="00F21CCA">
        <w:t>)</w:t>
      </w:r>
      <w:r>
        <w:t xml:space="preserve">, although </w:t>
      </w:r>
      <w:r w:rsidR="00556ADD">
        <w:t>drafts of it were known in late 2013</w:t>
      </w:r>
      <w:r w:rsidR="00995FB6">
        <w:t>. S</w:t>
      </w:r>
      <w:r w:rsidR="00D662F3">
        <w:t xml:space="preserve">ome interviews took place after this, and </w:t>
      </w:r>
      <w:r>
        <w:t>the questionnaire</w:t>
      </w:r>
      <w:r w:rsidR="00556ADD">
        <w:t>s</w:t>
      </w:r>
      <w:r>
        <w:t xml:space="preserve"> </w:t>
      </w:r>
      <w:r w:rsidR="00556ADD">
        <w:t>were circulated</w:t>
      </w:r>
      <w:r>
        <w:t xml:space="preserve"> after</w:t>
      </w:r>
      <w:r w:rsidR="00CF4AE0">
        <w:t>wards</w:t>
      </w:r>
      <w:r w:rsidR="00D662F3">
        <w:t>. Generally t</w:t>
      </w:r>
      <w:r>
        <w:t>he interviews and questionnaires describe practice before th</w:t>
      </w:r>
      <w:r w:rsidR="00D662F3">
        <w:t xml:space="preserve">e launch of the new protocol, </w:t>
      </w:r>
      <w:r>
        <w:t>and confirm the need for clear guidance and</w:t>
      </w:r>
      <w:r w:rsidR="00236544">
        <w:t xml:space="preserve"> good support for inter-professional working</w:t>
      </w:r>
      <w:r w:rsidR="00CF4AE0">
        <w:t xml:space="preserve">; but </w:t>
      </w:r>
      <w:r w:rsidR="00556ADD">
        <w:t>some refer to the new protocol and comment that this is beginning to bring about changes</w:t>
      </w:r>
      <w:r w:rsidR="00236544">
        <w:t xml:space="preserve">. </w:t>
      </w:r>
    </w:p>
    <w:p w:rsidR="00BC2949" w:rsidRPr="004B63FA" w:rsidRDefault="004B63FA" w:rsidP="003F2BB0">
      <w:pPr>
        <w:rPr>
          <w:b/>
        </w:rPr>
      </w:pPr>
      <w:r w:rsidRPr="004B63FA">
        <w:rPr>
          <w:b/>
        </w:rPr>
        <w:t xml:space="preserve">Working together in care proceedings </w:t>
      </w:r>
    </w:p>
    <w:p w:rsidR="00512E28" w:rsidRPr="00512E28" w:rsidRDefault="00512E28" w:rsidP="00512E28">
      <w:r w:rsidRPr="00512E28">
        <w:t>The</w:t>
      </w:r>
      <w:r w:rsidR="00AF59A4">
        <w:t xml:space="preserve">re were </w:t>
      </w:r>
      <w:r w:rsidRPr="00512E28">
        <w:t>examples of positive guardian-IRO links, although the data suggests that these have</w:t>
      </w:r>
      <w:r w:rsidR="00AF59A4">
        <w:t xml:space="preserve"> often been </w:t>
      </w:r>
      <w:r w:rsidRPr="00512E28">
        <w:t xml:space="preserve">a matter of individual initiative and commitment, rather than consistent </w:t>
      </w:r>
      <w:r w:rsidR="00AF59A4">
        <w:t xml:space="preserve">and effective </w:t>
      </w:r>
      <w:r w:rsidRPr="00512E28">
        <w:t>management arrangements.</w:t>
      </w:r>
      <w:r w:rsidR="00AF59A4" w:rsidRPr="00AF59A4">
        <w:t xml:space="preserve"> </w:t>
      </w:r>
      <w:r w:rsidR="00AF59A4">
        <w:t>The data also</w:t>
      </w:r>
      <w:r w:rsidR="00AF59A4" w:rsidRPr="00AF59A4">
        <w:t xml:space="preserve"> shows frustration from both sides about poor communication, and scepticism from guardians about the ‘independence’ of IROs.</w:t>
      </w:r>
    </w:p>
    <w:p w:rsidR="008C7CE7" w:rsidRDefault="008C7CE7" w:rsidP="003F2BB0">
      <w:r>
        <w:t xml:space="preserve">The questionnaires for IROs and children’s guardians contained a </w:t>
      </w:r>
      <w:r w:rsidR="00556ADD">
        <w:t>sec</w:t>
      </w:r>
      <w:r>
        <w:t xml:space="preserve">tion where they were asked to </w:t>
      </w:r>
      <w:r w:rsidR="00B15A1E">
        <w:t>assess their own role and that of</w:t>
      </w:r>
      <w:r>
        <w:t xml:space="preserve"> the other professional during the course of care proceedings. The</w:t>
      </w:r>
      <w:r w:rsidR="00E36FBE">
        <w:t>re was a range of issues, and respondents were invited to</w:t>
      </w:r>
      <w:r w:rsidR="00301372">
        <w:t xml:space="preserve"> tick </w:t>
      </w:r>
      <w:r w:rsidR="00E36FBE">
        <w:t>whether the</w:t>
      </w:r>
      <w:r w:rsidR="00B15A1E">
        <w:t>y</w:t>
      </w:r>
      <w:r w:rsidR="00E36FBE">
        <w:t xml:space="preserve"> happened always, mostly, sometimes, rarely or never. A summary of the r</w:t>
      </w:r>
      <w:r>
        <w:t xml:space="preserve">esponses </w:t>
      </w:r>
      <w:r w:rsidR="00B15A1E">
        <w:t xml:space="preserve">regarding the exchange of information during proceedings </w:t>
      </w:r>
      <w:r w:rsidR="00E36FBE">
        <w:t xml:space="preserve">is </w:t>
      </w:r>
      <w:r>
        <w:t xml:space="preserve">shown in </w:t>
      </w:r>
      <w:r w:rsidR="00366258">
        <w:t>T</w:t>
      </w:r>
      <w:r>
        <w:t>able</w:t>
      </w:r>
      <w:r w:rsidR="00366258">
        <w:t xml:space="preserve"> 1 </w:t>
      </w:r>
      <w:r>
        <w:t>below</w:t>
      </w:r>
      <w:r w:rsidR="00E36FBE">
        <w:t xml:space="preserve"> (‘always’ and ‘mostly’ categories are combined, as are ‘rarely’ and ‘never’</w:t>
      </w:r>
      <w:r w:rsidR="00AE3907">
        <w:t>; the ‘sometimes’ category can readily be calculated from the statistics given</w:t>
      </w:r>
      <w:r w:rsidR="00E36FBE">
        <w:t>)</w:t>
      </w:r>
      <w:r>
        <w:t>. The</w:t>
      </w:r>
      <w:r w:rsidR="00556ADD">
        <w:t xml:space="preserve"> table </w:t>
      </w:r>
      <w:r>
        <w:t>reveal</w:t>
      </w:r>
      <w:r w:rsidR="00556ADD">
        <w:t>s</w:t>
      </w:r>
      <w:r>
        <w:t xml:space="preserve"> </w:t>
      </w:r>
      <w:r w:rsidR="00AE3907">
        <w:t>that the two groups have very different perceptions of what happens</w:t>
      </w:r>
      <w:r>
        <w:t>.</w:t>
      </w:r>
    </w:p>
    <w:p w:rsidR="00AE3907" w:rsidRPr="004B63FA" w:rsidRDefault="00AE3907" w:rsidP="003F2BB0">
      <w:pPr>
        <w:rPr>
          <w:i/>
        </w:rPr>
      </w:pPr>
      <w:r w:rsidRPr="004B63FA">
        <w:rPr>
          <w:i/>
        </w:rPr>
        <w:t xml:space="preserve">Table </w:t>
      </w:r>
      <w:r w:rsidR="00366258" w:rsidRPr="004B63FA">
        <w:rPr>
          <w:i/>
        </w:rPr>
        <w:t xml:space="preserve">1: </w:t>
      </w:r>
      <w:r w:rsidRPr="004B63FA">
        <w:rPr>
          <w:i/>
        </w:rPr>
        <w:t>IROs and children’s guardians’ perceptions of contacts during care proceedings</w:t>
      </w:r>
    </w:p>
    <w:tbl>
      <w:tblPr>
        <w:tblStyle w:val="TableGrid"/>
        <w:tblW w:w="9067" w:type="dxa"/>
        <w:tblLook w:val="04A0" w:firstRow="1" w:lastRow="0" w:firstColumn="1" w:lastColumn="0" w:noHBand="0" w:noVBand="1"/>
      </w:tblPr>
      <w:tblGrid>
        <w:gridCol w:w="4248"/>
        <w:gridCol w:w="1134"/>
        <w:gridCol w:w="1843"/>
        <w:gridCol w:w="1842"/>
      </w:tblGrid>
      <w:tr w:rsidR="008C7CE7" w:rsidRPr="008C7CE7" w:rsidTr="009713F5">
        <w:tc>
          <w:tcPr>
            <w:tcW w:w="4248" w:type="dxa"/>
          </w:tcPr>
          <w:p w:rsidR="008C7CE7" w:rsidRPr="008C7CE7" w:rsidRDefault="008C7CE7" w:rsidP="008C7CE7">
            <w:pPr>
              <w:rPr>
                <w:rFonts w:ascii="Calibri" w:hAnsi="Calibri" w:cs="Arial"/>
              </w:rPr>
            </w:pPr>
            <w:r w:rsidRPr="008C7CE7">
              <w:rPr>
                <w:rFonts w:ascii="Calibri" w:hAnsi="Calibri" w:cs="Arial"/>
              </w:rPr>
              <w:t>When case is in proceedings:</w:t>
            </w:r>
          </w:p>
        </w:tc>
        <w:tc>
          <w:tcPr>
            <w:tcW w:w="1134" w:type="dxa"/>
          </w:tcPr>
          <w:p w:rsidR="008C7CE7" w:rsidRPr="008C7CE7" w:rsidRDefault="008C7CE7" w:rsidP="008C7CE7">
            <w:pPr>
              <w:rPr>
                <w:rFonts w:ascii="Calibri" w:hAnsi="Calibri" w:cs="Arial"/>
              </w:rPr>
            </w:pPr>
          </w:p>
        </w:tc>
        <w:tc>
          <w:tcPr>
            <w:tcW w:w="1843" w:type="dxa"/>
          </w:tcPr>
          <w:p w:rsidR="008C7CE7" w:rsidRPr="008C7CE7" w:rsidRDefault="008C7CE7" w:rsidP="008C7CE7">
            <w:pPr>
              <w:rPr>
                <w:rFonts w:ascii="Calibri" w:hAnsi="Calibri" w:cs="Arial"/>
              </w:rPr>
            </w:pPr>
            <w:r w:rsidRPr="008C7CE7">
              <w:rPr>
                <w:rFonts w:ascii="Calibri" w:hAnsi="Calibri" w:cs="Arial"/>
              </w:rPr>
              <w:t>Always or mostly</w:t>
            </w:r>
          </w:p>
        </w:tc>
        <w:tc>
          <w:tcPr>
            <w:tcW w:w="1842" w:type="dxa"/>
          </w:tcPr>
          <w:p w:rsidR="008C7CE7" w:rsidRPr="008C7CE7" w:rsidRDefault="008C7CE7" w:rsidP="008C7CE7">
            <w:pPr>
              <w:rPr>
                <w:rFonts w:ascii="Calibri" w:hAnsi="Calibri" w:cs="Arial"/>
              </w:rPr>
            </w:pPr>
            <w:r w:rsidRPr="008C7CE7">
              <w:rPr>
                <w:rFonts w:ascii="Calibri" w:hAnsi="Calibri" w:cs="Arial"/>
              </w:rPr>
              <w:t>Rarely or never</w:t>
            </w:r>
          </w:p>
        </w:tc>
      </w:tr>
      <w:tr w:rsidR="008C7CE7" w:rsidRPr="008C7CE7" w:rsidTr="009713F5">
        <w:tc>
          <w:tcPr>
            <w:tcW w:w="4248" w:type="dxa"/>
            <w:vMerge w:val="restart"/>
          </w:tcPr>
          <w:p w:rsidR="008C7CE7" w:rsidRPr="008C7CE7" w:rsidRDefault="008C7CE7" w:rsidP="009713F5">
            <w:pPr>
              <w:rPr>
                <w:rFonts w:ascii="Calibri" w:hAnsi="Calibri" w:cs="Arial"/>
              </w:rPr>
            </w:pPr>
            <w:r w:rsidRPr="008C7CE7">
              <w:rPr>
                <w:rFonts w:ascii="Calibri" w:hAnsi="Calibri" w:cs="Arial"/>
                <w:i/>
              </w:rPr>
              <w:t>CG contacts IRO</w:t>
            </w:r>
            <w:r w:rsidR="009713F5">
              <w:rPr>
                <w:rFonts w:ascii="Calibri" w:hAnsi="Calibri" w:cs="Arial"/>
              </w:rPr>
              <w:t xml:space="preserve"> to give updates on court and receive updates on care planning </w:t>
            </w:r>
          </w:p>
        </w:tc>
        <w:tc>
          <w:tcPr>
            <w:tcW w:w="1134" w:type="dxa"/>
          </w:tcPr>
          <w:p w:rsidR="008C7CE7" w:rsidRPr="008C7CE7" w:rsidRDefault="008C7CE7" w:rsidP="008C7CE7">
            <w:pPr>
              <w:rPr>
                <w:rFonts w:ascii="Calibri" w:hAnsi="Calibri" w:cs="Arial"/>
              </w:rPr>
            </w:pPr>
            <w:r w:rsidRPr="008C7CE7">
              <w:rPr>
                <w:rFonts w:ascii="Calibri" w:hAnsi="Calibri" w:cs="Arial"/>
              </w:rPr>
              <w:t>IRO</w:t>
            </w:r>
          </w:p>
        </w:tc>
        <w:tc>
          <w:tcPr>
            <w:tcW w:w="1843" w:type="dxa"/>
          </w:tcPr>
          <w:p w:rsidR="008C7CE7" w:rsidRPr="008C7CE7" w:rsidRDefault="008C7CE7" w:rsidP="008C7CE7">
            <w:pPr>
              <w:rPr>
                <w:rFonts w:ascii="Calibri" w:hAnsi="Calibri" w:cs="Arial"/>
              </w:rPr>
            </w:pPr>
            <w:r w:rsidRPr="008C7CE7">
              <w:rPr>
                <w:rFonts w:ascii="Calibri" w:hAnsi="Calibri" w:cs="Arial"/>
              </w:rPr>
              <w:t>27%</w:t>
            </w:r>
          </w:p>
        </w:tc>
        <w:tc>
          <w:tcPr>
            <w:tcW w:w="1842" w:type="dxa"/>
          </w:tcPr>
          <w:p w:rsidR="008C7CE7" w:rsidRPr="008C7CE7" w:rsidRDefault="008C7CE7" w:rsidP="008C7CE7">
            <w:pPr>
              <w:rPr>
                <w:rFonts w:ascii="Calibri" w:hAnsi="Calibri" w:cs="Arial"/>
              </w:rPr>
            </w:pPr>
            <w:r w:rsidRPr="008C7CE7">
              <w:rPr>
                <w:rFonts w:ascii="Calibri" w:hAnsi="Calibri" w:cs="Arial"/>
              </w:rPr>
              <w:t>27%</w:t>
            </w:r>
          </w:p>
        </w:tc>
      </w:tr>
      <w:tr w:rsidR="008C7CE7" w:rsidRPr="008C7CE7" w:rsidTr="009713F5">
        <w:tc>
          <w:tcPr>
            <w:tcW w:w="4248" w:type="dxa"/>
            <w:vMerge/>
          </w:tcPr>
          <w:p w:rsidR="008C7CE7" w:rsidRPr="008C7CE7" w:rsidRDefault="008C7CE7" w:rsidP="008C7CE7">
            <w:pPr>
              <w:rPr>
                <w:rFonts w:ascii="Calibri" w:hAnsi="Calibri" w:cs="Arial"/>
              </w:rPr>
            </w:pPr>
          </w:p>
        </w:tc>
        <w:tc>
          <w:tcPr>
            <w:tcW w:w="1134" w:type="dxa"/>
          </w:tcPr>
          <w:p w:rsidR="008C7CE7" w:rsidRPr="008C7CE7" w:rsidRDefault="008C7CE7" w:rsidP="008C7CE7">
            <w:pPr>
              <w:rPr>
                <w:rFonts w:ascii="Calibri" w:hAnsi="Calibri" w:cs="Arial"/>
              </w:rPr>
            </w:pPr>
            <w:r w:rsidRPr="008C7CE7">
              <w:rPr>
                <w:rFonts w:ascii="Calibri" w:hAnsi="Calibri" w:cs="Arial"/>
              </w:rPr>
              <w:t>CG</w:t>
            </w:r>
          </w:p>
        </w:tc>
        <w:tc>
          <w:tcPr>
            <w:tcW w:w="1843" w:type="dxa"/>
          </w:tcPr>
          <w:p w:rsidR="008C7CE7" w:rsidRPr="008C7CE7" w:rsidRDefault="008C7CE7" w:rsidP="008C7CE7">
            <w:pPr>
              <w:rPr>
                <w:rFonts w:ascii="Calibri" w:hAnsi="Calibri" w:cs="Arial"/>
              </w:rPr>
            </w:pPr>
            <w:r w:rsidRPr="008C7CE7">
              <w:rPr>
                <w:rFonts w:ascii="Calibri" w:hAnsi="Calibri" w:cs="Arial"/>
              </w:rPr>
              <w:t>67%</w:t>
            </w:r>
          </w:p>
        </w:tc>
        <w:tc>
          <w:tcPr>
            <w:tcW w:w="1842" w:type="dxa"/>
          </w:tcPr>
          <w:p w:rsidR="008C7CE7" w:rsidRPr="008C7CE7" w:rsidRDefault="008C7CE7" w:rsidP="008C7CE7">
            <w:pPr>
              <w:rPr>
                <w:rFonts w:ascii="Calibri" w:hAnsi="Calibri" w:cs="Arial"/>
              </w:rPr>
            </w:pPr>
            <w:r w:rsidRPr="008C7CE7">
              <w:rPr>
                <w:rFonts w:ascii="Calibri" w:hAnsi="Calibri" w:cs="Arial"/>
              </w:rPr>
              <w:t>10%</w:t>
            </w:r>
          </w:p>
        </w:tc>
      </w:tr>
      <w:tr w:rsidR="008C7CE7" w:rsidRPr="008C7CE7" w:rsidTr="009713F5">
        <w:trPr>
          <w:trHeight w:val="285"/>
        </w:trPr>
        <w:tc>
          <w:tcPr>
            <w:tcW w:w="4248" w:type="dxa"/>
            <w:vMerge w:val="restart"/>
          </w:tcPr>
          <w:p w:rsidR="008C7CE7" w:rsidRPr="008C7CE7" w:rsidRDefault="008C7CE7" w:rsidP="009713F5">
            <w:pPr>
              <w:rPr>
                <w:rFonts w:ascii="Calibri" w:hAnsi="Calibri" w:cs="Arial"/>
              </w:rPr>
            </w:pPr>
            <w:r w:rsidRPr="008C7CE7">
              <w:rPr>
                <w:rFonts w:ascii="Calibri" w:hAnsi="Calibri" w:cs="Arial"/>
                <w:i/>
              </w:rPr>
              <w:t>IRO contacts CG</w:t>
            </w:r>
            <w:r w:rsidR="009713F5">
              <w:t xml:space="preserve"> to receive </w:t>
            </w:r>
            <w:r w:rsidR="009713F5" w:rsidRPr="009713F5">
              <w:rPr>
                <w:rFonts w:ascii="Calibri" w:hAnsi="Calibri" w:cs="Arial"/>
              </w:rPr>
              <w:t xml:space="preserve">updates on court and </w:t>
            </w:r>
            <w:r w:rsidR="009713F5">
              <w:rPr>
                <w:rFonts w:ascii="Calibri" w:hAnsi="Calibri" w:cs="Arial"/>
              </w:rPr>
              <w:t>gi</w:t>
            </w:r>
            <w:r w:rsidR="009713F5" w:rsidRPr="009713F5">
              <w:rPr>
                <w:rFonts w:ascii="Calibri" w:hAnsi="Calibri" w:cs="Arial"/>
              </w:rPr>
              <w:t>ve updates on care planning</w:t>
            </w:r>
          </w:p>
        </w:tc>
        <w:tc>
          <w:tcPr>
            <w:tcW w:w="1134" w:type="dxa"/>
          </w:tcPr>
          <w:p w:rsidR="008C7CE7" w:rsidRPr="008C7CE7" w:rsidRDefault="008C7CE7" w:rsidP="008C7CE7">
            <w:pPr>
              <w:rPr>
                <w:rFonts w:ascii="Calibri" w:hAnsi="Calibri" w:cs="Arial"/>
              </w:rPr>
            </w:pPr>
            <w:r w:rsidRPr="008C7CE7">
              <w:rPr>
                <w:rFonts w:ascii="Calibri" w:hAnsi="Calibri" w:cs="Arial"/>
              </w:rPr>
              <w:t>IRO</w:t>
            </w:r>
          </w:p>
        </w:tc>
        <w:tc>
          <w:tcPr>
            <w:tcW w:w="1843" w:type="dxa"/>
          </w:tcPr>
          <w:p w:rsidR="008C7CE7" w:rsidRPr="008C7CE7" w:rsidRDefault="008C7CE7" w:rsidP="008C7CE7">
            <w:pPr>
              <w:rPr>
                <w:rFonts w:ascii="Calibri" w:hAnsi="Calibri" w:cs="Arial"/>
              </w:rPr>
            </w:pPr>
            <w:r w:rsidRPr="008C7CE7">
              <w:rPr>
                <w:rFonts w:ascii="Calibri" w:hAnsi="Calibri" w:cs="Arial"/>
              </w:rPr>
              <w:t>44%</w:t>
            </w:r>
          </w:p>
        </w:tc>
        <w:tc>
          <w:tcPr>
            <w:tcW w:w="1842" w:type="dxa"/>
          </w:tcPr>
          <w:p w:rsidR="008C7CE7" w:rsidRPr="008C7CE7" w:rsidRDefault="008C7CE7" w:rsidP="008C7CE7">
            <w:pPr>
              <w:rPr>
                <w:rFonts w:ascii="Calibri" w:hAnsi="Calibri" w:cs="Arial"/>
              </w:rPr>
            </w:pPr>
            <w:r w:rsidRPr="008C7CE7">
              <w:rPr>
                <w:rFonts w:ascii="Calibri" w:hAnsi="Calibri" w:cs="Arial"/>
              </w:rPr>
              <w:t>19%</w:t>
            </w:r>
          </w:p>
        </w:tc>
      </w:tr>
      <w:tr w:rsidR="008C7CE7" w:rsidRPr="008C7CE7" w:rsidTr="009713F5">
        <w:tc>
          <w:tcPr>
            <w:tcW w:w="4248" w:type="dxa"/>
            <w:vMerge/>
          </w:tcPr>
          <w:p w:rsidR="008C7CE7" w:rsidRPr="008C7CE7" w:rsidRDefault="008C7CE7" w:rsidP="008C7CE7">
            <w:pPr>
              <w:rPr>
                <w:rFonts w:ascii="Calibri" w:hAnsi="Calibri" w:cs="Arial"/>
              </w:rPr>
            </w:pPr>
          </w:p>
        </w:tc>
        <w:tc>
          <w:tcPr>
            <w:tcW w:w="1134" w:type="dxa"/>
          </w:tcPr>
          <w:p w:rsidR="008C7CE7" w:rsidRPr="008C7CE7" w:rsidRDefault="008C7CE7" w:rsidP="008C7CE7">
            <w:pPr>
              <w:rPr>
                <w:rFonts w:ascii="Calibri" w:hAnsi="Calibri" w:cs="Arial"/>
              </w:rPr>
            </w:pPr>
            <w:r w:rsidRPr="008C7CE7">
              <w:rPr>
                <w:rFonts w:ascii="Calibri" w:hAnsi="Calibri" w:cs="Arial"/>
              </w:rPr>
              <w:t>CG</w:t>
            </w:r>
          </w:p>
        </w:tc>
        <w:tc>
          <w:tcPr>
            <w:tcW w:w="1843" w:type="dxa"/>
          </w:tcPr>
          <w:p w:rsidR="008C7CE7" w:rsidRPr="008C7CE7" w:rsidRDefault="008C7CE7" w:rsidP="008C7CE7">
            <w:pPr>
              <w:rPr>
                <w:rFonts w:ascii="Calibri" w:hAnsi="Calibri" w:cs="Arial"/>
              </w:rPr>
            </w:pPr>
            <w:r w:rsidRPr="008C7CE7">
              <w:rPr>
                <w:rFonts w:ascii="Calibri" w:hAnsi="Calibri" w:cs="Arial"/>
              </w:rPr>
              <w:t>8%</w:t>
            </w:r>
          </w:p>
        </w:tc>
        <w:tc>
          <w:tcPr>
            <w:tcW w:w="1842" w:type="dxa"/>
          </w:tcPr>
          <w:p w:rsidR="008C7CE7" w:rsidRPr="008C7CE7" w:rsidRDefault="008C7CE7" w:rsidP="008C7CE7">
            <w:pPr>
              <w:rPr>
                <w:rFonts w:ascii="Calibri" w:hAnsi="Calibri" w:cs="Arial"/>
              </w:rPr>
            </w:pPr>
            <w:r w:rsidRPr="008C7CE7">
              <w:rPr>
                <w:rFonts w:ascii="Calibri" w:hAnsi="Calibri" w:cs="Arial"/>
              </w:rPr>
              <w:t>62%</w:t>
            </w:r>
          </w:p>
        </w:tc>
      </w:tr>
      <w:tr w:rsidR="008C7CE7" w:rsidRPr="008C7CE7" w:rsidTr="009713F5">
        <w:tc>
          <w:tcPr>
            <w:tcW w:w="4248" w:type="dxa"/>
            <w:vMerge w:val="restart"/>
          </w:tcPr>
          <w:p w:rsidR="008C7CE7" w:rsidRPr="008C7CE7" w:rsidRDefault="008C7CE7" w:rsidP="008C7CE7">
            <w:pPr>
              <w:rPr>
                <w:rFonts w:ascii="Calibri" w:hAnsi="Calibri" w:cs="Arial"/>
              </w:rPr>
            </w:pPr>
            <w:r w:rsidRPr="008C7CE7">
              <w:rPr>
                <w:rFonts w:ascii="Calibri" w:hAnsi="Calibri" w:cs="Arial"/>
              </w:rPr>
              <w:t>IRO and CG discuss care plan at end</w:t>
            </w:r>
          </w:p>
        </w:tc>
        <w:tc>
          <w:tcPr>
            <w:tcW w:w="1134" w:type="dxa"/>
          </w:tcPr>
          <w:p w:rsidR="008C7CE7" w:rsidRPr="008C7CE7" w:rsidRDefault="008C7CE7" w:rsidP="008C7CE7">
            <w:pPr>
              <w:rPr>
                <w:rFonts w:ascii="Calibri" w:hAnsi="Calibri" w:cs="Arial"/>
              </w:rPr>
            </w:pPr>
            <w:r w:rsidRPr="008C7CE7">
              <w:rPr>
                <w:rFonts w:ascii="Calibri" w:hAnsi="Calibri" w:cs="Arial"/>
              </w:rPr>
              <w:t>IRO</w:t>
            </w:r>
          </w:p>
        </w:tc>
        <w:tc>
          <w:tcPr>
            <w:tcW w:w="1843" w:type="dxa"/>
          </w:tcPr>
          <w:p w:rsidR="008C7CE7" w:rsidRPr="008C7CE7" w:rsidRDefault="008C7CE7" w:rsidP="008C7CE7">
            <w:pPr>
              <w:rPr>
                <w:rFonts w:ascii="Calibri" w:hAnsi="Calibri" w:cs="Arial"/>
              </w:rPr>
            </w:pPr>
            <w:r w:rsidRPr="008C7CE7">
              <w:rPr>
                <w:rFonts w:ascii="Calibri" w:hAnsi="Calibri" w:cs="Arial"/>
              </w:rPr>
              <w:t>19%</w:t>
            </w:r>
          </w:p>
        </w:tc>
        <w:tc>
          <w:tcPr>
            <w:tcW w:w="1842" w:type="dxa"/>
          </w:tcPr>
          <w:p w:rsidR="008C7CE7" w:rsidRPr="008C7CE7" w:rsidRDefault="008C7CE7" w:rsidP="008C7CE7">
            <w:pPr>
              <w:rPr>
                <w:rFonts w:ascii="Calibri" w:hAnsi="Calibri" w:cs="Arial"/>
              </w:rPr>
            </w:pPr>
            <w:r w:rsidRPr="008C7CE7">
              <w:rPr>
                <w:rFonts w:ascii="Calibri" w:hAnsi="Calibri" w:cs="Arial"/>
              </w:rPr>
              <w:t>45%</w:t>
            </w:r>
          </w:p>
        </w:tc>
      </w:tr>
      <w:tr w:rsidR="008C7CE7" w:rsidRPr="008C7CE7" w:rsidTr="009713F5">
        <w:tc>
          <w:tcPr>
            <w:tcW w:w="4248" w:type="dxa"/>
            <w:vMerge/>
          </w:tcPr>
          <w:p w:rsidR="008C7CE7" w:rsidRPr="008C7CE7" w:rsidRDefault="008C7CE7" w:rsidP="008C7CE7">
            <w:pPr>
              <w:rPr>
                <w:rFonts w:ascii="Calibri" w:hAnsi="Calibri" w:cs="Arial"/>
              </w:rPr>
            </w:pPr>
          </w:p>
        </w:tc>
        <w:tc>
          <w:tcPr>
            <w:tcW w:w="1134" w:type="dxa"/>
          </w:tcPr>
          <w:p w:rsidR="008C7CE7" w:rsidRPr="008C7CE7" w:rsidRDefault="008C7CE7" w:rsidP="008C7CE7">
            <w:pPr>
              <w:rPr>
                <w:rFonts w:ascii="Calibri" w:hAnsi="Calibri" w:cs="Arial"/>
              </w:rPr>
            </w:pPr>
            <w:r w:rsidRPr="008C7CE7">
              <w:rPr>
                <w:rFonts w:ascii="Calibri" w:hAnsi="Calibri" w:cs="Arial"/>
              </w:rPr>
              <w:t>CG</w:t>
            </w:r>
          </w:p>
        </w:tc>
        <w:tc>
          <w:tcPr>
            <w:tcW w:w="1843" w:type="dxa"/>
          </w:tcPr>
          <w:p w:rsidR="008C7CE7" w:rsidRPr="008C7CE7" w:rsidRDefault="00B15A1E" w:rsidP="008C7CE7">
            <w:pPr>
              <w:rPr>
                <w:rFonts w:ascii="Calibri" w:hAnsi="Calibri" w:cs="Arial"/>
              </w:rPr>
            </w:pPr>
            <w:r>
              <w:rPr>
                <w:rFonts w:ascii="Calibri" w:hAnsi="Calibri" w:cs="Arial"/>
              </w:rPr>
              <w:t>5</w:t>
            </w:r>
            <w:r w:rsidR="008C7CE7" w:rsidRPr="008C7CE7">
              <w:rPr>
                <w:rFonts w:ascii="Calibri" w:hAnsi="Calibri" w:cs="Arial"/>
              </w:rPr>
              <w:t>4%</w:t>
            </w:r>
          </w:p>
        </w:tc>
        <w:tc>
          <w:tcPr>
            <w:tcW w:w="1842" w:type="dxa"/>
          </w:tcPr>
          <w:p w:rsidR="008C7CE7" w:rsidRPr="008C7CE7" w:rsidRDefault="008C7CE7" w:rsidP="008C7CE7">
            <w:pPr>
              <w:rPr>
                <w:rFonts w:ascii="Calibri" w:hAnsi="Calibri" w:cs="Arial"/>
              </w:rPr>
            </w:pPr>
            <w:r w:rsidRPr="008C7CE7">
              <w:rPr>
                <w:rFonts w:ascii="Calibri" w:hAnsi="Calibri" w:cs="Arial"/>
              </w:rPr>
              <w:t>23%</w:t>
            </w:r>
          </w:p>
        </w:tc>
      </w:tr>
    </w:tbl>
    <w:p w:rsidR="00DB77F0" w:rsidRDefault="00DB77F0" w:rsidP="00DB77F0">
      <w:pPr>
        <w:spacing w:after="0" w:line="276" w:lineRule="auto"/>
        <w:rPr>
          <w:rFonts w:ascii="Calibri" w:eastAsia="SimSun" w:hAnsi="Calibri" w:cs="Arial"/>
          <w:lang w:eastAsia="zh-CN"/>
        </w:rPr>
      </w:pPr>
    </w:p>
    <w:p w:rsidR="009713F5" w:rsidRDefault="008C7CE7" w:rsidP="008C7CE7">
      <w:pPr>
        <w:spacing w:after="200" w:line="276" w:lineRule="auto"/>
        <w:rPr>
          <w:rFonts w:ascii="Calibri" w:eastAsia="SimSun" w:hAnsi="Calibri" w:cs="Arial"/>
          <w:lang w:eastAsia="zh-CN"/>
        </w:rPr>
      </w:pPr>
      <w:r>
        <w:rPr>
          <w:rFonts w:ascii="Calibri" w:eastAsia="SimSun" w:hAnsi="Calibri" w:cs="Arial"/>
          <w:lang w:eastAsia="zh-CN"/>
        </w:rPr>
        <w:t xml:space="preserve">Both groups </w:t>
      </w:r>
      <w:r w:rsidR="00E36FBE">
        <w:rPr>
          <w:rFonts w:ascii="Calibri" w:eastAsia="SimSun" w:hAnsi="Calibri" w:cs="Arial"/>
          <w:lang w:eastAsia="zh-CN"/>
        </w:rPr>
        <w:t xml:space="preserve">tend to </w:t>
      </w:r>
      <w:r>
        <w:rPr>
          <w:rFonts w:ascii="Calibri" w:eastAsia="SimSun" w:hAnsi="Calibri" w:cs="Arial"/>
          <w:lang w:eastAsia="zh-CN"/>
        </w:rPr>
        <w:t xml:space="preserve">emphasise what </w:t>
      </w:r>
      <w:r w:rsidRPr="00AE3907">
        <w:rPr>
          <w:rFonts w:ascii="Calibri" w:eastAsia="SimSun" w:hAnsi="Calibri" w:cs="Arial"/>
          <w:i/>
          <w:lang w:eastAsia="zh-CN"/>
        </w:rPr>
        <w:t>they</w:t>
      </w:r>
      <w:r>
        <w:rPr>
          <w:rFonts w:ascii="Calibri" w:eastAsia="SimSun" w:hAnsi="Calibri" w:cs="Arial"/>
          <w:lang w:eastAsia="zh-CN"/>
        </w:rPr>
        <w:t xml:space="preserve"> have done, rather than the other professional. So, just over a quarter of the IROs, 27%, say that the children’s guardian </w:t>
      </w:r>
      <w:r w:rsidR="009713F5">
        <w:rPr>
          <w:rFonts w:ascii="Calibri" w:eastAsia="SimSun" w:hAnsi="Calibri" w:cs="Arial"/>
          <w:lang w:eastAsia="zh-CN"/>
        </w:rPr>
        <w:t xml:space="preserve">initiates </w:t>
      </w:r>
      <w:r>
        <w:rPr>
          <w:rFonts w:ascii="Calibri" w:eastAsia="SimSun" w:hAnsi="Calibri" w:cs="Arial"/>
          <w:lang w:eastAsia="zh-CN"/>
        </w:rPr>
        <w:t>contact</w:t>
      </w:r>
      <w:r w:rsidR="009713F5">
        <w:rPr>
          <w:rFonts w:ascii="Calibri" w:eastAsia="SimSun" w:hAnsi="Calibri" w:cs="Arial"/>
          <w:lang w:eastAsia="zh-CN"/>
        </w:rPr>
        <w:t xml:space="preserve"> i</w:t>
      </w:r>
      <w:r w:rsidR="00AE3907">
        <w:rPr>
          <w:rFonts w:ascii="Calibri" w:eastAsia="SimSun" w:hAnsi="Calibri" w:cs="Arial"/>
          <w:lang w:eastAsia="zh-CN"/>
        </w:rPr>
        <w:t>n all or most care cases</w:t>
      </w:r>
      <w:r w:rsidR="00301372">
        <w:rPr>
          <w:rFonts w:ascii="Calibri" w:eastAsia="SimSun" w:hAnsi="Calibri" w:cs="Arial"/>
          <w:lang w:eastAsia="zh-CN"/>
        </w:rPr>
        <w:t>, and the same proportion say this rarely or never happens</w:t>
      </w:r>
      <w:r>
        <w:rPr>
          <w:rFonts w:ascii="Calibri" w:eastAsia="SimSun" w:hAnsi="Calibri" w:cs="Arial"/>
          <w:lang w:eastAsia="zh-CN"/>
        </w:rPr>
        <w:t xml:space="preserve">; but </w:t>
      </w:r>
      <w:r w:rsidR="009713F5">
        <w:rPr>
          <w:rFonts w:ascii="Calibri" w:eastAsia="SimSun" w:hAnsi="Calibri" w:cs="Arial"/>
          <w:lang w:eastAsia="zh-CN"/>
        </w:rPr>
        <w:t xml:space="preserve">in sharp contrast, </w:t>
      </w:r>
      <w:r>
        <w:rPr>
          <w:rFonts w:ascii="Calibri" w:eastAsia="SimSun" w:hAnsi="Calibri" w:cs="Arial"/>
          <w:lang w:eastAsia="zh-CN"/>
        </w:rPr>
        <w:t xml:space="preserve">two-thirds of the children’s guardians, 67%, say that they always or mostly contact the IRO. </w:t>
      </w:r>
      <w:r w:rsidR="009713F5">
        <w:rPr>
          <w:rFonts w:ascii="Calibri" w:eastAsia="SimSun" w:hAnsi="Calibri" w:cs="Arial"/>
          <w:lang w:eastAsia="zh-CN"/>
        </w:rPr>
        <w:t>(IROs were much more likely to say that they received updates on the court proceedings from the social worker</w:t>
      </w:r>
      <w:r w:rsidR="004706C7">
        <w:rPr>
          <w:rFonts w:ascii="Calibri" w:eastAsia="SimSun" w:hAnsi="Calibri" w:cs="Arial"/>
          <w:lang w:eastAsia="zh-CN"/>
        </w:rPr>
        <w:t>.)</w:t>
      </w:r>
    </w:p>
    <w:p w:rsidR="009713F5" w:rsidRDefault="009713F5" w:rsidP="008C7CE7">
      <w:pPr>
        <w:spacing w:after="200" w:line="276" w:lineRule="auto"/>
        <w:rPr>
          <w:rFonts w:ascii="Calibri" w:eastAsia="SimSun" w:hAnsi="Calibri" w:cs="Arial"/>
          <w:lang w:eastAsia="zh-CN"/>
        </w:rPr>
      </w:pPr>
      <w:r>
        <w:rPr>
          <w:rFonts w:ascii="Calibri" w:eastAsia="SimSun" w:hAnsi="Calibri" w:cs="Arial"/>
          <w:lang w:eastAsia="zh-CN"/>
        </w:rPr>
        <w:t xml:space="preserve">On the other side of the coin, </w:t>
      </w:r>
      <w:r w:rsidR="008C7CE7">
        <w:rPr>
          <w:rFonts w:ascii="Calibri" w:eastAsia="SimSun" w:hAnsi="Calibri" w:cs="Arial"/>
          <w:lang w:eastAsia="zh-CN"/>
        </w:rPr>
        <w:t xml:space="preserve">over four in </w:t>
      </w:r>
      <w:r w:rsidR="00AE3907">
        <w:rPr>
          <w:rFonts w:ascii="Calibri" w:eastAsia="SimSun" w:hAnsi="Calibri" w:cs="Arial"/>
          <w:lang w:eastAsia="zh-CN"/>
        </w:rPr>
        <w:t>ten</w:t>
      </w:r>
      <w:r w:rsidR="008C7CE7">
        <w:rPr>
          <w:rFonts w:ascii="Calibri" w:eastAsia="SimSun" w:hAnsi="Calibri" w:cs="Arial"/>
          <w:lang w:eastAsia="zh-CN"/>
        </w:rPr>
        <w:t xml:space="preserve"> IROs</w:t>
      </w:r>
      <w:r w:rsidR="00AE3907">
        <w:rPr>
          <w:rFonts w:ascii="Calibri" w:eastAsia="SimSun" w:hAnsi="Calibri" w:cs="Arial"/>
          <w:lang w:eastAsia="zh-CN"/>
        </w:rPr>
        <w:t xml:space="preserve">, </w:t>
      </w:r>
      <w:r w:rsidR="00E36FBE">
        <w:rPr>
          <w:rFonts w:ascii="Calibri" w:eastAsia="SimSun" w:hAnsi="Calibri" w:cs="Arial"/>
          <w:lang w:eastAsia="zh-CN"/>
        </w:rPr>
        <w:t>44%,</w:t>
      </w:r>
      <w:r w:rsidR="008C7CE7">
        <w:rPr>
          <w:rFonts w:ascii="Calibri" w:eastAsia="SimSun" w:hAnsi="Calibri" w:cs="Arial"/>
          <w:lang w:eastAsia="zh-CN"/>
        </w:rPr>
        <w:t xml:space="preserve"> say that </w:t>
      </w:r>
      <w:r w:rsidR="00E36FBE">
        <w:rPr>
          <w:rFonts w:ascii="Calibri" w:eastAsia="SimSun" w:hAnsi="Calibri" w:cs="Arial"/>
          <w:lang w:eastAsia="zh-CN"/>
        </w:rPr>
        <w:t xml:space="preserve">in care cases they will always or mostly contact the guardian; but fewer than one in ten guardians, only 8%, say that the IRO always or mostly contacts them. </w:t>
      </w:r>
      <w:r w:rsidR="00301372">
        <w:rPr>
          <w:rFonts w:ascii="Calibri" w:eastAsia="SimSun" w:hAnsi="Calibri" w:cs="Arial"/>
          <w:lang w:eastAsia="zh-CN"/>
        </w:rPr>
        <w:t>Nearly two-thirds, 62%, say this rarely or never happens.</w:t>
      </w:r>
    </w:p>
    <w:p w:rsidR="008C7CE7" w:rsidRPr="008C7CE7" w:rsidRDefault="00D319D7" w:rsidP="008C7CE7">
      <w:pPr>
        <w:spacing w:after="200" w:line="276" w:lineRule="auto"/>
        <w:rPr>
          <w:rFonts w:ascii="Calibri" w:eastAsia="SimSun" w:hAnsi="Calibri" w:cs="Arial"/>
          <w:lang w:eastAsia="zh-CN"/>
        </w:rPr>
      </w:pPr>
      <w:r>
        <w:rPr>
          <w:rFonts w:ascii="Calibri" w:eastAsia="SimSun" w:hAnsi="Calibri" w:cs="Arial"/>
          <w:lang w:eastAsia="zh-CN"/>
        </w:rPr>
        <w:lastRenderedPageBreak/>
        <w:t xml:space="preserve">As for discussions between the IRO </w:t>
      </w:r>
      <w:r w:rsidR="00AE3907">
        <w:rPr>
          <w:rFonts w:ascii="Calibri" w:eastAsia="SimSun" w:hAnsi="Calibri" w:cs="Arial"/>
          <w:lang w:eastAsia="zh-CN"/>
        </w:rPr>
        <w:t xml:space="preserve">and </w:t>
      </w:r>
      <w:r>
        <w:rPr>
          <w:rFonts w:ascii="Calibri" w:eastAsia="SimSun" w:hAnsi="Calibri" w:cs="Arial"/>
          <w:lang w:eastAsia="zh-CN"/>
        </w:rPr>
        <w:t>the children’s guardian at the end of the proceedings, fewer than one in five IROs, 19</w:t>
      </w:r>
      <w:r w:rsidR="00AE3907">
        <w:rPr>
          <w:rFonts w:ascii="Calibri" w:eastAsia="SimSun" w:hAnsi="Calibri" w:cs="Arial"/>
          <w:lang w:eastAsia="zh-CN"/>
        </w:rPr>
        <w:t xml:space="preserve">%, say this happens in all or most cases, </w:t>
      </w:r>
      <w:r w:rsidR="001A5982">
        <w:rPr>
          <w:rFonts w:ascii="Calibri" w:eastAsia="SimSun" w:hAnsi="Calibri" w:cs="Arial"/>
          <w:lang w:eastAsia="zh-CN"/>
        </w:rPr>
        <w:t>and</w:t>
      </w:r>
      <w:r w:rsidR="00AE3907">
        <w:rPr>
          <w:rFonts w:ascii="Calibri" w:eastAsia="SimSun" w:hAnsi="Calibri" w:cs="Arial"/>
          <w:lang w:eastAsia="zh-CN"/>
        </w:rPr>
        <w:t xml:space="preserve"> </w:t>
      </w:r>
      <w:r w:rsidR="001A5982">
        <w:rPr>
          <w:rFonts w:ascii="Calibri" w:eastAsia="SimSun" w:hAnsi="Calibri" w:cs="Arial"/>
          <w:lang w:eastAsia="zh-CN"/>
        </w:rPr>
        <w:t xml:space="preserve">more than twice as many, 45%, say it happens rarely or never. The proportions are reversed for the children’s guardians. Just under a quarter of them, 23%, say that such discussions take place rarely or never, whilst </w:t>
      </w:r>
      <w:r w:rsidR="00885BA7">
        <w:rPr>
          <w:rFonts w:ascii="Calibri" w:eastAsia="SimSun" w:hAnsi="Calibri" w:cs="Arial"/>
          <w:lang w:eastAsia="zh-CN"/>
        </w:rPr>
        <w:t>5</w:t>
      </w:r>
      <w:r w:rsidR="001A5982">
        <w:rPr>
          <w:rFonts w:ascii="Calibri" w:eastAsia="SimSun" w:hAnsi="Calibri" w:cs="Arial"/>
          <w:lang w:eastAsia="zh-CN"/>
        </w:rPr>
        <w:t xml:space="preserve">4% </w:t>
      </w:r>
      <w:r w:rsidR="00AE3907">
        <w:rPr>
          <w:rFonts w:ascii="Calibri" w:eastAsia="SimSun" w:hAnsi="Calibri" w:cs="Arial"/>
          <w:lang w:eastAsia="zh-CN"/>
        </w:rPr>
        <w:t>say t</w:t>
      </w:r>
      <w:r w:rsidR="00301372">
        <w:rPr>
          <w:rFonts w:ascii="Calibri" w:eastAsia="SimSun" w:hAnsi="Calibri" w:cs="Arial"/>
          <w:lang w:eastAsia="zh-CN"/>
        </w:rPr>
        <w:t xml:space="preserve">hey </w:t>
      </w:r>
      <w:r w:rsidR="00AE3907">
        <w:rPr>
          <w:rFonts w:ascii="Calibri" w:eastAsia="SimSun" w:hAnsi="Calibri" w:cs="Arial"/>
          <w:lang w:eastAsia="zh-CN"/>
        </w:rPr>
        <w:t>happen always or mostly.</w:t>
      </w:r>
      <w:r w:rsidR="001A5982">
        <w:rPr>
          <w:rFonts w:ascii="Calibri" w:eastAsia="SimSun" w:hAnsi="Calibri" w:cs="Arial"/>
          <w:lang w:eastAsia="zh-CN"/>
        </w:rPr>
        <w:t xml:space="preserve"> </w:t>
      </w:r>
      <w:r w:rsidR="00885BA7">
        <w:rPr>
          <w:rFonts w:ascii="Calibri" w:eastAsia="SimSun" w:hAnsi="Calibri" w:cs="Arial"/>
          <w:lang w:eastAsia="zh-CN"/>
        </w:rPr>
        <w:t>The guardians are nearly three times more likely than the IROs to say these discussions happen in all or most cases; but even so, at 54% it is only just over half of them.</w:t>
      </w:r>
    </w:p>
    <w:p w:rsidR="00AE3907" w:rsidRDefault="001A5982" w:rsidP="003F2BB0">
      <w:r>
        <w:t xml:space="preserve">What sense can we make of these findings? One </w:t>
      </w:r>
      <w:r w:rsidR="00301372">
        <w:t xml:space="preserve">factor </w:t>
      </w:r>
      <w:r w:rsidR="000E5C7C">
        <w:t>may be</w:t>
      </w:r>
      <w:r>
        <w:t xml:space="preserve"> the common human tendency to remember what one has done oneself, rather than what other people have done</w:t>
      </w:r>
      <w:r w:rsidR="00301372">
        <w:t xml:space="preserve">; and linked with that, a tendency to remember things that have gone wrong </w:t>
      </w:r>
      <w:r w:rsidR="00885BA7">
        <w:t xml:space="preserve">or caused dissatisfaction, </w:t>
      </w:r>
      <w:r w:rsidR="00301372">
        <w:t>rather than things that have worked smoothly</w:t>
      </w:r>
      <w:r w:rsidR="00744E75">
        <w:t>, without incident</w:t>
      </w:r>
      <w:r w:rsidR="00301372">
        <w:t>. But also, the findings point to the very great variability in practice, and the importance of individual commitment.</w:t>
      </w:r>
    </w:p>
    <w:p w:rsidR="00C33C48" w:rsidRDefault="00301372" w:rsidP="00C33C48">
      <w:r>
        <w:t xml:space="preserve">This variability was confirmed in the </w:t>
      </w:r>
      <w:r w:rsidR="00885BA7">
        <w:t xml:space="preserve">interviews and the </w:t>
      </w:r>
      <w:r>
        <w:t>written comments in the questionnaires.</w:t>
      </w:r>
      <w:r w:rsidR="005367AB">
        <w:t xml:space="preserve"> </w:t>
      </w:r>
      <w:r w:rsidR="00C33C48">
        <w:t>It is reflected in the following</w:t>
      </w:r>
      <w:r w:rsidR="004B63FA">
        <w:t xml:space="preserve"> series of</w:t>
      </w:r>
      <w:r w:rsidR="00C33C48">
        <w:t xml:space="preserve"> quotations: </w:t>
      </w:r>
    </w:p>
    <w:p w:rsidR="00C33C48" w:rsidRPr="00C33C48" w:rsidRDefault="00C33C48" w:rsidP="00C33C48">
      <w:pPr>
        <w:ind w:left="720"/>
      </w:pPr>
      <w:r w:rsidRPr="00C33C48">
        <w:t xml:space="preserve">I’ve got very good links with the guardians and so if I pick up a looked-after case, and I know it’s in court, I will immediately try to find out who the guardian is, to link with them, or if I don’t know I will get in touch with the </w:t>
      </w:r>
      <w:r>
        <w:t>s</w:t>
      </w:r>
      <w:r w:rsidRPr="00C33C48">
        <w:t xml:space="preserve">ervice </w:t>
      </w:r>
      <w:r>
        <w:t>m</w:t>
      </w:r>
      <w:r w:rsidRPr="00C33C48">
        <w:t xml:space="preserve">anager for Cafcass, because I think it’s important that the guardian and the IRO work together – and I don’t always agree with them, and they don’t always agree with me </w:t>
      </w:r>
    </w:p>
    <w:p w:rsidR="00EC1653" w:rsidRDefault="00AF59A4" w:rsidP="00EC1653">
      <w:r>
        <w:t xml:space="preserve">But </w:t>
      </w:r>
      <w:r w:rsidR="00EC1653">
        <w:t xml:space="preserve">an IRO </w:t>
      </w:r>
      <w:r>
        <w:t xml:space="preserve">from another authority </w:t>
      </w:r>
      <w:r w:rsidR="00EC1653">
        <w:t>said:</w:t>
      </w:r>
    </w:p>
    <w:p w:rsidR="00EC1653" w:rsidRPr="00EC1653" w:rsidRDefault="00EC1653" w:rsidP="00EC1653">
      <w:pPr>
        <w:ind w:left="720"/>
      </w:pPr>
      <w:r w:rsidRPr="00EC1653">
        <w:t>Well we have got all the stuff in place, it says we should all contact each other, but it doesn’t happen</w:t>
      </w:r>
      <w:r>
        <w:t xml:space="preserve"> – I </w:t>
      </w:r>
      <w:r w:rsidRPr="00EC1653">
        <w:t>don</w:t>
      </w:r>
      <w:r>
        <w:t>’t know why, whether it is time</w:t>
      </w:r>
      <w:r w:rsidRPr="00EC1653">
        <w:t>scales or it is not enforced enough</w:t>
      </w:r>
      <w:r>
        <w:t xml:space="preserve">. </w:t>
      </w:r>
      <w:r w:rsidRPr="00EC1653">
        <w:t>I mean I rarely get a guardian contact me</w:t>
      </w:r>
      <w:r>
        <w:t xml:space="preserve"> …</w:t>
      </w:r>
      <w:r w:rsidRPr="00EC1653">
        <w:t xml:space="preserve"> the thing is</w:t>
      </w:r>
      <w:r>
        <w:t>,</w:t>
      </w:r>
      <w:r w:rsidRPr="00EC1653">
        <w:t xml:space="preserve"> whatever </w:t>
      </w:r>
      <w:r>
        <w:t>c</w:t>
      </w:r>
      <w:r w:rsidRPr="00EC1653">
        <w:t xml:space="preserve">are </w:t>
      </w:r>
      <w:r>
        <w:t>p</w:t>
      </w:r>
      <w:r w:rsidRPr="00EC1653">
        <w:t xml:space="preserve">lan you actually make you are expecting me to monitor after, but surely we should all be talking together a bit better. </w:t>
      </w:r>
    </w:p>
    <w:p w:rsidR="001D4204" w:rsidRDefault="001D4204" w:rsidP="001D4204">
      <w:r>
        <w:t xml:space="preserve">An IRO from </w:t>
      </w:r>
      <w:r w:rsidR="00AF59A4">
        <w:t xml:space="preserve">the </w:t>
      </w:r>
      <w:r w:rsidR="00744E75">
        <w:t>third authority thought</w:t>
      </w:r>
      <w:r>
        <w:t xml:space="preserve"> that both sides were making efforts to improve relationships between </w:t>
      </w:r>
      <w:r w:rsidR="00AF59A4">
        <w:t>the two</w:t>
      </w:r>
      <w:r>
        <w:t xml:space="preserve"> service</w:t>
      </w:r>
      <w:r w:rsidR="00AF59A4">
        <w:t>s</w:t>
      </w:r>
      <w:r>
        <w:t xml:space="preserve">: </w:t>
      </w:r>
    </w:p>
    <w:p w:rsidR="001D4204" w:rsidRPr="001D4204" w:rsidRDefault="001D4204" w:rsidP="001D4204">
      <w:pPr>
        <w:ind w:left="720"/>
      </w:pPr>
      <w:r>
        <w:t xml:space="preserve">… </w:t>
      </w:r>
      <w:proofErr w:type="gramStart"/>
      <w:r w:rsidRPr="001D4204">
        <w:t>that</w:t>
      </w:r>
      <w:proofErr w:type="gramEnd"/>
      <w:r w:rsidRPr="001D4204">
        <w:t xml:space="preserve"> relationship is improving. I think there’s greater collaboration there. I don’t think it’s anywhere near where it should be, and I think that’s partly to do with their capacity. I think it’s a bit to do with our capacity, but I think theirs is even worse, at the moment. I think it could be a far more fruitful relationship than it is, in terms of children’s best interests, and I think it’s still got a long, long way to go, but it’s better. </w:t>
      </w:r>
    </w:p>
    <w:p w:rsidR="001D4204" w:rsidRDefault="001D4204" w:rsidP="001D4204">
      <w:r>
        <w:t xml:space="preserve">And finally, an IRO from </w:t>
      </w:r>
      <w:r w:rsidR="00366258">
        <w:t>the fourth authority</w:t>
      </w:r>
      <w:r>
        <w:t xml:space="preserve">, interviewed after the </w:t>
      </w:r>
      <w:r w:rsidR="003855EF">
        <w:t>launch of the new protocol said:</w:t>
      </w:r>
    </w:p>
    <w:p w:rsidR="003855EF" w:rsidRPr="003855EF" w:rsidRDefault="003855EF" w:rsidP="003855EF">
      <w:pPr>
        <w:ind w:left="720"/>
      </w:pPr>
      <w:r w:rsidRPr="003855EF">
        <w:t>I have seen a slight change with this protocol being in place</w:t>
      </w:r>
      <w:r>
        <w:t>,</w:t>
      </w:r>
      <w:r w:rsidRPr="003855EF">
        <w:t xml:space="preserve"> in that the guardians are making more of an effort to keep in touch with the IROs</w:t>
      </w:r>
      <w:r>
        <w:t>,</w:t>
      </w:r>
      <w:r w:rsidRPr="003855EF">
        <w:t xml:space="preserve"> so I think in a way this protocol will start to work. </w:t>
      </w:r>
    </w:p>
    <w:p w:rsidR="000E5C7C" w:rsidRDefault="000E5C7C" w:rsidP="00744E75">
      <w:r>
        <w:t>Two of the study authorities, and a number of the questionnaires, mentioned that they held periodic team meetings between Cafcass guardians and IROs, and found these an effective ways of promoting good links and mutual understanding.</w:t>
      </w:r>
    </w:p>
    <w:p w:rsidR="00C25986" w:rsidRDefault="00C25986" w:rsidP="007166E1">
      <w:r>
        <w:t xml:space="preserve">A number of guardians questioned whether IROs always had sufficient and accurate information about the case, and how good IROs were at insisting on this, although others said they had found IROs very useful sources of information about cases. </w:t>
      </w:r>
      <w:r w:rsidR="005151E5">
        <w:t xml:space="preserve">Some said that they contacted the social </w:t>
      </w:r>
      <w:r w:rsidR="005151E5">
        <w:lastRenderedPageBreak/>
        <w:t xml:space="preserve">worker (and team manager if necessary) rather than the IRO. </w:t>
      </w:r>
      <w:r w:rsidR="00DD3E90">
        <w:t>One guardian expressed common misgivings:</w:t>
      </w:r>
    </w:p>
    <w:p w:rsidR="00DD3E90" w:rsidRPr="00DD3E90" w:rsidRDefault="00DD3E90" w:rsidP="00DD3E90">
      <w:pPr>
        <w:ind w:left="720"/>
        <w:rPr>
          <w:bCs/>
        </w:rPr>
      </w:pPr>
      <w:r w:rsidRPr="00DD3E90">
        <w:rPr>
          <w:bCs/>
        </w:rPr>
        <w:t>The IRO has little real power</w:t>
      </w:r>
      <w:r>
        <w:rPr>
          <w:bCs/>
        </w:rPr>
        <w:t xml:space="preserve"> </w:t>
      </w:r>
      <w:r w:rsidR="006C2A8B">
        <w:rPr>
          <w:bCs/>
        </w:rPr>
        <w:t>– t</w:t>
      </w:r>
      <w:r w:rsidRPr="00DD3E90">
        <w:rPr>
          <w:bCs/>
        </w:rPr>
        <w:t>hey lack genuine independence and are painfully aware of resource iss</w:t>
      </w:r>
      <w:r w:rsidR="006C2A8B">
        <w:rPr>
          <w:bCs/>
        </w:rPr>
        <w:t>ues for their authority etc. – m</w:t>
      </w:r>
      <w:r w:rsidRPr="00DD3E90">
        <w:rPr>
          <w:bCs/>
        </w:rPr>
        <w:t>any of them may have worked for that authority as social workers and will have allegiances.</w:t>
      </w:r>
      <w:r>
        <w:rPr>
          <w:bCs/>
        </w:rPr>
        <w:t xml:space="preserve"> </w:t>
      </w:r>
    </w:p>
    <w:p w:rsidR="005151E5" w:rsidRDefault="007166E1" w:rsidP="001D4204">
      <w:r>
        <w:t xml:space="preserve">IROs tended to have a different </w:t>
      </w:r>
      <w:r w:rsidR="00FE0E56">
        <w:t>view of</w:t>
      </w:r>
      <w:r>
        <w:t xml:space="preserve"> </w:t>
      </w:r>
      <w:r w:rsidR="00DD3E90">
        <w:t>these issues. They often thought that they had fuller information about the case than the guardian</w:t>
      </w:r>
      <w:r w:rsidR="00A27E0E">
        <w:t xml:space="preserve"> (and sometimes guardians appreciated the IROs’ greater knowledge), and in particular IROs often thought </w:t>
      </w:r>
      <w:r w:rsidR="00DD3E90">
        <w:t>that they knew the young person better</w:t>
      </w:r>
      <w:r w:rsidR="005151E5">
        <w:t xml:space="preserve">, </w:t>
      </w:r>
      <w:r w:rsidR="00A27E0E">
        <w:t>because</w:t>
      </w:r>
      <w:r w:rsidR="005151E5">
        <w:t xml:space="preserve"> guardians might have very little direct contact with the child.</w:t>
      </w:r>
    </w:p>
    <w:p w:rsidR="00CF4AE0" w:rsidRDefault="00667A82" w:rsidP="00A27E0E">
      <w:pPr>
        <w:rPr>
          <w:b/>
        </w:rPr>
      </w:pPr>
      <w:r>
        <w:rPr>
          <w:b/>
        </w:rPr>
        <w:t xml:space="preserve">The IRO’s role </w:t>
      </w:r>
      <w:r w:rsidR="00E54C41">
        <w:rPr>
          <w:b/>
        </w:rPr>
        <w:t>outside</w:t>
      </w:r>
      <w:r>
        <w:rPr>
          <w:b/>
        </w:rPr>
        <w:t xml:space="preserve"> proceedings </w:t>
      </w:r>
    </w:p>
    <w:p w:rsidR="00667A82" w:rsidRDefault="00667A82" w:rsidP="00A27E0E">
      <w:r>
        <w:t>There are d</w:t>
      </w:r>
      <w:r w:rsidRPr="00667A82">
        <w:t>oubts about the ‘genuine independence’ of IRO</w:t>
      </w:r>
      <w:r>
        <w:t>s</w:t>
      </w:r>
      <w:r w:rsidRPr="00667A82">
        <w:t xml:space="preserve"> and the extent to which they are constrained by resource concerns and </w:t>
      </w:r>
      <w:r w:rsidR="00BE14BE">
        <w:t xml:space="preserve">prior </w:t>
      </w:r>
      <w:r w:rsidRPr="00667A82">
        <w:t xml:space="preserve">allegiances, as expressed </w:t>
      </w:r>
      <w:r>
        <w:t xml:space="preserve">in the quotation </w:t>
      </w:r>
      <w:r w:rsidRPr="00667A82">
        <w:t>above</w:t>
      </w:r>
      <w:r>
        <w:t>. These affect the confidence of guardians and the courts about IROs’ effectiveness in monitoring the implementation of care plans after the proceedings end.</w:t>
      </w:r>
    </w:p>
    <w:p w:rsidR="00667A82" w:rsidRDefault="00667A82" w:rsidP="00A27E0E">
      <w:r>
        <w:t>The wide range of cases and the diverse sources of information in this study gave a</w:t>
      </w:r>
      <w:r w:rsidR="00D81C1E">
        <w:t xml:space="preserve"> generally </w:t>
      </w:r>
      <w:r>
        <w:t xml:space="preserve">positive picture </w:t>
      </w:r>
      <w:r w:rsidR="00D81C1E">
        <w:t xml:space="preserve">of the impact that IROs can have. This is not to say that problems never occur, or that there were no examples of delay in implementing plans. There were. But the overall picture is one where IROs </w:t>
      </w:r>
      <w:r w:rsidR="00C16533">
        <w:t xml:space="preserve">do intervene effectively, but in much more subtle ways than just overt challenge. Further, the data showed that IROs </w:t>
      </w:r>
      <w:r w:rsidR="00D81C1E">
        <w:t>are developing greater skills, confidence and influence in their role, and</w:t>
      </w:r>
      <w:r w:rsidR="00C16533">
        <w:t xml:space="preserve"> that t</w:t>
      </w:r>
      <w:r w:rsidR="00D81C1E">
        <w:t>heir contribution is valued by social workers, managers, parents and young people.</w:t>
      </w:r>
    </w:p>
    <w:p w:rsidR="00E66FEC" w:rsidRDefault="00D81C1E" w:rsidP="00C16533">
      <w:r>
        <w:t>The small number of cases that have been formally referred to Cafcass is sometimes held up as an example of IROs’ lack of rigorous challenge (as at February 2015, there had been a total of just 10</w:t>
      </w:r>
      <w:r w:rsidR="00C16533">
        <w:t xml:space="preserve">).  But the </w:t>
      </w:r>
      <w:r w:rsidR="00C16533" w:rsidRPr="00C16533">
        <w:rPr>
          <w:i/>
        </w:rPr>
        <w:t>IRO Handbook</w:t>
      </w:r>
      <w:r w:rsidR="00C16533">
        <w:t xml:space="preserve"> makes it clear that IROs are expected to try to resolve matters informally</w:t>
      </w:r>
      <w:r w:rsidR="00FC66A0">
        <w:t>, and a</w:t>
      </w:r>
      <w:r w:rsidR="00C16533">
        <w:t>s one IRO said</w:t>
      </w:r>
      <w:r w:rsidR="00FC66A0">
        <w:t>:</w:t>
      </w:r>
    </w:p>
    <w:p w:rsidR="00FC66A0" w:rsidRDefault="00FC66A0" w:rsidP="00FC66A0">
      <w:pPr>
        <w:ind w:left="720"/>
      </w:pPr>
      <w:r w:rsidRPr="00FC66A0">
        <w:rPr>
          <w:bCs/>
        </w:rPr>
        <w:t>What they don’t take in consideration, before an IRO gets to challenge at Cafcass level, there’s a lot of hoops to be jumped through. So initially you go to the social worker and try – just on that level – to iron out any problems; team manager; then you’d be involving my manager, then you’d be getting involved with, probably, service managers, potentially assistant directors … I would say that we do challenge quite a bit</w:t>
      </w:r>
      <w:r w:rsidR="00A722EE">
        <w:rPr>
          <w:bCs/>
        </w:rPr>
        <w:t xml:space="preserve"> …</w:t>
      </w:r>
    </w:p>
    <w:p w:rsidR="00E37344" w:rsidRDefault="00E37344" w:rsidP="00C16533">
      <w:r>
        <w:t>There are parallels here with findings from research into the role of guardians</w:t>
      </w:r>
      <w:r w:rsidR="00DB77F0">
        <w:t xml:space="preserve"> </w:t>
      </w:r>
      <w:r w:rsidR="00A722EE">
        <w:t>in the first decade of</w:t>
      </w:r>
      <w:r w:rsidR="00DB77F0">
        <w:t xml:space="preserve"> the Children Act 1989</w:t>
      </w:r>
      <w:r>
        <w:t xml:space="preserve">, </w:t>
      </w:r>
      <w:r w:rsidR="00DB77F0">
        <w:t>while</w:t>
      </w:r>
      <w:r>
        <w:t xml:space="preserve"> </w:t>
      </w:r>
      <w:r w:rsidR="00DB77F0">
        <w:t xml:space="preserve">it was still </w:t>
      </w:r>
      <w:r>
        <w:t xml:space="preserve">the guardian </w:t>
      </w:r>
      <w:r w:rsidRPr="00E37344">
        <w:rPr>
          <w:i/>
        </w:rPr>
        <w:t>ad litem</w:t>
      </w:r>
      <w:r>
        <w:t xml:space="preserve"> service. </w:t>
      </w:r>
      <w:r w:rsidR="00DB77F0">
        <w:t>T</w:t>
      </w:r>
      <w:r>
        <w:t xml:space="preserve">here </w:t>
      </w:r>
      <w:r w:rsidR="00A722EE">
        <w:t>were</w:t>
      </w:r>
      <w:r>
        <w:t xml:space="preserve"> doubts </w:t>
      </w:r>
      <w:r w:rsidR="00A722EE">
        <w:t xml:space="preserve">then </w:t>
      </w:r>
      <w:r>
        <w:t>that guardians were not effective because they rarely challenged the local authority’s proposals</w:t>
      </w:r>
      <w:r w:rsidR="00F627C4">
        <w:t xml:space="preserve"> at the final hearing, but the research showed that they played a much more important role earlier in the process, in shaping the plan</w:t>
      </w:r>
      <w:r w:rsidR="00DB77F0">
        <w:t xml:space="preserve">. As Bourton and </w:t>
      </w:r>
      <w:proofErr w:type="spellStart"/>
      <w:r w:rsidR="00DB77F0">
        <w:t>McCausland</w:t>
      </w:r>
      <w:proofErr w:type="spellEnd"/>
      <w:r w:rsidR="00DB77F0">
        <w:t xml:space="preserve"> (2001: 65) found: ‘… guardians were seen both as mediators and as enablers of change, this latter coming about th</w:t>
      </w:r>
      <w:r w:rsidR="00F90AB1">
        <w:t>r</w:t>
      </w:r>
      <w:r w:rsidR="00DB77F0">
        <w:t>ough challenge and/or discussion with others closely involved with the cases, notably the social workers … The professionals who contributed to the research were clear that the guardian had most influence on the process itself, rather than the specific outcome’.</w:t>
      </w:r>
    </w:p>
    <w:p w:rsidR="00FC66A0" w:rsidRDefault="00FC66A0" w:rsidP="00C16533">
      <w:r>
        <w:t>Social workers did see IROs as people who challenged them, but also as people who offered advice, and who could sometimes be useful allies in making a case for a child to have a particular service or and expensive resource.</w:t>
      </w:r>
      <w:r w:rsidR="00174312">
        <w:t xml:space="preserve"> This combination of challenge and assistance was valued by many social workers. As one put it:</w:t>
      </w:r>
    </w:p>
    <w:p w:rsidR="00174312" w:rsidRPr="00174312" w:rsidRDefault="00174312" w:rsidP="00174312">
      <w:pPr>
        <w:ind w:left="720"/>
      </w:pPr>
      <w:r w:rsidRPr="00174312">
        <w:rPr>
          <w:iCs/>
        </w:rPr>
        <w:lastRenderedPageBreak/>
        <w:t xml:space="preserve">I find [IROs] really helpful because even though they are working for the local authority, they still come down on you like a ton of bricks if certain things haven’t been done. And also, because they are part of the organisation, they are aware of the issues … they are easily accessible to us, you know.  </w:t>
      </w:r>
    </w:p>
    <w:p w:rsidR="00174312" w:rsidRDefault="00BE14BE" w:rsidP="00C16533">
      <w:r>
        <w:t>And IROs were generally valued by the children and young people, and by the parents. Some did express doubts about the independence of the IROs, and whether they were really any different from the local authority, but most did seem to have a sense of their distinct role. Young people often saw them as the social worker’s boss, powerful people who would get things done; and parents often valued them being for being focused on the child, but also responsive to them. The two quotations below illustrate these themes:</w:t>
      </w:r>
    </w:p>
    <w:p w:rsidR="00BE14BE" w:rsidRPr="00BE14BE" w:rsidRDefault="00BE14BE" w:rsidP="00BE14BE">
      <w:pPr>
        <w:ind w:left="720"/>
      </w:pPr>
      <w:r w:rsidRPr="00BE14BE">
        <w:rPr>
          <w:iCs/>
        </w:rPr>
        <w:t xml:space="preserve">[The IRO] lays all the cards out saying these are the options, so he is very direct about it … You don’t see as much of them … [they are] not about everyday life, it is more about ‘big stuff’ … I have got my housing form through and I thought that was going to take ages … it was bothering me and he got to sort it, you know, so he is one of these types that don’t hang about, he does push it along a bit …  </w:t>
      </w:r>
      <w:r w:rsidRPr="00BE14BE">
        <w:t>(17 year old girl, interview)</w:t>
      </w:r>
    </w:p>
    <w:p w:rsidR="00BE14BE" w:rsidRPr="00BE14BE" w:rsidRDefault="00BE14BE" w:rsidP="00BE14BE">
      <w:pPr>
        <w:ind w:left="720"/>
      </w:pPr>
      <w:r w:rsidRPr="00BE14BE">
        <w:rPr>
          <w:iCs/>
        </w:rPr>
        <w:t xml:space="preserve">I think the [IRO] is on everyone’s side; he was a little bit for us and a little bit for the social worker, a big part for A </w:t>
      </w:r>
      <w:r w:rsidR="00DB77F0">
        <w:rPr>
          <w:iCs/>
        </w:rPr>
        <w:t>[child]</w:t>
      </w:r>
      <w:r w:rsidRPr="00BE14BE">
        <w:rPr>
          <w:iCs/>
        </w:rPr>
        <w:t xml:space="preserve"> of course, I think he is trying to do the best for A, yeah …</w:t>
      </w:r>
      <w:r>
        <w:rPr>
          <w:iCs/>
        </w:rPr>
        <w:t xml:space="preserve"> (Parent of baby girl on placement order)</w:t>
      </w:r>
      <w:r w:rsidRPr="00BE14BE">
        <w:rPr>
          <w:iCs/>
        </w:rPr>
        <w:t xml:space="preserve">  </w:t>
      </w:r>
    </w:p>
    <w:p w:rsidR="00605A68" w:rsidRDefault="00512E28" w:rsidP="00A27E0E">
      <w:pPr>
        <w:rPr>
          <w:b/>
        </w:rPr>
      </w:pPr>
      <w:r w:rsidRPr="00512E28">
        <w:rPr>
          <w:b/>
        </w:rPr>
        <w:t>Messages for practice</w:t>
      </w:r>
    </w:p>
    <w:p w:rsidR="004706C7" w:rsidRDefault="004706C7" w:rsidP="00A27E0E">
      <w:r w:rsidRPr="004706C7">
        <w:t xml:space="preserve">The study gives a number of messages for </w:t>
      </w:r>
      <w:r>
        <w:t>effective working relationships between guardians and IROs. First, it is important for both sides to make</w:t>
      </w:r>
      <w:r w:rsidR="005358B7">
        <w:t xml:space="preserve"> ongoing </w:t>
      </w:r>
      <w:r>
        <w:t>efforts to keep in contact and communicate</w:t>
      </w:r>
      <w:r w:rsidR="005358B7">
        <w:t xml:space="preserve"> while </w:t>
      </w:r>
      <w:r>
        <w:t xml:space="preserve">care proceedings are in process. Everyone is busy, and it is all too easy </w:t>
      </w:r>
      <w:r w:rsidR="00756C52">
        <w:t xml:space="preserve">to leave a message and not chase it up, </w:t>
      </w:r>
      <w:r>
        <w:t xml:space="preserve">or not to reply, </w:t>
      </w:r>
      <w:r w:rsidR="00756C52">
        <w:t xml:space="preserve">and then to </w:t>
      </w:r>
      <w:r w:rsidR="00F90AB1">
        <w:t>blame</w:t>
      </w:r>
      <w:r w:rsidR="00756C52">
        <w:t xml:space="preserve"> the other</w:t>
      </w:r>
      <w:r w:rsidR="005358B7">
        <w:t xml:space="preserve"> person </w:t>
      </w:r>
      <w:r w:rsidR="00756C52">
        <w:t xml:space="preserve">for not pursuing matters. </w:t>
      </w:r>
      <w:r w:rsidR="00F90AB1">
        <w:t xml:space="preserve">The study shows the tendency to stereotype and criticise the other professional – but also the benefits of cooperation and </w:t>
      </w:r>
      <w:r w:rsidR="00756C52">
        <w:t>patient persistence.</w:t>
      </w:r>
    </w:p>
    <w:p w:rsidR="004706C7" w:rsidRDefault="004D0F13" w:rsidP="00A27E0E">
      <w:r>
        <w:t>Second, p</w:t>
      </w:r>
      <w:r w:rsidR="00756C52">
        <w:t>eriodic team meetings between children’s guardians and IROs can be a valuable way of promoting mutual understanding and good working relationships.</w:t>
      </w:r>
    </w:p>
    <w:p w:rsidR="00756C52" w:rsidRDefault="004D0F13" w:rsidP="00A27E0E">
      <w:r>
        <w:t xml:space="preserve">Third, there are messages about the involvement of guardians in looked after children reviews.  </w:t>
      </w:r>
      <w:r w:rsidR="00756C52">
        <w:t>Given court timescales and guardians’</w:t>
      </w:r>
      <w:r w:rsidR="005358B7">
        <w:t xml:space="preserve"> approach of </w:t>
      </w:r>
      <w:r w:rsidR="00756C52">
        <w:t>proportionate working, it may not always be possible for them to attend, although both sides saw value in this when it did happen. If guardians cannot attend,</w:t>
      </w:r>
      <w:r>
        <w:t xml:space="preserve"> it is useful to </w:t>
      </w:r>
      <w:r w:rsidR="00756C52">
        <w:t>communicate beforehand and be sure to get the reports afterwards.</w:t>
      </w:r>
    </w:p>
    <w:p w:rsidR="004D0F13" w:rsidRDefault="004D0F13" w:rsidP="00A27E0E">
      <w:r>
        <w:t>Finally, g</w:t>
      </w:r>
      <w:r w:rsidR="00756C52">
        <w:t xml:space="preserve">uardians can play a useful role in increasing the engagement of IROs with court proceedings. For example, </w:t>
      </w:r>
      <w:r>
        <w:t xml:space="preserve">the new protocol makes it clear that </w:t>
      </w:r>
      <w:r w:rsidR="00756C52">
        <w:t xml:space="preserve">IROs should be given </w:t>
      </w:r>
      <w:r>
        <w:t>copies</w:t>
      </w:r>
      <w:r w:rsidR="00756C52">
        <w:t xml:space="preserve"> of all the court papers</w:t>
      </w:r>
      <w:r>
        <w:t xml:space="preserve">, so the guardian may wish to discuss them with him/her. And guardians should make sure that the IRO’s view is known to the court, by explicitly referring to it in their reports. This would have the dual benefit of double-checking </w:t>
      </w:r>
      <w:r w:rsidR="00245317">
        <w:t xml:space="preserve">that </w:t>
      </w:r>
      <w:r>
        <w:t>the local authority</w:t>
      </w:r>
      <w:r w:rsidR="00245317">
        <w:t xml:space="preserve"> is in </w:t>
      </w:r>
      <w:r>
        <w:t xml:space="preserve">agreement </w:t>
      </w:r>
      <w:r w:rsidR="00245317">
        <w:t>about</w:t>
      </w:r>
      <w:r>
        <w:t xml:space="preserve"> the care plan, and strengthening the IRO</w:t>
      </w:r>
      <w:r w:rsidR="005358B7">
        <w:t>’</w:t>
      </w:r>
      <w:r>
        <w:t>s role</w:t>
      </w:r>
      <w:r w:rsidR="00245317">
        <w:t xml:space="preserve"> after the proceedings end. It will make it clear to the court, the local authority and the other parties that the IRO is personally committed to the care plan. This should help make sure they monitor it closely and take any necessary action to ensure it is implemented in a </w:t>
      </w:r>
      <w:r w:rsidR="001068EF">
        <w:t>timely manner</w:t>
      </w:r>
      <w:r>
        <w:t xml:space="preserve">. </w:t>
      </w:r>
    </w:p>
    <w:p w:rsidR="006C2A8B" w:rsidRPr="006C2A8B" w:rsidRDefault="006C2A8B" w:rsidP="006C2A8B">
      <w:pPr>
        <w:rPr>
          <w:b/>
          <w:bCs/>
        </w:rPr>
      </w:pPr>
      <w:r w:rsidRPr="006C2A8B">
        <w:rPr>
          <w:b/>
          <w:bCs/>
        </w:rPr>
        <w:t>Acknowledgement</w:t>
      </w:r>
      <w:r w:rsidR="00F90AB1">
        <w:rPr>
          <w:b/>
          <w:bCs/>
        </w:rPr>
        <w:t>s</w:t>
      </w:r>
    </w:p>
    <w:p w:rsidR="006C2A8B" w:rsidRPr="006C2A8B" w:rsidRDefault="006C2A8B" w:rsidP="006C2A8B">
      <w:r w:rsidRPr="006C2A8B">
        <w:lastRenderedPageBreak/>
        <w:t xml:space="preserve">The </w:t>
      </w:r>
      <w:r>
        <w:t xml:space="preserve">care planning and IRO study </w:t>
      </w:r>
      <w:r w:rsidRPr="006C2A8B">
        <w:t xml:space="preserve">was funded by the Economic and Social Research Council, grant number </w:t>
      </w:r>
      <w:r>
        <w:t>ES/J012149/1</w:t>
      </w:r>
      <w:r w:rsidRPr="006C2A8B">
        <w:t xml:space="preserve">. </w:t>
      </w:r>
      <w:r w:rsidR="00E720A9">
        <w:t xml:space="preserve">The other members of the research team were Professor Gillian Schofield, Dr Chris Beckett, Dr Georgia Philip and Julie Young. </w:t>
      </w:r>
    </w:p>
    <w:p w:rsidR="004D0F13" w:rsidRDefault="00C2748C" w:rsidP="00A27E0E">
      <w:r>
        <w:rPr>
          <w:b/>
        </w:rPr>
        <w:t>References</w:t>
      </w:r>
    </w:p>
    <w:p w:rsidR="00C2748C" w:rsidRPr="00C2748C" w:rsidRDefault="00C2748C" w:rsidP="00C2748C">
      <w:pPr>
        <w:rPr>
          <w:lang w:val="fr-FR"/>
        </w:rPr>
      </w:pPr>
      <w:r w:rsidRPr="00C2748C">
        <w:t xml:space="preserve">ADCS and Cafcass (Association of Directors of Children’s Services, and Children and Family Court Advisory and Support Service) (2014) </w:t>
      </w:r>
      <w:r w:rsidRPr="00C2748C">
        <w:rPr>
          <w:i/>
        </w:rPr>
        <w:t>Cafcass and Independent Reviewing Officer</w:t>
      </w:r>
      <w:r w:rsidR="00766C6B">
        <w:rPr>
          <w:i/>
        </w:rPr>
        <w:t>s</w:t>
      </w:r>
      <w:r w:rsidRPr="00C2748C">
        <w:rPr>
          <w:i/>
        </w:rPr>
        <w:t>: Good Practice Protocol for Public Law Work</w:t>
      </w:r>
      <w:r w:rsidRPr="00C2748C">
        <w:t xml:space="preserve">. </w:t>
      </w:r>
      <w:r w:rsidRPr="00C2748C">
        <w:rPr>
          <w:lang w:val="fr-FR"/>
        </w:rPr>
        <w:t xml:space="preserve">Online. </w:t>
      </w:r>
      <w:proofErr w:type="spellStart"/>
      <w:r w:rsidRPr="00C2748C">
        <w:rPr>
          <w:lang w:val="fr-FR"/>
        </w:rPr>
        <w:t>Available</w:t>
      </w:r>
      <w:proofErr w:type="spellEnd"/>
      <w:r w:rsidRPr="00C2748C">
        <w:rPr>
          <w:lang w:val="fr-FR"/>
        </w:rPr>
        <w:t>: http://www.adcs.org.uk/goodpractice/cafcass-iro.html</w:t>
      </w:r>
    </w:p>
    <w:p w:rsidR="00DB77F0" w:rsidRDefault="00DB77F0" w:rsidP="003F5ECC">
      <w:r>
        <w:t xml:space="preserve">Bourton, A. and </w:t>
      </w:r>
      <w:proofErr w:type="spellStart"/>
      <w:r>
        <w:t>McCausland</w:t>
      </w:r>
      <w:proofErr w:type="spellEnd"/>
      <w:r>
        <w:t>, J. (2001) ‘</w:t>
      </w:r>
      <w:proofErr w:type="gramStart"/>
      <w:r>
        <w:t>A</w:t>
      </w:r>
      <w:proofErr w:type="gramEnd"/>
      <w:r>
        <w:t xml:space="preserve"> service for children and a service for the courts: the contribution of guardians ad litem in public law proceedings’, </w:t>
      </w:r>
      <w:r w:rsidRPr="00DB77F0">
        <w:rPr>
          <w:i/>
        </w:rPr>
        <w:t>Adoption and Fostering</w:t>
      </w:r>
      <w:r>
        <w:t>, 25(3): 59-66.</w:t>
      </w:r>
    </w:p>
    <w:p w:rsidR="009020E1" w:rsidRPr="009020E1" w:rsidRDefault="009020E1" w:rsidP="009020E1">
      <w:r w:rsidRPr="009020E1">
        <w:t>Cafcass (2014</w:t>
      </w:r>
      <w:bookmarkStart w:id="0" w:name="_GoBack"/>
      <w:bookmarkEnd w:id="0"/>
      <w:r w:rsidRPr="009020E1">
        <w:t xml:space="preserve">) </w:t>
      </w:r>
      <w:r w:rsidRPr="009020E1">
        <w:rPr>
          <w:i/>
        </w:rPr>
        <w:t>Three Weeks in November, Five Years On: Cafcass Care Application Study</w:t>
      </w:r>
      <w:r w:rsidRPr="009020E1">
        <w:t xml:space="preserve"> </w:t>
      </w:r>
      <w:r w:rsidRPr="009020E1">
        <w:rPr>
          <w:i/>
        </w:rPr>
        <w:t>2014</w:t>
      </w:r>
      <w:r w:rsidRPr="009020E1">
        <w:t>, London: Cafcass</w:t>
      </w:r>
      <w:r>
        <w:t>. Online. Available:</w:t>
      </w:r>
      <w:r w:rsidRPr="009020E1">
        <w:t xml:space="preserve"> https://www.cafcass.gov.uk/media/217447/three_weeks_in_november_five_years_on.pdf</w:t>
      </w:r>
    </w:p>
    <w:p w:rsidR="003F5ECC" w:rsidRDefault="003F5ECC" w:rsidP="003F5ECC">
      <w:r>
        <w:t xml:space="preserve">CRCF (Centre for Research on Children and Families) (2014) </w:t>
      </w:r>
      <w:r w:rsidRPr="003F5ECC">
        <w:rPr>
          <w:bCs/>
          <w:i/>
        </w:rPr>
        <w:t>Care Planning and the Role of the Independent Reviewing Officer: Research Briefing</w:t>
      </w:r>
      <w:r>
        <w:rPr>
          <w:bCs/>
          <w:i/>
        </w:rPr>
        <w:t xml:space="preserve">, </w:t>
      </w:r>
      <w:r w:rsidRPr="003F5ECC">
        <w:rPr>
          <w:bCs/>
        </w:rPr>
        <w:t>Norwich: University of East Anglia. O</w:t>
      </w:r>
      <w:r>
        <w:rPr>
          <w:bCs/>
        </w:rPr>
        <w:t>nli</w:t>
      </w:r>
      <w:r w:rsidRPr="003F5ECC">
        <w:rPr>
          <w:bCs/>
        </w:rPr>
        <w:t>ne. Available:</w:t>
      </w:r>
      <w:r w:rsidRPr="003F5ECC">
        <w:rPr>
          <w:b/>
          <w:bCs/>
        </w:rPr>
        <w:t xml:space="preserve"> </w:t>
      </w:r>
      <w:r w:rsidRPr="003F5ECC">
        <w:t>https://www.uea.ac.uk/centre-research-child-family/child-placement/investigation-of-care-planning-and-the-role-of-the-iro</w:t>
      </w:r>
    </w:p>
    <w:p w:rsidR="00C2748C" w:rsidRPr="00C2748C" w:rsidRDefault="00C2748C" w:rsidP="00C2748C">
      <w:r w:rsidRPr="00C2748C">
        <w:t>DCSF (Department for Children, Schools and Families) (2010a) C</w:t>
      </w:r>
      <w:r w:rsidRPr="00C2748C">
        <w:rPr>
          <w:i/>
        </w:rPr>
        <w:t>hildren Act 1989 Guidance and Regulations Volume 2: Care Planning, Placement and Case Review</w:t>
      </w:r>
      <w:r w:rsidRPr="00C2748C">
        <w:t xml:space="preserve">, Nottingham: DCSF. Online. Available: https://www.gov.uk/government/publications/children-act-1989-care-planning-placement-and-case-review </w:t>
      </w:r>
    </w:p>
    <w:p w:rsidR="00C2748C" w:rsidRPr="00C2748C" w:rsidRDefault="00C2748C" w:rsidP="00C2748C">
      <w:r w:rsidRPr="00C2748C">
        <w:t xml:space="preserve">DCSF (2010b) </w:t>
      </w:r>
      <w:r w:rsidRPr="00C2748C">
        <w:rPr>
          <w:i/>
        </w:rPr>
        <w:t>IRO Handbook: Statutory Guidance for Independent Reviewing Officers and Local Authorities on their Functions in Relation to Case Management and Review for Looked After Children</w:t>
      </w:r>
      <w:r w:rsidRPr="00C2748C">
        <w:t>, Nottingham: DCSF. Online. Available: https://www.gov.uk/government/publications/independent-reviewing-officers-handbook</w:t>
      </w:r>
    </w:p>
    <w:p w:rsidR="00C2748C" w:rsidRPr="00C2748C" w:rsidRDefault="00C2748C" w:rsidP="00C2748C">
      <w:pPr>
        <w:rPr>
          <w:lang w:val="en"/>
        </w:rPr>
      </w:pPr>
      <w:proofErr w:type="spellStart"/>
      <w:r w:rsidRPr="00C2748C">
        <w:rPr>
          <w:lang w:val="en"/>
        </w:rPr>
        <w:t>DfE</w:t>
      </w:r>
      <w:proofErr w:type="spellEnd"/>
      <w:r w:rsidR="00CF4AE0">
        <w:rPr>
          <w:lang w:val="en"/>
        </w:rPr>
        <w:t xml:space="preserve"> (Department for Education)</w:t>
      </w:r>
      <w:r w:rsidRPr="00C2748C">
        <w:rPr>
          <w:lang w:val="en"/>
        </w:rPr>
        <w:t xml:space="preserve"> (2014) </w:t>
      </w:r>
      <w:r w:rsidRPr="00C2748C">
        <w:rPr>
          <w:i/>
          <w:lang w:val="en"/>
        </w:rPr>
        <w:t>Children Looked After by Local Authorities in Englan</w:t>
      </w:r>
      <w:r w:rsidR="00941CD8">
        <w:rPr>
          <w:i/>
          <w:lang w:val="en"/>
        </w:rPr>
        <w:t>d (Including Adoption and Care L</w:t>
      </w:r>
      <w:r w:rsidR="00695641">
        <w:rPr>
          <w:i/>
          <w:lang w:val="en"/>
        </w:rPr>
        <w:t>eavers) - Y</w:t>
      </w:r>
      <w:r w:rsidRPr="00C2748C">
        <w:rPr>
          <w:i/>
          <w:lang w:val="en"/>
        </w:rPr>
        <w:t xml:space="preserve">ear </w:t>
      </w:r>
      <w:r w:rsidR="00695641">
        <w:rPr>
          <w:i/>
          <w:lang w:val="en"/>
        </w:rPr>
        <w:t>E</w:t>
      </w:r>
      <w:r w:rsidRPr="00C2748C">
        <w:rPr>
          <w:i/>
          <w:lang w:val="en"/>
        </w:rPr>
        <w:t>nding 31 March 2014</w:t>
      </w:r>
      <w:r w:rsidRPr="00C2748C">
        <w:rPr>
          <w:lang w:val="en"/>
        </w:rPr>
        <w:t>. Online. Available: https://www.gov.uk/government/statistics/children-looked-after-in-england-including-adoption--2</w:t>
      </w:r>
    </w:p>
    <w:p w:rsidR="003F5ECC" w:rsidRPr="003F5ECC" w:rsidRDefault="003F5ECC" w:rsidP="003F5ECC">
      <w:pPr>
        <w:rPr>
          <w:lang w:val="fr-FR"/>
        </w:rPr>
      </w:pPr>
      <w:r>
        <w:t>FJR (</w:t>
      </w:r>
      <w:r w:rsidRPr="003F5ECC">
        <w:t>Family Justice Review</w:t>
      </w:r>
      <w:r>
        <w:t>)</w:t>
      </w:r>
      <w:r w:rsidRPr="003F5ECC">
        <w:t xml:space="preserve"> (2011) </w:t>
      </w:r>
      <w:r w:rsidRPr="003F5ECC">
        <w:rPr>
          <w:i/>
        </w:rPr>
        <w:t xml:space="preserve">Family Justice Review, Interim Report. </w:t>
      </w:r>
      <w:r w:rsidRPr="003F5ECC">
        <w:rPr>
          <w:lang w:val="fr-FR"/>
        </w:rPr>
        <w:t xml:space="preserve">Online. </w:t>
      </w:r>
      <w:proofErr w:type="spellStart"/>
      <w:r w:rsidRPr="003F5ECC">
        <w:rPr>
          <w:lang w:val="fr-FR"/>
        </w:rPr>
        <w:t>Available</w:t>
      </w:r>
      <w:proofErr w:type="spellEnd"/>
      <w:r w:rsidRPr="003F5ECC">
        <w:rPr>
          <w:lang w:val="fr-FR"/>
        </w:rPr>
        <w:t>: www.justice.gov.uk/about/moj/independent-reviews/family-justice-review/index.htm</w:t>
      </w:r>
      <w:r w:rsidRPr="003F5ECC">
        <w:rPr>
          <w:i/>
          <w:lang w:val="fr-FR"/>
        </w:rPr>
        <w:t xml:space="preserve"> </w:t>
      </w:r>
    </w:p>
    <w:p w:rsidR="00775C14" w:rsidRPr="00775C14" w:rsidRDefault="00775C14" w:rsidP="00775C14">
      <w:proofErr w:type="spellStart"/>
      <w:r w:rsidRPr="00775C14">
        <w:t>Harwin</w:t>
      </w:r>
      <w:proofErr w:type="spellEnd"/>
      <w:r w:rsidRPr="00775C14">
        <w:t xml:space="preserve">, J., Owen, M., Locke, R. and Forrester, D. (2003) </w:t>
      </w:r>
      <w:r w:rsidRPr="00775C14">
        <w:rPr>
          <w:i/>
        </w:rPr>
        <w:t>Making Care Orders Work: A Study of Care Plans and their Implementation</w:t>
      </w:r>
      <w:r w:rsidRPr="00775C14">
        <w:t>, London: The Stationery Office.</w:t>
      </w:r>
    </w:p>
    <w:p w:rsidR="00775C14" w:rsidRPr="00775C14" w:rsidRDefault="00775C14" w:rsidP="00775C14">
      <w:r w:rsidRPr="00775C14">
        <w:t xml:space="preserve">Hunt J. and Macleod, A. (1999) </w:t>
      </w:r>
      <w:r w:rsidRPr="00775C14">
        <w:rPr>
          <w:i/>
        </w:rPr>
        <w:t>The Best-Laid Plans: Outcomes of Judicial Decisions In Child Protection Proceedings</w:t>
      </w:r>
      <w:r w:rsidRPr="00775C14">
        <w:t>, London: The Stationery Office.</w:t>
      </w:r>
    </w:p>
    <w:p w:rsidR="0069605B" w:rsidRPr="0069605B" w:rsidRDefault="0069605B" w:rsidP="0069605B">
      <w:r w:rsidRPr="0069605B">
        <w:t xml:space="preserve">NCB (National Children’s Bureau) (2013) </w:t>
      </w:r>
      <w:r w:rsidRPr="0069605B">
        <w:rPr>
          <w:bCs/>
          <w:i/>
        </w:rPr>
        <w:t xml:space="preserve">The Role of Independent Reviewing Officers (IROs) in England: Findings from a National Survey, </w:t>
      </w:r>
      <w:r>
        <w:rPr>
          <w:bCs/>
        </w:rPr>
        <w:t xml:space="preserve">London: NCB. Online. Available: </w:t>
      </w:r>
      <w:r w:rsidRPr="0069605B">
        <w:rPr>
          <w:bCs/>
        </w:rPr>
        <w:t>http://www.ncb.org.uk/media/1024503/iros_survey_findings_final_08_aug_13.pdf</w:t>
      </w:r>
    </w:p>
    <w:p w:rsidR="00C2748C" w:rsidRPr="00C2748C" w:rsidRDefault="00C2748C" w:rsidP="00C2748C">
      <w:r w:rsidRPr="00C2748C">
        <w:t>NCB</w:t>
      </w:r>
      <w:r w:rsidR="00CF4AE0">
        <w:t xml:space="preserve"> </w:t>
      </w:r>
      <w:r w:rsidRPr="00C2748C">
        <w:t xml:space="preserve">(2014) </w:t>
      </w:r>
      <w:r w:rsidRPr="00C2748C">
        <w:rPr>
          <w:bCs/>
          <w:i/>
        </w:rPr>
        <w:t>The Role of Independent Reviewing Officer</w:t>
      </w:r>
      <w:r w:rsidR="00941CD8">
        <w:rPr>
          <w:bCs/>
          <w:i/>
        </w:rPr>
        <w:t>s (IROs) in England: Final R</w:t>
      </w:r>
      <w:r w:rsidRPr="00C2748C">
        <w:rPr>
          <w:bCs/>
          <w:i/>
        </w:rPr>
        <w:t>eport</w:t>
      </w:r>
      <w:r>
        <w:rPr>
          <w:bCs/>
        </w:rPr>
        <w:t>, London: NCB. Online. A</w:t>
      </w:r>
      <w:r w:rsidR="003F5ECC">
        <w:rPr>
          <w:bCs/>
        </w:rPr>
        <w:t>vaila</w:t>
      </w:r>
      <w:r>
        <w:rPr>
          <w:bCs/>
        </w:rPr>
        <w:t>ble:</w:t>
      </w:r>
      <w:r w:rsidRPr="00C2748C">
        <w:rPr>
          <w:bCs/>
          <w:i/>
        </w:rPr>
        <w:t xml:space="preserve"> </w:t>
      </w:r>
      <w:r w:rsidRPr="00C2748C">
        <w:rPr>
          <w:bCs/>
        </w:rPr>
        <w:t>http://www.ncb.org.uk/media/1124381/ncb_the_role_of_independent_reviewing_officers_in_england_-_final2.pdf</w:t>
      </w:r>
    </w:p>
    <w:p w:rsidR="00C2748C" w:rsidRPr="00C2748C" w:rsidRDefault="00C2748C" w:rsidP="00A27E0E">
      <w:r w:rsidRPr="00C2748C">
        <w:lastRenderedPageBreak/>
        <w:t xml:space="preserve">Ofsted (2013) </w:t>
      </w:r>
      <w:r w:rsidRPr="00C2748C">
        <w:rPr>
          <w:i/>
        </w:rPr>
        <w:t>Independent Reviewing Officers: Taking Up the Challenge</w:t>
      </w:r>
      <w:r w:rsidRPr="00C2748C">
        <w:t>, London: Ofsted.</w:t>
      </w:r>
      <w:r>
        <w:t xml:space="preserve"> Online. Available: </w:t>
      </w:r>
      <w:r w:rsidRPr="00C2748C">
        <w:t xml:space="preserve"> http://dera.ioe.ac.uk/17791/1/Independent%20reviewing%20officers%20taking%20up%20the%20challenge.pdf</w:t>
      </w:r>
    </w:p>
    <w:sectPr w:rsidR="00C2748C" w:rsidRPr="00C2748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B55" w:rsidRDefault="00843B55" w:rsidP="00843B55">
      <w:pPr>
        <w:spacing w:after="0" w:line="240" w:lineRule="auto"/>
      </w:pPr>
      <w:r>
        <w:separator/>
      </w:r>
    </w:p>
  </w:endnote>
  <w:endnote w:type="continuationSeparator" w:id="0">
    <w:p w:rsidR="00843B55" w:rsidRDefault="00843B55" w:rsidP="00843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9798320"/>
      <w:docPartObj>
        <w:docPartGallery w:val="Page Numbers (Bottom of Page)"/>
        <w:docPartUnique/>
      </w:docPartObj>
    </w:sdtPr>
    <w:sdtEndPr>
      <w:rPr>
        <w:noProof/>
      </w:rPr>
    </w:sdtEndPr>
    <w:sdtContent>
      <w:p w:rsidR="00843B55" w:rsidRDefault="00843B55">
        <w:pPr>
          <w:pStyle w:val="Footer"/>
          <w:jc w:val="center"/>
        </w:pPr>
        <w:r>
          <w:fldChar w:fldCharType="begin"/>
        </w:r>
        <w:r>
          <w:instrText xml:space="preserve"> PAGE   \* MERGEFORMAT </w:instrText>
        </w:r>
        <w:r>
          <w:fldChar w:fldCharType="separate"/>
        </w:r>
        <w:r w:rsidR="0061612C">
          <w:rPr>
            <w:noProof/>
          </w:rPr>
          <w:t>1</w:t>
        </w:r>
        <w:r>
          <w:rPr>
            <w:noProof/>
          </w:rPr>
          <w:fldChar w:fldCharType="end"/>
        </w:r>
      </w:p>
    </w:sdtContent>
  </w:sdt>
  <w:p w:rsidR="00843B55" w:rsidRDefault="00843B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B55" w:rsidRDefault="00843B55" w:rsidP="00843B55">
      <w:pPr>
        <w:spacing w:after="0" w:line="240" w:lineRule="auto"/>
      </w:pPr>
      <w:r>
        <w:separator/>
      </w:r>
    </w:p>
  </w:footnote>
  <w:footnote w:type="continuationSeparator" w:id="0">
    <w:p w:rsidR="00843B55" w:rsidRDefault="00843B55" w:rsidP="00843B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bullet"/>
      <w:lvlText w:val=""/>
      <w:lvlJc w:val="left"/>
      <w:pPr>
        <w:ind w:left="720" w:hanging="360"/>
      </w:pPr>
      <w:rPr>
        <w:rFonts w:ascii="Symbol" w:hAnsi="Symbol" w:cs="Symbol" w:hint="default"/>
        <w:b/>
        <w:bCs/>
        <w:i w:val="0"/>
        <w:iCs w:val="0"/>
        <w:strike w:val="0"/>
        <w:color w:val="auto"/>
        <w:sz w:val="22"/>
        <w:szCs w:val="22"/>
        <w:u w:val="none"/>
      </w:rPr>
    </w:lvl>
    <w:lvl w:ilvl="1">
      <w:start w:val="1"/>
      <w:numFmt w:val="bullet"/>
      <w:lvlText w:val=""/>
      <w:lvlJc w:val="left"/>
      <w:pPr>
        <w:ind w:left="1080" w:hanging="360"/>
      </w:pPr>
      <w:rPr>
        <w:rFonts w:ascii="Symbol" w:hAnsi="Symbol" w:cs="Symbol" w:hint="default"/>
        <w:b/>
        <w:bCs/>
        <w:i w:val="0"/>
        <w:iCs w:val="0"/>
        <w:strike w:val="0"/>
        <w:color w:val="auto"/>
        <w:sz w:val="22"/>
        <w:szCs w:val="22"/>
        <w:u w:val="none"/>
      </w:rPr>
    </w:lvl>
    <w:lvl w:ilvl="2">
      <w:start w:val="1"/>
      <w:numFmt w:val="bullet"/>
      <w:lvlText w:val=""/>
      <w:lvlJc w:val="left"/>
      <w:pPr>
        <w:ind w:left="1440" w:hanging="360"/>
      </w:pPr>
      <w:rPr>
        <w:rFonts w:ascii="Symbol" w:hAnsi="Symbol" w:cs="Symbol" w:hint="default"/>
        <w:b/>
        <w:bCs/>
        <w:i w:val="0"/>
        <w:iCs w:val="0"/>
        <w:strike w:val="0"/>
        <w:color w:val="auto"/>
        <w:sz w:val="22"/>
        <w:szCs w:val="22"/>
        <w:u w:val="none"/>
      </w:rPr>
    </w:lvl>
    <w:lvl w:ilvl="3">
      <w:start w:val="1"/>
      <w:numFmt w:val="bullet"/>
      <w:lvlText w:val=""/>
      <w:lvlJc w:val="left"/>
      <w:pPr>
        <w:ind w:left="1800" w:hanging="360"/>
      </w:pPr>
      <w:rPr>
        <w:rFonts w:ascii="Symbol" w:hAnsi="Symbol" w:cs="Symbol" w:hint="default"/>
        <w:b/>
        <w:bCs/>
        <w:i w:val="0"/>
        <w:iCs w:val="0"/>
        <w:strike w:val="0"/>
        <w:color w:val="auto"/>
        <w:sz w:val="22"/>
        <w:szCs w:val="22"/>
        <w:u w:val="none"/>
      </w:rPr>
    </w:lvl>
    <w:lvl w:ilvl="4">
      <w:start w:val="1"/>
      <w:numFmt w:val="bullet"/>
      <w:lvlText w:val=""/>
      <w:lvlJc w:val="left"/>
      <w:pPr>
        <w:ind w:left="2160" w:hanging="360"/>
      </w:pPr>
      <w:rPr>
        <w:rFonts w:ascii="Symbol" w:hAnsi="Symbol" w:cs="Symbol" w:hint="default"/>
        <w:b/>
        <w:bCs/>
        <w:i w:val="0"/>
        <w:iCs w:val="0"/>
        <w:strike w:val="0"/>
        <w:color w:val="auto"/>
        <w:sz w:val="22"/>
        <w:szCs w:val="22"/>
        <w:u w:val="none"/>
      </w:rPr>
    </w:lvl>
    <w:lvl w:ilvl="5">
      <w:start w:val="1"/>
      <w:numFmt w:val="bullet"/>
      <w:lvlText w:val=""/>
      <w:lvlJc w:val="left"/>
      <w:pPr>
        <w:ind w:left="2520" w:hanging="360"/>
      </w:pPr>
      <w:rPr>
        <w:rFonts w:ascii="Symbol" w:hAnsi="Symbol" w:cs="Symbol" w:hint="default"/>
        <w:b/>
        <w:bCs/>
        <w:i w:val="0"/>
        <w:iCs w:val="0"/>
        <w:strike w:val="0"/>
        <w:color w:val="auto"/>
        <w:sz w:val="22"/>
        <w:szCs w:val="22"/>
        <w:u w:val="none"/>
      </w:rPr>
    </w:lvl>
    <w:lvl w:ilvl="6">
      <w:start w:val="1"/>
      <w:numFmt w:val="bullet"/>
      <w:lvlText w:val=""/>
      <w:lvlJc w:val="left"/>
      <w:pPr>
        <w:ind w:left="2880" w:hanging="360"/>
      </w:pPr>
      <w:rPr>
        <w:rFonts w:ascii="Symbol" w:hAnsi="Symbol" w:cs="Symbol" w:hint="default"/>
        <w:b/>
        <w:bCs/>
        <w:i w:val="0"/>
        <w:iCs w:val="0"/>
        <w:strike w:val="0"/>
        <w:color w:val="auto"/>
        <w:sz w:val="22"/>
        <w:szCs w:val="22"/>
        <w:u w:val="none"/>
      </w:rPr>
    </w:lvl>
    <w:lvl w:ilvl="7">
      <w:start w:val="1"/>
      <w:numFmt w:val="bullet"/>
      <w:lvlText w:val=""/>
      <w:lvlJc w:val="left"/>
      <w:pPr>
        <w:ind w:left="3240" w:hanging="360"/>
      </w:pPr>
      <w:rPr>
        <w:rFonts w:ascii="Symbol" w:hAnsi="Symbol" w:cs="Symbol" w:hint="default"/>
        <w:b/>
        <w:bCs/>
        <w:i w:val="0"/>
        <w:iCs w:val="0"/>
        <w:strike w:val="0"/>
        <w:color w:val="auto"/>
        <w:sz w:val="22"/>
        <w:szCs w:val="22"/>
        <w:u w:val="none"/>
      </w:rPr>
    </w:lvl>
    <w:lvl w:ilvl="8">
      <w:start w:val="1"/>
      <w:numFmt w:val="bullet"/>
      <w:lvlText w:val=""/>
      <w:lvlJc w:val="left"/>
      <w:pPr>
        <w:ind w:left="3600" w:hanging="360"/>
      </w:pPr>
      <w:rPr>
        <w:rFonts w:ascii="Symbol" w:hAnsi="Symbol" w:cs="Symbol" w:hint="default"/>
        <w:b/>
        <w:bCs/>
        <w:i w:val="0"/>
        <w:iCs w:val="0"/>
        <w:strike w:val="0"/>
        <w:color w:val="auto"/>
        <w:sz w:val="22"/>
        <w:szCs w:val="22"/>
        <w:u w:val="none"/>
      </w:rPr>
    </w:lvl>
  </w:abstractNum>
  <w:abstractNum w:abstractNumId="1">
    <w:nsid w:val="469A569D"/>
    <w:multiLevelType w:val="hybridMultilevel"/>
    <w:tmpl w:val="12CC915C"/>
    <w:lvl w:ilvl="0" w:tplc="07E07F8E">
      <w:start w:val="1"/>
      <w:numFmt w:val="bullet"/>
      <w:lvlText w:val="•"/>
      <w:lvlJc w:val="left"/>
      <w:pPr>
        <w:tabs>
          <w:tab w:val="num" w:pos="720"/>
        </w:tabs>
        <w:ind w:left="720" w:hanging="360"/>
      </w:pPr>
      <w:rPr>
        <w:rFonts w:ascii="Arial" w:hAnsi="Arial" w:hint="default"/>
      </w:rPr>
    </w:lvl>
    <w:lvl w:ilvl="1" w:tplc="0CE617E6" w:tentative="1">
      <w:start w:val="1"/>
      <w:numFmt w:val="bullet"/>
      <w:lvlText w:val="•"/>
      <w:lvlJc w:val="left"/>
      <w:pPr>
        <w:tabs>
          <w:tab w:val="num" w:pos="1440"/>
        </w:tabs>
        <w:ind w:left="1440" w:hanging="360"/>
      </w:pPr>
      <w:rPr>
        <w:rFonts w:ascii="Arial" w:hAnsi="Arial" w:hint="default"/>
      </w:rPr>
    </w:lvl>
    <w:lvl w:ilvl="2" w:tplc="14A688B6" w:tentative="1">
      <w:start w:val="1"/>
      <w:numFmt w:val="bullet"/>
      <w:lvlText w:val="•"/>
      <w:lvlJc w:val="left"/>
      <w:pPr>
        <w:tabs>
          <w:tab w:val="num" w:pos="2160"/>
        </w:tabs>
        <w:ind w:left="2160" w:hanging="360"/>
      </w:pPr>
      <w:rPr>
        <w:rFonts w:ascii="Arial" w:hAnsi="Arial" w:hint="default"/>
      </w:rPr>
    </w:lvl>
    <w:lvl w:ilvl="3" w:tplc="0DE8C2C8" w:tentative="1">
      <w:start w:val="1"/>
      <w:numFmt w:val="bullet"/>
      <w:lvlText w:val="•"/>
      <w:lvlJc w:val="left"/>
      <w:pPr>
        <w:tabs>
          <w:tab w:val="num" w:pos="2880"/>
        </w:tabs>
        <w:ind w:left="2880" w:hanging="360"/>
      </w:pPr>
      <w:rPr>
        <w:rFonts w:ascii="Arial" w:hAnsi="Arial" w:hint="default"/>
      </w:rPr>
    </w:lvl>
    <w:lvl w:ilvl="4" w:tplc="1A545B18" w:tentative="1">
      <w:start w:val="1"/>
      <w:numFmt w:val="bullet"/>
      <w:lvlText w:val="•"/>
      <w:lvlJc w:val="left"/>
      <w:pPr>
        <w:tabs>
          <w:tab w:val="num" w:pos="3600"/>
        </w:tabs>
        <w:ind w:left="3600" w:hanging="360"/>
      </w:pPr>
      <w:rPr>
        <w:rFonts w:ascii="Arial" w:hAnsi="Arial" w:hint="default"/>
      </w:rPr>
    </w:lvl>
    <w:lvl w:ilvl="5" w:tplc="2EA00FD2" w:tentative="1">
      <w:start w:val="1"/>
      <w:numFmt w:val="bullet"/>
      <w:lvlText w:val="•"/>
      <w:lvlJc w:val="left"/>
      <w:pPr>
        <w:tabs>
          <w:tab w:val="num" w:pos="4320"/>
        </w:tabs>
        <w:ind w:left="4320" w:hanging="360"/>
      </w:pPr>
      <w:rPr>
        <w:rFonts w:ascii="Arial" w:hAnsi="Arial" w:hint="default"/>
      </w:rPr>
    </w:lvl>
    <w:lvl w:ilvl="6" w:tplc="3AE839A0" w:tentative="1">
      <w:start w:val="1"/>
      <w:numFmt w:val="bullet"/>
      <w:lvlText w:val="•"/>
      <w:lvlJc w:val="left"/>
      <w:pPr>
        <w:tabs>
          <w:tab w:val="num" w:pos="5040"/>
        </w:tabs>
        <w:ind w:left="5040" w:hanging="360"/>
      </w:pPr>
      <w:rPr>
        <w:rFonts w:ascii="Arial" w:hAnsi="Arial" w:hint="default"/>
      </w:rPr>
    </w:lvl>
    <w:lvl w:ilvl="7" w:tplc="27ECDB7E" w:tentative="1">
      <w:start w:val="1"/>
      <w:numFmt w:val="bullet"/>
      <w:lvlText w:val="•"/>
      <w:lvlJc w:val="left"/>
      <w:pPr>
        <w:tabs>
          <w:tab w:val="num" w:pos="5760"/>
        </w:tabs>
        <w:ind w:left="5760" w:hanging="360"/>
      </w:pPr>
      <w:rPr>
        <w:rFonts w:ascii="Arial" w:hAnsi="Arial" w:hint="default"/>
      </w:rPr>
    </w:lvl>
    <w:lvl w:ilvl="8" w:tplc="0864518A" w:tentative="1">
      <w:start w:val="1"/>
      <w:numFmt w:val="bullet"/>
      <w:lvlText w:val="•"/>
      <w:lvlJc w:val="left"/>
      <w:pPr>
        <w:tabs>
          <w:tab w:val="num" w:pos="6480"/>
        </w:tabs>
        <w:ind w:left="6480" w:hanging="360"/>
      </w:pPr>
      <w:rPr>
        <w:rFonts w:ascii="Arial" w:hAnsi="Arial" w:hint="default"/>
      </w:rPr>
    </w:lvl>
  </w:abstractNum>
  <w:abstractNum w:abstractNumId="2">
    <w:nsid w:val="47DF77FD"/>
    <w:multiLevelType w:val="hybridMultilevel"/>
    <w:tmpl w:val="F85A3CBE"/>
    <w:lvl w:ilvl="0" w:tplc="CE2265FA">
      <w:start w:val="1"/>
      <w:numFmt w:val="bullet"/>
      <w:lvlText w:val=""/>
      <w:lvlJc w:val="left"/>
      <w:pPr>
        <w:tabs>
          <w:tab w:val="num" w:pos="720"/>
        </w:tabs>
        <w:ind w:left="720" w:hanging="360"/>
      </w:pPr>
      <w:rPr>
        <w:rFonts w:ascii="Wingdings" w:hAnsi="Wingdings" w:hint="default"/>
      </w:rPr>
    </w:lvl>
    <w:lvl w:ilvl="1" w:tplc="92BE22C0" w:tentative="1">
      <w:start w:val="1"/>
      <w:numFmt w:val="bullet"/>
      <w:lvlText w:val=""/>
      <w:lvlJc w:val="left"/>
      <w:pPr>
        <w:tabs>
          <w:tab w:val="num" w:pos="1440"/>
        </w:tabs>
        <w:ind w:left="1440" w:hanging="360"/>
      </w:pPr>
      <w:rPr>
        <w:rFonts w:ascii="Wingdings" w:hAnsi="Wingdings" w:hint="default"/>
      </w:rPr>
    </w:lvl>
    <w:lvl w:ilvl="2" w:tplc="91DE9588" w:tentative="1">
      <w:start w:val="1"/>
      <w:numFmt w:val="bullet"/>
      <w:lvlText w:val=""/>
      <w:lvlJc w:val="left"/>
      <w:pPr>
        <w:tabs>
          <w:tab w:val="num" w:pos="2160"/>
        </w:tabs>
        <w:ind w:left="2160" w:hanging="360"/>
      </w:pPr>
      <w:rPr>
        <w:rFonts w:ascii="Wingdings" w:hAnsi="Wingdings" w:hint="default"/>
      </w:rPr>
    </w:lvl>
    <w:lvl w:ilvl="3" w:tplc="F5A8F7E2" w:tentative="1">
      <w:start w:val="1"/>
      <w:numFmt w:val="bullet"/>
      <w:lvlText w:val=""/>
      <w:lvlJc w:val="left"/>
      <w:pPr>
        <w:tabs>
          <w:tab w:val="num" w:pos="2880"/>
        </w:tabs>
        <w:ind w:left="2880" w:hanging="360"/>
      </w:pPr>
      <w:rPr>
        <w:rFonts w:ascii="Wingdings" w:hAnsi="Wingdings" w:hint="default"/>
      </w:rPr>
    </w:lvl>
    <w:lvl w:ilvl="4" w:tplc="3C6E91D8" w:tentative="1">
      <w:start w:val="1"/>
      <w:numFmt w:val="bullet"/>
      <w:lvlText w:val=""/>
      <w:lvlJc w:val="left"/>
      <w:pPr>
        <w:tabs>
          <w:tab w:val="num" w:pos="3600"/>
        </w:tabs>
        <w:ind w:left="3600" w:hanging="360"/>
      </w:pPr>
      <w:rPr>
        <w:rFonts w:ascii="Wingdings" w:hAnsi="Wingdings" w:hint="default"/>
      </w:rPr>
    </w:lvl>
    <w:lvl w:ilvl="5" w:tplc="90662508" w:tentative="1">
      <w:start w:val="1"/>
      <w:numFmt w:val="bullet"/>
      <w:lvlText w:val=""/>
      <w:lvlJc w:val="left"/>
      <w:pPr>
        <w:tabs>
          <w:tab w:val="num" w:pos="4320"/>
        </w:tabs>
        <w:ind w:left="4320" w:hanging="360"/>
      </w:pPr>
      <w:rPr>
        <w:rFonts w:ascii="Wingdings" w:hAnsi="Wingdings" w:hint="default"/>
      </w:rPr>
    </w:lvl>
    <w:lvl w:ilvl="6" w:tplc="016282E0" w:tentative="1">
      <w:start w:val="1"/>
      <w:numFmt w:val="bullet"/>
      <w:lvlText w:val=""/>
      <w:lvlJc w:val="left"/>
      <w:pPr>
        <w:tabs>
          <w:tab w:val="num" w:pos="5040"/>
        </w:tabs>
        <w:ind w:left="5040" w:hanging="360"/>
      </w:pPr>
      <w:rPr>
        <w:rFonts w:ascii="Wingdings" w:hAnsi="Wingdings" w:hint="default"/>
      </w:rPr>
    </w:lvl>
    <w:lvl w:ilvl="7" w:tplc="50540402" w:tentative="1">
      <w:start w:val="1"/>
      <w:numFmt w:val="bullet"/>
      <w:lvlText w:val=""/>
      <w:lvlJc w:val="left"/>
      <w:pPr>
        <w:tabs>
          <w:tab w:val="num" w:pos="5760"/>
        </w:tabs>
        <w:ind w:left="5760" w:hanging="360"/>
      </w:pPr>
      <w:rPr>
        <w:rFonts w:ascii="Wingdings" w:hAnsi="Wingdings" w:hint="default"/>
      </w:rPr>
    </w:lvl>
    <w:lvl w:ilvl="8" w:tplc="3DD81778"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7F0D1F00-D16B-4CFA-B3DD-2F2BBA47F8E0}"/>
    <w:docVar w:name="dgnword-eventsink" w:val="306110320"/>
  </w:docVars>
  <w:rsids>
    <w:rsidRoot w:val="00CB594E"/>
    <w:rsid w:val="000508E8"/>
    <w:rsid w:val="000E5C7C"/>
    <w:rsid w:val="001068EF"/>
    <w:rsid w:val="001103D6"/>
    <w:rsid w:val="00174312"/>
    <w:rsid w:val="001A5982"/>
    <w:rsid w:val="001D4204"/>
    <w:rsid w:val="001E6585"/>
    <w:rsid w:val="00236544"/>
    <w:rsid w:val="00245317"/>
    <w:rsid w:val="00282955"/>
    <w:rsid w:val="002D5276"/>
    <w:rsid w:val="002E56AC"/>
    <w:rsid w:val="00301372"/>
    <w:rsid w:val="00310B82"/>
    <w:rsid w:val="00366258"/>
    <w:rsid w:val="003855EF"/>
    <w:rsid w:val="003B488F"/>
    <w:rsid w:val="003C7D6C"/>
    <w:rsid w:val="003F219F"/>
    <w:rsid w:val="003F2BB0"/>
    <w:rsid w:val="003F5ECC"/>
    <w:rsid w:val="00424B5A"/>
    <w:rsid w:val="004706C7"/>
    <w:rsid w:val="004854DC"/>
    <w:rsid w:val="00493D4A"/>
    <w:rsid w:val="004B63FA"/>
    <w:rsid w:val="004D0F13"/>
    <w:rsid w:val="00512E28"/>
    <w:rsid w:val="005151E5"/>
    <w:rsid w:val="00525FF4"/>
    <w:rsid w:val="005358B7"/>
    <w:rsid w:val="005367AB"/>
    <w:rsid w:val="00556ADD"/>
    <w:rsid w:val="0058578C"/>
    <w:rsid w:val="0059598A"/>
    <w:rsid w:val="005D7DB0"/>
    <w:rsid w:val="00605A68"/>
    <w:rsid w:val="0061612C"/>
    <w:rsid w:val="00650A82"/>
    <w:rsid w:val="00667A82"/>
    <w:rsid w:val="00695641"/>
    <w:rsid w:val="0069605B"/>
    <w:rsid w:val="006C2A8B"/>
    <w:rsid w:val="006E07E8"/>
    <w:rsid w:val="007166E1"/>
    <w:rsid w:val="00744E75"/>
    <w:rsid w:val="00753AFC"/>
    <w:rsid w:val="00756C52"/>
    <w:rsid w:val="00766C6B"/>
    <w:rsid w:val="00775C14"/>
    <w:rsid w:val="007A6D98"/>
    <w:rsid w:val="007E2338"/>
    <w:rsid w:val="00817718"/>
    <w:rsid w:val="0083040F"/>
    <w:rsid w:val="00843B55"/>
    <w:rsid w:val="00873D00"/>
    <w:rsid w:val="00885BA7"/>
    <w:rsid w:val="008C4B17"/>
    <w:rsid w:val="008C7CE7"/>
    <w:rsid w:val="009020E1"/>
    <w:rsid w:val="0092645E"/>
    <w:rsid w:val="00941CD8"/>
    <w:rsid w:val="009713F5"/>
    <w:rsid w:val="009907DC"/>
    <w:rsid w:val="00995FB6"/>
    <w:rsid w:val="009B2357"/>
    <w:rsid w:val="009B7FD5"/>
    <w:rsid w:val="009F433B"/>
    <w:rsid w:val="00A27E0E"/>
    <w:rsid w:val="00A56F18"/>
    <w:rsid w:val="00A722EE"/>
    <w:rsid w:val="00AA192D"/>
    <w:rsid w:val="00AE3907"/>
    <w:rsid w:val="00AF59A4"/>
    <w:rsid w:val="00B15A1E"/>
    <w:rsid w:val="00B43856"/>
    <w:rsid w:val="00BB6941"/>
    <w:rsid w:val="00BB6D88"/>
    <w:rsid w:val="00BC2949"/>
    <w:rsid w:val="00BE14BE"/>
    <w:rsid w:val="00C16533"/>
    <w:rsid w:val="00C25986"/>
    <w:rsid w:val="00C2748C"/>
    <w:rsid w:val="00C33C48"/>
    <w:rsid w:val="00CB594E"/>
    <w:rsid w:val="00CD2659"/>
    <w:rsid w:val="00CD2B56"/>
    <w:rsid w:val="00CF4AE0"/>
    <w:rsid w:val="00D025CD"/>
    <w:rsid w:val="00D24791"/>
    <w:rsid w:val="00D319D7"/>
    <w:rsid w:val="00D44C1A"/>
    <w:rsid w:val="00D662F3"/>
    <w:rsid w:val="00D75DF7"/>
    <w:rsid w:val="00D81C1E"/>
    <w:rsid w:val="00DA0F8F"/>
    <w:rsid w:val="00DB77F0"/>
    <w:rsid w:val="00DD3E90"/>
    <w:rsid w:val="00E07C32"/>
    <w:rsid w:val="00E2112B"/>
    <w:rsid w:val="00E36FBE"/>
    <w:rsid w:val="00E37344"/>
    <w:rsid w:val="00E474D3"/>
    <w:rsid w:val="00E54C41"/>
    <w:rsid w:val="00E66FEC"/>
    <w:rsid w:val="00E720A9"/>
    <w:rsid w:val="00EC1653"/>
    <w:rsid w:val="00EE4BC4"/>
    <w:rsid w:val="00EF21A4"/>
    <w:rsid w:val="00F21CCA"/>
    <w:rsid w:val="00F627C4"/>
    <w:rsid w:val="00F72627"/>
    <w:rsid w:val="00F90AB1"/>
    <w:rsid w:val="00FB1DCB"/>
    <w:rsid w:val="00FC66A0"/>
    <w:rsid w:val="00FD6C89"/>
    <w:rsid w:val="00FE0E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55D53C-2CF0-44A0-A235-194586E8C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7CE7"/>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A6D98"/>
    <w:pPr>
      <w:spacing w:after="0" w:line="240" w:lineRule="auto"/>
    </w:pPr>
  </w:style>
  <w:style w:type="paragraph" w:styleId="Header">
    <w:name w:val="header"/>
    <w:basedOn w:val="Normal"/>
    <w:link w:val="HeaderChar"/>
    <w:uiPriority w:val="99"/>
    <w:unhideWhenUsed/>
    <w:rsid w:val="00843B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3B55"/>
  </w:style>
  <w:style w:type="paragraph" w:styleId="Footer">
    <w:name w:val="footer"/>
    <w:basedOn w:val="Normal"/>
    <w:link w:val="FooterChar"/>
    <w:uiPriority w:val="99"/>
    <w:unhideWhenUsed/>
    <w:rsid w:val="00843B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3B55"/>
  </w:style>
  <w:style w:type="paragraph" w:styleId="ListParagraph">
    <w:name w:val="List Paragraph"/>
    <w:basedOn w:val="Normal"/>
    <w:uiPriority w:val="34"/>
    <w:qFormat/>
    <w:rsid w:val="00C165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940823">
      <w:bodyDiv w:val="1"/>
      <w:marLeft w:val="0"/>
      <w:marRight w:val="0"/>
      <w:marTop w:val="0"/>
      <w:marBottom w:val="0"/>
      <w:divBdr>
        <w:top w:val="none" w:sz="0" w:space="0" w:color="auto"/>
        <w:left w:val="none" w:sz="0" w:space="0" w:color="auto"/>
        <w:bottom w:val="none" w:sz="0" w:space="0" w:color="auto"/>
        <w:right w:val="none" w:sz="0" w:space="0" w:color="auto"/>
      </w:divBdr>
      <w:divsChild>
        <w:div w:id="1132094490">
          <w:marLeft w:val="403"/>
          <w:marRight w:val="0"/>
          <w:marTop w:val="115"/>
          <w:marBottom w:val="120"/>
          <w:divBdr>
            <w:top w:val="none" w:sz="0" w:space="0" w:color="auto"/>
            <w:left w:val="none" w:sz="0" w:space="0" w:color="auto"/>
            <w:bottom w:val="none" w:sz="0" w:space="0" w:color="auto"/>
            <w:right w:val="none" w:sz="0" w:space="0" w:color="auto"/>
          </w:divBdr>
        </w:div>
        <w:div w:id="378359763">
          <w:marLeft w:val="403"/>
          <w:marRight w:val="0"/>
          <w:marTop w:val="115"/>
          <w:marBottom w:val="120"/>
          <w:divBdr>
            <w:top w:val="none" w:sz="0" w:space="0" w:color="auto"/>
            <w:left w:val="none" w:sz="0" w:space="0" w:color="auto"/>
            <w:bottom w:val="none" w:sz="0" w:space="0" w:color="auto"/>
            <w:right w:val="none" w:sz="0" w:space="0" w:color="auto"/>
          </w:divBdr>
        </w:div>
        <w:div w:id="1439833042">
          <w:marLeft w:val="403"/>
          <w:marRight w:val="0"/>
          <w:marTop w:val="115"/>
          <w:marBottom w:val="120"/>
          <w:divBdr>
            <w:top w:val="none" w:sz="0" w:space="0" w:color="auto"/>
            <w:left w:val="none" w:sz="0" w:space="0" w:color="auto"/>
            <w:bottom w:val="none" w:sz="0" w:space="0" w:color="auto"/>
            <w:right w:val="none" w:sz="0" w:space="0" w:color="auto"/>
          </w:divBdr>
        </w:div>
        <w:div w:id="1402292473">
          <w:marLeft w:val="403"/>
          <w:marRight w:val="0"/>
          <w:marTop w:val="115"/>
          <w:marBottom w:val="120"/>
          <w:divBdr>
            <w:top w:val="none" w:sz="0" w:space="0" w:color="auto"/>
            <w:left w:val="none" w:sz="0" w:space="0" w:color="auto"/>
            <w:bottom w:val="none" w:sz="0" w:space="0" w:color="auto"/>
            <w:right w:val="none" w:sz="0" w:space="0" w:color="auto"/>
          </w:divBdr>
        </w:div>
        <w:div w:id="1997147952">
          <w:marLeft w:val="403"/>
          <w:marRight w:val="0"/>
          <w:marTop w:val="115"/>
          <w:marBottom w:val="120"/>
          <w:divBdr>
            <w:top w:val="none" w:sz="0" w:space="0" w:color="auto"/>
            <w:left w:val="none" w:sz="0" w:space="0" w:color="auto"/>
            <w:bottom w:val="none" w:sz="0" w:space="0" w:color="auto"/>
            <w:right w:val="none" w:sz="0" w:space="0" w:color="auto"/>
          </w:divBdr>
        </w:div>
      </w:divsChild>
    </w:div>
    <w:div w:id="1548684051">
      <w:bodyDiv w:val="1"/>
      <w:marLeft w:val="0"/>
      <w:marRight w:val="0"/>
      <w:marTop w:val="0"/>
      <w:marBottom w:val="0"/>
      <w:divBdr>
        <w:top w:val="none" w:sz="0" w:space="0" w:color="auto"/>
        <w:left w:val="none" w:sz="0" w:space="0" w:color="auto"/>
        <w:bottom w:val="none" w:sz="0" w:space="0" w:color="auto"/>
        <w:right w:val="none" w:sz="0" w:space="0" w:color="auto"/>
      </w:divBdr>
      <w:divsChild>
        <w:div w:id="946499024">
          <w:marLeft w:val="547"/>
          <w:marRight w:val="0"/>
          <w:marTop w:val="115"/>
          <w:marBottom w:val="120"/>
          <w:divBdr>
            <w:top w:val="none" w:sz="0" w:space="0" w:color="auto"/>
            <w:left w:val="none" w:sz="0" w:space="0" w:color="auto"/>
            <w:bottom w:val="none" w:sz="0" w:space="0" w:color="auto"/>
            <w:right w:val="none" w:sz="0" w:space="0" w:color="auto"/>
          </w:divBdr>
        </w:div>
      </w:divsChild>
    </w:div>
    <w:div w:id="1673798642">
      <w:bodyDiv w:val="1"/>
      <w:marLeft w:val="0"/>
      <w:marRight w:val="0"/>
      <w:marTop w:val="0"/>
      <w:marBottom w:val="0"/>
      <w:divBdr>
        <w:top w:val="none" w:sz="0" w:space="0" w:color="auto"/>
        <w:left w:val="none" w:sz="0" w:space="0" w:color="auto"/>
        <w:bottom w:val="none" w:sz="0" w:space="0" w:color="auto"/>
        <w:right w:val="none" w:sz="0" w:space="0" w:color="auto"/>
      </w:divBdr>
    </w:div>
    <w:div w:id="203040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78C8737E</Template>
  <TotalTime>405</TotalTime>
  <Pages>8</Pages>
  <Words>3627</Words>
  <Characters>20680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24259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Dickens (SWK)</dc:creator>
  <cp:keywords/>
  <dc:description/>
  <cp:lastModifiedBy>Jonathan Dickens (SWK)</cp:lastModifiedBy>
  <cp:revision>18</cp:revision>
  <dcterms:created xsi:type="dcterms:W3CDTF">2015-03-05T11:29:00Z</dcterms:created>
  <dcterms:modified xsi:type="dcterms:W3CDTF">2015-03-31T15:42:00Z</dcterms:modified>
</cp:coreProperties>
</file>