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0FA4" w:rsidRDefault="00EE6561" w:rsidP="00E50FA4">
      <w:pPr>
        <w:widowControl w:val="0"/>
        <w:autoSpaceDE w:val="0"/>
        <w:autoSpaceDN w:val="0"/>
        <w:adjustRightInd w:val="0"/>
        <w:spacing w:after="240"/>
        <w:rPr>
          <w:rFonts w:ascii="Arial" w:hAnsi="Arial" w:cs="Lucida Grande"/>
          <w:b/>
          <w:bCs/>
          <w:sz w:val="28"/>
          <w:szCs w:val="28"/>
          <w:lang w:val="en-US"/>
        </w:rPr>
      </w:pPr>
      <w:bookmarkStart w:id="0" w:name="_GoBack"/>
      <w:r>
        <w:rPr>
          <w:rFonts w:ascii="Arial" w:hAnsi="Arial" w:cs="Lucida Grande"/>
          <w:b/>
          <w:bCs/>
          <w:sz w:val="28"/>
          <w:szCs w:val="28"/>
          <w:lang w:val="en-US"/>
        </w:rPr>
        <w:t>Prevalence of ciprofloxacin-</w:t>
      </w:r>
      <w:r w:rsidRPr="00B52364">
        <w:rPr>
          <w:rFonts w:ascii="Arial" w:hAnsi="Arial" w:cs="Lucida Grande"/>
          <w:b/>
          <w:bCs/>
          <w:sz w:val="28"/>
          <w:szCs w:val="28"/>
          <w:lang w:val="en-US"/>
        </w:rPr>
        <w:t>resistan</w:t>
      </w:r>
      <w:r>
        <w:rPr>
          <w:rFonts w:ascii="Arial" w:hAnsi="Arial" w:cs="Lucida Grande"/>
          <w:b/>
          <w:bCs/>
          <w:sz w:val="28"/>
          <w:szCs w:val="28"/>
          <w:lang w:val="en-US"/>
        </w:rPr>
        <w:t xml:space="preserve">t Enterobacteriaceae </w:t>
      </w:r>
      <w:r w:rsidRPr="00B52364">
        <w:rPr>
          <w:rFonts w:ascii="Arial" w:hAnsi="Arial" w:cs="Lucida Grande"/>
          <w:b/>
          <w:bCs/>
          <w:sz w:val="28"/>
          <w:szCs w:val="28"/>
          <w:lang w:val="en-US"/>
        </w:rPr>
        <w:t>in</w:t>
      </w:r>
      <w:r w:rsidRPr="00982789">
        <w:rPr>
          <w:rFonts w:ascii="Arial" w:hAnsi="Arial" w:cs="Lucida Grande"/>
          <w:b/>
          <w:bCs/>
          <w:sz w:val="28"/>
          <w:szCs w:val="28"/>
          <w:lang w:val="en-US"/>
        </w:rPr>
        <w:t xml:space="preserve"> the </w:t>
      </w:r>
      <w:r w:rsidRPr="00B52364">
        <w:rPr>
          <w:rFonts w:ascii="Arial" w:hAnsi="Arial" w:cs="Lucida Grande"/>
          <w:b/>
          <w:bCs/>
          <w:sz w:val="28"/>
          <w:szCs w:val="28"/>
          <w:lang w:val="en-US"/>
        </w:rPr>
        <w:t xml:space="preserve">intestinal flora </w:t>
      </w:r>
      <w:r>
        <w:rPr>
          <w:rFonts w:ascii="Arial" w:hAnsi="Arial" w:cs="Lucida Grande"/>
          <w:b/>
          <w:bCs/>
          <w:sz w:val="28"/>
          <w:szCs w:val="28"/>
          <w:lang w:val="en-US"/>
        </w:rPr>
        <w:t>of patients undergoing trans-rectal prostate</w:t>
      </w:r>
      <w:r w:rsidRPr="00B52364">
        <w:rPr>
          <w:rFonts w:ascii="Arial" w:hAnsi="Arial" w:cs="Lucida Grande"/>
          <w:b/>
          <w:bCs/>
          <w:sz w:val="28"/>
          <w:szCs w:val="28"/>
          <w:lang w:val="en-US"/>
        </w:rPr>
        <w:t xml:space="preserve"> biopsy</w:t>
      </w:r>
      <w:r>
        <w:rPr>
          <w:rFonts w:ascii="Arial" w:hAnsi="Arial" w:cs="Lucida Grande"/>
          <w:b/>
          <w:bCs/>
          <w:sz w:val="28"/>
          <w:szCs w:val="28"/>
          <w:lang w:val="en-US"/>
        </w:rPr>
        <w:t xml:space="preserve"> in Norwich, UK</w:t>
      </w:r>
    </w:p>
    <w:bookmarkEnd w:id="0"/>
    <w:p w:rsidR="00E50FA4" w:rsidRPr="00776385" w:rsidRDefault="00EE6561" w:rsidP="00E50FA4">
      <w:pPr>
        <w:widowControl w:val="0"/>
        <w:autoSpaceDE w:val="0"/>
        <w:autoSpaceDN w:val="0"/>
        <w:adjustRightInd w:val="0"/>
        <w:spacing w:after="240"/>
        <w:rPr>
          <w:rFonts w:ascii="Arial" w:hAnsi="Arial" w:cs="Lucida Grande"/>
          <w:b/>
          <w:bCs/>
          <w:sz w:val="18"/>
          <w:szCs w:val="18"/>
          <w:vertAlign w:val="subscript"/>
          <w:lang w:val="en-US"/>
        </w:rPr>
      </w:pPr>
      <w:r w:rsidRPr="00776385">
        <w:rPr>
          <w:rFonts w:ascii="Arial" w:hAnsi="Arial" w:cs="Lucida Grande"/>
          <w:b/>
          <w:bCs/>
          <w:sz w:val="18"/>
          <w:szCs w:val="18"/>
          <w:lang w:val="en-US"/>
        </w:rPr>
        <w:t>Marcelino Yazbek Hanna</w:t>
      </w:r>
      <w:r w:rsidRPr="00776385">
        <w:rPr>
          <w:rFonts w:ascii="Arial" w:hAnsi="Arial" w:cs="Lucida Grande"/>
          <w:b/>
          <w:bCs/>
          <w:sz w:val="18"/>
          <w:szCs w:val="18"/>
          <w:vertAlign w:val="superscript"/>
          <w:lang w:val="en-US"/>
        </w:rPr>
        <w:t>1</w:t>
      </w:r>
      <w:r>
        <w:rPr>
          <w:rFonts w:ascii="Arial" w:hAnsi="Arial" w:cs="Lucida Grande"/>
          <w:b/>
          <w:bCs/>
          <w:sz w:val="18"/>
          <w:szCs w:val="18"/>
          <w:vertAlign w:val="superscript"/>
          <w:lang w:val="en-US"/>
        </w:rPr>
        <w:t>*</w:t>
      </w:r>
      <w:r w:rsidRPr="00776385">
        <w:rPr>
          <w:rFonts w:ascii="Arial" w:hAnsi="Arial" w:cs="Lucida Grande"/>
          <w:b/>
          <w:bCs/>
          <w:sz w:val="18"/>
          <w:szCs w:val="18"/>
          <w:lang w:val="en-US"/>
        </w:rPr>
        <w:t xml:space="preserve">, </w:t>
      </w:r>
      <w:r w:rsidR="00AA38D8">
        <w:rPr>
          <w:rFonts w:ascii="Arial" w:hAnsi="Arial" w:cs="Lucida Grande"/>
          <w:b/>
          <w:bCs/>
          <w:sz w:val="18"/>
          <w:szCs w:val="18"/>
          <w:lang w:val="en-US"/>
        </w:rPr>
        <w:t>C</w:t>
      </w:r>
      <w:r w:rsidR="00AA38D8" w:rsidRPr="00776385">
        <w:rPr>
          <w:rFonts w:ascii="Arial" w:hAnsi="Arial" w:cs="Lucida Grande"/>
          <w:b/>
          <w:bCs/>
          <w:sz w:val="18"/>
          <w:szCs w:val="18"/>
          <w:lang w:val="en-US"/>
        </w:rPr>
        <w:t>atherine T</w:t>
      </w:r>
      <w:r w:rsidR="00AA38D8">
        <w:rPr>
          <w:rFonts w:ascii="Arial" w:hAnsi="Arial" w:cs="Lucida Grande"/>
          <w:b/>
          <w:bCs/>
          <w:sz w:val="18"/>
          <w:szCs w:val="18"/>
          <w:lang w:val="en-US"/>
        </w:rPr>
        <w:t>remlett</w:t>
      </w:r>
      <w:r w:rsidR="00AA38D8" w:rsidRPr="00776385">
        <w:rPr>
          <w:rFonts w:ascii="Arial" w:hAnsi="Arial" w:cs="Lucida Grande"/>
          <w:b/>
          <w:bCs/>
          <w:sz w:val="18"/>
          <w:szCs w:val="18"/>
          <w:vertAlign w:val="superscript"/>
          <w:lang w:val="en-US"/>
        </w:rPr>
        <w:t>2</w:t>
      </w:r>
      <w:r w:rsidR="00AA38D8">
        <w:rPr>
          <w:rFonts w:ascii="Arial" w:hAnsi="Arial" w:cs="Lucida Grande"/>
          <w:b/>
          <w:bCs/>
          <w:sz w:val="18"/>
          <w:szCs w:val="18"/>
          <w:lang w:val="en-US"/>
        </w:rPr>
        <w:t>, Gurvir Josan</w:t>
      </w:r>
      <w:r w:rsidR="00AA38D8" w:rsidRPr="00AA38D8">
        <w:rPr>
          <w:rFonts w:ascii="Arial" w:hAnsi="Arial" w:cs="Lucida Grande"/>
          <w:b/>
          <w:bCs/>
          <w:sz w:val="18"/>
          <w:szCs w:val="18"/>
          <w:vertAlign w:val="superscript"/>
          <w:lang w:val="en-US"/>
        </w:rPr>
        <w:t>1</w:t>
      </w:r>
      <w:r w:rsidR="00AA38D8">
        <w:rPr>
          <w:rFonts w:ascii="Arial" w:hAnsi="Arial" w:cs="Lucida Grande"/>
          <w:b/>
          <w:bCs/>
          <w:sz w:val="18"/>
          <w:szCs w:val="18"/>
          <w:lang w:val="en-US"/>
        </w:rPr>
        <w:t xml:space="preserve">, </w:t>
      </w:r>
      <w:r w:rsidRPr="00776385">
        <w:rPr>
          <w:rFonts w:ascii="Arial" w:hAnsi="Arial" w:cs="Lucida Grande"/>
          <w:b/>
          <w:bCs/>
          <w:sz w:val="18"/>
          <w:szCs w:val="18"/>
          <w:lang w:val="en-US"/>
        </w:rPr>
        <w:t>Robert Mills</w:t>
      </w:r>
      <w:r w:rsidRPr="00776385">
        <w:rPr>
          <w:rFonts w:ascii="Arial" w:hAnsi="Arial" w:cs="Lucida Grande"/>
          <w:b/>
          <w:bCs/>
          <w:sz w:val="18"/>
          <w:szCs w:val="18"/>
          <w:vertAlign w:val="superscript"/>
          <w:lang w:val="en-US"/>
        </w:rPr>
        <w:t>1</w:t>
      </w:r>
      <w:r w:rsidRPr="00776385">
        <w:rPr>
          <w:rFonts w:ascii="Arial" w:hAnsi="Arial" w:cs="Lucida Grande"/>
          <w:b/>
          <w:bCs/>
          <w:sz w:val="18"/>
          <w:szCs w:val="18"/>
          <w:lang w:val="en-US"/>
        </w:rPr>
        <w:t>, Mark Rochester</w:t>
      </w:r>
      <w:r w:rsidRPr="00776385">
        <w:rPr>
          <w:rFonts w:ascii="Arial" w:hAnsi="Arial" w:cs="Lucida Grande"/>
          <w:b/>
          <w:bCs/>
          <w:sz w:val="18"/>
          <w:szCs w:val="18"/>
          <w:vertAlign w:val="superscript"/>
          <w:lang w:val="en-US"/>
        </w:rPr>
        <w:t>1</w:t>
      </w:r>
      <w:r w:rsidRPr="00776385">
        <w:rPr>
          <w:rFonts w:ascii="Arial" w:hAnsi="Arial" w:cs="Lucida Grande"/>
          <w:b/>
          <w:bCs/>
          <w:sz w:val="18"/>
          <w:szCs w:val="18"/>
          <w:lang w:val="en-US"/>
        </w:rPr>
        <w:t>,</w:t>
      </w:r>
      <w:r>
        <w:rPr>
          <w:rFonts w:ascii="Arial" w:hAnsi="Arial" w:cs="Lucida Grande"/>
          <w:b/>
          <w:bCs/>
          <w:sz w:val="18"/>
          <w:szCs w:val="18"/>
          <w:lang w:val="en-US"/>
        </w:rPr>
        <w:t xml:space="preserve"> David M Livermo</w:t>
      </w:r>
      <w:r w:rsidRPr="00776385">
        <w:rPr>
          <w:rFonts w:ascii="Arial" w:hAnsi="Arial" w:cs="Lucida Grande"/>
          <w:b/>
          <w:bCs/>
          <w:sz w:val="18"/>
          <w:szCs w:val="18"/>
          <w:lang w:val="en-US"/>
        </w:rPr>
        <w:t>re</w:t>
      </w:r>
      <w:r>
        <w:rPr>
          <w:rFonts w:ascii="Arial" w:hAnsi="Arial" w:cs="Lucida Grande"/>
          <w:b/>
          <w:bCs/>
          <w:sz w:val="18"/>
          <w:szCs w:val="18"/>
          <w:vertAlign w:val="superscript"/>
          <w:lang w:val="en-US"/>
        </w:rPr>
        <w:t>3</w:t>
      </w:r>
      <w:r w:rsidRPr="00776385">
        <w:rPr>
          <w:rFonts w:ascii="Arial" w:hAnsi="Arial" w:cs="Lucida Grande"/>
          <w:b/>
          <w:bCs/>
          <w:sz w:val="18"/>
          <w:szCs w:val="18"/>
          <w:lang w:val="en-US"/>
        </w:rPr>
        <w:t>.</w:t>
      </w:r>
    </w:p>
    <w:p w:rsidR="00E50FA4" w:rsidRDefault="00EE6561" w:rsidP="00E50FA4">
      <w:pPr>
        <w:widowControl w:val="0"/>
        <w:autoSpaceDE w:val="0"/>
        <w:autoSpaceDN w:val="0"/>
        <w:adjustRightInd w:val="0"/>
        <w:spacing w:after="240"/>
        <w:rPr>
          <w:rFonts w:ascii="Arial" w:hAnsi="Arial" w:cs="Lucida Grande"/>
          <w:b/>
          <w:bCs/>
          <w:sz w:val="18"/>
          <w:szCs w:val="18"/>
          <w:lang w:val="en-US"/>
        </w:rPr>
      </w:pPr>
      <w:r w:rsidRPr="00776385">
        <w:rPr>
          <w:rFonts w:ascii="Arial" w:hAnsi="Arial" w:cs="Lucida Grande"/>
          <w:b/>
          <w:bCs/>
          <w:sz w:val="18"/>
          <w:szCs w:val="18"/>
          <w:vertAlign w:val="superscript"/>
          <w:lang w:val="en-US"/>
        </w:rPr>
        <w:t>1</w:t>
      </w:r>
      <w:r w:rsidRPr="00776385">
        <w:rPr>
          <w:rFonts w:ascii="Arial" w:hAnsi="Arial" w:cs="Lucida Grande"/>
          <w:b/>
          <w:bCs/>
          <w:sz w:val="18"/>
          <w:szCs w:val="18"/>
          <w:lang w:val="en-US"/>
        </w:rPr>
        <w:t xml:space="preserve">Urology and </w:t>
      </w:r>
      <w:r w:rsidRPr="00776385">
        <w:rPr>
          <w:rFonts w:ascii="Arial" w:hAnsi="Arial" w:cs="Lucida Grande"/>
          <w:b/>
          <w:bCs/>
          <w:sz w:val="18"/>
          <w:szCs w:val="18"/>
          <w:vertAlign w:val="superscript"/>
          <w:lang w:val="en-US"/>
        </w:rPr>
        <w:t>2</w:t>
      </w:r>
      <w:r w:rsidRPr="00776385">
        <w:rPr>
          <w:rFonts w:ascii="Arial" w:hAnsi="Arial" w:cs="Lucida Grande"/>
          <w:b/>
          <w:bCs/>
          <w:sz w:val="18"/>
          <w:szCs w:val="18"/>
          <w:lang w:val="en-US"/>
        </w:rPr>
        <w:t>Microbiology</w:t>
      </w:r>
      <w:r w:rsidRPr="001516CB">
        <w:rPr>
          <w:rFonts w:ascii="Arial" w:hAnsi="Arial" w:cs="Lucida Grande"/>
          <w:b/>
          <w:bCs/>
          <w:sz w:val="18"/>
          <w:szCs w:val="18"/>
          <w:lang w:val="en-US"/>
        </w:rPr>
        <w:t xml:space="preserve"> </w:t>
      </w:r>
      <w:r w:rsidRPr="00776385">
        <w:rPr>
          <w:rFonts w:ascii="Arial" w:hAnsi="Arial" w:cs="Lucida Grande"/>
          <w:b/>
          <w:bCs/>
          <w:sz w:val="18"/>
          <w:szCs w:val="18"/>
          <w:lang w:val="en-US"/>
        </w:rPr>
        <w:t>Departments. Norfolk and Norwich University Hospital</w:t>
      </w:r>
      <w:r>
        <w:rPr>
          <w:rFonts w:ascii="Arial" w:hAnsi="Arial" w:cs="Lucida Grande"/>
          <w:b/>
          <w:bCs/>
          <w:sz w:val="18"/>
          <w:szCs w:val="18"/>
          <w:lang w:val="en-US"/>
        </w:rPr>
        <w:t xml:space="preserve">. Colney Lane Norwich. UK NR4 7UYand </w:t>
      </w:r>
      <w:r w:rsidRPr="0058637D">
        <w:rPr>
          <w:rFonts w:ascii="Arial" w:hAnsi="Arial" w:cs="Lucida Grande"/>
          <w:b/>
          <w:bCs/>
          <w:sz w:val="18"/>
          <w:szCs w:val="18"/>
          <w:vertAlign w:val="superscript"/>
          <w:lang w:val="en-US"/>
        </w:rPr>
        <w:t>3</w:t>
      </w:r>
      <w:r>
        <w:rPr>
          <w:rFonts w:ascii="Arial" w:hAnsi="Arial" w:cs="Lucida Grande"/>
          <w:b/>
          <w:bCs/>
          <w:sz w:val="18"/>
          <w:szCs w:val="18"/>
          <w:lang w:val="en-US"/>
        </w:rPr>
        <w:t>Norwich Medical School, University of East Anglia, Norwich NR4 7TJ</w:t>
      </w:r>
    </w:p>
    <w:p w:rsidR="00E50FA4" w:rsidRDefault="000B155C" w:rsidP="00AA38D8">
      <w:pPr>
        <w:widowControl w:val="0"/>
        <w:autoSpaceDE w:val="0"/>
        <w:autoSpaceDN w:val="0"/>
        <w:adjustRightInd w:val="0"/>
        <w:spacing w:after="240"/>
        <w:jc w:val="left"/>
        <w:rPr>
          <w:rFonts w:ascii="Arial" w:hAnsi="Arial" w:cs="Lucida Grande"/>
          <w:b/>
          <w:bCs/>
          <w:sz w:val="18"/>
          <w:szCs w:val="18"/>
          <w:lang w:val="en-US"/>
        </w:rPr>
      </w:pPr>
      <w:hyperlink r:id="rId7" w:history="1">
        <w:r w:rsidR="00EE6561" w:rsidRPr="007053A0">
          <w:rPr>
            <w:rStyle w:val="Hyperlink"/>
            <w:rFonts w:ascii="Arial" w:hAnsi="Arial" w:cs="Lucida Grande"/>
            <w:b/>
            <w:bCs/>
            <w:sz w:val="18"/>
            <w:szCs w:val="18"/>
            <w:lang w:val="en-US"/>
          </w:rPr>
          <w:t>marcelino.yazbekhanna@nnuh.nhs.uk</w:t>
        </w:r>
      </w:hyperlink>
      <w:r w:rsidR="00EE6561">
        <w:rPr>
          <w:rFonts w:ascii="Arial" w:hAnsi="Arial" w:cs="Lucida Grande"/>
          <w:b/>
          <w:bCs/>
          <w:sz w:val="18"/>
          <w:szCs w:val="18"/>
          <w:lang w:val="en-US"/>
        </w:rPr>
        <w:t>,</w:t>
      </w:r>
      <w:hyperlink r:id="rId8" w:history="1">
        <w:r w:rsidR="00AA38D8" w:rsidRPr="007053A0">
          <w:rPr>
            <w:rStyle w:val="Hyperlink"/>
            <w:rFonts w:ascii="Arial" w:hAnsi="Arial" w:cs="Lucida Grande"/>
            <w:b/>
            <w:bCs/>
            <w:sz w:val="18"/>
            <w:szCs w:val="18"/>
            <w:lang w:val="en-US"/>
          </w:rPr>
          <w:t>catherine.tremlett@nnuh.nhs.uk</w:t>
        </w:r>
      </w:hyperlink>
      <w:r w:rsidR="00AA38D8">
        <w:rPr>
          <w:rFonts w:ascii="Arial" w:hAnsi="Arial" w:cs="Lucida Grande"/>
          <w:b/>
          <w:bCs/>
          <w:sz w:val="18"/>
          <w:szCs w:val="18"/>
          <w:lang w:val="en-US"/>
        </w:rPr>
        <w:t>, gurvir.josan@nnuh.nhs.uk,</w:t>
      </w:r>
      <w:hyperlink r:id="rId9" w:history="1">
        <w:r w:rsidR="00EE6561" w:rsidRPr="007053A0">
          <w:rPr>
            <w:rStyle w:val="Hyperlink"/>
            <w:rFonts w:ascii="Arial" w:hAnsi="Arial" w:cs="Lucida Grande"/>
            <w:b/>
            <w:bCs/>
            <w:sz w:val="18"/>
            <w:szCs w:val="18"/>
            <w:lang w:val="en-US"/>
          </w:rPr>
          <w:t>robert.mills@nnuh.nhs.uk</w:t>
        </w:r>
      </w:hyperlink>
      <w:r w:rsidR="00EE6561">
        <w:rPr>
          <w:rFonts w:ascii="Arial" w:hAnsi="Arial" w:cs="Lucida Grande"/>
          <w:b/>
          <w:bCs/>
          <w:sz w:val="18"/>
          <w:szCs w:val="18"/>
          <w:lang w:val="en-US"/>
        </w:rPr>
        <w:t>,</w:t>
      </w:r>
      <w:r w:rsidR="00AA38D8">
        <w:rPr>
          <w:rFonts w:ascii="Arial" w:hAnsi="Arial" w:cs="Lucida Grande"/>
          <w:b/>
          <w:bCs/>
          <w:sz w:val="18"/>
          <w:szCs w:val="18"/>
          <w:lang w:val="en-US"/>
        </w:rPr>
        <w:t xml:space="preserve"> </w:t>
      </w:r>
      <w:hyperlink r:id="rId10" w:history="1">
        <w:r w:rsidR="00EE6561" w:rsidRPr="007053A0">
          <w:rPr>
            <w:rStyle w:val="Hyperlink"/>
            <w:rFonts w:ascii="Arial" w:hAnsi="Arial" w:cs="Lucida Grande"/>
            <w:b/>
            <w:bCs/>
            <w:sz w:val="18"/>
            <w:szCs w:val="18"/>
            <w:lang w:val="en-US"/>
          </w:rPr>
          <w:t>mark.rochester@nnuh.nhs.uk</w:t>
        </w:r>
      </w:hyperlink>
      <w:r w:rsidR="00EE6561">
        <w:rPr>
          <w:rFonts w:ascii="Arial" w:hAnsi="Arial" w:cs="Lucida Grande"/>
          <w:b/>
          <w:bCs/>
          <w:sz w:val="18"/>
          <w:szCs w:val="18"/>
          <w:lang w:val="en-US"/>
        </w:rPr>
        <w:t>, d.livermore@uea.ac.uk</w:t>
      </w:r>
    </w:p>
    <w:p w:rsidR="00E50FA4" w:rsidRDefault="00E50FA4" w:rsidP="00E50FA4">
      <w:pPr>
        <w:widowControl w:val="0"/>
        <w:autoSpaceDE w:val="0"/>
        <w:autoSpaceDN w:val="0"/>
        <w:adjustRightInd w:val="0"/>
        <w:spacing w:after="240"/>
        <w:rPr>
          <w:rFonts w:ascii="Arial" w:hAnsi="Arial" w:cs="Lucida Grande"/>
          <w:b/>
          <w:bCs/>
          <w:sz w:val="18"/>
          <w:szCs w:val="18"/>
          <w:lang w:val="en-US"/>
        </w:rPr>
      </w:pPr>
    </w:p>
    <w:p w:rsidR="00E50FA4" w:rsidRDefault="00E50FA4" w:rsidP="00E50FA4">
      <w:pPr>
        <w:widowControl w:val="0"/>
        <w:autoSpaceDE w:val="0"/>
        <w:autoSpaceDN w:val="0"/>
        <w:adjustRightInd w:val="0"/>
        <w:spacing w:after="240"/>
        <w:rPr>
          <w:rFonts w:ascii="Arial" w:hAnsi="Arial" w:cs="Lucida Grande"/>
          <w:b/>
          <w:bCs/>
          <w:sz w:val="18"/>
          <w:szCs w:val="18"/>
          <w:lang w:val="en-US"/>
        </w:rPr>
      </w:pPr>
    </w:p>
    <w:p w:rsidR="00E50FA4" w:rsidRDefault="00E50FA4" w:rsidP="00E50FA4">
      <w:pPr>
        <w:widowControl w:val="0"/>
        <w:autoSpaceDE w:val="0"/>
        <w:autoSpaceDN w:val="0"/>
        <w:adjustRightInd w:val="0"/>
        <w:spacing w:after="240"/>
        <w:rPr>
          <w:rFonts w:ascii="Arial" w:hAnsi="Arial" w:cs="Lucida Grande"/>
          <w:b/>
          <w:bCs/>
          <w:sz w:val="18"/>
          <w:szCs w:val="18"/>
          <w:lang w:val="en-US"/>
        </w:rPr>
      </w:pPr>
    </w:p>
    <w:p w:rsidR="00E50FA4" w:rsidRDefault="00EE6561" w:rsidP="00E50FA4">
      <w:pPr>
        <w:widowControl w:val="0"/>
        <w:autoSpaceDE w:val="0"/>
        <w:autoSpaceDN w:val="0"/>
        <w:adjustRightInd w:val="0"/>
        <w:spacing w:after="240"/>
        <w:rPr>
          <w:rFonts w:ascii="Arial" w:hAnsi="Arial" w:cs="Lucida Grande"/>
          <w:bCs/>
          <w:sz w:val="18"/>
          <w:szCs w:val="18"/>
          <w:lang w:val="en-US"/>
        </w:rPr>
      </w:pPr>
      <w:r>
        <w:rPr>
          <w:rFonts w:ascii="Arial" w:hAnsi="Arial" w:cs="Lucida Grande"/>
          <w:b/>
          <w:bCs/>
          <w:sz w:val="18"/>
          <w:szCs w:val="18"/>
          <w:lang w:val="en-US"/>
        </w:rPr>
        <w:t xml:space="preserve">Keywords: </w:t>
      </w:r>
      <w:r w:rsidRPr="00C576F2">
        <w:rPr>
          <w:rFonts w:ascii="Arial" w:hAnsi="Arial" w:cs="Lucida Grande"/>
          <w:bCs/>
          <w:sz w:val="18"/>
          <w:szCs w:val="18"/>
          <w:lang w:val="en-US"/>
        </w:rPr>
        <w:t>Prostate biopsy, sepsis, infection, rectal swabs, fluoroquinolone.</w:t>
      </w:r>
    </w:p>
    <w:p w:rsidR="00E50FA4" w:rsidRDefault="00E50FA4" w:rsidP="00E50FA4">
      <w:pPr>
        <w:widowControl w:val="0"/>
        <w:autoSpaceDE w:val="0"/>
        <w:autoSpaceDN w:val="0"/>
        <w:adjustRightInd w:val="0"/>
        <w:spacing w:after="240"/>
        <w:rPr>
          <w:rFonts w:ascii="Arial" w:hAnsi="Arial" w:cs="Lucida Grande"/>
          <w:bCs/>
          <w:sz w:val="18"/>
          <w:szCs w:val="18"/>
          <w:lang w:val="en-US"/>
        </w:rPr>
      </w:pPr>
    </w:p>
    <w:p w:rsidR="00E50FA4" w:rsidRDefault="00EE6561" w:rsidP="00E50FA4">
      <w:pPr>
        <w:widowControl w:val="0"/>
        <w:autoSpaceDE w:val="0"/>
        <w:autoSpaceDN w:val="0"/>
        <w:adjustRightInd w:val="0"/>
        <w:spacing w:after="240"/>
        <w:rPr>
          <w:rFonts w:ascii="Arial" w:hAnsi="Arial" w:cs="Lucida Grande"/>
          <w:bCs/>
          <w:sz w:val="18"/>
          <w:szCs w:val="18"/>
          <w:lang w:val="en-US"/>
        </w:rPr>
      </w:pPr>
      <w:r w:rsidRPr="001E2767">
        <w:rPr>
          <w:rFonts w:ascii="Arial" w:hAnsi="Arial" w:cs="Lucida Grande"/>
          <w:b/>
          <w:bCs/>
          <w:sz w:val="18"/>
          <w:szCs w:val="18"/>
          <w:lang w:val="en-US"/>
        </w:rPr>
        <w:t>Running head</w:t>
      </w:r>
      <w:r>
        <w:rPr>
          <w:rFonts w:ascii="Arial" w:hAnsi="Arial" w:cs="Lucida Grande"/>
          <w:bCs/>
          <w:sz w:val="18"/>
          <w:szCs w:val="18"/>
          <w:lang w:val="en-US"/>
        </w:rPr>
        <w:t>: TRUS, ciprofloxacin prophylaxis and sepsis</w:t>
      </w:r>
    </w:p>
    <w:p w:rsidR="00E50FA4" w:rsidRDefault="00E50FA4" w:rsidP="00E50FA4">
      <w:pPr>
        <w:widowControl w:val="0"/>
        <w:autoSpaceDE w:val="0"/>
        <w:autoSpaceDN w:val="0"/>
        <w:adjustRightInd w:val="0"/>
        <w:spacing w:after="240"/>
        <w:rPr>
          <w:rFonts w:ascii="Arial" w:hAnsi="Arial" w:cs="Lucida Grande"/>
          <w:bCs/>
          <w:sz w:val="18"/>
          <w:szCs w:val="18"/>
          <w:lang w:val="en-US"/>
        </w:rPr>
      </w:pPr>
    </w:p>
    <w:p w:rsidR="00E50FA4" w:rsidRDefault="00EE6561" w:rsidP="00E50FA4">
      <w:pPr>
        <w:widowControl w:val="0"/>
        <w:autoSpaceDE w:val="0"/>
        <w:autoSpaceDN w:val="0"/>
        <w:adjustRightInd w:val="0"/>
        <w:spacing w:after="240"/>
        <w:rPr>
          <w:rFonts w:ascii="Arial" w:hAnsi="Arial" w:cs="Lucida Grande"/>
          <w:bCs/>
          <w:sz w:val="18"/>
          <w:szCs w:val="18"/>
          <w:lang w:val="en-US"/>
        </w:rPr>
      </w:pPr>
      <w:r>
        <w:rPr>
          <w:rFonts w:ascii="Arial" w:hAnsi="Arial" w:cs="Lucida Grande"/>
          <w:bCs/>
          <w:sz w:val="18"/>
          <w:szCs w:val="18"/>
          <w:lang w:val="en-US"/>
        </w:rPr>
        <w:t>*Corresponding author</w:t>
      </w:r>
    </w:p>
    <w:p w:rsidR="00E50FA4" w:rsidRPr="00776385" w:rsidRDefault="00E50FA4" w:rsidP="00E50FA4">
      <w:pPr>
        <w:widowControl w:val="0"/>
        <w:autoSpaceDE w:val="0"/>
        <w:autoSpaceDN w:val="0"/>
        <w:adjustRightInd w:val="0"/>
        <w:spacing w:after="240"/>
        <w:rPr>
          <w:rFonts w:ascii="Arial" w:hAnsi="Arial" w:cs="Lucida Grande"/>
          <w:b/>
          <w:bCs/>
          <w:sz w:val="18"/>
          <w:szCs w:val="18"/>
          <w:lang w:val="en-US"/>
        </w:rPr>
      </w:pPr>
    </w:p>
    <w:p w:rsidR="00E50FA4" w:rsidRDefault="00E50FA4" w:rsidP="00E50FA4">
      <w:pPr>
        <w:widowControl w:val="0"/>
        <w:autoSpaceDE w:val="0"/>
        <w:autoSpaceDN w:val="0"/>
        <w:adjustRightInd w:val="0"/>
        <w:spacing w:after="240"/>
        <w:rPr>
          <w:rFonts w:ascii="Arial" w:hAnsi="Arial" w:cs="Lucida Grande"/>
          <w:b/>
          <w:bCs/>
          <w:sz w:val="18"/>
          <w:szCs w:val="18"/>
          <w:lang w:val="en-US"/>
        </w:rPr>
      </w:pPr>
    </w:p>
    <w:p w:rsidR="00E50FA4" w:rsidRDefault="00E50FA4" w:rsidP="00E50FA4">
      <w:pPr>
        <w:widowControl w:val="0"/>
        <w:autoSpaceDE w:val="0"/>
        <w:autoSpaceDN w:val="0"/>
        <w:adjustRightInd w:val="0"/>
        <w:spacing w:after="240"/>
        <w:rPr>
          <w:rFonts w:ascii="Arial" w:hAnsi="Arial" w:cs="Lucida Grande"/>
          <w:b/>
          <w:bCs/>
          <w:sz w:val="18"/>
          <w:szCs w:val="18"/>
          <w:lang w:val="en-US"/>
        </w:rPr>
      </w:pPr>
    </w:p>
    <w:p w:rsidR="00E50FA4" w:rsidRDefault="00E50FA4" w:rsidP="00E50FA4">
      <w:pPr>
        <w:widowControl w:val="0"/>
        <w:autoSpaceDE w:val="0"/>
        <w:autoSpaceDN w:val="0"/>
        <w:adjustRightInd w:val="0"/>
        <w:spacing w:after="240"/>
        <w:rPr>
          <w:rFonts w:ascii="Arial" w:hAnsi="Arial" w:cs="Lucida Grande"/>
          <w:b/>
          <w:bCs/>
          <w:sz w:val="18"/>
          <w:szCs w:val="18"/>
          <w:lang w:val="en-US"/>
        </w:rPr>
      </w:pPr>
    </w:p>
    <w:p w:rsidR="00E50FA4" w:rsidRDefault="00EE6561" w:rsidP="0058637D">
      <w:pPr>
        <w:spacing w:after="0" w:line="360" w:lineRule="auto"/>
        <w:jc w:val="left"/>
        <w:rPr>
          <w:rFonts w:ascii="Arial" w:hAnsi="Arial" w:cs="Lucida Grande"/>
          <w:b/>
          <w:bCs/>
          <w:sz w:val="28"/>
          <w:szCs w:val="28"/>
          <w:lang w:val="en-US"/>
        </w:rPr>
      </w:pPr>
      <w:r>
        <w:rPr>
          <w:rFonts w:ascii="Arial" w:hAnsi="Arial" w:cs="Lucida Grande"/>
          <w:b/>
          <w:bCs/>
          <w:sz w:val="28"/>
          <w:szCs w:val="28"/>
          <w:lang w:val="en-US"/>
        </w:rPr>
        <w:br w:type="page"/>
      </w:r>
      <w:r>
        <w:rPr>
          <w:rFonts w:ascii="Arial" w:hAnsi="Arial" w:cs="Lucida Grande"/>
          <w:b/>
          <w:bCs/>
          <w:sz w:val="28"/>
          <w:szCs w:val="28"/>
          <w:lang w:val="en-US"/>
        </w:rPr>
        <w:lastRenderedPageBreak/>
        <w:t>Abstract</w:t>
      </w:r>
    </w:p>
    <w:p w:rsidR="00E50FA4" w:rsidRDefault="00EE6561" w:rsidP="0058637D">
      <w:pPr>
        <w:widowControl w:val="0"/>
        <w:autoSpaceDE w:val="0"/>
        <w:autoSpaceDN w:val="0"/>
        <w:adjustRightInd w:val="0"/>
        <w:spacing w:after="0" w:line="360" w:lineRule="auto"/>
        <w:rPr>
          <w:rFonts w:ascii="Arial" w:hAnsi="Arial"/>
          <w:sz w:val="22"/>
          <w:szCs w:val="22"/>
        </w:rPr>
      </w:pPr>
      <w:r>
        <w:rPr>
          <w:rFonts w:ascii="Arial" w:hAnsi="Arial"/>
          <w:b/>
        </w:rPr>
        <w:t>Objective.</w:t>
      </w:r>
      <w:r>
        <w:rPr>
          <w:rFonts w:ascii="Arial" w:hAnsi="Arial"/>
          <w:sz w:val="22"/>
          <w:szCs w:val="22"/>
        </w:rPr>
        <w:t xml:space="preserve"> To determine the efficacy of fluoroquinolone prophylaxis in patients undergoing trans-rectal ultrasound scan (TRUS)-guided biopsy of the prostate in the Norwich population, and its correlation with ciprofloxacin</w:t>
      </w:r>
      <w:r w:rsidRPr="00666451">
        <w:rPr>
          <w:rFonts w:ascii="Arial" w:hAnsi="Arial"/>
          <w:sz w:val="22"/>
          <w:szCs w:val="22"/>
        </w:rPr>
        <w:t xml:space="preserve"> resistance</w:t>
      </w:r>
      <w:r>
        <w:rPr>
          <w:rFonts w:ascii="Arial" w:hAnsi="Arial"/>
          <w:sz w:val="22"/>
          <w:szCs w:val="22"/>
        </w:rPr>
        <w:t xml:space="preserve"> in the faecal flora. We also aimed to determine the usefulness of a pre-biopsy rectal screen for resistant bacteria in these patients.</w:t>
      </w:r>
    </w:p>
    <w:p w:rsidR="00F51533" w:rsidRDefault="00F51533">
      <w:pPr>
        <w:widowControl w:val="0"/>
        <w:autoSpaceDE w:val="0"/>
        <w:autoSpaceDN w:val="0"/>
        <w:adjustRightInd w:val="0"/>
        <w:spacing w:after="0" w:line="360" w:lineRule="auto"/>
        <w:rPr>
          <w:rFonts w:ascii="Arial" w:hAnsi="Arial"/>
          <w:sz w:val="22"/>
          <w:szCs w:val="22"/>
        </w:rPr>
      </w:pPr>
    </w:p>
    <w:p w:rsidR="00E50FA4" w:rsidRDefault="00EE6561" w:rsidP="0058637D">
      <w:pPr>
        <w:spacing w:after="0" w:line="360" w:lineRule="auto"/>
        <w:rPr>
          <w:rFonts w:ascii="Arial" w:hAnsi="Arial"/>
          <w:sz w:val="22"/>
          <w:szCs w:val="22"/>
        </w:rPr>
      </w:pPr>
      <w:r>
        <w:rPr>
          <w:rFonts w:ascii="Arial" w:hAnsi="Arial"/>
          <w:b/>
        </w:rPr>
        <w:t>Patients and methods</w:t>
      </w:r>
      <w:r>
        <w:rPr>
          <w:rFonts w:ascii="Arial" w:hAnsi="Arial"/>
          <w:sz w:val="22"/>
          <w:szCs w:val="22"/>
        </w:rPr>
        <w:t xml:space="preserve"> </w:t>
      </w:r>
      <w:r w:rsidRPr="008308B6">
        <w:rPr>
          <w:rFonts w:ascii="Arial" w:hAnsi="Arial"/>
          <w:sz w:val="22"/>
          <w:szCs w:val="22"/>
        </w:rPr>
        <w:t xml:space="preserve">The </w:t>
      </w:r>
      <w:r>
        <w:rPr>
          <w:rFonts w:ascii="Arial" w:hAnsi="Arial"/>
          <w:sz w:val="22"/>
          <w:szCs w:val="22"/>
        </w:rPr>
        <w:t>incidence</w:t>
      </w:r>
      <w:r w:rsidRPr="008308B6">
        <w:rPr>
          <w:rFonts w:ascii="Arial" w:hAnsi="Arial"/>
          <w:sz w:val="22"/>
          <w:szCs w:val="22"/>
        </w:rPr>
        <w:t xml:space="preserve"> </w:t>
      </w:r>
      <w:r>
        <w:rPr>
          <w:rFonts w:ascii="Arial" w:hAnsi="Arial"/>
          <w:sz w:val="22"/>
          <w:szCs w:val="22"/>
        </w:rPr>
        <w:t xml:space="preserve">and microbiology </w:t>
      </w:r>
      <w:r w:rsidRPr="008308B6">
        <w:rPr>
          <w:rFonts w:ascii="Arial" w:hAnsi="Arial"/>
          <w:sz w:val="22"/>
          <w:szCs w:val="22"/>
        </w:rPr>
        <w:t xml:space="preserve">of sepsis </w:t>
      </w:r>
      <w:r>
        <w:rPr>
          <w:rFonts w:ascii="Arial" w:hAnsi="Arial"/>
          <w:sz w:val="22"/>
          <w:szCs w:val="22"/>
        </w:rPr>
        <w:t>after</w:t>
      </w:r>
      <w:r w:rsidRPr="008308B6">
        <w:rPr>
          <w:rFonts w:ascii="Arial" w:hAnsi="Arial"/>
          <w:sz w:val="22"/>
          <w:szCs w:val="22"/>
        </w:rPr>
        <w:t xml:space="preserve"> </w:t>
      </w:r>
      <w:r>
        <w:rPr>
          <w:rFonts w:ascii="Arial" w:hAnsi="Arial"/>
          <w:sz w:val="22"/>
          <w:szCs w:val="22"/>
        </w:rPr>
        <w:t>TRUS-</w:t>
      </w:r>
      <w:r w:rsidRPr="008308B6">
        <w:rPr>
          <w:rFonts w:ascii="Arial" w:hAnsi="Arial"/>
          <w:sz w:val="22"/>
          <w:szCs w:val="22"/>
        </w:rPr>
        <w:t>guided prostate biopsies</w:t>
      </w:r>
      <w:r>
        <w:rPr>
          <w:rFonts w:ascii="Arial" w:hAnsi="Arial"/>
          <w:sz w:val="22"/>
          <w:szCs w:val="22"/>
        </w:rPr>
        <w:t xml:space="preserve"> between 2007 and</w:t>
      </w:r>
      <w:r w:rsidRPr="008308B6">
        <w:rPr>
          <w:rFonts w:ascii="Arial" w:hAnsi="Arial"/>
          <w:sz w:val="22"/>
          <w:szCs w:val="22"/>
        </w:rPr>
        <w:t xml:space="preserve"> 2011</w:t>
      </w:r>
      <w:r>
        <w:rPr>
          <w:rFonts w:ascii="Arial" w:hAnsi="Arial"/>
          <w:sz w:val="22"/>
          <w:szCs w:val="22"/>
        </w:rPr>
        <w:t xml:space="preserve"> </w:t>
      </w:r>
      <w:r w:rsidRPr="008308B6">
        <w:rPr>
          <w:rFonts w:ascii="Arial" w:hAnsi="Arial"/>
          <w:sz w:val="22"/>
          <w:szCs w:val="22"/>
        </w:rPr>
        <w:t>w</w:t>
      </w:r>
      <w:r>
        <w:rPr>
          <w:rFonts w:ascii="Arial" w:hAnsi="Arial"/>
          <w:sz w:val="22"/>
          <w:szCs w:val="22"/>
        </w:rPr>
        <w:t xml:space="preserve">as audited </w:t>
      </w:r>
      <w:r w:rsidRPr="008308B6">
        <w:rPr>
          <w:rFonts w:ascii="Arial" w:hAnsi="Arial"/>
          <w:sz w:val="22"/>
          <w:szCs w:val="22"/>
        </w:rPr>
        <w:t>retrospectively</w:t>
      </w:r>
      <w:r>
        <w:rPr>
          <w:rFonts w:ascii="Arial" w:hAnsi="Arial"/>
          <w:sz w:val="22"/>
          <w:szCs w:val="22"/>
        </w:rPr>
        <w:t>. Subsequently, in 2012, a prospective study was performed, collecting the same data but also culturing rectal swabs from all patients undergoing TRUS biopsy, with a post-biopsy follow-up period of 6 months. All patients were given prophylactic oral ciprofloxacin, as per Trust policy (750 mg 1</w:t>
      </w:r>
      <w:r w:rsidRPr="00B52364">
        <w:rPr>
          <w:rFonts w:ascii="Arial" w:hAnsi="Arial"/>
          <w:sz w:val="22"/>
          <w:szCs w:val="22"/>
        </w:rPr>
        <w:t xml:space="preserve"> hour </w:t>
      </w:r>
      <w:r>
        <w:rPr>
          <w:rFonts w:ascii="Arial" w:hAnsi="Arial"/>
          <w:sz w:val="22"/>
          <w:szCs w:val="22"/>
        </w:rPr>
        <w:t>pre-</w:t>
      </w:r>
      <w:r w:rsidRPr="00B52364">
        <w:rPr>
          <w:rFonts w:ascii="Arial" w:hAnsi="Arial"/>
          <w:sz w:val="22"/>
          <w:szCs w:val="22"/>
        </w:rPr>
        <w:t>biopsy</w:t>
      </w:r>
      <w:r>
        <w:rPr>
          <w:rFonts w:ascii="Arial" w:hAnsi="Arial"/>
          <w:sz w:val="22"/>
          <w:szCs w:val="22"/>
        </w:rPr>
        <w:t>,</w:t>
      </w:r>
      <w:r w:rsidRPr="00B52364">
        <w:rPr>
          <w:rFonts w:ascii="Arial" w:hAnsi="Arial"/>
          <w:sz w:val="22"/>
          <w:szCs w:val="22"/>
        </w:rPr>
        <w:t xml:space="preserve"> followed by 250</w:t>
      </w:r>
      <w:r>
        <w:rPr>
          <w:rFonts w:ascii="Arial" w:hAnsi="Arial"/>
          <w:sz w:val="22"/>
          <w:szCs w:val="22"/>
        </w:rPr>
        <w:t xml:space="preserve"> </w:t>
      </w:r>
      <w:r w:rsidRPr="00B52364">
        <w:rPr>
          <w:rFonts w:ascii="Arial" w:hAnsi="Arial"/>
          <w:sz w:val="22"/>
          <w:szCs w:val="22"/>
        </w:rPr>
        <w:t xml:space="preserve">mg </w:t>
      </w:r>
      <w:r>
        <w:rPr>
          <w:rFonts w:ascii="Arial" w:hAnsi="Arial"/>
          <w:sz w:val="22"/>
          <w:szCs w:val="22"/>
        </w:rPr>
        <w:t>q12h</w:t>
      </w:r>
      <w:r w:rsidRPr="00B52364">
        <w:rPr>
          <w:rFonts w:ascii="Arial" w:hAnsi="Arial"/>
          <w:sz w:val="22"/>
          <w:szCs w:val="22"/>
        </w:rPr>
        <w:t xml:space="preserve"> for</w:t>
      </w:r>
      <w:r>
        <w:rPr>
          <w:rFonts w:ascii="Arial" w:hAnsi="Arial"/>
          <w:sz w:val="22"/>
          <w:szCs w:val="22"/>
        </w:rPr>
        <w:t xml:space="preserve"> 3</w:t>
      </w:r>
      <w:r w:rsidRPr="00B52364">
        <w:rPr>
          <w:rFonts w:ascii="Arial" w:hAnsi="Arial"/>
          <w:sz w:val="22"/>
          <w:szCs w:val="22"/>
        </w:rPr>
        <w:t xml:space="preserve"> </w:t>
      </w:r>
      <w:r>
        <w:rPr>
          <w:rFonts w:ascii="Arial" w:hAnsi="Arial"/>
          <w:sz w:val="22"/>
          <w:szCs w:val="22"/>
        </w:rPr>
        <w:t>subsequent</w:t>
      </w:r>
      <w:r w:rsidRPr="00B52364">
        <w:rPr>
          <w:rFonts w:ascii="Arial" w:hAnsi="Arial"/>
          <w:sz w:val="22"/>
          <w:szCs w:val="22"/>
        </w:rPr>
        <w:t xml:space="preserve"> days</w:t>
      </w:r>
      <w:r>
        <w:rPr>
          <w:rFonts w:ascii="Arial" w:hAnsi="Arial"/>
          <w:sz w:val="22"/>
          <w:szCs w:val="22"/>
        </w:rPr>
        <w:t xml:space="preserve">). </w:t>
      </w:r>
    </w:p>
    <w:p w:rsidR="00E50FA4" w:rsidRDefault="00E50FA4" w:rsidP="0058637D">
      <w:pPr>
        <w:spacing w:after="0" w:line="360" w:lineRule="auto"/>
        <w:rPr>
          <w:rFonts w:ascii="Arial" w:hAnsi="Arial"/>
          <w:sz w:val="22"/>
          <w:szCs w:val="22"/>
        </w:rPr>
      </w:pPr>
    </w:p>
    <w:p w:rsidR="00E50FA4" w:rsidRDefault="00EE6561" w:rsidP="0058637D">
      <w:pPr>
        <w:widowControl w:val="0"/>
        <w:autoSpaceDE w:val="0"/>
        <w:autoSpaceDN w:val="0"/>
        <w:adjustRightInd w:val="0"/>
        <w:spacing w:after="0" w:line="360" w:lineRule="auto"/>
        <w:rPr>
          <w:rFonts w:ascii="Arial" w:hAnsi="Arial"/>
          <w:sz w:val="22"/>
          <w:szCs w:val="22"/>
        </w:rPr>
      </w:pPr>
      <w:r w:rsidRPr="00C91FCD">
        <w:rPr>
          <w:rFonts w:ascii="Arial" w:hAnsi="Arial"/>
          <w:b/>
        </w:rPr>
        <w:t>Results:</w:t>
      </w:r>
      <w:r>
        <w:rPr>
          <w:rFonts w:ascii="Arial" w:hAnsi="Arial"/>
          <w:sz w:val="22"/>
          <w:szCs w:val="22"/>
        </w:rPr>
        <w:t xml:space="preserve">  Between 2007 and 2011, 3600 patients underwent TRUS biopsy. Among these, 11 (0.3%) were admitted to hospital for post-biopsy related sepsis but only 4 (0.1%) had ciprofloxacin-resistant </w:t>
      </w:r>
      <w:r w:rsidRPr="00AC71A4">
        <w:rPr>
          <w:rFonts w:ascii="Arial" w:hAnsi="Arial"/>
          <w:i/>
          <w:sz w:val="22"/>
          <w:szCs w:val="22"/>
        </w:rPr>
        <w:t>E</w:t>
      </w:r>
      <w:r>
        <w:rPr>
          <w:rFonts w:ascii="Arial" w:hAnsi="Arial"/>
          <w:i/>
          <w:sz w:val="22"/>
          <w:szCs w:val="22"/>
        </w:rPr>
        <w:t>scherichia</w:t>
      </w:r>
      <w:r w:rsidRPr="00AC71A4">
        <w:rPr>
          <w:rFonts w:ascii="Arial" w:hAnsi="Arial"/>
          <w:i/>
          <w:sz w:val="22"/>
          <w:szCs w:val="22"/>
        </w:rPr>
        <w:t xml:space="preserve"> coli</w:t>
      </w:r>
      <w:r>
        <w:rPr>
          <w:rFonts w:ascii="Arial" w:hAnsi="Arial"/>
          <w:sz w:val="22"/>
          <w:szCs w:val="22"/>
        </w:rPr>
        <w:t xml:space="preserve"> confirmed from blood cultures: three had ciprofloxacin-susceptible Enterobacteriaceae, and four had no ciprofloxacin susceptibility data. In 2012, 10 (3.7%) of</w:t>
      </w:r>
      <w:r w:rsidRPr="00B52364">
        <w:rPr>
          <w:rFonts w:ascii="Arial" w:hAnsi="Arial"/>
          <w:sz w:val="22"/>
          <w:szCs w:val="22"/>
        </w:rPr>
        <w:t xml:space="preserve"> 267 patients </w:t>
      </w:r>
      <w:r>
        <w:rPr>
          <w:rFonts w:ascii="Arial" w:hAnsi="Arial"/>
          <w:sz w:val="22"/>
          <w:szCs w:val="22"/>
        </w:rPr>
        <w:t>sampled</w:t>
      </w:r>
      <w:r w:rsidRPr="00B52364">
        <w:rPr>
          <w:rFonts w:ascii="Arial" w:hAnsi="Arial"/>
          <w:sz w:val="22"/>
          <w:szCs w:val="22"/>
        </w:rPr>
        <w:t xml:space="preserve"> pre</w:t>
      </w:r>
      <w:r>
        <w:rPr>
          <w:rFonts w:ascii="Arial" w:hAnsi="Arial"/>
          <w:sz w:val="22"/>
          <w:szCs w:val="22"/>
        </w:rPr>
        <w:t>-</w:t>
      </w:r>
      <w:r w:rsidRPr="00B52364">
        <w:rPr>
          <w:rFonts w:ascii="Arial" w:hAnsi="Arial"/>
          <w:sz w:val="22"/>
          <w:szCs w:val="22"/>
        </w:rPr>
        <w:t>biopsy had ciprofloxacin</w:t>
      </w:r>
      <w:r>
        <w:rPr>
          <w:rFonts w:ascii="Arial" w:hAnsi="Arial"/>
          <w:sz w:val="22"/>
          <w:szCs w:val="22"/>
        </w:rPr>
        <w:t>-r</w:t>
      </w:r>
      <w:r w:rsidRPr="00B52364">
        <w:rPr>
          <w:rFonts w:ascii="Arial" w:hAnsi="Arial"/>
          <w:sz w:val="22"/>
          <w:szCs w:val="22"/>
        </w:rPr>
        <w:t>esistan</w:t>
      </w:r>
      <w:r>
        <w:rPr>
          <w:rFonts w:ascii="Arial" w:hAnsi="Arial"/>
          <w:sz w:val="22"/>
          <w:szCs w:val="22"/>
        </w:rPr>
        <w:t>t</w:t>
      </w:r>
      <w:r w:rsidRPr="00B52364">
        <w:rPr>
          <w:rFonts w:ascii="Arial" w:hAnsi="Arial"/>
          <w:sz w:val="22"/>
          <w:szCs w:val="22"/>
        </w:rPr>
        <w:t xml:space="preserve"> </w:t>
      </w:r>
      <w:r w:rsidRPr="00AC71A4">
        <w:rPr>
          <w:rFonts w:ascii="Arial" w:hAnsi="Arial"/>
          <w:i/>
          <w:sz w:val="22"/>
          <w:szCs w:val="22"/>
        </w:rPr>
        <w:t>E. coli</w:t>
      </w:r>
      <w:r w:rsidRPr="00B52364">
        <w:rPr>
          <w:rFonts w:ascii="Arial" w:hAnsi="Arial"/>
          <w:sz w:val="22"/>
          <w:szCs w:val="22"/>
        </w:rPr>
        <w:t xml:space="preserve"> </w:t>
      </w:r>
      <w:r>
        <w:rPr>
          <w:rFonts w:ascii="Arial" w:hAnsi="Arial"/>
          <w:sz w:val="22"/>
          <w:szCs w:val="22"/>
        </w:rPr>
        <w:t>recovered</w:t>
      </w:r>
      <w:r w:rsidRPr="00B52364">
        <w:rPr>
          <w:rFonts w:ascii="Arial" w:hAnsi="Arial"/>
          <w:sz w:val="22"/>
          <w:szCs w:val="22"/>
        </w:rPr>
        <w:t xml:space="preserve"> </w:t>
      </w:r>
      <w:r>
        <w:rPr>
          <w:rFonts w:ascii="Arial" w:hAnsi="Arial"/>
          <w:sz w:val="22"/>
          <w:szCs w:val="22"/>
        </w:rPr>
        <w:t>on</w:t>
      </w:r>
      <w:r w:rsidRPr="00B52364">
        <w:rPr>
          <w:rFonts w:ascii="Arial" w:hAnsi="Arial"/>
          <w:sz w:val="22"/>
          <w:szCs w:val="22"/>
        </w:rPr>
        <w:t xml:space="preserve"> </w:t>
      </w:r>
      <w:r w:rsidR="00BD0595">
        <w:rPr>
          <w:rFonts w:ascii="Arial" w:hAnsi="Arial"/>
          <w:sz w:val="22"/>
          <w:szCs w:val="22"/>
        </w:rPr>
        <w:t xml:space="preserve">rectal </w:t>
      </w:r>
      <w:r w:rsidRPr="00B52364">
        <w:rPr>
          <w:rFonts w:ascii="Arial" w:hAnsi="Arial"/>
          <w:sz w:val="22"/>
          <w:szCs w:val="22"/>
        </w:rPr>
        <w:t>swab culture</w:t>
      </w:r>
      <w:r>
        <w:rPr>
          <w:rFonts w:ascii="Arial" w:hAnsi="Arial"/>
          <w:sz w:val="22"/>
          <w:szCs w:val="22"/>
        </w:rPr>
        <w:t xml:space="preserve"> but none of these men presented with post-biopsy sepsis; during the 6-month follow-up period, seven patients were diagnosed with urinary tract infections.</w:t>
      </w:r>
    </w:p>
    <w:p w:rsidR="00F51533" w:rsidRDefault="00F51533">
      <w:pPr>
        <w:widowControl w:val="0"/>
        <w:autoSpaceDE w:val="0"/>
        <w:autoSpaceDN w:val="0"/>
        <w:adjustRightInd w:val="0"/>
        <w:spacing w:after="0" w:line="360" w:lineRule="auto"/>
        <w:rPr>
          <w:rFonts w:ascii="Arial" w:hAnsi="Arial"/>
          <w:sz w:val="22"/>
          <w:szCs w:val="22"/>
        </w:rPr>
      </w:pPr>
    </w:p>
    <w:p w:rsidR="00E50FA4" w:rsidRDefault="00EE6561" w:rsidP="0058637D">
      <w:pPr>
        <w:spacing w:after="0" w:line="360" w:lineRule="auto"/>
        <w:rPr>
          <w:rFonts w:ascii="Arial" w:hAnsi="Arial"/>
          <w:sz w:val="22"/>
          <w:szCs w:val="22"/>
        </w:rPr>
      </w:pPr>
      <w:r w:rsidRPr="00F31AD1">
        <w:rPr>
          <w:rFonts w:ascii="Arial" w:hAnsi="Arial"/>
          <w:b/>
          <w:sz w:val="22"/>
          <w:szCs w:val="22"/>
        </w:rPr>
        <w:t>Conclusion:</w:t>
      </w:r>
      <w:r>
        <w:rPr>
          <w:rFonts w:ascii="Arial" w:hAnsi="Arial"/>
          <w:sz w:val="22"/>
          <w:szCs w:val="22"/>
        </w:rPr>
        <w:t xml:space="preserve">  </w:t>
      </w:r>
      <w:r w:rsidRPr="00847F74">
        <w:rPr>
          <w:rFonts w:ascii="Arial" w:hAnsi="Arial"/>
          <w:sz w:val="22"/>
          <w:szCs w:val="22"/>
        </w:rPr>
        <w:t>Ciprofloxacin</w:t>
      </w:r>
      <w:r>
        <w:rPr>
          <w:rFonts w:ascii="Arial" w:hAnsi="Arial"/>
          <w:sz w:val="22"/>
          <w:szCs w:val="22"/>
        </w:rPr>
        <w:t>-</w:t>
      </w:r>
      <w:r w:rsidRPr="00847F74">
        <w:rPr>
          <w:rFonts w:ascii="Arial" w:hAnsi="Arial"/>
          <w:sz w:val="22"/>
          <w:szCs w:val="22"/>
        </w:rPr>
        <w:t>resistan</w:t>
      </w:r>
      <w:r>
        <w:rPr>
          <w:rFonts w:ascii="Arial" w:hAnsi="Arial"/>
          <w:sz w:val="22"/>
          <w:szCs w:val="22"/>
        </w:rPr>
        <w:t>t Enterobacteriaceae</w:t>
      </w:r>
      <w:r w:rsidRPr="00847F74">
        <w:rPr>
          <w:rFonts w:ascii="Arial" w:hAnsi="Arial"/>
          <w:sz w:val="22"/>
          <w:szCs w:val="22"/>
        </w:rPr>
        <w:t xml:space="preserve"> remain rare in the intestinal flora </w:t>
      </w:r>
      <w:r>
        <w:rPr>
          <w:rFonts w:ascii="Arial" w:hAnsi="Arial"/>
          <w:sz w:val="22"/>
          <w:szCs w:val="22"/>
        </w:rPr>
        <w:t>of</w:t>
      </w:r>
      <w:r w:rsidRPr="00847F74">
        <w:rPr>
          <w:rFonts w:ascii="Arial" w:hAnsi="Arial"/>
          <w:sz w:val="22"/>
          <w:szCs w:val="22"/>
        </w:rPr>
        <w:t xml:space="preserve"> </w:t>
      </w:r>
      <w:r>
        <w:rPr>
          <w:rFonts w:ascii="Arial" w:hAnsi="Arial"/>
          <w:sz w:val="22"/>
          <w:szCs w:val="22"/>
        </w:rPr>
        <w:t>the Norwich</w:t>
      </w:r>
      <w:r w:rsidRPr="00847F74">
        <w:rPr>
          <w:rFonts w:ascii="Arial" w:hAnsi="Arial"/>
          <w:sz w:val="22"/>
          <w:szCs w:val="22"/>
        </w:rPr>
        <w:t xml:space="preserve"> TRUS population</w:t>
      </w:r>
      <w:r>
        <w:rPr>
          <w:rFonts w:ascii="Arial" w:hAnsi="Arial"/>
          <w:sz w:val="22"/>
          <w:szCs w:val="22"/>
        </w:rPr>
        <w:t>, meaning that the drug remains adequate as prophylaxis</w:t>
      </w:r>
      <w:r w:rsidRPr="00847F74">
        <w:rPr>
          <w:rFonts w:ascii="Arial" w:hAnsi="Arial"/>
          <w:sz w:val="22"/>
          <w:szCs w:val="22"/>
        </w:rPr>
        <w:t>.</w:t>
      </w:r>
      <w:r>
        <w:rPr>
          <w:rFonts w:ascii="Arial" w:hAnsi="Arial"/>
          <w:sz w:val="22"/>
          <w:szCs w:val="22"/>
        </w:rPr>
        <w:t xml:space="preserve"> Pre-biopsy rectal swabs may be</w:t>
      </w:r>
      <w:r w:rsidRPr="00847F74">
        <w:rPr>
          <w:rFonts w:ascii="Arial" w:hAnsi="Arial"/>
          <w:sz w:val="22"/>
          <w:szCs w:val="22"/>
        </w:rPr>
        <w:t xml:space="preserve"> usef</w:t>
      </w:r>
      <w:r>
        <w:rPr>
          <w:rFonts w:ascii="Arial" w:hAnsi="Arial"/>
          <w:sz w:val="22"/>
          <w:szCs w:val="22"/>
        </w:rPr>
        <w:t xml:space="preserve">ul for </w:t>
      </w:r>
      <w:r w:rsidRPr="00F31AD1">
        <w:rPr>
          <w:rFonts w:ascii="Arial" w:hAnsi="Arial"/>
          <w:sz w:val="22"/>
          <w:szCs w:val="22"/>
        </w:rPr>
        <w:t>individual departments to periodically assess their own populations and</w:t>
      </w:r>
      <w:r>
        <w:rPr>
          <w:rFonts w:ascii="Arial" w:hAnsi="Arial"/>
          <w:sz w:val="22"/>
          <w:szCs w:val="22"/>
        </w:rPr>
        <w:t xml:space="preserve"> to</w:t>
      </w:r>
      <w:r w:rsidRPr="00F31AD1">
        <w:rPr>
          <w:rFonts w:ascii="Arial" w:hAnsi="Arial"/>
          <w:sz w:val="22"/>
          <w:szCs w:val="22"/>
        </w:rPr>
        <w:t xml:space="preserve"> ensure their antibiotic policy </w:t>
      </w:r>
      <w:r>
        <w:rPr>
          <w:rFonts w:ascii="Arial" w:hAnsi="Arial"/>
          <w:sz w:val="22"/>
          <w:szCs w:val="22"/>
        </w:rPr>
        <w:t>remains</w:t>
      </w:r>
      <w:r w:rsidRPr="00F31AD1">
        <w:rPr>
          <w:rFonts w:ascii="Arial" w:hAnsi="Arial"/>
          <w:sz w:val="22"/>
          <w:szCs w:val="22"/>
        </w:rPr>
        <w:t xml:space="preserve"> valid.</w:t>
      </w:r>
      <w:r>
        <w:rPr>
          <w:rFonts w:ascii="Arial" w:hAnsi="Arial"/>
          <w:sz w:val="22"/>
          <w:szCs w:val="22"/>
        </w:rPr>
        <w:t xml:space="preserve"> In populations where resistance is known to be highly prevalent, pre-biopsy rectal swabs can help guide addition of further antibiotics to prevent post-biopsy septicaemia.</w:t>
      </w:r>
    </w:p>
    <w:p w:rsidR="00F51533" w:rsidRDefault="00EE6561">
      <w:pPr>
        <w:spacing w:after="0" w:line="360" w:lineRule="auto"/>
        <w:jc w:val="left"/>
        <w:rPr>
          <w:rFonts w:ascii="Arial" w:hAnsi="Arial"/>
          <w:sz w:val="22"/>
          <w:szCs w:val="22"/>
        </w:rPr>
      </w:pPr>
      <w:r>
        <w:rPr>
          <w:rFonts w:ascii="Arial" w:hAnsi="Arial"/>
          <w:sz w:val="22"/>
          <w:szCs w:val="22"/>
        </w:rPr>
        <w:br w:type="page"/>
      </w:r>
    </w:p>
    <w:p w:rsidR="00E50FA4" w:rsidRPr="0058637D" w:rsidRDefault="00EE6561" w:rsidP="0058637D">
      <w:pPr>
        <w:spacing w:after="0" w:line="360" w:lineRule="auto"/>
        <w:rPr>
          <w:rFonts w:ascii="Arial" w:hAnsi="Arial"/>
          <w:b/>
          <w:sz w:val="24"/>
          <w:szCs w:val="24"/>
        </w:rPr>
      </w:pPr>
      <w:r w:rsidRPr="0058637D">
        <w:rPr>
          <w:rFonts w:ascii="Arial" w:hAnsi="Arial"/>
          <w:b/>
          <w:sz w:val="24"/>
          <w:szCs w:val="24"/>
        </w:rPr>
        <w:lastRenderedPageBreak/>
        <w:t>Introduction</w:t>
      </w:r>
    </w:p>
    <w:p w:rsidR="00E50FA4" w:rsidRDefault="00EE6561" w:rsidP="0058637D">
      <w:pPr>
        <w:pStyle w:val="CommentText"/>
        <w:spacing w:after="0" w:line="360" w:lineRule="auto"/>
        <w:rPr>
          <w:rFonts w:ascii="Arial" w:hAnsi="Arial"/>
          <w:sz w:val="22"/>
          <w:szCs w:val="22"/>
        </w:rPr>
      </w:pPr>
      <w:r>
        <w:rPr>
          <w:rFonts w:ascii="Arial" w:hAnsi="Arial" w:cs="Lucida Grande"/>
          <w:sz w:val="22"/>
          <w:szCs w:val="22"/>
          <w:lang w:val="en-US"/>
        </w:rPr>
        <w:t>Trans-rectal Ultrasound (TRUS)</w:t>
      </w:r>
      <w:r w:rsidRPr="00B52364">
        <w:rPr>
          <w:rFonts w:ascii="Arial" w:hAnsi="Arial" w:cs="Lucida Grande"/>
          <w:sz w:val="22"/>
          <w:szCs w:val="22"/>
          <w:lang w:val="en-US"/>
        </w:rPr>
        <w:t xml:space="preserve">-guided </w:t>
      </w:r>
      <w:r w:rsidRPr="00B52364">
        <w:rPr>
          <w:rFonts w:ascii="Arial" w:hAnsi="Arial"/>
          <w:sz w:val="22"/>
          <w:szCs w:val="22"/>
        </w:rPr>
        <w:t>prostate</w:t>
      </w:r>
      <w:r>
        <w:rPr>
          <w:rFonts w:ascii="Arial" w:hAnsi="Arial"/>
          <w:sz w:val="22"/>
          <w:szCs w:val="22"/>
        </w:rPr>
        <w:t xml:space="preserve"> biopsy</w:t>
      </w:r>
      <w:r w:rsidRPr="00B52364">
        <w:rPr>
          <w:rFonts w:ascii="Arial" w:hAnsi="Arial"/>
          <w:sz w:val="22"/>
          <w:szCs w:val="22"/>
        </w:rPr>
        <w:t xml:space="preserve"> is a common procedure in the diagnosis of prostate cancer</w:t>
      </w:r>
      <w:r>
        <w:rPr>
          <w:rFonts w:ascii="Arial" w:hAnsi="Arial"/>
          <w:sz w:val="22"/>
          <w:szCs w:val="22"/>
        </w:rPr>
        <w:t xml:space="preserve">, performed on </w:t>
      </w:r>
      <w:r w:rsidRPr="00B52364">
        <w:rPr>
          <w:rFonts w:ascii="Arial" w:hAnsi="Arial"/>
          <w:sz w:val="22"/>
          <w:szCs w:val="22"/>
        </w:rPr>
        <w:t>approximately 75</w:t>
      </w:r>
      <w:r>
        <w:rPr>
          <w:rFonts w:ascii="Arial" w:hAnsi="Arial"/>
          <w:sz w:val="22"/>
          <w:szCs w:val="22"/>
        </w:rPr>
        <w:t>,</w:t>
      </w:r>
      <w:r w:rsidRPr="00B52364">
        <w:rPr>
          <w:rFonts w:ascii="Arial" w:hAnsi="Arial"/>
          <w:sz w:val="22"/>
          <w:szCs w:val="22"/>
        </w:rPr>
        <w:t>000 men</w:t>
      </w:r>
      <w:r>
        <w:rPr>
          <w:rFonts w:ascii="Arial" w:hAnsi="Arial"/>
          <w:sz w:val="22"/>
          <w:szCs w:val="22"/>
        </w:rPr>
        <w:t xml:space="preserve"> every year in the UK alone</w:t>
      </w:r>
      <w:r w:rsidRPr="00B52364">
        <w:rPr>
          <w:rFonts w:ascii="Arial" w:hAnsi="Arial"/>
          <w:sz w:val="22"/>
          <w:szCs w:val="22"/>
        </w:rPr>
        <w:t xml:space="preserve"> </w:t>
      </w:r>
      <w:r w:rsidR="00A71304">
        <w:rPr>
          <w:rFonts w:ascii="Arial" w:hAnsi="Arial"/>
          <w:sz w:val="22"/>
          <w:szCs w:val="22"/>
        </w:rPr>
        <w:fldChar w:fldCharType="begin"/>
      </w:r>
      <w:r>
        <w:rPr>
          <w:rFonts w:ascii="Arial" w:hAnsi="Arial"/>
          <w:sz w:val="22"/>
          <w:szCs w:val="22"/>
        </w:rPr>
        <w:instrText xml:space="preserve"> ADDIN PAPERS2_CITATIONS &lt;citation&gt;&lt;uuid&gt;C307AB96-D1F6-42A0-A80E-5D29B08C77BA&lt;/uuid&gt;&lt;priority&gt;0&lt;/priority&gt;&lt;publications&gt;&lt;publication&gt;&lt;uuid&gt;24ACA983-DD2D-4332-A985-6D8C4144BB05&lt;/uuid&gt;&lt;volume&gt;68&lt;/volume&gt;&lt;doi&gt;10.1093/jac/dks401&lt;/doi&gt;&lt;startpage&gt;247&lt;/startpage&gt;&lt;publication_date&gt;99201302001200000000220000&lt;/publication_date&gt;&lt;url&gt;http://eutils.ncbi.nlm.nih.gov/entrez/eutils/elink.fcgi?dbfrom=pubmed&amp;amp;id=23047808&amp;amp;retmode=ref&amp;amp;cmd=prlinks&lt;/url&gt;&lt;type&gt;400&lt;/type&gt;&lt;title&gt;The national burden of infections after prostate biopsy in England and Wales: a wake-up call for better prevention.&lt;/title&gt;&lt;location&gt;&amp;lt;html&gt;&amp;lt;head&gt;&amp;lt;meta http-equiv="content-type" content="text/html; charset=utf-8"/&gt;&amp;lt;title&gt;Sorry...&amp;lt;/title&gt;&amp;lt;style&gt; body { font-family: verdana, arial, sans-serif; background-color: #fff; color: #000; }&amp;lt;/style&gt;&amp;lt;/head&gt;&amp;lt;body&gt;&amp;lt;div&gt;&amp;lt;table&gt;&amp;lt;tr&gt;&amp;lt;td&gt;&amp;lt;b&gt;&amp;lt;font face=times color=#0039b6 size=10&gt;G&amp;lt;/font&gt;&amp;lt;font face=times color=#c41200 size=10&gt;o&amp;lt;/font&gt;&amp;lt;font face=times color=#f3c518 size=10&gt;o&amp;lt;/font&gt;&amp;lt;font face=times color=#0039b6 size=10&gt;g&amp;lt;/font&gt;&amp;lt;font face=times color=#30a72f size=10&gt;l&amp;lt;/font&gt;&amp;lt;font face=times color=#c41200 size=10&gt;e&amp;lt;/font&gt;&amp;lt;/b&gt;&amp;lt;/td&gt;&amp;lt;td style="text-align: left; vertical-align: bottom; padding-bottom: 15px; width: 50%"&gt;&amp;lt;div style="border-bottom: 1px solid #dfdfdf;"&gt;Sorry...&amp;lt;/div&gt;&amp;lt;/td&gt;&amp;lt;/tr&gt;&amp;lt;/table&gt;&amp;lt;/div&gt;&amp;lt;div style="margin-left: 4em;"&gt;&amp;lt;h1&gt;We're sorry...&amp;lt;/h1&gt;&amp;lt;p&gt;... but your computer or network may be sending automated queries. To protect our users, we can't process your request right now.&amp;lt;/p&gt;&amp;lt;/div&gt;&amp;lt;div style="margin-left: 4em;"&gt;See &amp;lt;a href="http://www.google.com/support/bin/answer.py?answer=86640"&gt;Google Help&amp;lt;/a&gt; for more information.&amp;lt;br/&gt;&amp;lt;br/&gt;&amp;lt;/div&gt;&amp;lt;div style="text-align: center; border-top: 1px solid #dfdfdf;"&gt;&amp;amp;copy; 2009 Google - &amp;lt;a href="http://www.google.com"&gt;Google Home&amp;lt;/a&gt;&amp;lt;/div&gt;&amp;lt;/body&gt;&amp;lt;/html&gt;&lt;/location&gt;&lt;institution&gt;Department of Urology, Northwick Park Hospital, Watford Road, London HA1 3UJ, UK. deepakbatura@gmail.com&lt;/institution&gt;&lt;number&gt;2&lt;/number&gt;&lt;subtype&gt;400&lt;/subtype&gt;&lt;endpage&gt;249&lt;/endpage&gt;&lt;bundle&gt;&lt;publication&gt;&lt;title&gt;Journal of Antimicrobial Chemotherapy&lt;/title&gt;&lt;type&gt;-100&lt;/type&gt;&lt;subtype&gt;-100&lt;/subtype&gt;&lt;uuid&gt;101E02B3-9D38-4FA7-9756-0565F655EB57&lt;/uuid&gt;&lt;/publication&gt;&lt;/bundle&gt;&lt;authors&gt;&lt;author&gt;&lt;firstName&gt;Deepak&lt;/firstName&gt;&lt;lastName&gt;Batura&lt;/lastName&gt;&lt;/author&gt;&lt;author&gt;&lt;firstName&gt;Guduru&lt;/firstName&gt;&lt;lastName&gt;Gopal Rao&lt;/lastName&gt;&lt;/author&gt;&lt;/authors&gt;&lt;/publication&gt;&lt;/publications&gt;&lt;cites&gt;&lt;/cites&gt;&lt;/citation&gt;</w:instrText>
      </w:r>
      <w:r w:rsidR="00A71304">
        <w:rPr>
          <w:rFonts w:ascii="Arial" w:hAnsi="Arial"/>
          <w:sz w:val="22"/>
          <w:szCs w:val="22"/>
        </w:rPr>
        <w:fldChar w:fldCharType="separate"/>
      </w:r>
      <w:r>
        <w:rPr>
          <w:rFonts w:ascii="Arial" w:hAnsi="Arial" w:cs="Arial"/>
          <w:sz w:val="22"/>
          <w:szCs w:val="22"/>
          <w:lang w:val="en-US"/>
        </w:rPr>
        <w:t>(1)</w:t>
      </w:r>
      <w:r w:rsidR="00A71304">
        <w:rPr>
          <w:rFonts w:ascii="Arial" w:hAnsi="Arial"/>
          <w:sz w:val="22"/>
          <w:szCs w:val="22"/>
        </w:rPr>
        <w:fldChar w:fldCharType="end"/>
      </w:r>
      <w:r>
        <w:rPr>
          <w:rFonts w:ascii="Arial" w:hAnsi="Arial"/>
          <w:sz w:val="22"/>
          <w:szCs w:val="22"/>
        </w:rPr>
        <w:t xml:space="preserve">.The procedure is </w:t>
      </w:r>
      <w:r w:rsidRPr="00B52364">
        <w:rPr>
          <w:rFonts w:ascii="Arial" w:hAnsi="Arial"/>
          <w:sz w:val="22"/>
          <w:szCs w:val="22"/>
        </w:rPr>
        <w:t>relatively safe</w:t>
      </w:r>
      <w:r>
        <w:rPr>
          <w:rFonts w:ascii="Arial" w:hAnsi="Arial"/>
          <w:sz w:val="22"/>
          <w:szCs w:val="22"/>
        </w:rPr>
        <w:t>,</w:t>
      </w:r>
      <w:r w:rsidRPr="00B52364">
        <w:rPr>
          <w:rFonts w:ascii="Arial" w:hAnsi="Arial"/>
          <w:sz w:val="22"/>
          <w:szCs w:val="22"/>
        </w:rPr>
        <w:t xml:space="preserve"> except for</w:t>
      </w:r>
      <w:r>
        <w:rPr>
          <w:rFonts w:ascii="Arial" w:hAnsi="Arial"/>
          <w:sz w:val="22"/>
          <w:szCs w:val="22"/>
        </w:rPr>
        <w:t xml:space="preserve"> the risk of</w:t>
      </w:r>
      <w:r w:rsidRPr="00B52364">
        <w:rPr>
          <w:rFonts w:ascii="Arial" w:hAnsi="Arial"/>
          <w:sz w:val="22"/>
          <w:szCs w:val="22"/>
        </w:rPr>
        <w:t xml:space="preserve"> infection, in particular bacteraemia </w:t>
      </w:r>
      <w:r w:rsidR="00A71304">
        <w:rPr>
          <w:rFonts w:ascii="Arial" w:hAnsi="Arial"/>
          <w:sz w:val="22"/>
          <w:szCs w:val="22"/>
        </w:rPr>
        <w:fldChar w:fldCharType="begin"/>
      </w:r>
      <w:r>
        <w:rPr>
          <w:rFonts w:ascii="Arial" w:hAnsi="Arial"/>
          <w:sz w:val="22"/>
          <w:szCs w:val="22"/>
        </w:rPr>
        <w:instrText xml:space="preserve"> ADDIN PAPERS2_CITATIONS &lt;citation&gt;&lt;uuid&gt;9DE30FE3-A075-4D7D-8521-E5CC4553975F&lt;/uuid&gt;&lt;priority&gt;1&lt;/priority&gt;&lt;publications&gt;&lt;publication&gt;&lt;volume&gt;31&lt;/volume&gt;&lt;publication_date&gt;99199900001200000000200000&lt;/publication_date&gt;&lt;number&gt;5&lt;/number&gt;&lt;doi&gt;10.1023/A:1007168823851&lt;/doi&gt;&lt;startpage&gt;681&lt;/startpage&gt;&lt;title&gt;Multiple transrectal ultrasound guided prostatic biopsies: morbidity and tolerance&lt;/title&gt;&lt;uuid&gt;7E1767B1-ED37-49EE-AED4-5B4DBE261FD3&lt;/uuid&gt;&lt;subtype&gt;400&lt;/subtype&gt;&lt;endpage&gt;686&lt;/endpage&gt;&lt;type&gt;400&lt;/type&gt;&lt;url&gt;http://link.springer.com/10.1023/A:1007168823851&lt;/url&gt;&lt;bundle&gt;&lt;publication&gt;&lt;title&gt;International Urology and Nephrology&lt;/title&gt;&lt;type&gt;-100&lt;/type&gt;&lt;subtype&gt;-100&lt;/subtype&gt;&lt;uuid&gt;DFF5749F-78C6-4206-81B7-EBB789EDCB34&lt;/uuid&gt;&lt;/publication&gt;&lt;/bundle&gt;&lt;authors&gt;&lt;author&gt;&lt;firstName&gt;Ch&lt;/firstName&gt;&lt;lastName&gt;Deliveliotis&lt;/lastName&gt;&lt;/author&gt;&lt;author&gt;&lt;firstName&gt;V&lt;/firstName&gt;&lt;lastName&gt;John&lt;/lastName&gt;&lt;/author&gt;&lt;author&gt;&lt;firstName&gt;G&lt;/firstName&gt;&lt;lastName&gt;Louras&lt;/lastName&gt;&lt;/author&gt;&lt;author&gt;&lt;firstName&gt;S&lt;/firstName&gt;&lt;lastName&gt;Andreas&lt;/lastName&gt;&lt;/author&gt;&lt;author&gt;&lt;firstName&gt;E&lt;/firstName&gt;&lt;lastName&gt;Alargof&lt;/lastName&gt;&lt;/author&gt;&lt;author&gt;&lt;firstName&gt;F&lt;/firstName&gt;&lt;lastName&gt;Sofras&lt;/lastName&gt;&lt;/author&gt;&lt;author&gt;&lt;firstName&gt;N&lt;/firstName&gt;&lt;lastName&gt;Goulandris&lt;/lastName&gt;&lt;/author&gt;&lt;/authors&gt;&lt;/publication&gt;&lt;publication&gt;&lt;volume&gt;71&lt;/volume&gt;&lt;publication_date&gt;99199304001200000000220000&lt;/publication_date&gt;&lt;number&gt;4&lt;/number&gt;&lt;doi&gt;10.1111/j.1464-410X.1993.tb15993.x&lt;/doi&gt;&lt;startpage&gt;460&lt;/startpage&gt;&lt;title&gt;Multiple Transrectal Ultrasound-Guided Prostatic Biopsies-True Morbidity and Patient Acceptance&lt;/title&gt;&lt;uuid&gt;3FBD0304-67ED-44CA-8865-79EC899B9FD3&lt;/uuid&gt;&lt;subtype&gt;400&lt;/subtype&gt;&lt;endpage&gt;463&lt;/endpage&gt;&lt;type&gt;400&lt;/type&gt;&lt;url&gt;http://doi.wiley.com/10.1111/j.1464-410X.1993.tb15993.x&lt;/url&gt;&lt;bundle&gt;&lt;publication&gt;&lt;title&gt;British journal of urology&lt;/title&gt;&lt;type&gt;-100&lt;/type&gt;&lt;subtype&gt;-100&lt;/subtype&gt;&lt;uuid&gt;4456EB7A-2B03-4342-86F6-EE920A1D6882&lt;/uuid&gt;&lt;/publication&gt;&lt;/bundle&gt;&lt;authors&gt;&lt;author&gt;&lt;firstName&gt;G&lt;/firstName&gt;&lt;middleNames&gt;N&lt;/middleNames&gt;&lt;lastName&gt;Collins&lt;/lastName&gt;&lt;/author&gt;&lt;author&gt;&lt;firstName&gt;S&lt;/firstName&gt;&lt;middleNames&gt;N&lt;/middleNames&gt;&lt;lastName&gt;Lloyd&lt;/lastName&gt;&lt;/author&gt;&lt;author&gt;&lt;firstName&gt;M&lt;/firstName&gt;&lt;lastName&gt;Hehir&lt;/lastName&gt;&lt;/author&gt;&lt;author&gt;&lt;firstName&gt;G&lt;/firstName&gt;&lt;middleNames&gt;B&lt;/middleNames&gt;&lt;lastName&gt;McKELVIE&lt;/lastName&gt;&lt;/author&gt;&lt;/authors&gt;&lt;/publication&gt;&lt;/publications&gt;&lt;cites&gt;&lt;/cites&gt;&lt;/citation&gt;</w:instrText>
      </w:r>
      <w:r w:rsidR="00A71304">
        <w:rPr>
          <w:rFonts w:ascii="Arial" w:hAnsi="Arial"/>
          <w:sz w:val="22"/>
          <w:szCs w:val="22"/>
        </w:rPr>
        <w:fldChar w:fldCharType="separate"/>
      </w:r>
      <w:r>
        <w:rPr>
          <w:rFonts w:ascii="Arial" w:hAnsi="Arial" w:cs="Arial"/>
          <w:sz w:val="22"/>
          <w:szCs w:val="22"/>
          <w:lang w:val="en-US"/>
        </w:rPr>
        <w:t>(2,3)</w:t>
      </w:r>
      <w:r w:rsidR="00A71304">
        <w:rPr>
          <w:rFonts w:ascii="Arial" w:hAnsi="Arial"/>
          <w:sz w:val="22"/>
          <w:szCs w:val="22"/>
        </w:rPr>
        <w:fldChar w:fldCharType="end"/>
      </w:r>
      <w:r w:rsidRPr="00B52364">
        <w:rPr>
          <w:rFonts w:ascii="Arial" w:hAnsi="Arial"/>
          <w:sz w:val="22"/>
          <w:szCs w:val="22"/>
        </w:rPr>
        <w:t>. Several studies have shown the benefits of antibiotic prophylaxis in reducing infective complication</w:t>
      </w:r>
      <w:r>
        <w:rPr>
          <w:rFonts w:ascii="Arial" w:hAnsi="Arial"/>
          <w:sz w:val="22"/>
          <w:szCs w:val="22"/>
        </w:rPr>
        <w:t>s, and</w:t>
      </w:r>
      <w:r w:rsidRPr="00B52364">
        <w:rPr>
          <w:rFonts w:ascii="Arial" w:hAnsi="Arial" w:cs="Lucida Grande"/>
          <w:sz w:val="22"/>
          <w:szCs w:val="22"/>
          <w:lang w:val="en-US"/>
        </w:rPr>
        <w:t xml:space="preserve"> </w:t>
      </w:r>
      <w:r w:rsidRPr="00B52364">
        <w:rPr>
          <w:rFonts w:ascii="Arial" w:hAnsi="Arial"/>
          <w:sz w:val="22"/>
          <w:szCs w:val="22"/>
        </w:rPr>
        <w:t>fluoroquinolon</w:t>
      </w:r>
      <w:r>
        <w:rPr>
          <w:rFonts w:ascii="Arial" w:hAnsi="Arial"/>
          <w:sz w:val="22"/>
          <w:szCs w:val="22"/>
        </w:rPr>
        <w:t>es</w:t>
      </w:r>
      <w:r w:rsidRPr="00B52364">
        <w:rPr>
          <w:rFonts w:ascii="Arial" w:hAnsi="Arial"/>
          <w:sz w:val="22"/>
          <w:szCs w:val="22"/>
        </w:rPr>
        <w:t xml:space="preserve"> </w:t>
      </w:r>
      <w:r>
        <w:rPr>
          <w:rFonts w:ascii="Arial" w:hAnsi="Arial"/>
          <w:sz w:val="22"/>
          <w:szCs w:val="22"/>
        </w:rPr>
        <w:t xml:space="preserve">are </w:t>
      </w:r>
      <w:r>
        <w:rPr>
          <w:rFonts w:ascii="Arial" w:hAnsi="Arial" w:cs="Lucida Grande"/>
          <w:sz w:val="22"/>
          <w:szCs w:val="22"/>
          <w:lang w:val="en-US"/>
        </w:rPr>
        <w:t xml:space="preserve">the preferred agents owing to </w:t>
      </w:r>
      <w:r w:rsidRPr="00B52364">
        <w:rPr>
          <w:rFonts w:ascii="Arial" w:hAnsi="Arial" w:cs="Lucida Grande"/>
          <w:sz w:val="22"/>
          <w:szCs w:val="22"/>
          <w:lang w:val="en-US"/>
        </w:rPr>
        <w:t>good penetration into the prostatic cytosol</w:t>
      </w:r>
      <w:r>
        <w:rPr>
          <w:rFonts w:ascii="Arial" w:hAnsi="Arial" w:cs="Lucida Grande"/>
          <w:sz w:val="22"/>
          <w:szCs w:val="22"/>
          <w:lang w:val="en-US"/>
        </w:rPr>
        <w:t xml:space="preserve"> </w:t>
      </w:r>
      <w:r w:rsidR="00A71304">
        <w:rPr>
          <w:rFonts w:ascii="Arial" w:hAnsi="Arial"/>
          <w:sz w:val="22"/>
          <w:szCs w:val="22"/>
        </w:rPr>
        <w:fldChar w:fldCharType="begin"/>
      </w:r>
      <w:r>
        <w:rPr>
          <w:rFonts w:ascii="Arial" w:hAnsi="Arial"/>
          <w:sz w:val="22"/>
          <w:szCs w:val="22"/>
        </w:rPr>
        <w:instrText xml:space="preserve"> ADDIN PAPERS2_CITATIONS &lt;citation&gt;&lt;uuid&gt;6AF5160A-6F13-4112-BD43-C2547260071C&lt;/uuid&gt;&lt;priority&gt;2&lt;/priority&gt;&lt;publications&gt;&lt;publication&gt;&lt;uuid&gt;CEA9CC5F-6C10-4625-A605-009138F67608&lt;/uuid&gt;&lt;volume&gt;85&lt;/volume&gt;&lt;doi&gt;10.1046/j.1464-410x.2000.00576.x&lt;/doi&gt;&lt;subtitle&gt;ANTIBIOTIC PROPHYLAXIS FOR NEEDLE BIOPSY OF THE PROSTATE&lt;/subtitle&gt;&lt;startpage&gt;682&lt;/startpage&gt;&lt;publication_date&gt;99200112241200000000222000&lt;/publication_date&gt;&lt;url&gt;http://doi.wiley.com/10.1046/j.1464-410x.2000.00576.x&lt;/url&gt;&lt;type&gt;400&lt;/type&gt;&lt;title&gt;Antibiotic prophylaxis for transrectal needle biopsy of the prostate: a randomized controlled study&lt;/title&gt;&lt;number&gt;6&lt;/number&gt;&lt;subtype&gt;400&lt;/subtype&gt;&lt;endpage&gt;685&lt;/endpage&gt;&lt;bundle&gt;&lt;publication&gt;&lt;title&gt;British journal of urology&lt;/title&gt;&lt;type&gt;-100&lt;/type&gt;&lt;subtype&gt;-100&lt;/subtype&gt;&lt;uuid&gt;4456EB7A-2B03-4342-86F6-EE920A1D6882&lt;/uuid&gt;&lt;/publication&gt;&lt;/bundle&gt;&lt;authors&gt;&lt;author&gt;&lt;firstName&gt;M&lt;/firstName&gt;&lt;lastName&gt;Aron&lt;/lastName&gt;&lt;/author&gt;&lt;author&gt;&lt;firstName&gt;T&lt;/firstName&gt;&lt;middleNames&gt;P&lt;/middleNames&gt;&lt;lastName&gt;Rajeev&lt;/lastName&gt;&lt;/author&gt;&lt;author&gt;&lt;firstName&gt;N&lt;/firstName&gt;&lt;middleNames&gt;P&lt;/middleNames&gt;&lt;lastName&gt;Gupta&lt;/lastName&gt;&lt;/author&gt;&lt;/authors&gt;&lt;/publication&gt;&lt;publication&gt;&lt;type&gt;400&lt;/type&gt;&lt;publication_date&gt;99199700001200000000200000&lt;/publication_date&gt;&lt;title&gt;Antibiotic prophylaxis in ultrasound guided transrectal prostate biopsy&lt;/title&gt;&lt;url&gt;http://www.sciencedirect.com/science/article/pii/S0022534701647165&lt;/url&gt;&lt;subtype&gt;400&lt;/subtype&gt;&lt;uuid&gt;5CA84FAB-605E-49AF-8370-D1863F32D8BA&lt;/uuid&gt;&lt;bundle&gt;&lt;publication&gt;&lt;title&gt;The Journal of …&lt;/title&gt;&lt;type&gt;-100&lt;/type&gt;&lt;subtype&gt;-100&lt;/subtype&gt;&lt;uuid&gt;118140E5-D0DE-45E4-AB96-B302B62DDB26&lt;/uuid&gt;&lt;/publication&gt;&lt;/bundle&gt;&lt;authors&gt;&lt;author&gt;&lt;firstName&gt;F&lt;/firstName&gt;&lt;middleNames&gt;M&lt;/middleNames&gt;&lt;lastName&gt;Rommel&lt;/lastName&gt;&lt;/author&gt;&lt;author&gt;&lt;firstName&gt;V&lt;/firstName&gt;&lt;middleNames&gt;E&lt;/middleNames&gt;&lt;lastName&gt;Agusta&lt;/lastName&gt;&lt;/author&gt;&lt;author&gt;&lt;firstName&gt;J&lt;/firstName&gt;&lt;middleNames&gt;A&lt;/middleNames&gt;&lt;lastName&gt;Breslin&lt;/lastName&gt;&lt;/author&gt;&lt;author&gt;&lt;firstName&gt;H&lt;/firstName&gt;&lt;middleNames&gt;W&lt;/middleNames&gt;&lt;lastName&gt;Huffnagle&lt;/lastName&gt;&lt;/author&gt;&lt;/authors&gt;&lt;/publication&gt;&lt;publication&gt;&lt;type&gt;400&lt;/type&gt;&lt;publication_date&gt;99199800001200000000200000&lt;/publication_date&gt;&lt;title&gt;Single-dose oral ciprofloxacin versus placebo for prophylaxis during transrectal prostate biopsy&lt;/title&gt;&lt;url&gt;http://www.sciencedirect.com/science/article/pii/S0090429598002969&lt;/url&gt;&lt;subtype&gt;400&lt;/subtype&gt;&lt;uuid&gt;1C57E15F-0A89-4DC1-AD44-10E4398ACDE6&lt;/uuid&gt;&lt;bundle&gt;&lt;publication&gt;&lt;publisher&gt;Elsevier&lt;/publisher&gt;&lt;title&gt;Urology&lt;/title&gt;&lt;type&gt;-100&lt;/type&gt;&lt;subtype&gt;-100&lt;/subtype&gt;&lt;uuid&gt;8B269E15-9CA2-48F8-A419-8CAD8C4839C6&lt;/uuid&gt;&lt;/publication&gt;&lt;/bundle&gt;&lt;authors&gt;&lt;author&gt;&lt;firstName&gt;G&lt;/firstName&gt;&lt;middleNames&gt;H&lt;/middleNames&gt;&lt;lastName&gt;Malek&lt;/lastName&gt;&lt;/author&gt;&lt;author&gt;&lt;firstName&gt;J&lt;/firstName&gt;&lt;middleNames&gt;D&lt;/middleNames&gt;&lt;lastName&gt;Wegenke&lt;/lastName&gt;&lt;/author&gt;&lt;author&gt;&lt;firstName&gt;C&lt;/firstName&gt;&lt;middleNames&gt;E&lt;/middleNames&gt;&lt;lastName&gt;Cox&lt;/lastName&gt;&lt;/author&gt;&lt;author&gt;&lt;firstName&gt;A&lt;/firstName&gt;&lt;middleNames&gt;L&lt;/middleNames&gt;&lt;lastName&gt;Patterson&lt;/lastName&gt;&lt;/author&gt;&lt;/authors&gt;&lt;/publication&gt;&lt;/publications&gt;&lt;cites&gt;&lt;/cites&gt;&lt;/citation&gt;</w:instrText>
      </w:r>
      <w:r w:rsidR="00A71304">
        <w:rPr>
          <w:rFonts w:ascii="Arial" w:hAnsi="Arial"/>
          <w:sz w:val="22"/>
          <w:szCs w:val="22"/>
        </w:rPr>
        <w:fldChar w:fldCharType="separate"/>
      </w:r>
      <w:r>
        <w:rPr>
          <w:rFonts w:ascii="Arial" w:hAnsi="Arial" w:cs="Arial"/>
          <w:sz w:val="22"/>
          <w:szCs w:val="22"/>
          <w:lang w:val="en-US"/>
        </w:rPr>
        <w:t>(4-6)</w:t>
      </w:r>
      <w:r w:rsidR="00A71304">
        <w:rPr>
          <w:rFonts w:ascii="Arial" w:hAnsi="Arial"/>
          <w:sz w:val="22"/>
          <w:szCs w:val="22"/>
        </w:rPr>
        <w:fldChar w:fldCharType="end"/>
      </w:r>
      <w:r>
        <w:rPr>
          <w:rFonts w:ascii="Arial" w:hAnsi="Arial"/>
          <w:color w:val="FF0000"/>
          <w:sz w:val="22"/>
          <w:szCs w:val="22"/>
        </w:rPr>
        <w:t>.</w:t>
      </w:r>
      <w:r w:rsidRPr="00B52364">
        <w:rPr>
          <w:rFonts w:ascii="Arial" w:hAnsi="Arial"/>
          <w:sz w:val="22"/>
          <w:szCs w:val="22"/>
        </w:rPr>
        <w:t xml:space="preserve"> </w:t>
      </w:r>
      <w:r>
        <w:rPr>
          <w:rFonts w:ascii="Arial" w:hAnsi="Arial"/>
          <w:sz w:val="22"/>
          <w:szCs w:val="22"/>
        </w:rPr>
        <w:t>A</w:t>
      </w:r>
      <w:r w:rsidRPr="00B52364">
        <w:rPr>
          <w:rFonts w:ascii="Arial" w:hAnsi="Arial"/>
          <w:sz w:val="22"/>
          <w:szCs w:val="22"/>
        </w:rPr>
        <w:t xml:space="preserve"> randomised control study by Aron </w:t>
      </w:r>
      <w:r w:rsidRPr="009A4C0E">
        <w:rPr>
          <w:rFonts w:ascii="Arial" w:hAnsi="Arial"/>
          <w:i/>
          <w:sz w:val="22"/>
          <w:szCs w:val="22"/>
        </w:rPr>
        <w:t>et al</w:t>
      </w:r>
      <w:r w:rsidRPr="009E3FE1">
        <w:rPr>
          <w:rFonts w:ascii="Arial" w:hAnsi="Arial"/>
          <w:sz w:val="22"/>
          <w:szCs w:val="22"/>
        </w:rPr>
        <w:t>.</w:t>
      </w:r>
      <w:r>
        <w:rPr>
          <w:rFonts w:ascii="Arial" w:hAnsi="Arial"/>
          <w:sz w:val="22"/>
          <w:szCs w:val="22"/>
        </w:rPr>
        <w:t xml:space="preserve"> </w:t>
      </w:r>
      <w:r w:rsidRPr="009A4C0E">
        <w:rPr>
          <w:rFonts w:ascii="Arial" w:hAnsi="Arial"/>
          <w:sz w:val="22"/>
          <w:szCs w:val="22"/>
        </w:rPr>
        <w:t>(</w:t>
      </w:r>
      <w:r w:rsidRPr="009E3FE1">
        <w:rPr>
          <w:rFonts w:ascii="Arial" w:hAnsi="Arial" w:cs="Cambria"/>
          <w:sz w:val="22"/>
          <w:szCs w:val="22"/>
          <w:lang w:val="en-US"/>
        </w:rPr>
        <w:t>3</w:t>
      </w:r>
      <w:r w:rsidRPr="00B52364">
        <w:rPr>
          <w:rFonts w:ascii="Arial" w:hAnsi="Arial" w:cs="Cambria"/>
          <w:sz w:val="22"/>
          <w:szCs w:val="22"/>
          <w:lang w:val="en-US"/>
        </w:rPr>
        <w:t>)</w:t>
      </w:r>
      <w:r w:rsidRPr="009A4C0E">
        <w:rPr>
          <w:rFonts w:ascii="Arial" w:hAnsi="Arial"/>
          <w:i/>
          <w:sz w:val="22"/>
          <w:szCs w:val="22"/>
        </w:rPr>
        <w:t xml:space="preserve"> </w:t>
      </w:r>
      <w:r w:rsidRPr="00B52364">
        <w:rPr>
          <w:rFonts w:ascii="Arial" w:hAnsi="Arial"/>
          <w:sz w:val="22"/>
          <w:szCs w:val="22"/>
        </w:rPr>
        <w:t>observed a significant decrease in post</w:t>
      </w:r>
      <w:r>
        <w:rPr>
          <w:rFonts w:ascii="Arial" w:hAnsi="Arial"/>
          <w:sz w:val="22"/>
          <w:szCs w:val="22"/>
        </w:rPr>
        <w:t>-</w:t>
      </w:r>
      <w:r w:rsidRPr="00B52364">
        <w:rPr>
          <w:rFonts w:ascii="Arial" w:hAnsi="Arial"/>
          <w:sz w:val="22"/>
          <w:szCs w:val="22"/>
        </w:rPr>
        <w:t xml:space="preserve">biopsy infection when fluoroquinolones were used compared </w:t>
      </w:r>
      <w:r>
        <w:rPr>
          <w:rFonts w:ascii="Arial" w:hAnsi="Arial"/>
          <w:sz w:val="22"/>
          <w:szCs w:val="22"/>
        </w:rPr>
        <w:t>with</w:t>
      </w:r>
      <w:r w:rsidRPr="00B52364">
        <w:rPr>
          <w:rFonts w:ascii="Arial" w:hAnsi="Arial"/>
          <w:sz w:val="22"/>
          <w:szCs w:val="22"/>
        </w:rPr>
        <w:t xml:space="preserve"> placebo (8% vs 25%</w:t>
      </w:r>
      <w:r>
        <w:rPr>
          <w:rFonts w:ascii="Arial" w:hAnsi="Arial"/>
          <w:sz w:val="22"/>
          <w:szCs w:val="22"/>
        </w:rPr>
        <w:t>) whilst o</w:t>
      </w:r>
      <w:r w:rsidRPr="00B52364">
        <w:rPr>
          <w:rFonts w:ascii="Arial" w:hAnsi="Arial"/>
          <w:sz w:val="22"/>
          <w:szCs w:val="22"/>
        </w:rPr>
        <w:t>ther studies report</w:t>
      </w:r>
      <w:r>
        <w:rPr>
          <w:rFonts w:ascii="Arial" w:hAnsi="Arial"/>
          <w:sz w:val="22"/>
          <w:szCs w:val="22"/>
        </w:rPr>
        <w:t>ed</w:t>
      </w:r>
      <w:r w:rsidRPr="00B52364">
        <w:rPr>
          <w:rFonts w:ascii="Arial" w:hAnsi="Arial"/>
          <w:sz w:val="22"/>
          <w:szCs w:val="22"/>
        </w:rPr>
        <w:t xml:space="preserve"> reduction</w:t>
      </w:r>
      <w:r>
        <w:rPr>
          <w:rFonts w:ascii="Arial" w:hAnsi="Arial"/>
          <w:sz w:val="22"/>
          <w:szCs w:val="22"/>
        </w:rPr>
        <w:t>s</w:t>
      </w:r>
      <w:r w:rsidRPr="00B52364">
        <w:rPr>
          <w:rFonts w:ascii="Arial" w:hAnsi="Arial"/>
          <w:sz w:val="22"/>
          <w:szCs w:val="22"/>
        </w:rPr>
        <w:t xml:space="preserve"> to 1%</w:t>
      </w:r>
      <w:r>
        <w:rPr>
          <w:rFonts w:ascii="Arial" w:hAnsi="Arial"/>
          <w:sz w:val="22"/>
          <w:szCs w:val="22"/>
        </w:rPr>
        <w:t xml:space="preserve"> </w:t>
      </w:r>
      <w:r w:rsidR="00A71304">
        <w:rPr>
          <w:rFonts w:ascii="Arial" w:hAnsi="Arial"/>
          <w:sz w:val="22"/>
          <w:szCs w:val="22"/>
        </w:rPr>
        <w:fldChar w:fldCharType="begin"/>
      </w:r>
      <w:r>
        <w:rPr>
          <w:rFonts w:ascii="Arial" w:hAnsi="Arial"/>
          <w:sz w:val="22"/>
          <w:szCs w:val="22"/>
        </w:rPr>
        <w:instrText xml:space="preserve"> ADDIN PAPERS2_CITATIONS &lt;citation&gt;&lt;uuid&gt;60503C64-7F4D-427F-A708-3DFF5B74D679&lt;/uuid&gt;&lt;priority&gt;3&lt;/priority&gt;&lt;publications&gt;&lt;publication&gt;&lt;type&gt;400&lt;/type&gt;&lt;publication_date&gt;99199700001200000000200000&lt;/publication_date&gt;&lt;title&gt;Antibiotic prophylaxis in ultrasound guided transrectal prostate biopsy&lt;/title&gt;&lt;url&gt;http://www.sciencedirect.com/science/article/pii/S0022534701647165&lt;/url&gt;&lt;subtype&gt;400&lt;/subtype&gt;&lt;uuid&gt;5CA84FAB-605E-49AF-8370-D1863F32D8BA&lt;/uuid&gt;&lt;bundle&gt;&lt;publication&gt;&lt;title&gt;The Journal of …&lt;/title&gt;&lt;type&gt;-100&lt;/type&gt;&lt;subtype&gt;-100&lt;/subtype&gt;&lt;uuid&gt;118140E5-D0DE-45E4-AB96-B302B62DDB26&lt;/uuid&gt;&lt;/publication&gt;&lt;/bundle&gt;&lt;authors&gt;&lt;author&gt;&lt;firstName&gt;F&lt;/firstName&gt;&lt;middleNames&gt;M&lt;/middleNames&gt;&lt;lastName&gt;Rommel&lt;/lastName&gt;&lt;/author&gt;&lt;author&gt;&lt;firstName&gt;V&lt;/firstName&gt;&lt;middleNames&gt;E&lt;/middleNames&gt;&lt;lastName&gt;Agusta&lt;/lastName&gt;&lt;/author&gt;&lt;author&gt;&lt;firstName&gt;J&lt;/firstName&gt;&lt;middleNames&gt;A&lt;/middleNames&gt;&lt;lastName&gt;Breslin&lt;/lastName&gt;&lt;/author&gt;&lt;author&gt;&lt;firstName&gt;H&lt;/firstName&gt;&lt;middleNames&gt;W&lt;/middleNames&gt;&lt;lastName&gt;Huffnagle&lt;/lastName&gt;&lt;/author&gt;&lt;/authors&gt;&lt;/publication&gt;&lt;/publications&gt;&lt;cites&gt;&lt;/cites&gt;&lt;/citation&gt;</w:instrText>
      </w:r>
      <w:r w:rsidR="00A71304">
        <w:rPr>
          <w:rFonts w:ascii="Arial" w:hAnsi="Arial"/>
          <w:sz w:val="22"/>
          <w:szCs w:val="22"/>
        </w:rPr>
        <w:fldChar w:fldCharType="separate"/>
      </w:r>
      <w:r>
        <w:rPr>
          <w:rFonts w:ascii="Arial" w:hAnsi="Arial" w:cs="Arial"/>
          <w:sz w:val="22"/>
          <w:szCs w:val="22"/>
          <w:lang w:val="en-US"/>
        </w:rPr>
        <w:t>(5)</w:t>
      </w:r>
      <w:r w:rsidR="00A71304">
        <w:rPr>
          <w:rFonts w:ascii="Arial" w:hAnsi="Arial"/>
          <w:sz w:val="22"/>
          <w:szCs w:val="22"/>
        </w:rPr>
        <w:fldChar w:fldCharType="end"/>
      </w:r>
      <w:r w:rsidRPr="00B52364">
        <w:rPr>
          <w:rFonts w:ascii="Arial" w:hAnsi="Arial"/>
          <w:sz w:val="22"/>
          <w:szCs w:val="22"/>
        </w:rPr>
        <w:t xml:space="preserve"> and 0.5%</w:t>
      </w:r>
      <w:r>
        <w:rPr>
          <w:rFonts w:ascii="Arial" w:hAnsi="Arial"/>
          <w:sz w:val="22"/>
          <w:szCs w:val="22"/>
        </w:rPr>
        <w:t xml:space="preserve"> </w:t>
      </w:r>
      <w:r w:rsidR="00A71304">
        <w:rPr>
          <w:rFonts w:ascii="Arial" w:hAnsi="Arial"/>
          <w:sz w:val="22"/>
          <w:szCs w:val="22"/>
        </w:rPr>
        <w:fldChar w:fldCharType="begin"/>
      </w:r>
      <w:r>
        <w:rPr>
          <w:rFonts w:ascii="Arial" w:hAnsi="Arial"/>
          <w:sz w:val="22"/>
          <w:szCs w:val="22"/>
        </w:rPr>
        <w:instrText xml:space="preserve"> ADDIN PAPERS2_CITATIONS &lt;citation&gt;&lt;uuid&gt;8B75BFF2-7852-481A-9CAA-35B48544B045&lt;/uuid&gt;&lt;priority&gt;4&lt;/priority&gt;&lt;publications&gt;&lt;publication&gt;&lt;type&gt;400&lt;/type&gt;&lt;publication_date&gt;99201200001200000000200000&lt;/publication_date&gt;&lt;title&gt;Increasing Risk of Infectious Complications After Transrectal Ultrasound–Guided Prostate Biopsies: Time to Reassess Antimicrobial Prophylaxis?&lt;/title&gt;&lt;url&gt;http://www.sciencedirect.com/science/article/pii/S0302283812005209&lt;/url&gt;&lt;subtype&gt;400&lt;/subtype&gt;&lt;uuid&gt;9FB3C701-CD16-41C4-9CFB-8E6D8381977D&lt;/uuid&gt;&lt;bundle&gt;&lt;publication&gt;&lt;publisher&gt;European Association of Urology&lt;/publisher&gt;&lt;title&gt;European Urology&lt;/title&gt;&lt;type&gt;-100&lt;/type&gt;&lt;subtype&gt;-100&lt;/subtype&gt;&lt;uuid&gt;2D4624D7-3859-4C07-9E9C-8F000D852594&lt;/uuid&gt;&lt;/publication&gt;&lt;/bundle&gt;&lt;authors&gt;&lt;author&gt;&lt;firstName&gt;A&lt;/firstName&gt;&lt;lastName&gt;Carignan&lt;/lastName&gt;&lt;/author&gt;&lt;author&gt;&lt;firstName&gt;J&lt;/firstName&gt;&lt;middleNames&gt;F&lt;/middleNames&gt;&lt;lastName&gt;Roussy&lt;/lastName&gt;&lt;/author&gt;&lt;author&gt;&lt;firstName&gt;V&lt;/firstName&gt;&lt;lastName&gt;Lapointe&lt;/lastName&gt;&lt;/author&gt;&lt;author&gt;&lt;firstName&gt;L&lt;/firstName&gt;&lt;lastName&gt;Valiquette&lt;/lastName&gt;&lt;/author&gt;&lt;/authors&gt;&lt;/publication&gt;&lt;/publications&gt;&lt;cites&gt;&lt;/cites&gt;&lt;/citation&gt;</w:instrText>
      </w:r>
      <w:r w:rsidR="00A71304">
        <w:rPr>
          <w:rFonts w:ascii="Arial" w:hAnsi="Arial"/>
          <w:sz w:val="22"/>
          <w:szCs w:val="22"/>
        </w:rPr>
        <w:fldChar w:fldCharType="separate"/>
      </w:r>
      <w:r>
        <w:rPr>
          <w:rFonts w:ascii="Arial" w:hAnsi="Arial" w:cs="Arial"/>
          <w:sz w:val="22"/>
          <w:szCs w:val="22"/>
          <w:lang w:val="en-US"/>
        </w:rPr>
        <w:t>(7)</w:t>
      </w:r>
      <w:r w:rsidR="00A71304">
        <w:rPr>
          <w:rFonts w:ascii="Arial" w:hAnsi="Arial"/>
          <w:sz w:val="22"/>
          <w:szCs w:val="22"/>
        </w:rPr>
        <w:fldChar w:fldCharType="end"/>
      </w:r>
      <w:r w:rsidRPr="00B52364">
        <w:rPr>
          <w:rFonts w:ascii="Arial" w:hAnsi="Arial"/>
          <w:color w:val="FF0000"/>
          <w:sz w:val="22"/>
          <w:szCs w:val="22"/>
        </w:rPr>
        <w:t>.</w:t>
      </w:r>
      <w:r w:rsidRPr="00B52364">
        <w:rPr>
          <w:rFonts w:ascii="Arial" w:hAnsi="Arial"/>
          <w:sz w:val="22"/>
          <w:szCs w:val="22"/>
        </w:rPr>
        <w:t xml:space="preserve"> </w:t>
      </w:r>
      <w:r>
        <w:rPr>
          <w:rFonts w:ascii="Arial" w:hAnsi="Arial"/>
          <w:sz w:val="22"/>
          <w:szCs w:val="22"/>
        </w:rPr>
        <w:t>Such</w:t>
      </w:r>
      <w:r w:rsidRPr="00B52364">
        <w:rPr>
          <w:rFonts w:ascii="Arial" w:hAnsi="Arial"/>
          <w:sz w:val="22"/>
          <w:szCs w:val="22"/>
        </w:rPr>
        <w:t xml:space="preserve"> findings led </w:t>
      </w:r>
      <w:r>
        <w:rPr>
          <w:rFonts w:ascii="Arial" w:hAnsi="Arial"/>
          <w:sz w:val="22"/>
          <w:szCs w:val="22"/>
        </w:rPr>
        <w:t xml:space="preserve">both the </w:t>
      </w:r>
      <w:r w:rsidRPr="00B52364">
        <w:rPr>
          <w:rFonts w:ascii="Arial" w:hAnsi="Arial"/>
          <w:sz w:val="22"/>
          <w:szCs w:val="22"/>
        </w:rPr>
        <w:t xml:space="preserve">American Urological </w:t>
      </w:r>
      <w:r>
        <w:rPr>
          <w:rFonts w:ascii="Arial" w:hAnsi="Arial"/>
          <w:sz w:val="22"/>
          <w:szCs w:val="22"/>
        </w:rPr>
        <w:t>A</w:t>
      </w:r>
      <w:r w:rsidRPr="00B52364">
        <w:rPr>
          <w:rFonts w:ascii="Arial" w:hAnsi="Arial"/>
          <w:sz w:val="22"/>
          <w:szCs w:val="22"/>
        </w:rPr>
        <w:t xml:space="preserve">ssociation (AUA) and European Association of Urology (EAU) </w:t>
      </w:r>
      <w:r>
        <w:rPr>
          <w:rFonts w:ascii="Arial" w:hAnsi="Arial"/>
          <w:sz w:val="22"/>
          <w:szCs w:val="22"/>
        </w:rPr>
        <w:t>t</w:t>
      </w:r>
      <w:r w:rsidRPr="00B52364">
        <w:rPr>
          <w:rFonts w:ascii="Arial" w:hAnsi="Arial"/>
          <w:sz w:val="22"/>
          <w:szCs w:val="22"/>
        </w:rPr>
        <w:t xml:space="preserve">o recommend fluoroquinolones as </w:t>
      </w:r>
      <w:r>
        <w:rPr>
          <w:rFonts w:ascii="Arial" w:hAnsi="Arial"/>
          <w:sz w:val="22"/>
          <w:szCs w:val="22"/>
        </w:rPr>
        <w:t xml:space="preserve">routine </w:t>
      </w:r>
      <w:r w:rsidRPr="00B52364">
        <w:rPr>
          <w:rFonts w:ascii="Arial" w:hAnsi="Arial"/>
          <w:sz w:val="22"/>
          <w:szCs w:val="22"/>
        </w:rPr>
        <w:t xml:space="preserve">prophylactic antibiotics for TRUS </w:t>
      </w:r>
      <w:r>
        <w:rPr>
          <w:rFonts w:ascii="Arial" w:hAnsi="Arial"/>
          <w:sz w:val="22"/>
          <w:szCs w:val="22"/>
        </w:rPr>
        <w:t>b</w:t>
      </w:r>
      <w:r w:rsidRPr="00B52364">
        <w:rPr>
          <w:rFonts w:ascii="Arial" w:hAnsi="Arial"/>
          <w:sz w:val="22"/>
          <w:szCs w:val="22"/>
        </w:rPr>
        <w:t xml:space="preserve">iopsy </w:t>
      </w:r>
      <w:r w:rsidR="00A71304">
        <w:rPr>
          <w:rFonts w:ascii="Arial" w:hAnsi="Arial"/>
          <w:sz w:val="22"/>
          <w:szCs w:val="22"/>
        </w:rPr>
        <w:fldChar w:fldCharType="begin"/>
      </w:r>
      <w:r>
        <w:rPr>
          <w:rFonts w:ascii="Arial" w:hAnsi="Arial"/>
          <w:sz w:val="22"/>
          <w:szCs w:val="22"/>
        </w:rPr>
        <w:instrText xml:space="preserve"> ADDIN PAPERS2_CITATIONS &lt;citation&gt;&lt;uuid&gt;DDF88217-4980-4A26-A99D-206EBB8820EB&lt;/uuid&gt;&lt;priority&gt;5&lt;/priority&gt;&lt;publications&gt;&lt;publication&gt;&lt;type&gt;400&lt;/type&gt;&lt;publication_date&gt;99201200001200000000200000&lt;/publication_date&gt;&lt;title&gt;Increasing Risk of Infectious Complications After Transrectal Ultrasound–Guided Prostate Biopsies: Time to Reassess Antimicrobial Prophylaxis?&lt;/title&gt;&lt;url&gt;http://www.sciencedirect.com/science/article/pii/S0302283812005209&lt;/url&gt;&lt;subtype&gt;400&lt;/subtype&gt;&lt;uuid&gt;9FB3C701-CD16-41C4-9CFB-8E6D8381977D&lt;/uuid&gt;&lt;bundle&gt;&lt;publication&gt;&lt;publisher&gt;European Association of Urology&lt;/publisher&gt;&lt;title&gt;European Urology&lt;/title&gt;&lt;type&gt;-100&lt;/type&gt;&lt;subtype&gt;-100&lt;/subtype&gt;&lt;uuid&gt;2D4624D7-3859-4C07-9E9C-8F000D852594&lt;/uuid&gt;&lt;/publication&gt;&lt;/bundle&gt;&lt;authors&gt;&lt;author&gt;&lt;firstName&gt;A&lt;/firstName&gt;&lt;lastName&gt;Carignan&lt;/lastName&gt;&lt;/author&gt;&lt;author&gt;&lt;firstName&gt;J&lt;/firstName&gt;&lt;middleNames&gt;F&lt;/middleNames&gt;&lt;lastName&gt;Roussy&lt;/lastName&gt;&lt;/author&gt;&lt;author&gt;&lt;firstName&gt;V&lt;/firstName&gt;&lt;lastName&gt;Lapointe&lt;/lastName&gt;&lt;/author&gt;&lt;author&gt;&lt;firstName&gt;L&lt;/firstName&gt;&lt;lastName&gt;Valiquette&lt;/lastName&gt;&lt;/author&gt;&lt;/authors&gt;&lt;/publication&gt;&lt;publication&gt;&lt;type&gt;400&lt;/type&gt;&lt;publication_date&gt;99200800001200000000200000&lt;/publication_date&gt;&lt;title&gt;Management of urinary and male genital tract infections&lt;/title&gt;&lt;url&gt;http://www.klinikum-weiden.de/downloads/urologie/urinary_and_male_genital.pdf&lt;/url&gt;&lt;subtype&gt;400&lt;/subtype&gt;&lt;uuid&gt;B6744D8F-261D-44D1-A661-496DD4DBE5AF&lt;/uuid&gt;&lt;bundle&gt;&lt;publication&gt;&lt;title&gt;UPDATE&lt;/title&gt;&lt;type&gt;-100&lt;/type&gt;&lt;subtype&gt;-100&lt;/subtype&gt;&lt;uuid&gt;DA94A496-AA11-41D3-A359-0B814B4386B0&lt;/uuid&gt;&lt;/publication&gt;&lt;/bundle&gt;&lt;authors&gt;&lt;author&gt;&lt;firstName&gt;T&lt;/firstName&gt;&lt;middleNames&gt;E&lt;/middleNames&gt;&lt;lastName&gt;Bjerklund-Johansen&lt;/lastName&gt;&lt;/author&gt;&lt;author&gt;&lt;firstName&gt;H&lt;/firstName&gt;&lt;lastName&gt;Botto&lt;/lastName&gt;&lt;/author&gt;&lt;author&gt;&lt;firstName&gt;M&lt;/firstName&gt;&lt;lastName&gt;Cek&lt;/lastName&gt;&lt;/author&gt;&lt;/authors&gt;&lt;/publication&gt;&lt;/publications&gt;&lt;cites&gt;&lt;/cites&gt;&lt;/citation&gt;</w:instrText>
      </w:r>
      <w:r w:rsidR="00A71304">
        <w:rPr>
          <w:rFonts w:ascii="Arial" w:hAnsi="Arial"/>
          <w:sz w:val="22"/>
          <w:szCs w:val="22"/>
        </w:rPr>
        <w:fldChar w:fldCharType="separate"/>
      </w:r>
      <w:r>
        <w:rPr>
          <w:rFonts w:ascii="Arial" w:hAnsi="Arial" w:cs="Arial"/>
          <w:sz w:val="22"/>
          <w:szCs w:val="22"/>
          <w:lang w:val="en-US"/>
        </w:rPr>
        <w:t>(7,8)</w:t>
      </w:r>
      <w:r w:rsidR="00A71304">
        <w:rPr>
          <w:rFonts w:ascii="Arial" w:hAnsi="Arial"/>
          <w:sz w:val="22"/>
          <w:szCs w:val="22"/>
        </w:rPr>
        <w:fldChar w:fldCharType="end"/>
      </w:r>
      <w:r w:rsidRPr="00B52364">
        <w:rPr>
          <w:rFonts w:ascii="Arial" w:hAnsi="Arial" w:cs="Lucida Grande"/>
          <w:sz w:val="22"/>
          <w:szCs w:val="22"/>
          <w:lang w:val="en-US"/>
        </w:rPr>
        <w:t xml:space="preserve">. </w:t>
      </w:r>
      <w:r w:rsidRPr="00B52364">
        <w:rPr>
          <w:rFonts w:ascii="Arial" w:hAnsi="Arial"/>
          <w:sz w:val="22"/>
          <w:szCs w:val="22"/>
        </w:rPr>
        <w:t xml:space="preserve">This strategy </w:t>
      </w:r>
      <w:r>
        <w:rPr>
          <w:rFonts w:ascii="Arial" w:hAnsi="Arial"/>
          <w:sz w:val="22"/>
          <w:szCs w:val="22"/>
        </w:rPr>
        <w:t xml:space="preserve">is </w:t>
      </w:r>
      <w:r w:rsidRPr="00B52364">
        <w:rPr>
          <w:rFonts w:ascii="Arial" w:hAnsi="Arial"/>
          <w:sz w:val="22"/>
          <w:szCs w:val="22"/>
        </w:rPr>
        <w:t>however being undermined by</w:t>
      </w:r>
      <w:r>
        <w:rPr>
          <w:rFonts w:ascii="Arial" w:hAnsi="Arial"/>
          <w:sz w:val="22"/>
          <w:szCs w:val="22"/>
        </w:rPr>
        <w:t xml:space="preserve"> the international</w:t>
      </w:r>
      <w:r w:rsidRPr="00B52364">
        <w:rPr>
          <w:rFonts w:ascii="Arial" w:hAnsi="Arial"/>
          <w:sz w:val="22"/>
          <w:szCs w:val="22"/>
        </w:rPr>
        <w:t xml:space="preserve"> proliferation of fluoroquinolone-resistant</w:t>
      </w:r>
      <w:r>
        <w:rPr>
          <w:rFonts w:ascii="Arial" w:hAnsi="Arial"/>
          <w:sz w:val="22"/>
          <w:szCs w:val="22"/>
        </w:rPr>
        <w:t xml:space="preserve"> faecal Enterobacteriaceae, </w:t>
      </w:r>
      <w:r w:rsidRPr="00B52364">
        <w:rPr>
          <w:rFonts w:ascii="Arial" w:hAnsi="Arial"/>
          <w:sz w:val="22"/>
          <w:szCs w:val="22"/>
        </w:rPr>
        <w:t>which are</w:t>
      </w:r>
      <w:r>
        <w:rPr>
          <w:rFonts w:ascii="Arial" w:hAnsi="Arial"/>
          <w:sz w:val="22"/>
          <w:szCs w:val="22"/>
        </w:rPr>
        <w:t xml:space="preserve"> carried into the bloodstream by the biopsy procedure. These are </w:t>
      </w:r>
      <w:r w:rsidRPr="00B52364">
        <w:rPr>
          <w:rFonts w:ascii="Arial" w:hAnsi="Arial"/>
          <w:sz w:val="22"/>
          <w:szCs w:val="22"/>
        </w:rPr>
        <w:t>widely reported as agents of post-biopsy bacteraemias</w:t>
      </w:r>
      <w:r>
        <w:rPr>
          <w:rFonts w:ascii="Arial" w:hAnsi="Arial"/>
          <w:sz w:val="22"/>
          <w:szCs w:val="22"/>
        </w:rPr>
        <w:t xml:space="preserve"> </w:t>
      </w:r>
      <w:r w:rsidR="00A71304">
        <w:rPr>
          <w:rFonts w:ascii="Arial" w:hAnsi="Arial"/>
          <w:sz w:val="22"/>
          <w:szCs w:val="22"/>
        </w:rPr>
        <w:fldChar w:fldCharType="begin"/>
      </w:r>
      <w:r>
        <w:rPr>
          <w:rFonts w:ascii="Arial" w:hAnsi="Arial"/>
          <w:sz w:val="22"/>
          <w:szCs w:val="22"/>
        </w:rPr>
        <w:instrText xml:space="preserve"> ADDIN PAPERS2_CITATIONS &lt;citation&gt;&lt;uuid&gt;BE610835-0F73-48E7-B7A3-3D1326C49CF6&lt;/uuid&gt;&lt;priority&gt;6&lt;/priority&gt;&lt;publications&gt;&lt;publication&gt;&lt;uuid&gt;7ED054B4-6427-4E77-9565-87D204C500E4&lt;/uuid&gt;&lt;volume&gt;106&lt;/volume&gt;&lt;doi&gt;10.1111/j.1464-410X.2010.09294.x&lt;/doi&gt;&lt;subtitle&gt;ANTIMICROBIAL RESISTANCE IN INTESTINAL FLORA OF PATIENTS UNDERGOING PROSTATIC BIOPSY&lt;/subtitle&gt;&lt;startpage&gt;1017&lt;/startpage&gt;&lt;publication_date&gt;99201009141200000000222000&lt;/publication_date&gt;&lt;url&gt;http://doi.wiley.com/10.1111/j.1464-410X.2010.09294.x&lt;/url&gt;&lt;type&gt;400&lt;/type&gt;&lt;title&gt;Prevalence of antimicrobial resistance in intestinal flora of patients undergoing prostatic biopsy: implications for prophylaxis and treatment of infections after biopsy&lt;/title&gt;&lt;number&gt;7&lt;/number&gt;&lt;subtype&gt;400&lt;/subtype&gt;&lt;endpage&gt;1020&lt;/endpage&gt;&lt;bundle&gt;&lt;publication&gt;&lt;title&gt;BJU International&lt;/title&gt;&lt;type&gt;-100&lt;/type&gt;&lt;subtype&gt;-100&lt;/subtype&gt;&lt;uuid&gt;992E82CA-2A44-4C5E-954D-3DFBFE8CCFAE&lt;/uuid&gt;&lt;/publication&gt;&lt;/bundle&gt;&lt;authors&gt;&lt;author&gt;&lt;firstName&gt;Deepak&lt;/firstName&gt;&lt;lastName&gt;Batura&lt;/lastName&gt;&lt;/author&gt;&lt;author&gt;&lt;firstName&gt;G&lt;/firstName&gt;&lt;middleNames&gt;Gopal&lt;/middleNames&gt;&lt;lastName&gt;Rao&lt;/lastName&gt;&lt;/author&gt;&lt;author&gt;&lt;firstName&gt;Peder&lt;/firstName&gt;&lt;middleNames&gt;Bo&lt;/middleNames&gt;&lt;lastName&gt;Nielsen&lt;/lastName&gt;&lt;/author&gt;&lt;/authors&gt;&lt;/publication&gt;&lt;publication&gt;&lt;uuid&gt;E1BE1439-48F9-4D84-94E2-1195832EC89D&lt;/uuid&gt;&lt;volume&gt;183&lt;/volume&gt;&lt;doi&gt;10.1016/j.juro.2009.11.043&lt;/doi&gt;&lt;startpage&gt;963&lt;/startpage&gt;&lt;publication_date&gt;99201003001200000000220000&lt;/publication_date&gt;&lt;url&gt;http://linkinghub.elsevier.com/retrieve/pii/S0022534709029322&lt;/url&gt;&lt;type&gt;400&lt;/type&gt;&lt;title&gt;Increasing Hospital Admission Rates for Urological Complications After Transrectal Ultrasound Guided Prostate Biopsy&lt;/title&gt;&lt;publisher&gt;Elsevier&lt;/publisher&gt;&lt;number&gt;3&lt;/number&gt;&lt;subtype&gt;400&lt;/subtype&gt;&lt;endpage&gt;969&lt;/endpage&gt;&lt;bundle&gt;&lt;publication&gt;&lt;publisher&gt;Elsevier&lt;/publisher&gt;&lt;title&gt;The Journal of Urology&lt;/title&gt;&lt;type&gt;-100&lt;/type&gt;&lt;subtype&gt;-100&lt;/subtype&gt;&lt;uuid&gt;D4D5E358-F6AE-4FCD-915A-A11572E308A9&lt;/uuid&gt;&lt;/publication&gt;&lt;/bundle&gt;&lt;authors&gt;&lt;author&gt;&lt;firstName&gt;Robert&lt;/firstName&gt;&lt;middleNames&gt;K&lt;/middleNames&gt;&lt;lastName&gt;Nam&lt;/lastName&gt;&lt;/author&gt;&lt;author&gt;&lt;firstName&gt;Refik&lt;/firstName&gt;&lt;lastName&gt;Saskin&lt;/lastName&gt;&lt;/author&gt;&lt;author&gt;&lt;firstName&gt;Yuna&lt;/firstName&gt;&lt;lastName&gt;Lee&lt;/lastName&gt;&lt;/author&gt;&lt;author&gt;&lt;firstName&gt;Ying&lt;/firstName&gt;&lt;lastName&gt;Liu&lt;/lastName&gt;&lt;/author&gt;&lt;author&gt;&lt;firstName&gt;Calvin&lt;/firstName&gt;&lt;lastName&gt;Law&lt;/lastName&gt;&lt;/author&gt;&lt;author&gt;&lt;firstName&gt;Laurence&lt;/firstName&gt;&lt;middleNames&gt;H&lt;/middleNames&gt;&lt;lastName&gt;Klotz&lt;/lastName&gt;&lt;/author&gt;&lt;author&gt;&lt;firstName&gt;D&lt;/firstName&gt;&lt;middleNames&gt;Andrew&lt;/middleNames&gt;&lt;lastName&gt;Loblaw&lt;/lastName&gt;&lt;/author&gt;&lt;author&gt;&lt;firstName&gt;John&lt;/firstName&gt;&lt;lastName&gt;Trachtenberg&lt;/lastName&gt;&lt;/author&gt;&lt;author&gt;&lt;firstName&gt;Aleksandra&lt;/firstName&gt;&lt;lastName&gt;Stanimirovic&lt;/lastName&gt;&lt;/author&gt;&lt;author&gt;&lt;firstName&gt;Andrew&lt;/firstName&gt;&lt;middleNames&gt;E&lt;/middleNames&gt;&lt;lastName&gt;Simor&lt;/lastName&gt;&lt;/author&gt;&lt;author&gt;&lt;firstName&gt;Arun&lt;/firstName&gt;&lt;lastName&gt;Seth&lt;/lastName&gt;&lt;/author&gt;&lt;author&gt;&lt;firstName&gt;David&lt;/firstName&gt;&lt;middleNames&gt;R&lt;/middleNames&gt;&lt;lastName&gt;Urbach&lt;/lastName&gt;&lt;/author&gt;&lt;author&gt;&lt;firstName&gt;Steven&lt;/firstName&gt;&lt;middleNames&gt;A&lt;/middleNames&gt;&lt;lastName&gt;Narod&lt;/lastName&gt;&lt;/author&gt;&lt;/authors&gt;&lt;/publication&gt;&lt;publication&gt;&lt;type&gt;400&lt;/type&gt;&lt;publication_date&gt;99201000001200000000200000&lt;/publication_date&gt;&lt;title&gt;Multi-drug resistant E.coli urosepsis in physicia... [Can J Urol. 2010] - PubMed - NCBI&lt;/title&gt;&lt;url&gt;http://www.ncbi.nlm.nih.gov/pubmed/20398457&lt;/url&gt;&lt;subtype&gt;400&lt;/subtype&gt;&lt;uuid&gt;1F37FF94-BB46-47B3-8B87-50B3672A86C3&lt;/uuid&gt;&lt;bundle&gt;&lt;publication&gt;&lt;title&gt;The Canadian journal of …&lt;/title&gt;&lt;type&gt;-100&lt;/type&gt;&lt;subtype&gt;-100&lt;/subtype&gt;&lt;uuid&gt;9B3F534B-195B-4DFD-8BC6-1EBAC03FB3D2&lt;/uuid&gt;&lt;/publication&gt;&lt;/bundle&gt;&lt;authors&gt;&lt;author&gt;&lt;firstName&gt;W&lt;/firstName&gt;&lt;middleNames&gt;H&lt;/middleNames&gt;&lt;lastName&gt;Carlson&lt;/lastName&gt;&lt;/author&gt;&lt;author&gt;&lt;firstName&gt;D&lt;/firstName&gt;&lt;middleNames&gt;G&lt;/middleNames&gt;&lt;lastName&gt;Bell&lt;/lastName&gt;&lt;/author&gt;&lt;author&gt;&lt;firstName&gt;J&lt;/firstName&gt;&lt;middleNames&gt;G&lt;/middleNames&gt;&lt;lastName&gt;Lawen&lt;/lastName&gt;&lt;/author&gt;&lt;/authors&gt;&lt;/publication&gt;&lt;publication&gt;&lt;uuid&gt;8E6870E4-6C2F-4D79-B6FE-DAC7D0B86147&lt;/uuid&gt;&lt;volume&gt;74&lt;/volume&gt;&lt;doi&gt;10.1016/j.urology.2008.12.078&lt;/doi&gt;&lt;startpage&gt;332&lt;/startpage&gt;&lt;publication_date&gt;99200908001200000000220000&lt;/publication_date&gt;&lt;url&gt;http://linkinghub.elsevier.com/retrieve/pii/S0090429509002283&lt;/url&gt;&lt;type&gt;400&lt;/type&gt;&lt;title&gt;Sepsis Due to Fluoroquinolone-resistant Escherichia coli After Transrectal Ultrasound-guided Prostate Needle Biopsy&lt;/title&gt;&lt;publisher&gt;Elsevier&lt;/publisher&gt;&lt;number&gt;2&lt;/number&gt;&lt;subtype&gt;400&lt;/subtype&gt;&lt;endpage&gt;338&lt;/endpage&gt;&lt;bundle&gt;&lt;publication&gt;&lt;publisher&gt;Elsevier&lt;/publisher&gt;&lt;title&gt;Urology&lt;/title&gt;&lt;type&gt;-100&lt;/type&gt;&lt;subtype&gt;-100&lt;/subtype&gt;&lt;uuid&gt;8B269E15-9CA2-48F8-A419-8CAD8C4839C6&lt;/uuid&gt;&lt;/publication&gt;&lt;/bundle&gt;&lt;authors&gt;&lt;author&gt;&lt;firstName&gt;Jennifer&lt;/firstName&gt;&lt;middleNames&gt;L&lt;/middleNames&gt;&lt;lastName&gt;Young&lt;/lastName&gt;&lt;/author&gt;&lt;author&gt;&lt;firstName&gt;Michael&lt;/firstName&gt;&lt;middleNames&gt;A&lt;/middleNames&gt;&lt;lastName&gt;Liss&lt;/lastName&gt;&lt;/author&gt;&lt;author&gt;&lt;firstName&gt;Richard&lt;/firstName&gt;&lt;middleNames&gt;J&lt;/middleNames&gt;&lt;lastName&gt;Szabo&lt;/lastName&gt;&lt;/author&gt;&lt;/authors&gt;&lt;/publication&gt;&lt;publication&gt;&lt;volume&gt;61&lt;/volume&gt;&lt;publication_date&gt;99201206001200000000220000&lt;/publication_date&gt;&lt;number&gt;6&lt;/number&gt;&lt;doi&gt;10.1016/j.eururo.2011.12.058&lt;/doi&gt;&lt;startpage&gt;1110&lt;/startpage&gt;&lt;title&gt;Infectious Complications and Hospital Admissions After Prostate Biopsy in a European Randomized Trial&lt;/title&gt;&lt;uuid&gt;D51C4B6E-E76F-4FF0-9645-2D7D4C1E5A18&lt;/uuid&gt;&lt;subtype&gt;400&lt;/subtype&gt;&lt;endpage&gt;1114&lt;/endpage&gt;&lt;type&gt;400&lt;/type&gt;&lt;url&gt;http://linkinghub.elsevier.com/retrieve/pii/S0302283811014436&lt;/url&gt;&lt;bundle&gt;&lt;publication&gt;&lt;publisher&gt;European Association of Urology&lt;/publisher&gt;&lt;title&gt;European Urology&lt;/title&gt;&lt;type&gt;-100&lt;/type&gt;&lt;subtype&gt;-100&lt;/subtype&gt;&lt;uuid&gt;2D4624D7-3859-4C07-9E9C-8F000D852594&lt;/uuid&gt;&lt;/publication&gt;&lt;/bundle&gt;&lt;authors&gt;&lt;author&gt;&lt;firstName&gt;Stacy&lt;/firstName&gt;&lt;lastName&gt;Loeb&lt;/lastName&gt;&lt;/author&gt;&lt;author&gt;&lt;nonDroppingParticle&gt;van den&lt;/nonDroppingParticle&gt;&lt;firstName&gt;Suzanne&lt;/firstName&gt;&lt;lastName&gt;Heuvel&lt;/lastName&gt;&lt;/author&gt;&lt;author&gt;&lt;firstName&gt;Xiaoye&lt;/firstName&gt;&lt;lastName&gt;Zhu&lt;/lastName&gt;&lt;/author&gt;&lt;author&gt;&lt;firstName&gt;Chris&lt;/firstName&gt;&lt;middleNames&gt;H&lt;/middleNames&gt;&lt;lastName&gt;Bangma&lt;/lastName&gt;&lt;/author&gt;&lt;author&gt;&lt;firstName&gt;Fritz&lt;/firstName&gt;&lt;middleNames&gt;H&lt;/middleNames&gt;&lt;lastName&gt;Schröder&lt;/lastName&gt;&lt;/author&gt;&lt;author&gt;&lt;firstName&gt;Monique&lt;/firstName&gt;&lt;middleNames&gt;J&lt;/middleNames&gt;&lt;lastName&gt;Roobol&lt;/lastName&gt;&lt;/author&gt;&lt;/authors&gt;&lt;/publication&gt;&lt;/publications&gt;&lt;cites&gt;&lt;/cites&gt;&lt;/citation&gt;</w:instrText>
      </w:r>
      <w:r w:rsidR="00A71304">
        <w:rPr>
          <w:rFonts w:ascii="Arial" w:hAnsi="Arial"/>
          <w:sz w:val="22"/>
          <w:szCs w:val="22"/>
        </w:rPr>
        <w:fldChar w:fldCharType="separate"/>
      </w:r>
      <w:r>
        <w:rPr>
          <w:rFonts w:ascii="Arial" w:hAnsi="Arial" w:cs="Arial"/>
          <w:sz w:val="22"/>
          <w:szCs w:val="22"/>
          <w:lang w:val="en-US"/>
        </w:rPr>
        <w:t>(9-13)</w:t>
      </w:r>
      <w:r w:rsidR="00A71304">
        <w:rPr>
          <w:rFonts w:ascii="Arial" w:hAnsi="Arial"/>
          <w:sz w:val="22"/>
          <w:szCs w:val="22"/>
        </w:rPr>
        <w:fldChar w:fldCharType="end"/>
      </w:r>
      <w:r>
        <w:rPr>
          <w:rFonts w:ascii="Arial" w:hAnsi="Arial"/>
          <w:sz w:val="22"/>
          <w:szCs w:val="22"/>
        </w:rPr>
        <w:t xml:space="preserve"> leading several authors, nationally and internationally, to question the continued utility of fluoroquinolones as the preferred prophylactic agents.</w:t>
      </w:r>
      <w:r w:rsidRPr="00B52364">
        <w:rPr>
          <w:rFonts w:ascii="Arial" w:hAnsi="Arial"/>
          <w:sz w:val="22"/>
          <w:szCs w:val="22"/>
        </w:rPr>
        <w:t xml:space="preserve"> These experiences </w:t>
      </w:r>
      <w:r>
        <w:rPr>
          <w:rFonts w:ascii="Arial" w:hAnsi="Arial"/>
          <w:sz w:val="22"/>
          <w:szCs w:val="22"/>
        </w:rPr>
        <w:t xml:space="preserve">led us to review both TRUS outcomes and carriage of resistant </w:t>
      </w:r>
      <w:r w:rsidRPr="00AC71A4">
        <w:rPr>
          <w:rFonts w:ascii="Arial" w:hAnsi="Arial"/>
          <w:i/>
          <w:sz w:val="22"/>
          <w:szCs w:val="22"/>
        </w:rPr>
        <w:t>E</w:t>
      </w:r>
      <w:r>
        <w:rPr>
          <w:rFonts w:ascii="Arial" w:hAnsi="Arial"/>
          <w:i/>
          <w:sz w:val="22"/>
          <w:szCs w:val="22"/>
        </w:rPr>
        <w:t>scherichia</w:t>
      </w:r>
      <w:r w:rsidRPr="00AC71A4">
        <w:rPr>
          <w:rFonts w:ascii="Arial" w:hAnsi="Arial"/>
          <w:i/>
          <w:sz w:val="22"/>
          <w:szCs w:val="22"/>
        </w:rPr>
        <w:t xml:space="preserve"> coli</w:t>
      </w:r>
      <w:r>
        <w:rPr>
          <w:rFonts w:ascii="Arial" w:hAnsi="Arial"/>
          <w:sz w:val="22"/>
          <w:szCs w:val="22"/>
        </w:rPr>
        <w:t xml:space="preserve"> in Norwich, UK, a relatively isolated city with </w:t>
      </w:r>
      <w:r w:rsidR="00BD0595">
        <w:rPr>
          <w:rFonts w:ascii="Arial" w:hAnsi="Arial"/>
          <w:sz w:val="22"/>
          <w:szCs w:val="22"/>
        </w:rPr>
        <w:t xml:space="preserve">a </w:t>
      </w:r>
      <w:r>
        <w:rPr>
          <w:rFonts w:ascii="Arial" w:hAnsi="Arial"/>
          <w:sz w:val="22"/>
          <w:szCs w:val="22"/>
        </w:rPr>
        <w:t xml:space="preserve">population of </w:t>
      </w:r>
      <w:r w:rsidRPr="00586200">
        <w:rPr>
          <w:rFonts w:ascii="Arial" w:hAnsi="Arial"/>
          <w:sz w:val="22"/>
          <w:szCs w:val="22"/>
        </w:rPr>
        <w:t>213,166</w:t>
      </w:r>
      <w:r>
        <w:rPr>
          <w:rFonts w:ascii="Arial" w:hAnsi="Arial"/>
          <w:sz w:val="22"/>
          <w:szCs w:val="22"/>
        </w:rPr>
        <w:t xml:space="preserve"> some</w:t>
      </w:r>
      <w:r w:rsidR="00BD0595">
        <w:rPr>
          <w:rFonts w:ascii="Arial" w:hAnsi="Arial"/>
          <w:sz w:val="22"/>
          <w:szCs w:val="22"/>
        </w:rPr>
        <w:t>,</w:t>
      </w:r>
      <w:r>
        <w:rPr>
          <w:rFonts w:ascii="Arial" w:hAnsi="Arial"/>
          <w:sz w:val="22"/>
          <w:szCs w:val="22"/>
        </w:rPr>
        <w:t xml:space="preserve"> 118 miles north of London</w:t>
      </w:r>
      <w:r w:rsidRPr="00B52364">
        <w:rPr>
          <w:rFonts w:ascii="Arial" w:hAnsi="Arial"/>
          <w:sz w:val="22"/>
          <w:szCs w:val="22"/>
        </w:rPr>
        <w:t xml:space="preserve">. </w:t>
      </w:r>
    </w:p>
    <w:p w:rsidR="00F51533" w:rsidRDefault="00F51533">
      <w:pPr>
        <w:pStyle w:val="CommentText"/>
        <w:spacing w:after="0" w:line="360" w:lineRule="auto"/>
      </w:pPr>
    </w:p>
    <w:p w:rsidR="00F51533" w:rsidRDefault="00A71304">
      <w:pPr>
        <w:spacing w:after="0" w:line="360" w:lineRule="auto"/>
        <w:rPr>
          <w:rFonts w:ascii="Arial" w:hAnsi="Arial"/>
          <w:sz w:val="24"/>
          <w:szCs w:val="24"/>
        </w:rPr>
      </w:pPr>
      <w:r w:rsidRPr="00A71304">
        <w:rPr>
          <w:rFonts w:ascii="Arial" w:hAnsi="Arial"/>
          <w:b/>
          <w:sz w:val="24"/>
          <w:szCs w:val="24"/>
        </w:rPr>
        <w:t>Material and Methods</w:t>
      </w:r>
      <w:r w:rsidRPr="00A71304">
        <w:rPr>
          <w:rFonts w:ascii="Arial" w:hAnsi="Arial"/>
          <w:sz w:val="24"/>
          <w:szCs w:val="24"/>
        </w:rPr>
        <w:t xml:space="preserve"> </w:t>
      </w:r>
    </w:p>
    <w:p w:rsidR="00F51533" w:rsidRDefault="00EE6561">
      <w:pPr>
        <w:widowControl w:val="0"/>
        <w:autoSpaceDE w:val="0"/>
        <w:autoSpaceDN w:val="0"/>
        <w:adjustRightInd w:val="0"/>
        <w:spacing w:after="0" w:line="360" w:lineRule="auto"/>
        <w:rPr>
          <w:rFonts w:ascii="Arial" w:hAnsi="Arial"/>
          <w:i/>
          <w:sz w:val="22"/>
          <w:szCs w:val="22"/>
        </w:rPr>
      </w:pPr>
      <w:r w:rsidRPr="009A4C0E">
        <w:rPr>
          <w:rFonts w:ascii="Arial" w:hAnsi="Arial"/>
          <w:i/>
          <w:sz w:val="22"/>
          <w:szCs w:val="22"/>
        </w:rPr>
        <w:t>Case review 2007-11</w:t>
      </w:r>
    </w:p>
    <w:p w:rsidR="00F51533" w:rsidRDefault="00EE6561">
      <w:pPr>
        <w:widowControl w:val="0"/>
        <w:autoSpaceDE w:val="0"/>
        <w:autoSpaceDN w:val="0"/>
        <w:adjustRightInd w:val="0"/>
        <w:spacing w:after="0" w:line="360" w:lineRule="auto"/>
        <w:rPr>
          <w:rFonts w:ascii="Arial" w:hAnsi="Arial"/>
          <w:sz w:val="22"/>
          <w:szCs w:val="22"/>
        </w:rPr>
      </w:pPr>
      <w:r w:rsidRPr="00B52364">
        <w:rPr>
          <w:rFonts w:ascii="Arial" w:hAnsi="Arial"/>
          <w:sz w:val="22"/>
          <w:szCs w:val="22"/>
        </w:rPr>
        <w:t xml:space="preserve">All patients who underwent TRUS biopsy of the prostate between 2007 and 2011 at the Norfolk and Norwich University </w:t>
      </w:r>
      <w:r>
        <w:rPr>
          <w:rFonts w:ascii="Arial" w:hAnsi="Arial"/>
          <w:sz w:val="22"/>
          <w:szCs w:val="22"/>
        </w:rPr>
        <w:t>H</w:t>
      </w:r>
      <w:r w:rsidRPr="00B52364">
        <w:rPr>
          <w:rFonts w:ascii="Arial" w:hAnsi="Arial"/>
          <w:sz w:val="22"/>
          <w:szCs w:val="22"/>
        </w:rPr>
        <w:t xml:space="preserve">ospital were retrospectively audited. The </w:t>
      </w:r>
      <w:r>
        <w:rPr>
          <w:rFonts w:ascii="Arial" w:hAnsi="Arial"/>
          <w:sz w:val="22"/>
          <w:szCs w:val="22"/>
        </w:rPr>
        <w:t>T</w:t>
      </w:r>
      <w:r w:rsidRPr="00B52364">
        <w:rPr>
          <w:rFonts w:ascii="Arial" w:hAnsi="Arial"/>
          <w:sz w:val="22"/>
          <w:szCs w:val="22"/>
        </w:rPr>
        <w:t xml:space="preserve">rust antibiotic policy for TRUS biopsy remained unchanged, including </w:t>
      </w:r>
      <w:r>
        <w:rPr>
          <w:rFonts w:ascii="Arial" w:hAnsi="Arial"/>
          <w:sz w:val="22"/>
          <w:szCs w:val="22"/>
        </w:rPr>
        <w:t xml:space="preserve">oral administration of </w:t>
      </w:r>
      <w:r w:rsidRPr="00B52364">
        <w:rPr>
          <w:rFonts w:ascii="Arial" w:hAnsi="Arial"/>
          <w:sz w:val="22"/>
          <w:szCs w:val="22"/>
        </w:rPr>
        <w:t>750</w:t>
      </w:r>
      <w:r>
        <w:rPr>
          <w:rFonts w:ascii="Arial" w:hAnsi="Arial"/>
          <w:sz w:val="22"/>
          <w:szCs w:val="22"/>
        </w:rPr>
        <w:t xml:space="preserve"> </w:t>
      </w:r>
      <w:r w:rsidRPr="00B52364">
        <w:rPr>
          <w:rFonts w:ascii="Arial" w:hAnsi="Arial"/>
          <w:sz w:val="22"/>
          <w:szCs w:val="22"/>
        </w:rPr>
        <w:t xml:space="preserve">mg ciprofloxacin </w:t>
      </w:r>
      <w:r>
        <w:rPr>
          <w:rFonts w:ascii="Arial" w:hAnsi="Arial"/>
          <w:sz w:val="22"/>
          <w:szCs w:val="22"/>
        </w:rPr>
        <w:t>1</w:t>
      </w:r>
      <w:r w:rsidRPr="00B52364">
        <w:rPr>
          <w:rFonts w:ascii="Arial" w:hAnsi="Arial"/>
          <w:sz w:val="22"/>
          <w:szCs w:val="22"/>
        </w:rPr>
        <w:t xml:space="preserve"> hour before the biopsy followed by 250</w:t>
      </w:r>
      <w:r>
        <w:rPr>
          <w:rFonts w:ascii="Arial" w:hAnsi="Arial"/>
          <w:sz w:val="22"/>
          <w:szCs w:val="22"/>
        </w:rPr>
        <w:t xml:space="preserve"> </w:t>
      </w:r>
      <w:r w:rsidRPr="00B52364">
        <w:rPr>
          <w:rFonts w:ascii="Arial" w:hAnsi="Arial"/>
          <w:sz w:val="22"/>
          <w:szCs w:val="22"/>
        </w:rPr>
        <w:t xml:space="preserve">mg </w:t>
      </w:r>
      <w:r>
        <w:rPr>
          <w:rFonts w:ascii="Arial" w:hAnsi="Arial"/>
          <w:sz w:val="22"/>
          <w:szCs w:val="22"/>
        </w:rPr>
        <w:t>q12h</w:t>
      </w:r>
      <w:r w:rsidRPr="00B52364">
        <w:rPr>
          <w:rFonts w:ascii="Arial" w:hAnsi="Arial"/>
          <w:sz w:val="22"/>
          <w:szCs w:val="22"/>
        </w:rPr>
        <w:t xml:space="preserve"> for</w:t>
      </w:r>
      <w:r>
        <w:rPr>
          <w:rFonts w:ascii="Arial" w:hAnsi="Arial"/>
          <w:sz w:val="22"/>
          <w:szCs w:val="22"/>
        </w:rPr>
        <w:t xml:space="preserve"> 3</w:t>
      </w:r>
      <w:r w:rsidRPr="00B52364">
        <w:rPr>
          <w:rFonts w:ascii="Arial" w:hAnsi="Arial"/>
          <w:sz w:val="22"/>
          <w:szCs w:val="22"/>
        </w:rPr>
        <w:t xml:space="preserve"> </w:t>
      </w:r>
      <w:r>
        <w:rPr>
          <w:rFonts w:ascii="Arial" w:hAnsi="Arial"/>
          <w:sz w:val="22"/>
          <w:szCs w:val="22"/>
        </w:rPr>
        <w:t>subsequent</w:t>
      </w:r>
      <w:r w:rsidRPr="00B52364">
        <w:rPr>
          <w:rFonts w:ascii="Arial" w:hAnsi="Arial"/>
          <w:sz w:val="22"/>
          <w:szCs w:val="22"/>
        </w:rPr>
        <w:t xml:space="preserve"> days. A </w:t>
      </w:r>
      <w:r>
        <w:rPr>
          <w:rFonts w:ascii="Arial" w:hAnsi="Arial"/>
          <w:sz w:val="22"/>
          <w:szCs w:val="22"/>
        </w:rPr>
        <w:t>review</w:t>
      </w:r>
      <w:r w:rsidRPr="00B52364">
        <w:rPr>
          <w:rFonts w:ascii="Arial" w:hAnsi="Arial"/>
          <w:sz w:val="22"/>
          <w:szCs w:val="22"/>
        </w:rPr>
        <w:t xml:space="preserve"> of subsequent sepsis</w:t>
      </w:r>
      <w:r>
        <w:rPr>
          <w:rFonts w:ascii="Arial" w:hAnsi="Arial"/>
          <w:sz w:val="22"/>
          <w:szCs w:val="22"/>
        </w:rPr>
        <w:t xml:space="preserve"> cases</w:t>
      </w:r>
      <w:r w:rsidRPr="00B52364">
        <w:rPr>
          <w:rFonts w:ascii="Arial" w:hAnsi="Arial"/>
          <w:sz w:val="22"/>
          <w:szCs w:val="22"/>
        </w:rPr>
        <w:t xml:space="preserve"> resulting in hospital admission was mad</w:t>
      </w:r>
      <w:r>
        <w:rPr>
          <w:rFonts w:ascii="Arial" w:hAnsi="Arial"/>
          <w:sz w:val="22"/>
          <w:szCs w:val="22"/>
        </w:rPr>
        <w:t xml:space="preserve">e, including any microbiological data for </w:t>
      </w:r>
      <w:r w:rsidRPr="009A4C0E">
        <w:rPr>
          <w:rFonts w:ascii="Arial" w:hAnsi="Arial"/>
          <w:i/>
          <w:sz w:val="22"/>
          <w:szCs w:val="22"/>
        </w:rPr>
        <w:t>E. coli</w:t>
      </w:r>
      <w:r>
        <w:rPr>
          <w:rFonts w:ascii="Arial" w:hAnsi="Arial"/>
          <w:sz w:val="22"/>
          <w:szCs w:val="22"/>
        </w:rPr>
        <w:t xml:space="preserve"> or other Enterobacteriaceae recovered</w:t>
      </w:r>
      <w:r w:rsidRPr="00B52364">
        <w:rPr>
          <w:rFonts w:ascii="Arial" w:hAnsi="Arial"/>
          <w:sz w:val="22"/>
          <w:szCs w:val="22"/>
        </w:rPr>
        <w:t>.</w:t>
      </w:r>
    </w:p>
    <w:p w:rsidR="00F51533" w:rsidRDefault="00F51533">
      <w:pPr>
        <w:widowControl w:val="0"/>
        <w:autoSpaceDE w:val="0"/>
        <w:autoSpaceDN w:val="0"/>
        <w:adjustRightInd w:val="0"/>
        <w:spacing w:after="0" w:line="360" w:lineRule="auto"/>
        <w:rPr>
          <w:rFonts w:ascii="Arial" w:hAnsi="Arial"/>
          <w:sz w:val="22"/>
          <w:szCs w:val="22"/>
        </w:rPr>
      </w:pPr>
    </w:p>
    <w:p w:rsidR="00F51533" w:rsidRDefault="00EE6561">
      <w:pPr>
        <w:widowControl w:val="0"/>
        <w:autoSpaceDE w:val="0"/>
        <w:autoSpaceDN w:val="0"/>
        <w:adjustRightInd w:val="0"/>
        <w:spacing w:after="0" w:line="360" w:lineRule="auto"/>
        <w:rPr>
          <w:rFonts w:ascii="Arial" w:hAnsi="Arial"/>
          <w:i/>
          <w:sz w:val="22"/>
          <w:szCs w:val="22"/>
        </w:rPr>
      </w:pPr>
      <w:r w:rsidRPr="009A4C0E">
        <w:rPr>
          <w:rFonts w:ascii="Arial" w:hAnsi="Arial"/>
          <w:i/>
          <w:sz w:val="22"/>
          <w:szCs w:val="22"/>
        </w:rPr>
        <w:t>Prospective study, 2012</w:t>
      </w:r>
    </w:p>
    <w:p w:rsidR="00F51533" w:rsidRDefault="00EE6561">
      <w:pPr>
        <w:widowControl w:val="0"/>
        <w:autoSpaceDE w:val="0"/>
        <w:autoSpaceDN w:val="0"/>
        <w:adjustRightInd w:val="0"/>
        <w:spacing w:after="0" w:line="360" w:lineRule="auto"/>
        <w:rPr>
          <w:rFonts w:ascii="Arial" w:hAnsi="Arial"/>
          <w:sz w:val="22"/>
          <w:szCs w:val="22"/>
        </w:rPr>
      </w:pPr>
      <w:r>
        <w:rPr>
          <w:rFonts w:ascii="Arial" w:hAnsi="Arial"/>
          <w:sz w:val="22"/>
          <w:szCs w:val="22"/>
        </w:rPr>
        <w:t>For the 9</w:t>
      </w:r>
      <w:r w:rsidRPr="00B52364">
        <w:rPr>
          <w:rFonts w:ascii="Arial" w:hAnsi="Arial"/>
          <w:sz w:val="22"/>
          <w:szCs w:val="22"/>
        </w:rPr>
        <w:t xml:space="preserve"> months from April to December 2012</w:t>
      </w:r>
      <w:r>
        <w:rPr>
          <w:rFonts w:ascii="Arial" w:hAnsi="Arial"/>
          <w:sz w:val="22"/>
          <w:szCs w:val="22"/>
        </w:rPr>
        <w:t xml:space="preserve"> (inclusive)</w:t>
      </w:r>
      <w:r w:rsidRPr="00B52364">
        <w:rPr>
          <w:rFonts w:ascii="Arial" w:hAnsi="Arial"/>
          <w:sz w:val="22"/>
          <w:szCs w:val="22"/>
        </w:rPr>
        <w:t>, rectal swabs were taken immediately prior to the TRUS biopsy from 267 men</w:t>
      </w:r>
      <w:r>
        <w:rPr>
          <w:rFonts w:ascii="Arial" w:hAnsi="Arial"/>
          <w:sz w:val="22"/>
          <w:szCs w:val="22"/>
        </w:rPr>
        <w:t xml:space="preserve"> who</w:t>
      </w:r>
      <w:r w:rsidRPr="00B52364">
        <w:rPr>
          <w:rFonts w:ascii="Arial" w:hAnsi="Arial"/>
          <w:sz w:val="22"/>
          <w:szCs w:val="22"/>
        </w:rPr>
        <w:t xml:space="preserve"> presented to our </w:t>
      </w:r>
      <w:r>
        <w:rPr>
          <w:rFonts w:ascii="Arial" w:hAnsi="Arial"/>
          <w:sz w:val="22"/>
          <w:szCs w:val="22"/>
        </w:rPr>
        <w:t>prostate specific antigen (PSA)</w:t>
      </w:r>
      <w:r w:rsidRPr="00B52364">
        <w:rPr>
          <w:rFonts w:ascii="Arial" w:hAnsi="Arial"/>
          <w:sz w:val="22"/>
          <w:szCs w:val="22"/>
        </w:rPr>
        <w:t xml:space="preserve"> one-stop clinic. </w:t>
      </w:r>
      <w:r>
        <w:rPr>
          <w:rFonts w:ascii="Arial" w:hAnsi="Arial"/>
          <w:sz w:val="22"/>
          <w:szCs w:val="22"/>
        </w:rPr>
        <w:t>Ciprofloxacin</w:t>
      </w:r>
      <w:r w:rsidRPr="00B52364">
        <w:rPr>
          <w:rFonts w:ascii="Arial" w:hAnsi="Arial"/>
          <w:sz w:val="22"/>
          <w:szCs w:val="22"/>
        </w:rPr>
        <w:t xml:space="preserve"> prophyla</w:t>
      </w:r>
      <w:r>
        <w:rPr>
          <w:rFonts w:ascii="Arial" w:hAnsi="Arial"/>
          <w:sz w:val="22"/>
          <w:szCs w:val="22"/>
        </w:rPr>
        <w:t>xis</w:t>
      </w:r>
      <w:r w:rsidRPr="00B52364">
        <w:rPr>
          <w:rFonts w:ascii="Arial" w:hAnsi="Arial"/>
          <w:sz w:val="22"/>
          <w:szCs w:val="22"/>
        </w:rPr>
        <w:t xml:space="preserve"> </w:t>
      </w:r>
      <w:r>
        <w:rPr>
          <w:rFonts w:ascii="Arial" w:hAnsi="Arial"/>
          <w:sz w:val="22"/>
          <w:szCs w:val="22"/>
        </w:rPr>
        <w:t xml:space="preserve">continued to be </w:t>
      </w:r>
      <w:r w:rsidRPr="00B52364">
        <w:rPr>
          <w:rFonts w:ascii="Arial" w:hAnsi="Arial"/>
          <w:sz w:val="22"/>
          <w:szCs w:val="22"/>
        </w:rPr>
        <w:t>given to all patients</w:t>
      </w:r>
      <w:r>
        <w:rPr>
          <w:rFonts w:ascii="Arial" w:hAnsi="Arial"/>
          <w:sz w:val="22"/>
          <w:szCs w:val="22"/>
        </w:rPr>
        <w:t xml:space="preserve"> as above</w:t>
      </w:r>
      <w:r w:rsidRPr="00B52364">
        <w:rPr>
          <w:rFonts w:ascii="Arial" w:hAnsi="Arial"/>
          <w:sz w:val="22"/>
          <w:szCs w:val="22"/>
        </w:rPr>
        <w:t xml:space="preserve">. </w:t>
      </w:r>
    </w:p>
    <w:p w:rsidR="00F51533" w:rsidRDefault="00EE6561">
      <w:pPr>
        <w:widowControl w:val="0"/>
        <w:autoSpaceDE w:val="0"/>
        <w:autoSpaceDN w:val="0"/>
        <w:adjustRightInd w:val="0"/>
        <w:spacing w:after="0" w:line="360" w:lineRule="auto"/>
        <w:rPr>
          <w:rFonts w:ascii="Arial" w:hAnsi="Arial"/>
          <w:sz w:val="22"/>
          <w:szCs w:val="22"/>
        </w:rPr>
      </w:pPr>
      <w:r w:rsidRPr="00B52364">
        <w:rPr>
          <w:rFonts w:ascii="Arial" w:hAnsi="Arial"/>
          <w:sz w:val="22"/>
          <w:szCs w:val="22"/>
        </w:rPr>
        <w:lastRenderedPageBreak/>
        <w:t xml:space="preserve">Patient </w:t>
      </w:r>
      <w:r>
        <w:rPr>
          <w:rFonts w:ascii="Arial" w:hAnsi="Arial"/>
          <w:sz w:val="22"/>
          <w:szCs w:val="22"/>
        </w:rPr>
        <w:t>details</w:t>
      </w:r>
      <w:r w:rsidRPr="00B52364">
        <w:rPr>
          <w:rFonts w:ascii="Arial" w:hAnsi="Arial"/>
          <w:sz w:val="22"/>
          <w:szCs w:val="22"/>
        </w:rPr>
        <w:t xml:space="preserve"> including age, race, medical history, medications and past history</w:t>
      </w:r>
      <w:r>
        <w:rPr>
          <w:rFonts w:ascii="Arial" w:hAnsi="Arial"/>
          <w:sz w:val="22"/>
          <w:szCs w:val="22"/>
        </w:rPr>
        <w:t xml:space="preserve"> </w:t>
      </w:r>
      <w:r w:rsidRPr="00B52364">
        <w:rPr>
          <w:rFonts w:ascii="Arial" w:hAnsi="Arial"/>
          <w:sz w:val="22"/>
          <w:szCs w:val="22"/>
        </w:rPr>
        <w:t>infection</w:t>
      </w:r>
      <w:r>
        <w:rPr>
          <w:rFonts w:ascii="Arial" w:hAnsi="Arial"/>
          <w:sz w:val="22"/>
          <w:szCs w:val="22"/>
        </w:rPr>
        <w:t>s</w:t>
      </w:r>
      <w:r w:rsidRPr="00B52364">
        <w:rPr>
          <w:rFonts w:ascii="Arial" w:hAnsi="Arial"/>
          <w:sz w:val="22"/>
          <w:szCs w:val="22"/>
        </w:rPr>
        <w:t xml:space="preserve"> were recorded</w:t>
      </w:r>
      <w:r>
        <w:rPr>
          <w:rFonts w:ascii="Arial" w:hAnsi="Arial"/>
          <w:sz w:val="22"/>
          <w:szCs w:val="22"/>
        </w:rPr>
        <w:t>,</w:t>
      </w:r>
      <w:r w:rsidRPr="00B52364">
        <w:rPr>
          <w:rFonts w:ascii="Arial" w:hAnsi="Arial"/>
          <w:sz w:val="22"/>
          <w:szCs w:val="22"/>
        </w:rPr>
        <w:t xml:space="preserve"> as well as </w:t>
      </w:r>
      <w:r>
        <w:rPr>
          <w:rFonts w:ascii="Arial" w:hAnsi="Arial"/>
          <w:sz w:val="22"/>
          <w:szCs w:val="22"/>
        </w:rPr>
        <w:t xml:space="preserve">any </w:t>
      </w:r>
      <w:r w:rsidRPr="00B52364">
        <w:rPr>
          <w:rFonts w:ascii="Arial" w:hAnsi="Arial"/>
          <w:sz w:val="22"/>
          <w:szCs w:val="22"/>
        </w:rPr>
        <w:t>history of recent hospitalisations, procedures,</w:t>
      </w:r>
      <w:r>
        <w:rPr>
          <w:rFonts w:ascii="Arial" w:hAnsi="Arial"/>
          <w:sz w:val="22"/>
          <w:szCs w:val="22"/>
        </w:rPr>
        <w:t xml:space="preserve"> </w:t>
      </w:r>
      <w:r w:rsidRPr="00B52364">
        <w:rPr>
          <w:rFonts w:ascii="Arial" w:hAnsi="Arial"/>
          <w:sz w:val="22"/>
          <w:szCs w:val="22"/>
        </w:rPr>
        <w:t xml:space="preserve">travel and antibiotic treatments in the </w:t>
      </w:r>
      <w:r>
        <w:rPr>
          <w:rFonts w:ascii="Arial" w:hAnsi="Arial"/>
          <w:sz w:val="22"/>
          <w:szCs w:val="22"/>
        </w:rPr>
        <w:t>previous year.</w:t>
      </w:r>
    </w:p>
    <w:p w:rsidR="00E50FA4" w:rsidRDefault="00EE6561" w:rsidP="0058637D">
      <w:pPr>
        <w:spacing w:after="0" w:line="360" w:lineRule="auto"/>
        <w:rPr>
          <w:rFonts w:ascii="Arial" w:hAnsi="Arial"/>
          <w:sz w:val="22"/>
          <w:szCs w:val="22"/>
        </w:rPr>
      </w:pPr>
      <w:r w:rsidRPr="00B52364">
        <w:rPr>
          <w:rFonts w:ascii="Arial" w:hAnsi="Arial"/>
          <w:sz w:val="22"/>
          <w:szCs w:val="22"/>
        </w:rPr>
        <w:t>Swabs were cultured onto CLED agar</w:t>
      </w:r>
      <w:r>
        <w:rPr>
          <w:rFonts w:ascii="Arial" w:hAnsi="Arial"/>
          <w:sz w:val="22"/>
          <w:szCs w:val="22"/>
        </w:rPr>
        <w:t xml:space="preserve"> with </w:t>
      </w:r>
      <w:r w:rsidRPr="00B52364">
        <w:rPr>
          <w:rFonts w:ascii="Arial" w:hAnsi="Arial"/>
          <w:sz w:val="22"/>
          <w:szCs w:val="22"/>
        </w:rPr>
        <w:t>a 1-</w:t>
      </w:r>
      <w:r w:rsidRPr="00F81E9F">
        <w:rPr>
          <w:rFonts w:ascii="Symbol" w:hAnsi="Symbol"/>
          <w:sz w:val="22"/>
          <w:szCs w:val="22"/>
        </w:rPr>
        <w:t></w:t>
      </w:r>
      <w:r w:rsidRPr="00B52364">
        <w:rPr>
          <w:rFonts w:ascii="Arial" w:hAnsi="Arial"/>
          <w:sz w:val="22"/>
          <w:szCs w:val="22"/>
        </w:rPr>
        <w:t>g ciprofloxacin disc applied on the first set of streaks after the</w:t>
      </w:r>
      <w:r>
        <w:rPr>
          <w:rFonts w:ascii="Arial" w:hAnsi="Arial"/>
          <w:sz w:val="22"/>
          <w:szCs w:val="22"/>
        </w:rPr>
        <w:t xml:space="preserve"> primary</w:t>
      </w:r>
      <w:r w:rsidRPr="00B52364">
        <w:rPr>
          <w:rFonts w:ascii="Arial" w:hAnsi="Arial"/>
          <w:sz w:val="22"/>
          <w:szCs w:val="22"/>
        </w:rPr>
        <w:t xml:space="preserve"> inoculum.  Colonies that grew within the ciprofloxacin zone were recovered, identified, and confirmed as ciprofloxacin resistant b</w:t>
      </w:r>
      <w:r>
        <w:rPr>
          <w:rFonts w:ascii="Arial" w:hAnsi="Arial"/>
          <w:sz w:val="22"/>
          <w:szCs w:val="22"/>
        </w:rPr>
        <w:t>y BSAC disk diffusion testing or using the Vitek 2 (bioMerieux, La Balme les Grottes, France)</w:t>
      </w:r>
      <w:r w:rsidRPr="00B52364">
        <w:rPr>
          <w:rFonts w:ascii="Arial" w:hAnsi="Arial"/>
          <w:sz w:val="22"/>
          <w:szCs w:val="22"/>
        </w:rPr>
        <w:t>.</w:t>
      </w:r>
      <w:r>
        <w:rPr>
          <w:rFonts w:ascii="Arial" w:hAnsi="Arial"/>
          <w:sz w:val="22"/>
          <w:szCs w:val="22"/>
        </w:rPr>
        <w:t xml:space="preserve">  </w:t>
      </w:r>
      <w:r w:rsidRPr="00B52364">
        <w:rPr>
          <w:rFonts w:ascii="Arial" w:hAnsi="Arial"/>
          <w:sz w:val="22"/>
          <w:szCs w:val="22"/>
        </w:rPr>
        <w:t>Patients</w:t>
      </w:r>
      <w:r>
        <w:rPr>
          <w:rFonts w:ascii="Arial" w:hAnsi="Arial"/>
          <w:sz w:val="22"/>
          <w:szCs w:val="22"/>
        </w:rPr>
        <w:t>’</w:t>
      </w:r>
      <w:r w:rsidRPr="00B52364">
        <w:rPr>
          <w:rFonts w:ascii="Arial" w:hAnsi="Arial"/>
          <w:sz w:val="22"/>
          <w:szCs w:val="22"/>
        </w:rPr>
        <w:t xml:space="preserve"> hospital admissions within 31 days of the biopsy were recorded and correlat</w:t>
      </w:r>
      <w:r>
        <w:rPr>
          <w:rFonts w:ascii="Arial" w:hAnsi="Arial"/>
          <w:sz w:val="22"/>
          <w:szCs w:val="22"/>
        </w:rPr>
        <w:t>ed</w:t>
      </w:r>
      <w:r w:rsidRPr="00B52364">
        <w:rPr>
          <w:rFonts w:ascii="Arial" w:hAnsi="Arial"/>
          <w:sz w:val="22"/>
          <w:szCs w:val="22"/>
        </w:rPr>
        <w:t xml:space="preserve"> to the swab result</w:t>
      </w:r>
      <w:r>
        <w:rPr>
          <w:rFonts w:ascii="Arial" w:hAnsi="Arial"/>
          <w:sz w:val="22"/>
          <w:szCs w:val="22"/>
        </w:rPr>
        <w:t>.</w:t>
      </w:r>
      <w:r w:rsidRPr="00B52364">
        <w:rPr>
          <w:rFonts w:ascii="Arial" w:hAnsi="Arial"/>
          <w:sz w:val="22"/>
          <w:szCs w:val="22"/>
        </w:rPr>
        <w:t xml:space="preserve"> </w:t>
      </w:r>
      <w:r>
        <w:rPr>
          <w:rFonts w:ascii="Arial" w:hAnsi="Arial"/>
          <w:sz w:val="22"/>
          <w:szCs w:val="22"/>
        </w:rPr>
        <w:t>All patients were followed up, for a period of 6</w:t>
      </w:r>
      <w:r w:rsidR="00BD0595">
        <w:rPr>
          <w:rFonts w:ascii="Arial" w:hAnsi="Arial"/>
          <w:sz w:val="22"/>
          <w:szCs w:val="22"/>
        </w:rPr>
        <w:t xml:space="preserve"> </w:t>
      </w:r>
      <w:r>
        <w:rPr>
          <w:rFonts w:ascii="Arial" w:hAnsi="Arial"/>
          <w:sz w:val="22"/>
          <w:szCs w:val="22"/>
        </w:rPr>
        <w:t>months</w:t>
      </w:r>
      <w:r w:rsidR="0058637D">
        <w:rPr>
          <w:rFonts w:ascii="Arial" w:hAnsi="Arial"/>
          <w:sz w:val="22"/>
          <w:szCs w:val="22"/>
        </w:rPr>
        <w:t xml:space="preserve"> (by enquiring about urinary tract infections though general practitioners and tracking hospital admission due to related symptoms)</w:t>
      </w:r>
      <w:r>
        <w:rPr>
          <w:rFonts w:ascii="Arial" w:hAnsi="Arial"/>
          <w:sz w:val="22"/>
          <w:szCs w:val="22"/>
        </w:rPr>
        <w:t>, to identify post-biopsy infective complications. Any urine cultures received by the hospital laboratory during this period were reviewed, with identification of the reason for culture submission, the culture results</w:t>
      </w:r>
      <w:r w:rsidR="00BD0595">
        <w:rPr>
          <w:rFonts w:ascii="Arial" w:hAnsi="Arial"/>
          <w:sz w:val="22"/>
          <w:szCs w:val="22"/>
        </w:rPr>
        <w:t>,</w:t>
      </w:r>
      <w:r>
        <w:rPr>
          <w:rFonts w:ascii="Arial" w:hAnsi="Arial"/>
          <w:sz w:val="22"/>
          <w:szCs w:val="22"/>
        </w:rPr>
        <w:t xml:space="preserve"> and the antibiotic resistance of any organism grown. </w:t>
      </w:r>
    </w:p>
    <w:p w:rsidR="00F51533" w:rsidRDefault="00F51533">
      <w:pPr>
        <w:spacing w:after="0" w:line="360" w:lineRule="auto"/>
        <w:rPr>
          <w:rFonts w:ascii="Arial" w:hAnsi="Arial"/>
          <w:sz w:val="22"/>
          <w:szCs w:val="22"/>
        </w:rPr>
      </w:pPr>
    </w:p>
    <w:p w:rsidR="00F51533" w:rsidRDefault="00F51533">
      <w:pPr>
        <w:spacing w:after="0" w:line="360" w:lineRule="auto"/>
        <w:rPr>
          <w:rFonts w:ascii="Arial" w:hAnsi="Arial"/>
          <w:sz w:val="22"/>
          <w:szCs w:val="22"/>
        </w:rPr>
      </w:pPr>
    </w:p>
    <w:p w:rsidR="00F51533" w:rsidRDefault="00A71304">
      <w:pPr>
        <w:spacing w:after="0" w:line="360" w:lineRule="auto"/>
        <w:rPr>
          <w:b/>
          <w:sz w:val="24"/>
          <w:szCs w:val="24"/>
        </w:rPr>
      </w:pPr>
      <w:r w:rsidRPr="00A71304">
        <w:rPr>
          <w:rFonts w:ascii="Arial" w:hAnsi="Arial"/>
          <w:b/>
          <w:sz w:val="24"/>
          <w:szCs w:val="24"/>
        </w:rPr>
        <w:t>Results</w:t>
      </w:r>
    </w:p>
    <w:p w:rsidR="00F51533" w:rsidRDefault="00EE6561">
      <w:pPr>
        <w:spacing w:after="0" w:line="360" w:lineRule="auto"/>
        <w:rPr>
          <w:rFonts w:ascii="Arial" w:hAnsi="Arial"/>
          <w:sz w:val="22"/>
          <w:szCs w:val="22"/>
        </w:rPr>
      </w:pPr>
      <w:r w:rsidRPr="00CC5CDC">
        <w:rPr>
          <w:rFonts w:ascii="Arial" w:hAnsi="Arial"/>
          <w:sz w:val="22"/>
          <w:szCs w:val="22"/>
        </w:rPr>
        <w:t>From the 3600</w:t>
      </w:r>
      <w:r>
        <w:rPr>
          <w:rFonts w:ascii="Arial" w:hAnsi="Arial"/>
          <w:sz w:val="22"/>
          <w:szCs w:val="22"/>
        </w:rPr>
        <w:t xml:space="preserve"> TRUS </w:t>
      </w:r>
      <w:r w:rsidRPr="00B52364">
        <w:rPr>
          <w:rFonts w:ascii="Arial" w:hAnsi="Arial"/>
          <w:sz w:val="22"/>
          <w:szCs w:val="22"/>
        </w:rPr>
        <w:t>procedures done between 2007 and 2011, 18 patients were hospitalised due to biopsy</w:t>
      </w:r>
      <w:r>
        <w:rPr>
          <w:rFonts w:ascii="Arial" w:hAnsi="Arial"/>
          <w:sz w:val="22"/>
          <w:szCs w:val="22"/>
        </w:rPr>
        <w:t>-</w:t>
      </w:r>
      <w:r w:rsidRPr="00B52364">
        <w:rPr>
          <w:rFonts w:ascii="Arial" w:hAnsi="Arial"/>
          <w:sz w:val="22"/>
          <w:szCs w:val="22"/>
        </w:rPr>
        <w:t>related complications</w:t>
      </w:r>
      <w:r>
        <w:rPr>
          <w:rFonts w:ascii="Arial" w:hAnsi="Arial"/>
          <w:sz w:val="22"/>
          <w:szCs w:val="22"/>
        </w:rPr>
        <w:t>, and</w:t>
      </w:r>
      <w:r w:rsidRPr="00B52364">
        <w:rPr>
          <w:rFonts w:ascii="Arial" w:hAnsi="Arial"/>
          <w:sz w:val="22"/>
          <w:szCs w:val="22"/>
        </w:rPr>
        <w:t xml:space="preserve"> 11 (0.3%) of </w:t>
      </w:r>
      <w:r>
        <w:rPr>
          <w:rFonts w:ascii="Arial" w:hAnsi="Arial"/>
          <w:sz w:val="22"/>
          <w:szCs w:val="22"/>
        </w:rPr>
        <w:t>these involved</w:t>
      </w:r>
      <w:r w:rsidRPr="00B52364">
        <w:rPr>
          <w:rFonts w:ascii="Arial" w:hAnsi="Arial"/>
          <w:sz w:val="22"/>
          <w:szCs w:val="22"/>
        </w:rPr>
        <w:t xml:space="preserve"> sepsis.   Microbiology for the corresponding blood and urine cultures was available for </w:t>
      </w:r>
      <w:r>
        <w:rPr>
          <w:rFonts w:ascii="Arial" w:hAnsi="Arial"/>
          <w:sz w:val="22"/>
          <w:szCs w:val="22"/>
        </w:rPr>
        <w:t>nine</w:t>
      </w:r>
      <w:r w:rsidRPr="00B52364">
        <w:rPr>
          <w:rFonts w:ascii="Arial" w:hAnsi="Arial"/>
          <w:sz w:val="22"/>
          <w:szCs w:val="22"/>
        </w:rPr>
        <w:t xml:space="preserve"> patients (Fig 1)</w:t>
      </w:r>
      <w:r>
        <w:rPr>
          <w:rFonts w:ascii="Arial" w:hAnsi="Arial"/>
          <w:sz w:val="22"/>
          <w:szCs w:val="22"/>
        </w:rPr>
        <w:t>:</w:t>
      </w:r>
      <w:r w:rsidRPr="00B52364">
        <w:rPr>
          <w:rFonts w:ascii="Arial" w:hAnsi="Arial"/>
          <w:sz w:val="22"/>
          <w:szCs w:val="22"/>
        </w:rPr>
        <w:t xml:space="preserve"> </w:t>
      </w:r>
      <w:r>
        <w:rPr>
          <w:rFonts w:ascii="Arial" w:hAnsi="Arial"/>
          <w:sz w:val="22"/>
          <w:szCs w:val="22"/>
        </w:rPr>
        <w:t>f</w:t>
      </w:r>
      <w:r w:rsidRPr="00B52364">
        <w:rPr>
          <w:rFonts w:ascii="Arial" w:hAnsi="Arial"/>
          <w:sz w:val="22"/>
          <w:szCs w:val="22"/>
        </w:rPr>
        <w:t xml:space="preserve">our </w:t>
      </w:r>
      <w:r>
        <w:rPr>
          <w:rFonts w:ascii="Arial" w:hAnsi="Arial"/>
          <w:sz w:val="22"/>
          <w:szCs w:val="22"/>
        </w:rPr>
        <w:t>had</w:t>
      </w:r>
      <w:r w:rsidRPr="00B52364">
        <w:rPr>
          <w:rFonts w:ascii="Arial" w:hAnsi="Arial"/>
          <w:sz w:val="22"/>
          <w:szCs w:val="22"/>
        </w:rPr>
        <w:t xml:space="preserve"> ciprofloxacin</w:t>
      </w:r>
      <w:r>
        <w:rPr>
          <w:rFonts w:ascii="Arial" w:hAnsi="Arial"/>
          <w:sz w:val="22"/>
          <w:szCs w:val="22"/>
        </w:rPr>
        <w:t>-</w:t>
      </w:r>
      <w:r w:rsidRPr="00B52364">
        <w:rPr>
          <w:rFonts w:ascii="Arial" w:hAnsi="Arial"/>
          <w:sz w:val="22"/>
          <w:szCs w:val="22"/>
        </w:rPr>
        <w:t xml:space="preserve">resistant </w:t>
      </w:r>
      <w:r w:rsidRPr="00683C58">
        <w:rPr>
          <w:rFonts w:ascii="Arial" w:hAnsi="Arial"/>
          <w:i/>
          <w:iCs/>
          <w:sz w:val="22"/>
          <w:szCs w:val="22"/>
        </w:rPr>
        <w:t>E. coli</w:t>
      </w:r>
      <w:r>
        <w:rPr>
          <w:rFonts w:ascii="Arial" w:hAnsi="Arial"/>
          <w:sz w:val="22"/>
          <w:szCs w:val="22"/>
        </w:rPr>
        <w:t xml:space="preserve"> recovered from blood </w:t>
      </w:r>
      <w:r w:rsidRPr="00B52364">
        <w:rPr>
          <w:rFonts w:ascii="Arial" w:hAnsi="Arial"/>
          <w:sz w:val="22"/>
          <w:szCs w:val="22"/>
        </w:rPr>
        <w:t>whereas two</w:t>
      </w:r>
      <w:r>
        <w:rPr>
          <w:rFonts w:ascii="Arial" w:hAnsi="Arial"/>
          <w:sz w:val="22"/>
          <w:szCs w:val="22"/>
        </w:rPr>
        <w:t xml:space="preserve"> had ciprofloxacin-susceptible</w:t>
      </w:r>
      <w:r w:rsidRPr="00B52364">
        <w:rPr>
          <w:rFonts w:ascii="Arial" w:hAnsi="Arial"/>
          <w:sz w:val="22"/>
          <w:szCs w:val="22"/>
        </w:rPr>
        <w:t xml:space="preserve"> </w:t>
      </w:r>
      <w:r w:rsidR="00A71304" w:rsidRPr="00A71304">
        <w:rPr>
          <w:rFonts w:ascii="Arial" w:hAnsi="Arial"/>
          <w:sz w:val="22"/>
          <w:szCs w:val="22"/>
        </w:rPr>
        <w:t>E. coli</w:t>
      </w:r>
      <w:r>
        <w:rPr>
          <w:rFonts w:ascii="Arial" w:hAnsi="Arial"/>
          <w:sz w:val="22"/>
          <w:szCs w:val="22"/>
        </w:rPr>
        <w:t xml:space="preserve">, </w:t>
      </w:r>
      <w:r w:rsidRPr="00B52364">
        <w:rPr>
          <w:rFonts w:ascii="Arial" w:hAnsi="Arial"/>
          <w:sz w:val="22"/>
          <w:szCs w:val="22"/>
        </w:rPr>
        <w:t>one</w:t>
      </w:r>
      <w:r>
        <w:rPr>
          <w:rFonts w:ascii="Arial" w:hAnsi="Arial"/>
          <w:sz w:val="22"/>
          <w:szCs w:val="22"/>
        </w:rPr>
        <w:t xml:space="preserve"> had a </w:t>
      </w:r>
      <w:r w:rsidRPr="00B52364">
        <w:rPr>
          <w:rFonts w:ascii="Arial" w:hAnsi="Arial"/>
          <w:sz w:val="22"/>
          <w:szCs w:val="22"/>
        </w:rPr>
        <w:t>ciprofloxacin</w:t>
      </w:r>
      <w:r>
        <w:rPr>
          <w:rFonts w:ascii="Arial" w:hAnsi="Arial"/>
          <w:sz w:val="22"/>
          <w:szCs w:val="22"/>
        </w:rPr>
        <w:t>-susceptible</w:t>
      </w:r>
      <w:r w:rsidRPr="00B52364">
        <w:rPr>
          <w:rFonts w:ascii="Arial" w:hAnsi="Arial"/>
          <w:sz w:val="22"/>
          <w:szCs w:val="22"/>
        </w:rPr>
        <w:t xml:space="preserve"> </w:t>
      </w:r>
      <w:r w:rsidRPr="00A1194D">
        <w:rPr>
          <w:rFonts w:ascii="Arial" w:hAnsi="Arial"/>
          <w:i/>
          <w:sz w:val="22"/>
          <w:szCs w:val="22"/>
        </w:rPr>
        <w:t>Enterobacter cloacae</w:t>
      </w:r>
      <w:r w:rsidRPr="00A1194D">
        <w:rPr>
          <w:rFonts w:ascii="Arial" w:hAnsi="Arial"/>
          <w:i/>
          <w:sz w:val="22"/>
          <w:szCs w:val="22"/>
        </w:rPr>
        <w:softHyphen/>
      </w:r>
      <w:r w:rsidR="00A71304" w:rsidRPr="00A71304">
        <w:rPr>
          <w:rFonts w:ascii="Arial" w:hAnsi="Arial"/>
          <w:i/>
          <w:sz w:val="22"/>
          <w:szCs w:val="22"/>
        </w:rPr>
        <w:t xml:space="preserve"> </w:t>
      </w:r>
      <w:r w:rsidRPr="00B52364">
        <w:rPr>
          <w:rFonts w:ascii="Arial" w:hAnsi="Arial"/>
          <w:sz w:val="22"/>
          <w:szCs w:val="22"/>
        </w:rPr>
        <w:t xml:space="preserve">and two </w:t>
      </w:r>
      <w:r>
        <w:rPr>
          <w:rFonts w:ascii="Arial" w:hAnsi="Arial"/>
          <w:sz w:val="22"/>
          <w:szCs w:val="22"/>
        </w:rPr>
        <w:t xml:space="preserve">had isolates that </w:t>
      </w:r>
      <w:r w:rsidRPr="00B52364">
        <w:rPr>
          <w:rFonts w:ascii="Arial" w:hAnsi="Arial"/>
          <w:sz w:val="22"/>
          <w:szCs w:val="22"/>
        </w:rPr>
        <w:t xml:space="preserve">were not tested with ciprofloxacin. One patient with bacteraemia due to a ciprofloxacin-resistant </w:t>
      </w:r>
      <w:r w:rsidRPr="00A1194D">
        <w:rPr>
          <w:rFonts w:ascii="Arial" w:hAnsi="Arial"/>
          <w:i/>
          <w:sz w:val="22"/>
          <w:szCs w:val="22"/>
        </w:rPr>
        <w:t>E. coli</w:t>
      </w:r>
      <w:r w:rsidRPr="00B52364">
        <w:rPr>
          <w:rFonts w:ascii="Arial" w:hAnsi="Arial"/>
          <w:sz w:val="22"/>
          <w:szCs w:val="22"/>
        </w:rPr>
        <w:t xml:space="preserve"> was known to be long-colonised with this organism</w:t>
      </w:r>
      <w:r>
        <w:rPr>
          <w:rFonts w:ascii="Arial" w:hAnsi="Arial"/>
          <w:sz w:val="22"/>
          <w:szCs w:val="22"/>
        </w:rPr>
        <w:t xml:space="preserve"> (previous bacteriuria)</w:t>
      </w:r>
      <w:r w:rsidRPr="00B52364">
        <w:rPr>
          <w:rFonts w:ascii="Arial" w:hAnsi="Arial"/>
          <w:sz w:val="22"/>
          <w:szCs w:val="22"/>
        </w:rPr>
        <w:t>, wh</w:t>
      </w:r>
      <w:r>
        <w:rPr>
          <w:rFonts w:ascii="Arial" w:hAnsi="Arial"/>
          <w:sz w:val="22"/>
          <w:szCs w:val="22"/>
        </w:rPr>
        <w:t>ereas</w:t>
      </w:r>
      <w:r w:rsidRPr="00B52364">
        <w:rPr>
          <w:rFonts w:ascii="Arial" w:hAnsi="Arial"/>
          <w:sz w:val="22"/>
          <w:szCs w:val="22"/>
        </w:rPr>
        <w:t xml:space="preserve"> the patient with</w:t>
      </w:r>
      <w:r>
        <w:rPr>
          <w:rFonts w:ascii="Arial" w:hAnsi="Arial"/>
          <w:sz w:val="22"/>
          <w:szCs w:val="22"/>
        </w:rPr>
        <w:t xml:space="preserve"> the</w:t>
      </w:r>
      <w:r w:rsidRPr="00B52364">
        <w:rPr>
          <w:rFonts w:ascii="Arial" w:hAnsi="Arial"/>
          <w:sz w:val="22"/>
          <w:szCs w:val="22"/>
        </w:rPr>
        <w:t xml:space="preserve"> </w:t>
      </w:r>
      <w:r w:rsidRPr="00A1194D">
        <w:rPr>
          <w:rFonts w:ascii="Arial" w:hAnsi="Arial"/>
          <w:i/>
          <w:sz w:val="22"/>
          <w:szCs w:val="22"/>
        </w:rPr>
        <w:t>Ent. cloacae</w:t>
      </w:r>
      <w:r w:rsidRPr="00B52364">
        <w:rPr>
          <w:rFonts w:ascii="Arial" w:hAnsi="Arial"/>
          <w:sz w:val="22"/>
          <w:szCs w:val="22"/>
        </w:rPr>
        <w:t xml:space="preserve"> bacteraemia suffered a further bacteraemia with the same </w:t>
      </w:r>
      <w:r>
        <w:rPr>
          <w:rFonts w:ascii="Arial" w:hAnsi="Arial"/>
          <w:sz w:val="22"/>
          <w:szCs w:val="22"/>
        </w:rPr>
        <w:t>species</w:t>
      </w:r>
      <w:r w:rsidRPr="00B52364">
        <w:rPr>
          <w:rFonts w:ascii="Arial" w:hAnsi="Arial"/>
          <w:sz w:val="22"/>
          <w:szCs w:val="22"/>
        </w:rPr>
        <w:t xml:space="preserve"> 2 months later</w:t>
      </w:r>
      <w:r>
        <w:rPr>
          <w:rFonts w:ascii="Arial" w:hAnsi="Arial"/>
          <w:sz w:val="22"/>
          <w:szCs w:val="22"/>
        </w:rPr>
        <w:t>,</w:t>
      </w:r>
      <w:r w:rsidRPr="00B52364">
        <w:rPr>
          <w:rFonts w:ascii="Arial" w:hAnsi="Arial"/>
          <w:sz w:val="22"/>
          <w:szCs w:val="22"/>
        </w:rPr>
        <w:t xml:space="preserve"> followed by two episodes of bacteraemia with ciprofloxacin-resistant </w:t>
      </w:r>
      <w:r w:rsidRPr="00A1194D">
        <w:rPr>
          <w:rFonts w:ascii="Arial" w:hAnsi="Arial"/>
          <w:i/>
          <w:sz w:val="22"/>
          <w:szCs w:val="22"/>
        </w:rPr>
        <w:t>E. coli</w:t>
      </w:r>
      <w:r>
        <w:rPr>
          <w:rFonts w:ascii="Arial" w:hAnsi="Arial"/>
          <w:i/>
          <w:sz w:val="22"/>
          <w:szCs w:val="22"/>
        </w:rPr>
        <w:t xml:space="preserve">, </w:t>
      </w:r>
      <w:r w:rsidRPr="00B52364">
        <w:rPr>
          <w:rFonts w:ascii="Arial" w:hAnsi="Arial"/>
          <w:sz w:val="22"/>
          <w:szCs w:val="22"/>
        </w:rPr>
        <w:t xml:space="preserve">4 and 7 months post-TRUS.  One patient had vascular surgery a month after readmission and grew </w:t>
      </w:r>
      <w:r w:rsidRPr="00A1194D">
        <w:rPr>
          <w:rFonts w:ascii="Arial" w:hAnsi="Arial"/>
          <w:i/>
          <w:sz w:val="22"/>
          <w:szCs w:val="22"/>
        </w:rPr>
        <w:t>Bacteroides</w:t>
      </w:r>
      <w:r w:rsidRPr="00B52364">
        <w:rPr>
          <w:rFonts w:ascii="Arial" w:hAnsi="Arial"/>
          <w:sz w:val="22"/>
          <w:szCs w:val="22"/>
        </w:rPr>
        <w:t xml:space="preserve"> </w:t>
      </w:r>
      <w:r>
        <w:rPr>
          <w:rFonts w:ascii="Arial" w:hAnsi="Arial"/>
          <w:sz w:val="22"/>
          <w:szCs w:val="22"/>
        </w:rPr>
        <w:t xml:space="preserve">spp. </w:t>
      </w:r>
      <w:r w:rsidRPr="00B52364">
        <w:rPr>
          <w:rFonts w:ascii="Arial" w:hAnsi="Arial"/>
          <w:sz w:val="22"/>
          <w:szCs w:val="22"/>
        </w:rPr>
        <w:t>from pus and aortic tissue, possibly seeded by the TRUS procedure.</w:t>
      </w:r>
    </w:p>
    <w:p w:rsidR="00E50FA4" w:rsidRDefault="00EE6561" w:rsidP="0058637D">
      <w:pPr>
        <w:spacing w:after="0" w:line="360" w:lineRule="auto"/>
        <w:rPr>
          <w:rFonts w:ascii="Arial" w:hAnsi="Arial"/>
          <w:sz w:val="22"/>
          <w:szCs w:val="22"/>
        </w:rPr>
      </w:pPr>
      <w:r>
        <w:rPr>
          <w:rFonts w:ascii="Arial" w:hAnsi="Arial"/>
          <w:sz w:val="22"/>
          <w:szCs w:val="22"/>
        </w:rPr>
        <w:tab/>
        <w:t>Only 10</w:t>
      </w:r>
      <w:r w:rsidRPr="00B52364">
        <w:rPr>
          <w:rFonts w:ascii="Arial" w:hAnsi="Arial"/>
          <w:sz w:val="22"/>
          <w:szCs w:val="22"/>
        </w:rPr>
        <w:t xml:space="preserve"> (3.7%) of the 267 patients </w:t>
      </w:r>
      <w:r>
        <w:rPr>
          <w:rFonts w:ascii="Arial" w:hAnsi="Arial"/>
          <w:sz w:val="22"/>
          <w:szCs w:val="22"/>
        </w:rPr>
        <w:t>sampled</w:t>
      </w:r>
      <w:r w:rsidRPr="00B52364">
        <w:rPr>
          <w:rFonts w:ascii="Arial" w:hAnsi="Arial"/>
          <w:sz w:val="22"/>
          <w:szCs w:val="22"/>
        </w:rPr>
        <w:t xml:space="preserve"> pre</w:t>
      </w:r>
      <w:r>
        <w:rPr>
          <w:rFonts w:ascii="Arial" w:hAnsi="Arial"/>
          <w:sz w:val="22"/>
          <w:szCs w:val="22"/>
        </w:rPr>
        <w:t>-</w:t>
      </w:r>
      <w:r w:rsidRPr="00B52364">
        <w:rPr>
          <w:rFonts w:ascii="Arial" w:hAnsi="Arial"/>
          <w:sz w:val="22"/>
          <w:szCs w:val="22"/>
        </w:rPr>
        <w:t>biopsy in 2012 had ciprofloxacin</w:t>
      </w:r>
      <w:r>
        <w:rPr>
          <w:rFonts w:ascii="Arial" w:hAnsi="Arial"/>
          <w:sz w:val="22"/>
          <w:szCs w:val="22"/>
        </w:rPr>
        <w:t>-</w:t>
      </w:r>
      <w:r w:rsidRPr="00B52364">
        <w:rPr>
          <w:rFonts w:ascii="Arial" w:hAnsi="Arial"/>
          <w:sz w:val="22"/>
          <w:szCs w:val="22"/>
        </w:rPr>
        <w:t>resistan</w:t>
      </w:r>
      <w:r>
        <w:rPr>
          <w:rFonts w:ascii="Arial" w:hAnsi="Arial"/>
          <w:sz w:val="22"/>
          <w:szCs w:val="22"/>
        </w:rPr>
        <w:t>t</w:t>
      </w:r>
      <w:r w:rsidRPr="00B52364">
        <w:rPr>
          <w:rFonts w:ascii="Arial" w:hAnsi="Arial"/>
          <w:sz w:val="22"/>
          <w:szCs w:val="22"/>
        </w:rPr>
        <w:t xml:space="preserve"> </w:t>
      </w:r>
      <w:r w:rsidRPr="00D80D6E">
        <w:rPr>
          <w:rFonts w:ascii="Arial" w:hAnsi="Arial"/>
          <w:i/>
          <w:sz w:val="22"/>
          <w:szCs w:val="22"/>
        </w:rPr>
        <w:t>E. coli</w:t>
      </w:r>
      <w:r w:rsidRPr="00D80D6E">
        <w:rPr>
          <w:rFonts w:ascii="Arial" w:hAnsi="Arial"/>
          <w:sz w:val="22"/>
          <w:szCs w:val="22"/>
        </w:rPr>
        <w:t xml:space="preserve"> </w:t>
      </w:r>
      <w:r>
        <w:rPr>
          <w:rFonts w:ascii="Arial" w:hAnsi="Arial"/>
          <w:sz w:val="22"/>
          <w:szCs w:val="22"/>
        </w:rPr>
        <w:t>recovered from</w:t>
      </w:r>
      <w:r w:rsidRPr="00B52364">
        <w:rPr>
          <w:rFonts w:ascii="Arial" w:hAnsi="Arial"/>
          <w:sz w:val="22"/>
          <w:szCs w:val="22"/>
        </w:rPr>
        <w:t xml:space="preserve"> the swab culture</w:t>
      </w:r>
      <w:r>
        <w:rPr>
          <w:rFonts w:ascii="Arial" w:hAnsi="Arial"/>
          <w:sz w:val="22"/>
          <w:szCs w:val="22"/>
        </w:rPr>
        <w:t>s. Five of the 267 (1.87</w:t>
      </w:r>
      <w:r w:rsidRPr="00B52364">
        <w:rPr>
          <w:rFonts w:ascii="Arial" w:hAnsi="Arial"/>
          <w:sz w:val="22"/>
          <w:szCs w:val="22"/>
        </w:rPr>
        <w:t>%) were admitted to the hospital within 31 days of the procedure with complications,</w:t>
      </w:r>
      <w:r>
        <w:rPr>
          <w:rFonts w:ascii="Arial" w:hAnsi="Arial"/>
          <w:sz w:val="22"/>
          <w:szCs w:val="22"/>
        </w:rPr>
        <w:t xml:space="preserve"> comprising</w:t>
      </w:r>
      <w:r w:rsidRPr="00B52364">
        <w:rPr>
          <w:rFonts w:ascii="Arial" w:hAnsi="Arial"/>
          <w:sz w:val="22"/>
          <w:szCs w:val="22"/>
        </w:rPr>
        <w:t xml:space="preserve"> </w:t>
      </w:r>
      <w:r>
        <w:rPr>
          <w:rFonts w:ascii="Arial" w:hAnsi="Arial"/>
          <w:sz w:val="22"/>
          <w:szCs w:val="22"/>
        </w:rPr>
        <w:t>haematuria (n=1) and</w:t>
      </w:r>
      <w:r w:rsidRPr="00A578CC">
        <w:rPr>
          <w:rFonts w:ascii="Arial" w:hAnsi="Arial"/>
          <w:sz w:val="22"/>
          <w:szCs w:val="22"/>
        </w:rPr>
        <w:t xml:space="preserve"> urinary retention (n=4)</w:t>
      </w:r>
      <w:r>
        <w:rPr>
          <w:rFonts w:ascii="Arial" w:hAnsi="Arial"/>
          <w:sz w:val="22"/>
          <w:szCs w:val="22"/>
        </w:rPr>
        <w:t>; none had infection.</w:t>
      </w:r>
      <w:r w:rsidRPr="00A578CC">
        <w:rPr>
          <w:rFonts w:ascii="Arial" w:hAnsi="Arial"/>
          <w:sz w:val="22"/>
          <w:szCs w:val="22"/>
        </w:rPr>
        <w:t xml:space="preserve"> </w:t>
      </w:r>
    </w:p>
    <w:p w:rsidR="00E50FA4" w:rsidRDefault="00EE6561">
      <w:pPr>
        <w:widowControl w:val="0"/>
        <w:autoSpaceDE w:val="0"/>
        <w:autoSpaceDN w:val="0"/>
        <w:adjustRightInd w:val="0"/>
        <w:spacing w:after="0" w:line="360" w:lineRule="auto"/>
        <w:rPr>
          <w:rFonts w:ascii="Arial" w:hAnsi="Arial"/>
          <w:sz w:val="22"/>
          <w:szCs w:val="22"/>
        </w:rPr>
      </w:pPr>
      <w:r>
        <w:rPr>
          <w:rFonts w:ascii="Arial" w:hAnsi="Arial"/>
          <w:sz w:val="22"/>
          <w:szCs w:val="22"/>
        </w:rPr>
        <w:tab/>
      </w:r>
      <w:r w:rsidRPr="00FC154D">
        <w:rPr>
          <w:rFonts w:ascii="Arial" w:hAnsi="Arial"/>
          <w:sz w:val="22"/>
          <w:szCs w:val="22"/>
        </w:rPr>
        <w:t>The mean (SD) age of the</w:t>
      </w:r>
      <w:r>
        <w:rPr>
          <w:rFonts w:ascii="Arial" w:hAnsi="Arial"/>
          <w:sz w:val="22"/>
          <w:szCs w:val="22"/>
        </w:rPr>
        <w:t xml:space="preserve"> 10</w:t>
      </w:r>
      <w:r w:rsidRPr="00FC154D">
        <w:rPr>
          <w:rFonts w:ascii="Arial" w:hAnsi="Arial"/>
          <w:sz w:val="22"/>
          <w:szCs w:val="22"/>
        </w:rPr>
        <w:t xml:space="preserve"> patients</w:t>
      </w:r>
      <w:r>
        <w:rPr>
          <w:rFonts w:ascii="Arial" w:hAnsi="Arial"/>
          <w:sz w:val="22"/>
          <w:szCs w:val="22"/>
        </w:rPr>
        <w:t xml:space="preserve"> carrying ciprofloxacin-resistant </w:t>
      </w:r>
      <w:r>
        <w:rPr>
          <w:rFonts w:ascii="Arial" w:hAnsi="Arial"/>
          <w:sz w:val="22"/>
          <w:szCs w:val="22"/>
        </w:rPr>
        <w:lastRenderedPageBreak/>
        <w:t>Enterobacteriaceae from the 2012 series was 68.7</w:t>
      </w:r>
      <w:r w:rsidRPr="00FC154D">
        <w:rPr>
          <w:rFonts w:ascii="Arial" w:hAnsi="Arial"/>
          <w:sz w:val="22"/>
          <w:szCs w:val="22"/>
        </w:rPr>
        <w:t xml:space="preserve"> (</w:t>
      </w:r>
      <w:r>
        <w:rPr>
          <w:rFonts w:ascii="Arial" w:hAnsi="Arial"/>
          <w:sz w:val="22"/>
          <w:szCs w:val="22"/>
        </w:rPr>
        <w:t xml:space="preserve">SD, </w:t>
      </w:r>
      <w:r w:rsidRPr="00FC154D">
        <w:rPr>
          <w:rFonts w:ascii="Arial" w:hAnsi="Arial"/>
          <w:sz w:val="22"/>
          <w:szCs w:val="22"/>
        </w:rPr>
        <w:t>9.2) years</w:t>
      </w:r>
      <w:r>
        <w:rPr>
          <w:rFonts w:ascii="Arial" w:hAnsi="Arial"/>
          <w:sz w:val="22"/>
          <w:szCs w:val="22"/>
        </w:rPr>
        <w:t xml:space="preserve"> vs. 68 (SD=6.8) for the rest of the cohort</w:t>
      </w:r>
      <w:r w:rsidRPr="00FC154D">
        <w:rPr>
          <w:rFonts w:ascii="Arial" w:hAnsi="Arial"/>
          <w:sz w:val="22"/>
          <w:szCs w:val="22"/>
        </w:rPr>
        <w:t xml:space="preserve">. </w:t>
      </w:r>
      <w:r>
        <w:rPr>
          <w:rFonts w:ascii="Arial" w:hAnsi="Arial"/>
          <w:sz w:val="22"/>
          <w:szCs w:val="22"/>
        </w:rPr>
        <w:t>Three</w:t>
      </w:r>
      <w:r w:rsidRPr="00FC154D">
        <w:rPr>
          <w:rFonts w:ascii="Arial" w:hAnsi="Arial"/>
          <w:sz w:val="22"/>
          <w:szCs w:val="22"/>
        </w:rPr>
        <w:t xml:space="preserve"> </w:t>
      </w:r>
      <w:r>
        <w:rPr>
          <w:rFonts w:ascii="Arial" w:hAnsi="Arial"/>
          <w:sz w:val="22"/>
          <w:szCs w:val="22"/>
        </w:rPr>
        <w:t xml:space="preserve">of the ten patients with ciprofloxacin-resistant isolates </w:t>
      </w:r>
      <w:r w:rsidRPr="00FC154D">
        <w:rPr>
          <w:rFonts w:ascii="Arial" w:hAnsi="Arial"/>
          <w:sz w:val="22"/>
          <w:szCs w:val="22"/>
        </w:rPr>
        <w:t>ha</w:t>
      </w:r>
      <w:r>
        <w:rPr>
          <w:rFonts w:ascii="Arial" w:hAnsi="Arial"/>
          <w:sz w:val="22"/>
          <w:szCs w:val="22"/>
        </w:rPr>
        <w:t>d</w:t>
      </w:r>
      <w:r w:rsidRPr="00FC154D">
        <w:rPr>
          <w:rFonts w:ascii="Arial" w:hAnsi="Arial"/>
          <w:sz w:val="22"/>
          <w:szCs w:val="22"/>
        </w:rPr>
        <w:t xml:space="preserve"> a possible risk factor (2 travel abroad</w:t>
      </w:r>
      <w:r>
        <w:rPr>
          <w:rFonts w:ascii="Arial" w:hAnsi="Arial"/>
          <w:sz w:val="22"/>
          <w:szCs w:val="22"/>
        </w:rPr>
        <w:t>,</w:t>
      </w:r>
      <w:r w:rsidRPr="00FC154D">
        <w:rPr>
          <w:rFonts w:ascii="Arial" w:hAnsi="Arial"/>
          <w:sz w:val="22"/>
          <w:szCs w:val="22"/>
        </w:rPr>
        <w:t xml:space="preserve"> </w:t>
      </w:r>
      <w:r>
        <w:rPr>
          <w:rFonts w:ascii="Arial" w:hAnsi="Arial"/>
          <w:sz w:val="22"/>
          <w:szCs w:val="22"/>
        </w:rPr>
        <w:t>1</w:t>
      </w:r>
      <w:r w:rsidRPr="00FC154D">
        <w:rPr>
          <w:rFonts w:ascii="Arial" w:hAnsi="Arial"/>
          <w:sz w:val="22"/>
          <w:szCs w:val="22"/>
        </w:rPr>
        <w:t xml:space="preserve"> with previous antibiotic treatme</w:t>
      </w:r>
      <w:r>
        <w:rPr>
          <w:rFonts w:ascii="Arial" w:hAnsi="Arial"/>
          <w:sz w:val="22"/>
          <w:szCs w:val="22"/>
        </w:rPr>
        <w:t>nt</w:t>
      </w:r>
      <w:r w:rsidRPr="00FC154D">
        <w:rPr>
          <w:rFonts w:ascii="Arial" w:hAnsi="Arial"/>
          <w:sz w:val="22"/>
          <w:szCs w:val="22"/>
        </w:rPr>
        <w:t>)</w:t>
      </w:r>
      <w:r>
        <w:rPr>
          <w:rFonts w:ascii="Arial" w:hAnsi="Arial"/>
          <w:sz w:val="22"/>
          <w:szCs w:val="22"/>
        </w:rPr>
        <w:t xml:space="preserve"> as </w:t>
      </w:r>
      <w:r w:rsidRPr="00FC154D">
        <w:rPr>
          <w:rFonts w:ascii="Arial" w:hAnsi="Arial"/>
          <w:sz w:val="22"/>
          <w:szCs w:val="22"/>
        </w:rPr>
        <w:t xml:space="preserve">shown in </w:t>
      </w:r>
      <w:r>
        <w:rPr>
          <w:rFonts w:ascii="Arial" w:hAnsi="Arial"/>
          <w:sz w:val="22"/>
          <w:szCs w:val="22"/>
        </w:rPr>
        <w:t>Table 1</w:t>
      </w:r>
      <w:r w:rsidRPr="00FC154D">
        <w:rPr>
          <w:rFonts w:ascii="Arial" w:hAnsi="Arial"/>
          <w:sz w:val="22"/>
          <w:szCs w:val="22"/>
        </w:rPr>
        <w:t xml:space="preserve">. </w:t>
      </w:r>
      <w:r>
        <w:rPr>
          <w:rFonts w:ascii="Arial" w:hAnsi="Arial"/>
          <w:sz w:val="22"/>
          <w:szCs w:val="22"/>
        </w:rPr>
        <w:t>Full a</w:t>
      </w:r>
      <w:r w:rsidRPr="00FC154D">
        <w:rPr>
          <w:rFonts w:ascii="Arial" w:hAnsi="Arial"/>
          <w:sz w:val="22"/>
          <w:szCs w:val="22"/>
        </w:rPr>
        <w:t xml:space="preserve">ntimicrobial </w:t>
      </w:r>
      <w:r>
        <w:rPr>
          <w:rFonts w:ascii="Arial" w:hAnsi="Arial"/>
          <w:sz w:val="22"/>
          <w:szCs w:val="22"/>
        </w:rPr>
        <w:t>susceptibility</w:t>
      </w:r>
      <w:r w:rsidRPr="00FC154D">
        <w:rPr>
          <w:rFonts w:ascii="Arial" w:hAnsi="Arial"/>
          <w:sz w:val="22"/>
          <w:szCs w:val="22"/>
        </w:rPr>
        <w:t xml:space="preserve"> patterns of </w:t>
      </w:r>
      <w:r>
        <w:rPr>
          <w:rFonts w:ascii="Arial" w:hAnsi="Arial"/>
          <w:sz w:val="22"/>
          <w:szCs w:val="22"/>
        </w:rPr>
        <w:t xml:space="preserve">the 10 ciprofloxacin-resistant </w:t>
      </w:r>
      <w:r w:rsidRPr="00FC154D">
        <w:rPr>
          <w:rFonts w:ascii="Arial" w:hAnsi="Arial"/>
          <w:sz w:val="22"/>
          <w:szCs w:val="22"/>
        </w:rPr>
        <w:t xml:space="preserve">isolates are shown in Table </w:t>
      </w:r>
      <w:r>
        <w:rPr>
          <w:rFonts w:ascii="Arial" w:hAnsi="Arial"/>
          <w:sz w:val="22"/>
          <w:szCs w:val="22"/>
        </w:rPr>
        <w:t>2: meropenem retained activity against all 10 isolates as did ertapenem, amikacin and tigecycline, with gentamicin active against 9/10 tested.</w:t>
      </w:r>
    </w:p>
    <w:p w:rsidR="00E50FA4" w:rsidRDefault="00EE6561" w:rsidP="0058637D">
      <w:pPr>
        <w:widowControl w:val="0"/>
        <w:autoSpaceDE w:val="0"/>
        <w:autoSpaceDN w:val="0"/>
        <w:adjustRightInd w:val="0"/>
        <w:spacing w:after="0" w:line="360" w:lineRule="auto"/>
        <w:rPr>
          <w:rFonts w:ascii="Arial" w:hAnsi="Arial"/>
          <w:sz w:val="22"/>
          <w:szCs w:val="22"/>
        </w:rPr>
      </w:pPr>
      <w:r>
        <w:rPr>
          <w:rFonts w:ascii="Arial" w:hAnsi="Arial"/>
          <w:sz w:val="22"/>
          <w:szCs w:val="22"/>
        </w:rPr>
        <w:tab/>
        <w:t xml:space="preserve">.Within the 6-month follow-up period, seven patients were diagnosed with uncomplicated urinary tract infections.   None of these patients had ciprofloxacin-resistant </w:t>
      </w:r>
      <w:r w:rsidR="00E50FA4">
        <w:rPr>
          <w:rFonts w:ascii="Arial" w:hAnsi="Arial"/>
          <w:sz w:val="22"/>
          <w:szCs w:val="22"/>
        </w:rPr>
        <w:t xml:space="preserve">Enterobacteriaceae </w:t>
      </w:r>
      <w:r>
        <w:rPr>
          <w:rFonts w:ascii="Arial" w:hAnsi="Arial"/>
          <w:sz w:val="22"/>
          <w:szCs w:val="22"/>
        </w:rPr>
        <w:t xml:space="preserve">in their original rectal swabs. Five grew </w:t>
      </w:r>
      <w:r w:rsidR="00E50FA4">
        <w:rPr>
          <w:rFonts w:ascii="Arial" w:hAnsi="Arial"/>
          <w:sz w:val="22"/>
          <w:szCs w:val="22"/>
        </w:rPr>
        <w:t xml:space="preserve">Enterobacteriaceae </w:t>
      </w:r>
      <w:r>
        <w:rPr>
          <w:rFonts w:ascii="Arial" w:hAnsi="Arial"/>
          <w:sz w:val="22"/>
          <w:szCs w:val="22"/>
        </w:rPr>
        <w:t>on urine culture but none of these showed multiple resistance; the remaining two patients yielded heavy mixed growth, meaning that infection was not microbiologically confirmed (Table 3).</w:t>
      </w:r>
    </w:p>
    <w:p w:rsidR="00F51533" w:rsidRDefault="00F51533">
      <w:pPr>
        <w:widowControl w:val="0"/>
        <w:autoSpaceDE w:val="0"/>
        <w:autoSpaceDN w:val="0"/>
        <w:adjustRightInd w:val="0"/>
        <w:spacing w:after="0" w:line="360" w:lineRule="auto"/>
        <w:rPr>
          <w:b/>
          <w:sz w:val="22"/>
        </w:rPr>
      </w:pPr>
    </w:p>
    <w:p w:rsidR="00F51533" w:rsidRDefault="00A71304">
      <w:pPr>
        <w:spacing w:after="0" w:line="360" w:lineRule="auto"/>
        <w:rPr>
          <w:rFonts w:ascii="Arial" w:hAnsi="Arial"/>
          <w:b/>
          <w:sz w:val="24"/>
          <w:szCs w:val="24"/>
        </w:rPr>
      </w:pPr>
      <w:r w:rsidRPr="00A71304">
        <w:rPr>
          <w:rFonts w:ascii="Arial" w:hAnsi="Arial"/>
          <w:b/>
          <w:sz w:val="24"/>
          <w:szCs w:val="24"/>
        </w:rPr>
        <w:t>Discussion</w:t>
      </w:r>
    </w:p>
    <w:p w:rsidR="00F51533" w:rsidRDefault="00A71304">
      <w:pPr>
        <w:spacing w:after="0" w:line="360" w:lineRule="auto"/>
        <w:rPr>
          <w:rFonts w:ascii="Arial" w:hAnsi="Arial"/>
          <w:sz w:val="22"/>
          <w:szCs w:val="22"/>
        </w:rPr>
      </w:pPr>
      <w:r w:rsidRPr="00A71304">
        <w:rPr>
          <w:rFonts w:ascii="Arial" w:hAnsi="Arial"/>
          <w:sz w:val="22"/>
          <w:szCs w:val="22"/>
        </w:rPr>
        <w:t xml:space="preserve">Ciprofloxacin is widely used as the prophylactic antibiotic of choice for TRUS biopsy </w:t>
      </w:r>
      <w:r w:rsidRPr="00A71304">
        <w:rPr>
          <w:rFonts w:ascii="Arial" w:hAnsi="Arial"/>
          <w:sz w:val="22"/>
          <w:szCs w:val="22"/>
        </w:rPr>
        <w:fldChar w:fldCharType="begin"/>
      </w:r>
      <w:r w:rsidRPr="00A71304">
        <w:rPr>
          <w:rFonts w:ascii="Arial" w:hAnsi="Arial"/>
          <w:sz w:val="22"/>
          <w:szCs w:val="22"/>
        </w:rPr>
        <w:instrText xml:space="preserve"> ADDIN PAPERS2_CITATIONS &lt;citation&gt;&lt;uuid&gt;9AB63888-CF27-4BA2-A2AC-F9EFD04C4C56&lt;/uuid&gt;&lt;priority&gt;7&lt;/priority&gt;&lt;publications&gt;&lt;publication&gt;&lt;uuid&gt;736B9B4D-2F27-4061-956F-C82423F6E3F3&lt;/uuid&gt;&lt;volume&gt;101&lt;/volume&gt;&lt;doi&gt;10.1111/j.1464-410X.2008.07554.x&lt;/doi&gt;&lt;startpage&gt;1201&lt;/startpage&gt;&lt;publication_date&gt;99200805001200000000220000&lt;/publication_date&gt;&lt;url&gt;http://eutils.ncbi.nlm.nih.gov/entrez/eutils/elink.fcgi?dbfrom=pubmed&amp;amp;id=18336605&amp;amp;retmode=ref&amp;amp;cmd=prlinks&lt;/url&gt;&lt;type&gt;400&lt;/type&gt;&lt;title&gt;Infections after prostate biopsy and antibiotic resistance.&lt;/title&gt;&lt;institution&gt;Department of Radiology, St. George's Hospital, London, UK. uday.patel@stgeorges.nhs.uk&lt;/institution&gt;&lt;number&gt;10&lt;/number&gt;&lt;subtype&gt;400&lt;/subtype&gt;&lt;endpage&gt;1202&lt;/endpage&gt;&lt;bundle&gt;&lt;publication&gt;&lt;title&gt;BJU International&lt;/title&gt;&lt;type&gt;-100&lt;/type&gt;&lt;subtype&gt;-100&lt;/subtype&gt;&lt;uuid&gt;992E82CA-2A44-4C5E-954D-3DFBFE8CCFAE&lt;/uuid&gt;&lt;/publication&gt;&lt;/bundle&gt;&lt;authors&gt;&lt;author&gt;&lt;firstName&gt;Uday&lt;/firstName&gt;&lt;lastName&gt;Patel&lt;/lastName&gt;&lt;/author&gt;&lt;author&gt;&lt;firstName&gt;Roger&lt;/firstName&gt;&lt;lastName&gt;Kirby&lt;/lastName&gt;&lt;/author&gt;&lt;/authors&gt;&lt;/publication&gt;&lt;/publications&gt;&lt;cites&gt;&lt;/cites&gt;&lt;/citation&gt;</w:instrText>
      </w:r>
      <w:r w:rsidRPr="00A71304">
        <w:rPr>
          <w:rFonts w:ascii="Arial" w:hAnsi="Arial"/>
          <w:sz w:val="22"/>
          <w:szCs w:val="22"/>
        </w:rPr>
        <w:fldChar w:fldCharType="separate"/>
      </w:r>
      <w:r w:rsidRPr="00A71304">
        <w:rPr>
          <w:rFonts w:ascii="Arial" w:hAnsi="Arial"/>
          <w:sz w:val="22"/>
          <w:szCs w:val="22"/>
        </w:rPr>
        <w:t>(14)</w:t>
      </w:r>
      <w:r w:rsidRPr="00A71304">
        <w:rPr>
          <w:rFonts w:ascii="Arial" w:hAnsi="Arial"/>
          <w:sz w:val="22"/>
          <w:szCs w:val="22"/>
        </w:rPr>
        <w:fldChar w:fldCharType="end"/>
      </w:r>
      <w:r w:rsidRPr="00A71304">
        <w:rPr>
          <w:rFonts w:ascii="Arial" w:hAnsi="Arial"/>
          <w:sz w:val="22"/>
          <w:szCs w:val="22"/>
        </w:rPr>
        <w:t xml:space="preserve">, reflecting its efficacy and good prostatic penetration. However reports of increasing resistance to the drug, and a rise in </w:t>
      </w:r>
      <w:r w:rsidRPr="00A71304">
        <w:rPr>
          <w:rFonts w:ascii="Arial" w:hAnsi="Arial"/>
          <w:i/>
          <w:sz w:val="22"/>
          <w:szCs w:val="22"/>
        </w:rPr>
        <w:t>Clostridium difficile</w:t>
      </w:r>
      <w:r w:rsidRPr="00A71304">
        <w:rPr>
          <w:rFonts w:ascii="Arial" w:hAnsi="Arial"/>
          <w:sz w:val="22"/>
          <w:szCs w:val="22"/>
        </w:rPr>
        <w:t xml:space="preserve"> infections linked to fluoroquinolone use </w:t>
      </w:r>
      <w:r w:rsidRPr="00A71304">
        <w:rPr>
          <w:rFonts w:ascii="Arial" w:hAnsi="Arial"/>
          <w:sz w:val="22"/>
          <w:szCs w:val="22"/>
        </w:rPr>
        <w:fldChar w:fldCharType="begin"/>
      </w:r>
      <w:r w:rsidRPr="00A71304">
        <w:rPr>
          <w:rFonts w:ascii="Arial" w:hAnsi="Arial"/>
          <w:sz w:val="22"/>
          <w:szCs w:val="22"/>
        </w:rPr>
        <w:instrText xml:space="preserve"> ADDIN PAPERS2_CITATIONS &lt;citation&gt;&lt;uuid&gt;D7E50A3F-22FE-47FF-8491-311FCE74D7CB&lt;/uuid&gt;&lt;priority&gt;8&lt;/priority&gt;&lt;publications&gt;&lt;publication&gt;&lt;volume&gt;54&lt;/volume&gt;&lt;publication_date&gt;99200409291200000000222000&lt;/publication_date&gt;&lt;number&gt;5&lt;/number&gt;&lt;doi&gt;10.1093/jac/dkh448&lt;/doi&gt;&lt;startpage&gt;952&lt;/startpage&gt;&lt;title&gt;Antibiotic resistance of faecal Escherichia coli from healthy volunteers from eight developing countries&lt;/title&gt;&lt;uuid&gt;2F6884D1-21C3-41DA-B559-6882A19E69FB&lt;/uuid&gt;&lt;subtype&gt;400&lt;/subtype&gt;&lt;endpage&gt;955&lt;/endpage&gt;&lt;type&gt;400&lt;/type&gt;&lt;url&gt;http://www.jac.oupjournals.org/cgi/doi/10.1093/jac/dkh448&lt;/url&gt;&lt;bundle&gt;&lt;publication&gt;&lt;title&gt;Journal of Antimicrobial Chemotherapy&lt;/title&gt;&lt;type&gt;-100&lt;/type&gt;&lt;subtype&gt;-100&lt;/subtype&gt;&lt;uuid&gt;101E02B3-9D38-4FA7-9756-0565F655EB57&lt;/uuid&gt;&lt;/publication&gt;&lt;/bundle&gt;&lt;authors&gt;&lt;author&gt;&lt;firstName&gt;S&lt;/firstName&gt;&lt;lastName&gt;Nys&lt;/lastName&gt;&lt;/author&gt;&lt;/authors&gt;&lt;/publication&gt;&lt;publication&gt;&lt;uuid&gt;B295B543-8618-4F82-B9C1-2D1C2872ADA8&lt;/uuid&gt;&lt;volume&gt;106&lt;/volume&gt;&lt;doi&gt;10.1111/j.1464-410X.2010.09294.x&lt;/doi&gt;&lt;subtitle&gt;ANTIMICROBIAL RESISTANCE IN INTESTINAL FLORA OF PATIENTS UNDERGOING PROSTATIC BIOPSY&lt;/subtitle&gt;&lt;startpage&gt;1017&lt;/startpage&gt;&lt;publication_date&gt;99201009141200000000222000&lt;/publication_date&gt;&lt;url&gt;http://doi.wiley.com/10.1111/j.1464-410X.2010.09294.x&lt;/url&gt;&lt;type&gt;400&lt;/type&gt;&lt;title&gt;Prevalence of antimicrobial resistance in intestinal flora of patients undergoing prostatic biopsy: implications for prophylaxis and treatment of infections after biopsy&lt;/title&gt;&lt;number&gt;7&lt;/number&gt;&lt;subtype&gt;400&lt;/subtype&gt;&lt;endpage&gt;1020&lt;/endpage&gt;&lt;bundle&gt;&lt;publication&gt;&lt;title&gt;BJU International&lt;/title&gt;&lt;type&gt;-100&lt;/type&gt;&lt;subtype&gt;-100&lt;/subtype&gt;&lt;uuid&gt;992E82CA-2A44-4C5E-954D-3DFBFE8CCFAE&lt;/uuid&gt;&lt;/publication&gt;&lt;/bundle&gt;&lt;authors&gt;&lt;author&gt;&lt;firstName&gt;Deepak&lt;/firstName&gt;&lt;lastName&gt;Batura&lt;/lastName&gt;&lt;/author&gt;&lt;author&gt;&lt;firstName&gt;G&lt;/firstName&gt;&lt;middleNames&gt;Gopal&lt;/middleNames&gt;&lt;lastName&gt;Rao&lt;/lastName&gt;&lt;/author&gt;&lt;author&gt;&lt;firstName&gt;Peder&lt;/firstName&gt;&lt;middleNames&gt;Bo&lt;/middleNames&gt;&lt;lastName&gt;Nielsen&lt;/lastName&gt;&lt;/author&gt;&lt;/authors&gt;&lt;/publication&gt;&lt;publication&gt;&lt;publication_date&gt;99200500001200000000200000&lt;/publication_date&gt;&lt;title&gt;A Large Outbreak of Clostridium difficile</w:instrText>
      </w:r>
      <w:r w:rsidRPr="00A71304">
        <w:rPr>
          <w:rFonts w:ascii="Myriad Pro Semibold SemiExt It" w:hAnsi="Myriad Pro Semibold SemiExt It" w:cs="Myriad Pro Semibold SemiExt It"/>
          <w:sz w:val="22"/>
          <w:szCs w:val="22"/>
        </w:rPr>
        <w:instrText>‐</w:instrText>
      </w:r>
      <w:r w:rsidRPr="00A71304">
        <w:rPr>
          <w:rFonts w:ascii="Arial" w:hAnsi="Arial"/>
          <w:sz w:val="22"/>
          <w:szCs w:val="22"/>
        </w:rPr>
        <w:instrText>Associated Disease With an Unexpected Proportion of Deaths and Colectomies at a Teaching Hospital Following Increased Fluoroquinolone Use&lt;/title&gt;&lt;uuid&gt;F0B69331-CBBE-407B-800F-8B7E2132D0B3&lt;/uuid&gt;&lt;subtype&gt;400&lt;/subtype&gt;&lt;publisher&gt; The University of Chicago Press &lt;/publisher&gt;&lt;type&gt;400&lt;/type&gt;&lt;url&gt;http://www.jstor.org/stable/10.1086/502539&lt;/url&gt;&lt;bundle&gt;&lt;publication&gt;&lt;publisher&gt; The University of Chicago Press &lt;/publisher&gt;&lt;url&gt;http://dx.doi.org&lt;/url&gt;&lt;title&gt;dx.doi.org&lt;/title&gt;&lt;type&gt;-100&lt;/type&gt;&lt;subtype&gt;-100&lt;/subtype&gt;&lt;uuid&gt;90079979-572F-46BF-9B3C-1BB053447F29&lt;/uuid&gt;&lt;/publication&gt;&lt;/bundle&gt;&lt;authors&gt;&lt;author&gt;&lt;firstName&gt;MD&lt;/firstName&gt;&lt;middleNames&gt;MS&lt;/middleNames&gt;&lt;lastName&gt;Carlene A Muto&lt;/lastName&gt;&lt;/author&gt;&lt;author&gt;&lt;firstName&gt;MPH&lt;/firstName&gt;&lt;middleNames&gt;BS CIC&lt;/middleNames&gt;&lt;lastName&gt;Marian Pokrywka&lt;/lastName&gt;&lt;/author&gt;&lt;author&gt;&lt;firstName&gt;M&lt;/firstName&gt;&lt;middleNames&gt;S&lt;/middleNames&gt;&lt;lastName&gt;Kathleen Shutt&lt;/lastName&gt;&lt;/author&gt;&lt;author&gt;&lt;firstName&gt;PhD&lt;/firstName&gt;&lt;lastName&gt;Aaron B Mendelsohn&lt;/lastName&gt;&lt;/author&gt;&lt;author&gt;&lt;firstName&gt;MPH&lt;/firstName&gt;&lt;middleNames&gt;RN BSN CIC&lt;/middleNames&gt;&lt;lastName&gt;Kathy Nouri&lt;/lastName&gt;&lt;/author&gt;&lt;author&gt;&lt;firstName&gt;MPH&lt;/firstName&gt;&lt;middleNames&gt;BS CIC&lt;/middleNames&gt;&lt;lastName&gt;Kathy Posey&lt;/lastName&gt;&lt;/author&gt;&lt;author&gt;&lt;firstName&gt;BS&lt;/firstName&gt;&lt;middleNames&gt;CIC&lt;/middleNames&gt;&lt;lastName&gt;Terri Roberts&lt;/lastName&gt;&lt;/author&gt;&lt;author&gt;&lt;firstName&gt;BS&lt;/firstName&gt;&lt;middleNames&gt;CIC&lt;/middleNames&gt;&lt;lastName&gt;Karen Croyle&lt;/lastName&gt;&lt;/author&gt;&lt;author&gt;&lt;firstName&gt;MPH&lt;/firstName&gt;&lt;middleNames&gt;MS CIC&lt;/middleNames&gt;&lt;lastName&gt;Sharon Krystofiak&lt;/lastName&gt;&lt;/author&gt;&lt;author&gt;&lt;firstName&gt;B&lt;/firstName&gt;&lt;middleNames&gt;S&lt;/middleNames&gt;&lt;lastName&gt;Sujata Patel Brown&lt;/lastName&gt;&lt;/author&gt;&lt;author&gt;&lt;firstName&gt;ScD&lt;/firstName&gt;&lt;lastName&gt;A William Pasculle&lt;/lastName&gt;&lt;/author&gt;&lt;author&gt;&lt;firstName&gt;M&lt;/firstName&gt;&lt;middleNames&gt;D&lt;/middleNames&gt;&lt;lastName&gt;David L Paterson&lt;/lastName&gt;&lt;/author&gt;&lt;author&gt;&lt;firstName&gt;M&lt;/firstName&gt;&lt;middleNames&gt;S&lt;/middleNames&gt;&lt;lastName&gt;Melissa Saul&lt;/lastName&gt;&lt;/author&gt;&lt;author&gt;&lt;firstName&gt;M&lt;/firstName&gt;&lt;middleNames&gt;D&lt;/middleNames&gt;&lt;lastName&gt;Lee H Harrison&lt;/lastName&gt;&lt;/author&gt;&lt;/authors&gt;&lt;/publication&gt;&lt;/publications&gt;&lt;cites&gt;&lt;/cites&gt;&lt;/citation&gt;</w:instrText>
      </w:r>
      <w:r w:rsidRPr="00A71304">
        <w:rPr>
          <w:rFonts w:ascii="Arial" w:hAnsi="Arial"/>
          <w:sz w:val="22"/>
          <w:szCs w:val="22"/>
        </w:rPr>
        <w:fldChar w:fldCharType="separate"/>
      </w:r>
      <w:r w:rsidRPr="00A71304">
        <w:rPr>
          <w:rFonts w:ascii="Arial" w:hAnsi="Arial"/>
          <w:sz w:val="22"/>
          <w:szCs w:val="22"/>
        </w:rPr>
        <w:t>(15-17)</w:t>
      </w:r>
      <w:r w:rsidRPr="00A71304">
        <w:rPr>
          <w:rFonts w:ascii="Arial" w:hAnsi="Arial"/>
          <w:sz w:val="22"/>
          <w:szCs w:val="22"/>
        </w:rPr>
        <w:fldChar w:fldCharType="end"/>
      </w:r>
      <w:r w:rsidRPr="00A71304">
        <w:rPr>
          <w:rFonts w:ascii="Arial" w:hAnsi="Arial"/>
          <w:sz w:val="22"/>
          <w:szCs w:val="22"/>
        </w:rPr>
        <w:t xml:space="preserve">, have led some hospitals to replace or supplement ciprofloxacin with other antibiotics, though not always successfully. In Cambridge, 56 miles from </w:t>
      </w:r>
      <w:r w:rsidR="00EE6561" w:rsidRPr="0058637D">
        <w:rPr>
          <w:rFonts w:ascii="Arial" w:hAnsi="Arial"/>
          <w:sz w:val="22"/>
          <w:szCs w:val="22"/>
        </w:rPr>
        <w:t xml:space="preserve">Norwich, </w:t>
      </w:r>
      <w:r w:rsidRPr="00A71304">
        <w:rPr>
          <w:rFonts w:ascii="Arial" w:hAnsi="Arial"/>
          <w:sz w:val="22"/>
          <w:szCs w:val="22"/>
        </w:rPr>
        <w:t>the incidence of post-TRUS infections rose to 12.9% among patients receiving amoxicillin-clavulanate plus gentamicin as prophylaxis compared with 2.4% among those receiving ciprofloxacin in the immediately previous period. This finding led to</w:t>
      </w:r>
      <w:r w:rsidR="00EE6561">
        <w:rPr>
          <w:rFonts w:ascii="Arial" w:hAnsi="Arial"/>
          <w:sz w:val="22"/>
          <w:szCs w:val="22"/>
        </w:rPr>
        <w:t xml:space="preserve"> </w:t>
      </w:r>
      <w:r w:rsidR="00EE6561">
        <w:rPr>
          <w:rFonts w:ascii="Arial" w:hAnsi="Arial"/>
          <w:color w:val="000000" w:themeColor="text1"/>
          <w:sz w:val="22"/>
          <w:szCs w:val="22"/>
        </w:rPr>
        <w:t>the</w:t>
      </w:r>
      <w:r w:rsidRPr="00A71304">
        <w:rPr>
          <w:rFonts w:ascii="Arial" w:hAnsi="Arial"/>
          <w:sz w:val="22"/>
          <w:szCs w:val="22"/>
        </w:rPr>
        <w:t xml:space="preserve"> re-adoption of the ciprofloxacin regimen </w:t>
      </w:r>
      <w:r w:rsidRPr="00A71304">
        <w:rPr>
          <w:rFonts w:ascii="Arial" w:hAnsi="Arial"/>
          <w:sz w:val="22"/>
          <w:szCs w:val="22"/>
        </w:rPr>
        <w:fldChar w:fldCharType="begin"/>
      </w:r>
      <w:r w:rsidRPr="00A71304">
        <w:rPr>
          <w:rFonts w:ascii="Arial" w:hAnsi="Arial"/>
          <w:sz w:val="22"/>
          <w:szCs w:val="22"/>
        </w:rPr>
        <w:instrText xml:space="preserve"> ADDIN PAPERS2_CITATIONS &lt;citation&gt;&lt;uuid&gt;5F8B8CB7-9C6F-45AD-8A48-D8F145161F71&lt;/uuid&gt;&lt;priority&gt;9&lt;/priority&gt;&lt;publications&gt;&lt;publication&gt;&lt;uuid&gt;0DEDFA80-263C-4D2C-AC5D-BBEA76B3D09A&lt;/uuid&gt;&lt;volume&gt;108&lt;/volume&gt;&lt;doi&gt;10.1111/j.1464-410X.2011.10160.x&lt;/doi&gt;&lt;subtitle&gt;INFECTIVE COMPLICATIONS AFTER PROSTATE BIOPSY’&lt;/subtitle&gt;&lt;startpage&gt;1597&lt;/startpage&gt;&lt;publication_date&gt;99201105181200000000222000&lt;/publication_date&gt;&lt;url&gt;http://doi.wiley.com/10.1111/j.1464-410X.2011.10160.x&lt;/url&gt;&lt;type&gt;400&lt;/type&gt;&lt;title&gt;Infective complications after transrectal ultrasound-guided prostate biopsy following a new protocol for antibiotic prophylaxis aimed at reducing hospital-acquired infections&lt;/title&gt;&lt;number&gt;10&lt;/number&gt;&lt;subtype&gt;400&lt;/subtype&gt;&lt;endpage&gt;1602&lt;/endpage&gt;&lt;bundle&gt;&lt;publication&gt;&lt;title&gt;BJU International&lt;/title&gt;&lt;type&gt;-100&lt;/type&gt;&lt;subtype&gt;-100&lt;/subtype&gt;&lt;uuid&gt;992E82CA-2A44-4C5E-954D-3DFBFE8CCFAE&lt;/uuid&gt;&lt;/publication&gt;&lt;/bundle&gt;&lt;authors&gt;&lt;author&gt;&lt;firstName&gt;Thomas&lt;/firstName&gt;&lt;lastName&gt;Madden&lt;/lastName&gt;&lt;/author&gt;&lt;author&gt;&lt;firstName&gt;Andrew&lt;/firstName&gt;&lt;lastName&gt;Doble&lt;/lastName&gt;&lt;/author&gt;&lt;author&gt;&lt;firstName&gt;Sani&lt;/firstName&gt;&lt;middleNames&gt;H&lt;/middleNames&gt;&lt;lastName&gt;Aliyu&lt;/lastName&gt;&lt;/author&gt;&lt;author&gt;&lt;firstName&gt;David&lt;/firstName&gt;&lt;middleNames&gt;E&lt;/middleNames&gt;&lt;lastName&gt;Neal&lt;/lastName&gt;&lt;/author&gt;&lt;/authors&gt;&lt;/publication&gt;&lt;/publications&gt;&lt;cites&gt;&lt;/cites&gt;&lt;/citation&gt;</w:instrText>
      </w:r>
      <w:r w:rsidRPr="00A71304">
        <w:rPr>
          <w:rFonts w:ascii="Arial" w:hAnsi="Arial"/>
          <w:sz w:val="22"/>
          <w:szCs w:val="22"/>
        </w:rPr>
        <w:fldChar w:fldCharType="separate"/>
      </w:r>
      <w:r w:rsidRPr="00A71304">
        <w:rPr>
          <w:rFonts w:ascii="Arial" w:hAnsi="Arial"/>
          <w:sz w:val="22"/>
          <w:szCs w:val="22"/>
        </w:rPr>
        <w:t>(18)</w:t>
      </w:r>
      <w:r w:rsidRPr="00A71304">
        <w:rPr>
          <w:rFonts w:ascii="Arial" w:hAnsi="Arial"/>
          <w:sz w:val="22"/>
          <w:szCs w:val="22"/>
        </w:rPr>
        <w:fldChar w:fldCharType="end"/>
      </w:r>
      <w:r w:rsidRPr="00A71304">
        <w:rPr>
          <w:rFonts w:ascii="Arial" w:hAnsi="Arial"/>
          <w:sz w:val="22"/>
          <w:szCs w:val="22"/>
        </w:rPr>
        <w:t xml:space="preserve">. Similarly, at Bury St Edmunds 42 miles from Norwich and 28 miles from Cambridge, ciprofloxacin prophylaxis was more effective in comparison to amoxicillin-clavulanate (infection rate 1.68% for ciprofloxacin vs 7.27% amoxicillin-clavulanate) and, again, these findings led to the re-adoption of the fluoroquinolone regimen </w:t>
      </w:r>
      <w:r w:rsidRPr="00A71304">
        <w:rPr>
          <w:rFonts w:ascii="Arial" w:hAnsi="Arial"/>
          <w:sz w:val="22"/>
          <w:szCs w:val="22"/>
        </w:rPr>
        <w:fldChar w:fldCharType="begin"/>
      </w:r>
      <w:r w:rsidRPr="00A71304">
        <w:rPr>
          <w:rFonts w:ascii="Arial" w:hAnsi="Arial"/>
          <w:sz w:val="22"/>
          <w:szCs w:val="22"/>
        </w:rPr>
        <w:instrText xml:space="preserve"> ADDIN PAPERS2_CITATIONS &lt;citation&gt;&lt;uuid&gt;D9FD2F9C-FA75-402B-B74A-466F8CCFA890&lt;/uuid&gt;&lt;priority&gt;10&lt;/priority&gt;&lt;publications&gt;&lt;publication&gt;&lt;uuid&gt;08C1EC7E-ECBA-4BAD-90FE-D4190C4DD89F&lt;/uuid&gt;&lt;volume&gt;106&lt;/volume&gt;&lt;doi&gt;10.1111/j.1464-410X.2010.09416.x&lt;/doi&gt;&lt;subtitle&gt;CHANGING ANTIBIOTIC PROPHYLAXIS FOR TRUSgpb&lt;/subtitle&gt;&lt;startpage&gt;1298&lt;/startpage&gt;&lt;publication_date&gt;99201005281200000000222000&lt;/publication_date&gt;&lt;url&gt;http://doi.wiley.com/10.1111/j.1464-410X.2010.09416.x&lt;/url&gt;&lt;type&gt;400&lt;/type&gt;&lt;title&gt;Changing antibiotic prophylaxis for transrectal ultrasound-guided prostate biopsies: are we putting our patients at risk?&lt;/title&gt;&lt;number&gt;9&lt;/number&gt;&lt;subtype&gt;400&lt;/subtype&gt;&lt;endpage&gt;1302&lt;/endpage&gt;&lt;bundle&gt;&lt;publication&gt;&lt;title&gt;BJU International&lt;/title&gt;&lt;type&gt;-100&lt;/type&gt;&lt;subtype&gt;-100&lt;/subtype&gt;&lt;uuid&gt;992E82CA-2A44-4C5E-954D-3DFBFE8CCFAE&lt;/uuid&gt;&lt;/publication&gt;&lt;/bundle&gt;&lt;authors&gt;&lt;author&gt;&lt;firstName&gt;Satoshi&lt;/firstName&gt;&lt;lastName&gt;Hori&lt;/lastName&gt;&lt;/author&gt;&lt;author&gt;&lt;firstName&gt;Anup&lt;/firstName&gt;&lt;lastName&gt;Sengupta&lt;/lastName&gt;&lt;/author&gt;&lt;author&gt;&lt;firstName&gt;Alexis&lt;/firstName&gt;&lt;lastName&gt;Joannides&lt;/lastName&gt;&lt;/author&gt;&lt;author&gt;&lt;firstName&gt;Ben&lt;/firstName&gt;&lt;lastName&gt;Balogun-Ojuri&lt;/lastName&gt;&lt;/author&gt;&lt;author&gt;&lt;firstName&gt;Rebecca&lt;/firstName&gt;&lt;lastName&gt;Tilley&lt;/lastName&gt;&lt;/author&gt;&lt;author&gt;&lt;firstName&gt;John&lt;/firstName&gt;&lt;lastName&gt;McLoughlin&lt;/lastName&gt;&lt;/author&gt;&lt;/authors&gt;&lt;/publication&gt;&lt;/publications&gt;&lt;cites&gt;&lt;/cites&gt;&lt;/citation&gt;</w:instrText>
      </w:r>
      <w:r w:rsidRPr="00A71304">
        <w:rPr>
          <w:rFonts w:ascii="Arial" w:hAnsi="Arial"/>
          <w:sz w:val="22"/>
          <w:szCs w:val="22"/>
        </w:rPr>
        <w:fldChar w:fldCharType="separate"/>
      </w:r>
      <w:r w:rsidRPr="00A71304">
        <w:rPr>
          <w:rFonts w:ascii="Arial" w:hAnsi="Arial"/>
          <w:sz w:val="22"/>
          <w:szCs w:val="22"/>
        </w:rPr>
        <w:t>(19)</w:t>
      </w:r>
      <w:r w:rsidRPr="00A71304">
        <w:rPr>
          <w:rFonts w:ascii="Arial" w:hAnsi="Arial"/>
          <w:sz w:val="22"/>
          <w:szCs w:val="22"/>
        </w:rPr>
        <w:fldChar w:fldCharType="end"/>
      </w:r>
      <w:r w:rsidRPr="00A71304">
        <w:rPr>
          <w:rFonts w:ascii="Arial" w:hAnsi="Arial"/>
          <w:sz w:val="22"/>
          <w:szCs w:val="22"/>
        </w:rPr>
        <w:t xml:space="preserve">.  On the other hand, a London hospital that had a post-TRUS biopsy infection rate of 8% despite fluoroquinolone prophylaxis achieved a reduction to 2% after supplementation with a single pre-procedure dose of gentamicin </w:t>
      </w:r>
      <w:r w:rsidRPr="00A71304">
        <w:rPr>
          <w:rFonts w:ascii="Arial" w:hAnsi="Arial"/>
          <w:sz w:val="22"/>
          <w:szCs w:val="22"/>
        </w:rPr>
        <w:fldChar w:fldCharType="begin"/>
      </w:r>
      <w:r w:rsidRPr="00A71304">
        <w:rPr>
          <w:rFonts w:ascii="Arial" w:hAnsi="Arial"/>
          <w:sz w:val="22"/>
          <w:szCs w:val="22"/>
        </w:rPr>
        <w:instrText xml:space="preserve"> ADDIN PAPERS2_CITATIONS &lt;citation&gt;&lt;uuid&gt;1898CD94-9928-4A5C-B142-3B8D2407F013&lt;/uuid&gt;&lt;priority&gt;11&lt;/priority&gt;&lt;publications&gt;&lt;publication&gt;&lt;type&gt;400&lt;/type&gt;&lt;publication_date&gt;99201300001200000000200000&lt;/publication_date&gt;&lt;title&gt;BAUS Annual Meeting, 17–20 June 2013, Manchester Central Poster Sessions&lt;/title&gt;&lt;url&gt;http://onlinelibrary.wiley.com/doi/10.1111/bju.12137/full&lt;/url&gt;&lt;subtype&gt;400&lt;/subtype&gt;&lt;uuid&gt;1268FDF1-B078-4BFE-BE66-72B10748920C&lt;/uuid&gt;&lt;authors&gt;&lt;author&gt;&lt;firstName&gt;U&lt;/firstName&gt;&lt;middleNames&gt;T&lt;/middleNames&gt;&lt;lastName&gt;MALIGNANCY&lt;/lastName&gt;&lt;/author&gt;&lt;/authors&gt;&lt;/publication&gt;&lt;/publications&gt;&lt;cites&gt;&lt;/cites&gt;&lt;/citation&gt;</w:instrText>
      </w:r>
      <w:r w:rsidRPr="00A71304">
        <w:rPr>
          <w:rFonts w:ascii="Arial" w:hAnsi="Arial"/>
          <w:sz w:val="22"/>
          <w:szCs w:val="22"/>
        </w:rPr>
        <w:fldChar w:fldCharType="separate"/>
      </w:r>
      <w:r w:rsidRPr="00A71304">
        <w:rPr>
          <w:rFonts w:ascii="Arial" w:hAnsi="Arial"/>
          <w:sz w:val="22"/>
          <w:szCs w:val="22"/>
        </w:rPr>
        <w:t>(20)</w:t>
      </w:r>
      <w:r w:rsidRPr="00A71304">
        <w:rPr>
          <w:rFonts w:ascii="Arial" w:hAnsi="Arial"/>
          <w:sz w:val="22"/>
          <w:szCs w:val="22"/>
        </w:rPr>
        <w:fldChar w:fldCharType="end"/>
      </w:r>
      <w:r w:rsidRPr="00A71304">
        <w:rPr>
          <w:rFonts w:ascii="Arial" w:hAnsi="Arial"/>
          <w:sz w:val="22"/>
          <w:szCs w:val="22"/>
        </w:rPr>
        <w:t xml:space="preserve">; similar findings were reported in a second London study </w:t>
      </w:r>
      <w:r w:rsidRPr="00A71304">
        <w:rPr>
          <w:rFonts w:ascii="Arial" w:hAnsi="Arial"/>
          <w:sz w:val="22"/>
          <w:szCs w:val="22"/>
        </w:rPr>
        <w:fldChar w:fldCharType="begin"/>
      </w:r>
      <w:r w:rsidRPr="00A71304">
        <w:rPr>
          <w:rFonts w:ascii="Arial" w:hAnsi="Arial"/>
          <w:sz w:val="22"/>
          <w:szCs w:val="22"/>
        </w:rPr>
        <w:instrText xml:space="preserve"> ADDIN PAPERS2_CITATIONS &lt;citation&gt;&lt;uuid&gt;0F098B0F-6797-4E55-8857-82A3533C0744&lt;/uuid&gt;&lt;priority&gt;12&lt;/priority&gt;&lt;publications&gt;&lt;publication&gt;&lt;uuid&gt;2C893B9F-8EF6-4673-A6D4-0FE6CA13822C&lt;/uuid&gt;&lt;volume&gt;107&lt;/volume&gt;&lt;doi&gt;10.1111/j.1464-410X.2010.09715.x&lt;/doi&gt;&lt;subtitle&gt;ANTIMICROBIAL PROPHYLAXIS FOR PROSTATE BIOPSY&lt;/subtitle&gt;&lt;startpage&gt;760&lt;/startpage&gt;&lt;publication_date&gt;99201010041200000000222000&lt;/publication_date&gt;&lt;url&gt;http://doi.wiley.com/10.1111/j.1464-410X.2010.09715.x&lt;/url&gt;&lt;type&gt;400&lt;/type&gt;&lt;title&gt;Adding amikacin to fluoroquinolone-based antimicrobial prophylaxis reduces prostate biopsy infection rates&lt;/title&gt;&lt;number&gt;5&lt;/number&gt;&lt;subtype&gt;400&lt;/subtype&gt;&lt;endpage&gt;764&lt;/endpage&gt;&lt;bundle&gt;&lt;publication&gt;&lt;title&gt;BJU International&lt;/title&gt;&lt;type&gt;-100&lt;/type&gt;&lt;subtype&gt;-100&lt;/subtype&gt;&lt;uuid&gt;992E82CA-2A44-4C5E-954D-3DFBFE8CCFAE&lt;/uuid&gt;&lt;/publication&gt;&lt;/bundle&gt;&lt;authors&gt;&lt;author&gt;&lt;firstName&gt;Deepak&lt;/firstName&gt;&lt;lastName&gt;Batura&lt;/lastName&gt;&lt;/author&gt;&lt;author&gt;&lt;firstName&gt;G&lt;/firstName&gt;&lt;middleNames&gt;Gopal&lt;/middleNames&gt;&lt;lastName&gt;Rao&lt;/lastName&gt;&lt;/author&gt;&lt;author&gt;&lt;firstName&gt;Peder&lt;/firstName&gt;&lt;lastName&gt;Bo Nielsen&lt;/lastName&gt;&lt;/author&gt;&lt;author&gt;&lt;firstName&gt;André&lt;/firstName&gt;&lt;lastName&gt;Charlett&lt;/lastName&gt;&lt;/author&gt;&lt;/authors&gt;&lt;/publication&gt;&lt;/publications&gt;&lt;cites&gt;&lt;/cites&gt;&lt;/citation&gt;</w:instrText>
      </w:r>
      <w:r w:rsidRPr="00A71304">
        <w:rPr>
          <w:rFonts w:ascii="Arial" w:hAnsi="Arial"/>
          <w:sz w:val="22"/>
          <w:szCs w:val="22"/>
        </w:rPr>
        <w:fldChar w:fldCharType="separate"/>
      </w:r>
      <w:r w:rsidRPr="00A71304">
        <w:rPr>
          <w:rFonts w:ascii="Arial" w:hAnsi="Arial"/>
          <w:sz w:val="22"/>
          <w:szCs w:val="22"/>
        </w:rPr>
        <w:t>(21)</w:t>
      </w:r>
      <w:r w:rsidRPr="00A71304">
        <w:rPr>
          <w:rFonts w:ascii="Arial" w:hAnsi="Arial"/>
          <w:sz w:val="22"/>
          <w:szCs w:val="22"/>
        </w:rPr>
        <w:fldChar w:fldCharType="end"/>
      </w:r>
      <w:r w:rsidRPr="00A71304">
        <w:rPr>
          <w:rFonts w:ascii="Arial" w:hAnsi="Arial"/>
          <w:sz w:val="22"/>
          <w:szCs w:val="22"/>
        </w:rPr>
        <w:t xml:space="preserve">.  </w:t>
      </w:r>
    </w:p>
    <w:p w:rsidR="00E50FA4" w:rsidRPr="0058637D" w:rsidRDefault="00A71304" w:rsidP="0058637D">
      <w:pPr>
        <w:spacing w:after="0" w:line="360" w:lineRule="auto"/>
        <w:rPr>
          <w:rFonts w:ascii="Arial" w:hAnsi="Arial"/>
          <w:sz w:val="22"/>
          <w:szCs w:val="22"/>
        </w:rPr>
      </w:pPr>
      <w:r w:rsidRPr="00A71304">
        <w:rPr>
          <w:rFonts w:ascii="Arial" w:hAnsi="Arial"/>
          <w:sz w:val="22"/>
          <w:szCs w:val="22"/>
        </w:rPr>
        <w:tab/>
        <w:t>These data demonstrate that simple replacement of fluoroquinolones with other broad-spectrum antibiotics has limitations, as these alternative agents may have inferior efficacy, perhaps owing to poor prostatic penetration.   Two better alternatives appear to be (i) to adapt prophylaxis to local resistance rates</w:t>
      </w:r>
      <w:r w:rsidR="00EE6561">
        <w:rPr>
          <w:rFonts w:ascii="Arial" w:hAnsi="Arial"/>
          <w:sz w:val="22"/>
          <w:szCs w:val="22"/>
        </w:rPr>
        <w:t>,</w:t>
      </w:r>
      <w:r w:rsidRPr="00A71304">
        <w:rPr>
          <w:rFonts w:ascii="Arial" w:hAnsi="Arial"/>
          <w:sz w:val="22"/>
          <w:szCs w:val="22"/>
        </w:rPr>
        <w:t xml:space="preserve"> with </w:t>
      </w:r>
      <w:r w:rsidR="00EE6561" w:rsidRPr="0058637D">
        <w:rPr>
          <w:rFonts w:ascii="Arial" w:hAnsi="Arial"/>
          <w:sz w:val="22"/>
          <w:szCs w:val="22"/>
        </w:rPr>
        <w:lastRenderedPageBreak/>
        <w:t>supplementation of fluoroquinolone regimens</w:t>
      </w:r>
      <w:r w:rsidR="00EE6561">
        <w:rPr>
          <w:rFonts w:ascii="Arial" w:hAnsi="Arial"/>
          <w:sz w:val="22"/>
          <w:szCs w:val="22"/>
        </w:rPr>
        <w:t xml:space="preserve"> where resistance is prevalent</w:t>
      </w:r>
      <w:r w:rsidR="00EE6561" w:rsidRPr="0058637D">
        <w:rPr>
          <w:rFonts w:ascii="Arial" w:hAnsi="Arial"/>
          <w:sz w:val="22"/>
          <w:szCs w:val="22"/>
        </w:rPr>
        <w:t xml:space="preserve">, and (ii) to identify patients carrying ciprofloxacin-resistant organism pre-procedure, by culturing rectal swabs </w:t>
      </w:r>
      <w:r w:rsidRPr="0058637D">
        <w:rPr>
          <w:rFonts w:ascii="Arial" w:hAnsi="Arial"/>
          <w:sz w:val="22"/>
          <w:szCs w:val="22"/>
        </w:rPr>
        <w:fldChar w:fldCharType="begin"/>
      </w:r>
      <w:r w:rsidR="00EE6561" w:rsidRPr="0058637D">
        <w:rPr>
          <w:rFonts w:ascii="Arial" w:hAnsi="Arial"/>
          <w:sz w:val="22"/>
          <w:szCs w:val="22"/>
        </w:rPr>
        <w:instrText xml:space="preserve"> ADDIN PAPERS2_CITATIONS &lt;citation&gt;&lt;uuid&gt;25F9C5D5-13B5-4291-80AA-F9A583551B01&lt;/uuid&gt;&lt;priority&gt;13&lt;/priority&gt;&lt;publications&gt;&lt;publication&gt;&lt;uuid&gt;68299EEA-DC33-4DB4-AED3-75CFB25BF984&lt;/uuid&gt;&lt;volume&gt;79&lt;/volume&gt;&lt;doi&gt;10.1016/j.urology.2011.09.057&lt;/doi&gt;&lt;startpage&gt;556&lt;/startpage&gt;&lt;publication_date&gt;99201203001200000000220000&lt;/publication_date&gt;&lt;url&gt;http://linkinghub.elsevier.com/retrieve/pii/S0090429511027051&lt;/url&gt;&lt;type&gt;400&lt;/type&gt;&lt;title&gt;Rectal Cultures Before Transrectal Ultrasound-guided Prostate Biopsy Reduce Post-prostatic Biopsy Infection Rates&lt;/title&gt;&lt;publisher&gt;Elsevier&lt;/publisher&gt;&lt;number&gt;3&lt;/number&gt;&lt;subtype&gt;400&lt;/subtype&gt;&lt;endpage&gt;563&lt;/endpage&gt;&lt;bundle&gt;&lt;publication&gt;&lt;publisher&gt;Elsevier&lt;/publisher&gt;&lt;title&gt;Urology&lt;/title&gt;&lt;type&gt;-100&lt;/type&gt;&lt;subtype&gt;-100&lt;/subtype&gt;&lt;uuid&gt;8B269E15-9CA2-48F8-A419-8CAD8C4839C6&lt;/uuid&gt;&lt;/publication&gt;&lt;/bundle&gt;&lt;authors&gt;&lt;author&gt;&lt;firstName&gt;Christopher&lt;/firstName&gt;&lt;middleNames&gt;A&lt;/middleNames&gt;&lt;lastName&gt;Duplessis&lt;/lastName&gt;&lt;/author&gt;&lt;author&gt;&lt;firstName&gt;Mary&lt;/firstName&gt;&lt;lastName&gt;Bavaro&lt;/lastName&gt;&lt;/author&gt;&lt;author&gt;&lt;firstName&gt;Mark&lt;/firstName&gt;&lt;middleNames&gt;P&lt;/middleNames&gt;&lt;lastName&gt;Simons&lt;/lastName&gt;&lt;/author&gt;&lt;author&gt;&lt;firstName&gt;Charles&lt;/firstName&gt;&lt;lastName&gt;Marguet&lt;/lastName&gt;&lt;/author&gt;&lt;author&gt;&lt;firstName&gt;Michael&lt;/firstName&gt;&lt;lastName&gt;Santomauro&lt;/lastName&gt;&lt;/author&gt;&lt;author&gt;&lt;firstName&gt;Brian&lt;/firstName&gt;&lt;lastName&gt;Auge&lt;/lastName&gt;&lt;/author&gt;&lt;author&gt;&lt;firstName&gt;Daniel&lt;/firstName&gt;&lt;middleNames&gt;A&lt;/middleNames&gt;&lt;lastName&gt;Collard&lt;/lastName&gt;&lt;/author&gt;&lt;author&gt;&lt;firstName&gt;Joshua&lt;/firstName&gt;&lt;lastName&gt;Fierer&lt;/lastName&gt;&lt;/author&gt;&lt;author&gt;&lt;firstName&gt;James&lt;/firstName&gt;&lt;lastName&gt;Lesperance&lt;/lastName&gt;&lt;/author&gt;&lt;/authors&gt;&lt;/publication&gt;&lt;/publications&gt;&lt;cites&gt;&lt;/cites&gt;&lt;/citation&gt;</w:instrText>
      </w:r>
      <w:r w:rsidRPr="0058637D">
        <w:rPr>
          <w:rFonts w:ascii="Arial" w:hAnsi="Arial"/>
          <w:sz w:val="22"/>
          <w:szCs w:val="22"/>
        </w:rPr>
        <w:fldChar w:fldCharType="separate"/>
      </w:r>
      <w:r w:rsidR="00EE6561" w:rsidRPr="0058637D">
        <w:rPr>
          <w:rFonts w:ascii="Arial" w:hAnsi="Arial"/>
          <w:sz w:val="22"/>
          <w:szCs w:val="22"/>
        </w:rPr>
        <w:t>(22)</w:t>
      </w:r>
      <w:r w:rsidRPr="0058637D">
        <w:rPr>
          <w:rFonts w:ascii="Arial" w:hAnsi="Arial"/>
          <w:sz w:val="22"/>
          <w:szCs w:val="22"/>
        </w:rPr>
        <w:fldChar w:fldCharType="end"/>
      </w:r>
      <w:r w:rsidR="00EE6561" w:rsidRPr="0058637D">
        <w:rPr>
          <w:rFonts w:ascii="Arial" w:hAnsi="Arial"/>
          <w:sz w:val="22"/>
          <w:szCs w:val="22"/>
        </w:rPr>
        <w:t>, and to adapt prophylaxis</w:t>
      </w:r>
      <w:r w:rsidR="00EE6561">
        <w:rPr>
          <w:rFonts w:ascii="Arial" w:hAnsi="Arial"/>
          <w:sz w:val="22"/>
          <w:szCs w:val="22"/>
        </w:rPr>
        <w:t xml:space="preserve"> individually.</w:t>
      </w:r>
      <w:r w:rsidR="00EE6561" w:rsidRPr="0058637D">
        <w:rPr>
          <w:rFonts w:ascii="Arial" w:hAnsi="Arial"/>
          <w:sz w:val="22"/>
          <w:szCs w:val="22"/>
        </w:rPr>
        <w:t xml:space="preserve">. </w:t>
      </w:r>
    </w:p>
    <w:p w:rsidR="00E50FA4" w:rsidRDefault="00A71304" w:rsidP="0058637D">
      <w:pPr>
        <w:spacing w:after="0" w:line="360" w:lineRule="auto"/>
        <w:rPr>
          <w:rFonts w:ascii="Arial" w:hAnsi="Arial"/>
          <w:sz w:val="22"/>
          <w:szCs w:val="22"/>
        </w:rPr>
      </w:pPr>
      <w:r w:rsidRPr="00A71304">
        <w:rPr>
          <w:rFonts w:ascii="Arial" w:hAnsi="Arial"/>
          <w:sz w:val="22"/>
          <w:szCs w:val="22"/>
        </w:rPr>
        <w:tab/>
        <w:t>Local variation is well illustrated by comparing the studies for East Anglia versus those for London. In East Anglia, post-TRUS infection rates with fluoroquinolone prophylaxis ranged from 0.3% (Norwich, this study) to 1.6% (Bury St Edmunds) to 2.4% (Cambridge) and</w:t>
      </w:r>
      <w:r w:rsidR="00EE6561">
        <w:rPr>
          <w:rFonts w:ascii="Arial" w:hAnsi="Arial"/>
          <w:sz w:val="22"/>
          <w:szCs w:val="22"/>
        </w:rPr>
        <w:t>,</w:t>
      </w:r>
      <w:r w:rsidRPr="00A71304">
        <w:rPr>
          <w:rFonts w:ascii="Arial" w:hAnsi="Arial"/>
          <w:sz w:val="22"/>
          <w:szCs w:val="22"/>
        </w:rPr>
        <w:t xml:space="preserve"> at Norwich in 2012</w:t>
      </w:r>
      <w:r w:rsidR="00EE6561">
        <w:rPr>
          <w:rFonts w:ascii="Arial" w:hAnsi="Arial"/>
          <w:sz w:val="22"/>
          <w:szCs w:val="22"/>
        </w:rPr>
        <w:t>,</w:t>
      </w:r>
      <w:r w:rsidRPr="00A71304">
        <w:rPr>
          <w:rFonts w:ascii="Arial" w:hAnsi="Arial"/>
          <w:sz w:val="22"/>
          <w:szCs w:val="22"/>
        </w:rPr>
        <w:t xml:space="preserve"> just 3.7% of patients carried ciprofloxacin-resistant </w:t>
      </w:r>
      <w:r w:rsidRPr="00A71304">
        <w:rPr>
          <w:rFonts w:ascii="Arial" w:hAnsi="Arial"/>
          <w:i/>
          <w:sz w:val="22"/>
          <w:szCs w:val="22"/>
        </w:rPr>
        <w:t>E. coli</w:t>
      </w:r>
      <w:r w:rsidRPr="00A71304">
        <w:rPr>
          <w:rFonts w:ascii="Arial" w:hAnsi="Arial"/>
          <w:sz w:val="22"/>
          <w:szCs w:val="22"/>
        </w:rPr>
        <w:t xml:space="preserve">, with none of these individuals suffering from post-TRUS infective complications warranting hospital admission. In London, by contrast, 1.5-8% of patients developed infections and up to 10% carried ciprofloxacin-resistant Enterobacteriaceae </w:t>
      </w:r>
      <w:r w:rsidRPr="00A71304">
        <w:rPr>
          <w:rFonts w:ascii="Arial" w:hAnsi="Arial"/>
          <w:sz w:val="22"/>
          <w:szCs w:val="22"/>
        </w:rPr>
        <w:fldChar w:fldCharType="begin"/>
      </w:r>
      <w:r w:rsidRPr="00A71304">
        <w:rPr>
          <w:rFonts w:ascii="Arial" w:hAnsi="Arial"/>
          <w:sz w:val="22"/>
          <w:szCs w:val="22"/>
        </w:rPr>
        <w:instrText xml:space="preserve"> ADDIN PAPERS2_CITATIONS &lt;citation&gt;&lt;uuid&gt;077FB96A-5BCC-4959-9342-8C3AFD1E0C5D&lt;/uuid&gt;&lt;priority&gt;14&lt;/priority&gt;&lt;publications&gt;&lt;publication&gt;&lt;uuid&gt;B295B543-8618-4F82-B9C1-2D1C2872ADA8&lt;/uuid&gt;&lt;volume&gt;106&lt;/volume&gt;&lt;doi&gt;10.1111/j.1464-410X.2010.09294.x&lt;/doi&gt;&lt;subtitle&gt;ANTIMICROBIAL RESISTANCE IN INTESTINAL FLORA OF PATIENTS UNDERGOING PROSTATIC BIOPSY&lt;/subtitle&gt;&lt;startpage&gt;1017&lt;/startpage&gt;&lt;publication_date&gt;99201009141200000000222000&lt;/publication_date&gt;&lt;url&gt;http://doi.wiley.com/10.1111/j.1464-410X.2010.09294.x&lt;/url&gt;&lt;type&gt;400&lt;/type&gt;&lt;title&gt;Prevalence of antimicrobial resistance in intestinal flora of patients undergoing prostatic biopsy: implications for prophylaxis and treatment of infections after biopsy&lt;/title&gt;&lt;number&gt;7&lt;/number&gt;&lt;subtype&gt;400&lt;/subtype&gt;&lt;endpage&gt;1020&lt;/endpage&gt;&lt;bundle&gt;&lt;publication&gt;&lt;title&gt;BJU International&lt;/title&gt;&lt;type&gt;-100&lt;/type&gt;&lt;subtype&gt;-100&lt;/subtype&gt;&lt;uuid&gt;992E82CA-2A44-4C5E-954D-3DFBFE8CCFAE&lt;/uuid&gt;&lt;/publication&gt;&lt;/bundle&gt;&lt;authors&gt;&lt;author&gt;&lt;firstName&gt;Deepak&lt;/firstName&gt;&lt;lastName&gt;Batura&lt;/lastName&gt;&lt;/author&gt;&lt;author&gt;&lt;firstName&gt;G&lt;/firstName&gt;&lt;middleNames&gt;Gopal&lt;/middleNames&gt;&lt;lastName&gt;Rao&lt;/lastName&gt;&lt;/author&gt;&lt;author&gt;&lt;firstName&gt;Peder&lt;/firstName&gt;&lt;middleNames&gt;Bo&lt;/middleNames&gt;&lt;lastName&gt;Nielsen&lt;/lastName&gt;&lt;/author&gt;&lt;/authors&gt;&lt;/publication&gt;&lt;/publications&gt;&lt;cites&gt;&lt;/cites&gt;&lt;/citation&gt;</w:instrText>
      </w:r>
      <w:r w:rsidRPr="00A71304">
        <w:rPr>
          <w:rFonts w:ascii="Arial" w:hAnsi="Arial"/>
          <w:sz w:val="22"/>
          <w:szCs w:val="22"/>
        </w:rPr>
        <w:fldChar w:fldCharType="separate"/>
      </w:r>
      <w:r w:rsidRPr="00A71304">
        <w:rPr>
          <w:rFonts w:ascii="Arial" w:hAnsi="Arial"/>
          <w:sz w:val="22"/>
          <w:szCs w:val="22"/>
        </w:rPr>
        <w:t>(16)</w:t>
      </w:r>
      <w:r w:rsidRPr="00A71304">
        <w:rPr>
          <w:rFonts w:ascii="Arial" w:hAnsi="Arial"/>
          <w:sz w:val="22"/>
          <w:szCs w:val="22"/>
        </w:rPr>
        <w:fldChar w:fldCharType="end"/>
      </w:r>
      <w:r w:rsidRPr="00A71304">
        <w:rPr>
          <w:rFonts w:ascii="Arial" w:hAnsi="Arial"/>
          <w:sz w:val="22"/>
          <w:szCs w:val="22"/>
        </w:rPr>
        <w:t xml:space="preserve">. Even between Norwich and </w:t>
      </w:r>
      <w:r w:rsidR="00EE6561" w:rsidRPr="0058637D">
        <w:rPr>
          <w:rFonts w:ascii="Arial" w:hAnsi="Arial"/>
          <w:sz w:val="22"/>
          <w:szCs w:val="22"/>
        </w:rPr>
        <w:t>Cambridge</w:t>
      </w:r>
      <w:r w:rsidR="00EE6561">
        <w:rPr>
          <w:rFonts w:ascii="Arial" w:hAnsi="Arial"/>
          <w:sz w:val="22"/>
          <w:szCs w:val="22"/>
        </w:rPr>
        <w:t xml:space="preserve"> </w:t>
      </w:r>
      <w:r w:rsidR="00EE6561" w:rsidRPr="0058637D">
        <w:rPr>
          <w:rFonts w:ascii="Arial" w:hAnsi="Arial"/>
          <w:sz w:val="22"/>
          <w:szCs w:val="22"/>
        </w:rPr>
        <w:t xml:space="preserve">there was a 0 vs 2.4% range in post-procedure infections. A possible explanation is that Norwich is a more isolated city than Cambridge, which has a more </w:t>
      </w:r>
      <w:r w:rsidR="00EE6561">
        <w:rPr>
          <w:rFonts w:ascii="Arial" w:hAnsi="Arial"/>
          <w:sz w:val="22"/>
          <w:szCs w:val="22"/>
        </w:rPr>
        <w:t>fluid</w:t>
      </w:r>
      <w:r w:rsidR="00EE6561" w:rsidRPr="0058637D">
        <w:rPr>
          <w:rFonts w:ascii="Arial" w:hAnsi="Arial"/>
          <w:sz w:val="22"/>
          <w:szCs w:val="22"/>
        </w:rPr>
        <w:t xml:space="preserve"> population, with greater ethnic diversity and a higher rate of intercontinental </w:t>
      </w:r>
      <w:r w:rsidRPr="00A71304">
        <w:rPr>
          <w:rFonts w:ascii="Arial" w:hAnsi="Arial"/>
          <w:sz w:val="22"/>
          <w:szCs w:val="22"/>
        </w:rPr>
        <w:t xml:space="preserve">travel, possibly with a higher carriage rate of resistant Enterobacteriaceae. In Birmingham, Wickramasinghe </w:t>
      </w:r>
      <w:r w:rsidRPr="00A71304">
        <w:rPr>
          <w:rFonts w:ascii="Arial" w:hAnsi="Arial"/>
          <w:i/>
          <w:sz w:val="22"/>
          <w:szCs w:val="22"/>
        </w:rPr>
        <w:t>et al.</w:t>
      </w:r>
      <w:r w:rsidRPr="00A71304">
        <w:rPr>
          <w:rFonts w:ascii="Arial" w:hAnsi="Arial"/>
          <w:sz w:val="22"/>
          <w:szCs w:val="22"/>
        </w:rPr>
        <w:t xml:space="preserve"> found that carriage rates for resistant Enterobacteriaceae varied among ethnic groups, perhaps reflecting the frequency of travel to and from South Asia, where these organisms are extremely prevalent </w:t>
      </w:r>
      <w:r w:rsidRPr="00A71304">
        <w:rPr>
          <w:rFonts w:ascii="Arial" w:hAnsi="Arial"/>
          <w:sz w:val="22"/>
          <w:szCs w:val="22"/>
        </w:rPr>
        <w:fldChar w:fldCharType="begin"/>
      </w:r>
      <w:r w:rsidRPr="00A71304">
        <w:rPr>
          <w:rFonts w:ascii="Arial" w:hAnsi="Arial"/>
          <w:sz w:val="22"/>
          <w:szCs w:val="22"/>
        </w:rPr>
        <w:instrText xml:space="preserve"> ADDIN PAPERS2_CITATIONS &lt;citation&gt;&lt;uuid&gt;42CAE526-1E14-4964-B86C-2257C8AFE80F&lt;/uuid&gt;&lt;priority&gt;15&lt;/priority&gt;&lt;publications&gt;&lt;publication&gt;&lt;uuid&gt;1862D10E-9C00-4BAE-8706-8418CF69D695&lt;/uuid&gt;&lt;volume&gt;67&lt;/volume&gt;&lt;doi&gt;10.1093/jac/dks018&lt;/doi&gt;&lt;startpage&gt;1108&lt;/startpage&gt;&lt;publication_date&gt;99201205001200000000220000&lt;/publication_date&gt;&lt;url&gt;http://eutils.ncbi.nlm.nih.gov/entrez/eutils/elink.fcgi?dbfrom=pubmed&amp;amp;id=22403261&amp;amp;retmode=ref&amp;amp;cmd=prlinks&lt;/url&gt;&lt;type&gt;400&lt;/type&gt;&lt;title&gt;High community faecal carriage rates of CTX-M ESBL-producing Escherichia coli in a specific population group in Birmingham, UK.&lt;/title&gt;&lt;institution&gt;Department of Microbiology, University Hospitals Birmingham NHS Foundation Trust, Birmingham, UK.&lt;/institution&gt;&lt;number&gt;5&lt;/number&gt;&lt;subtype&gt;400&lt;/subtype&gt;&lt;endpage&gt;1113&lt;/endpage&gt;&lt;bundle&gt;&lt;publication&gt;&lt;title&gt;Journal of Antimicrobial Chemotherapy&lt;/title&gt;&lt;type&gt;-100&lt;/type&gt;&lt;subtype&gt;-100&lt;/subtype&gt;&lt;uuid&gt;101E02B3-9D38-4FA7-9756-0565F655EB57&lt;/uuid&gt;&lt;/publication&gt;&lt;/bundle&gt;&lt;authors&gt;&lt;author&gt;&lt;firstName&gt;Nimal&lt;/firstName&gt;&lt;middleNames&gt;H&lt;/middleNames&gt;&lt;lastName&gt;Wickramasinghe&lt;/lastName&gt;&lt;/author&gt;&lt;author&gt;&lt;firstName&gt;Li&lt;/firstName&gt;&lt;lastName&gt;Xu&lt;/lastName&gt;&lt;/author&gt;&lt;author&gt;&lt;firstName&gt;Andrew&lt;/firstName&gt;&lt;lastName&gt;Eustace&lt;/lastName&gt;&lt;/author&gt;&lt;author&gt;&lt;firstName&gt;Sahida&lt;/firstName&gt;&lt;lastName&gt;Shabir&lt;/lastName&gt;&lt;/author&gt;&lt;author&gt;&lt;firstName&gt;Tranprit&lt;/firstName&gt;&lt;lastName&gt;Saluja&lt;/lastName&gt;&lt;/author&gt;&lt;author&gt;&lt;firstName&gt;Peter&lt;/firstName&gt;&lt;middleNames&gt;M&lt;/middleNames&gt;&lt;lastName&gt;Hawkey&lt;/lastName&gt;&lt;/author&gt;&lt;/authors&gt;&lt;/publication&gt;&lt;/publications&gt;&lt;cites&gt;&lt;/cites&gt;&lt;/citation&gt;</w:instrText>
      </w:r>
      <w:r w:rsidRPr="00A71304">
        <w:rPr>
          <w:rFonts w:ascii="Arial" w:hAnsi="Arial"/>
          <w:sz w:val="22"/>
          <w:szCs w:val="22"/>
        </w:rPr>
        <w:fldChar w:fldCharType="separate"/>
      </w:r>
      <w:r w:rsidRPr="00A71304">
        <w:rPr>
          <w:rFonts w:ascii="Arial" w:hAnsi="Arial"/>
          <w:sz w:val="22"/>
          <w:szCs w:val="22"/>
        </w:rPr>
        <w:t>(23)</w:t>
      </w:r>
      <w:r w:rsidRPr="00A71304">
        <w:rPr>
          <w:rFonts w:ascii="Arial" w:hAnsi="Arial"/>
          <w:sz w:val="22"/>
          <w:szCs w:val="22"/>
        </w:rPr>
        <w:fldChar w:fldCharType="end"/>
      </w:r>
      <w:r w:rsidRPr="00A71304">
        <w:rPr>
          <w:rFonts w:ascii="Arial" w:hAnsi="Arial"/>
          <w:sz w:val="22"/>
          <w:szCs w:val="22"/>
        </w:rPr>
        <w:t xml:space="preserve">; this view is supported by a study done by Patel </w:t>
      </w:r>
      <w:r w:rsidRPr="00A71304">
        <w:rPr>
          <w:rFonts w:ascii="Arial" w:hAnsi="Arial"/>
          <w:i/>
          <w:sz w:val="22"/>
          <w:szCs w:val="22"/>
        </w:rPr>
        <w:t>et al.</w:t>
      </w:r>
      <w:r w:rsidRPr="00A71304">
        <w:rPr>
          <w:rFonts w:ascii="Arial" w:hAnsi="Arial"/>
          <w:sz w:val="22"/>
          <w:szCs w:val="22"/>
        </w:rPr>
        <w:t xml:space="preserve"> in London </w:t>
      </w:r>
      <w:r w:rsidRPr="00A71304">
        <w:rPr>
          <w:rFonts w:ascii="Arial" w:hAnsi="Arial"/>
          <w:sz w:val="22"/>
          <w:szCs w:val="22"/>
        </w:rPr>
        <w:fldChar w:fldCharType="begin"/>
      </w:r>
      <w:r w:rsidRPr="00A71304">
        <w:rPr>
          <w:rFonts w:ascii="Arial" w:hAnsi="Arial"/>
          <w:sz w:val="22"/>
          <w:szCs w:val="22"/>
        </w:rPr>
        <w:instrText xml:space="preserve"> ADDIN PAPERS2_CITATIONS &lt;citation&gt;&lt;uuid&gt;3D35757E-09A3-426C-98AB-BD678430CAF8&lt;/uuid&gt;&lt;priority&gt;16&lt;/priority&gt;&lt;publications&gt;&lt;publication&gt;&lt;uuid&gt;8349C9E2-55A4-4082-AFEE-9A97537BDADA&lt;/uuid&gt;&lt;volume&gt;109&lt;/volume&gt;&lt;doi&gt;10.1111/j.1464-410X.2011.10561.x&lt;/doi&gt;&lt;subtitle&gt;RISK FACTORS FOR INFECTION AFTER PROSTATE BIOPSY&lt;/subtitle&gt;&lt;startpage&gt;1781&lt;/startpage&gt;&lt;publication_date&gt;99201110311200000000222000&lt;/publication_date&gt;&lt;url&gt;http://doi.wiley.com/10.1111/j.1464-410X.2011.10561.x&lt;/url&gt;&lt;type&gt;400&lt;/type&gt;&lt;title&gt;Infection after transrectal ultrasonography-guided prostate biopsy: increased relative risks after recent international travel or antibiotic use&lt;/title&gt;&lt;number&gt;12&lt;/number&gt;&lt;subtype&gt;400&lt;/subtype&gt;&lt;endpage&gt;1785&lt;/endpage&gt;&lt;bundle&gt;&lt;publication&gt;&lt;title&gt;BJU International&lt;/title&gt;&lt;type&gt;-100&lt;/type&gt;&lt;subtype&gt;-100&lt;/subtype&gt;&lt;uuid&gt;992E82CA-2A44-4C5E-954D-3DFBFE8CCFAE&lt;/uuid&gt;&lt;/publication&gt;&lt;/bundle&gt;&lt;authors&gt;&lt;author&gt;&lt;firstName&gt;Uday&lt;/firstName&gt;&lt;lastName&gt;Patel&lt;/lastName&gt;&lt;/author&gt;&lt;author&gt;&lt;firstName&gt;Prokar&lt;/firstName&gt;&lt;lastName&gt;Dasgupta&lt;/lastName&gt;&lt;/author&gt;&lt;author&gt;&lt;firstName&gt;Peter&lt;/firstName&gt;&lt;lastName&gt;Amoroso&lt;/lastName&gt;&lt;/author&gt;&lt;author&gt;&lt;firstName&gt;Ben&lt;/firstName&gt;&lt;lastName&gt;Challacombe&lt;/lastName&gt;&lt;/author&gt;&lt;author&gt;&lt;firstName&gt;James&lt;/firstName&gt;&lt;lastName&gt;Pilcher&lt;/lastName&gt;&lt;/author&gt;&lt;author&gt;&lt;firstName&gt;Roger&lt;/firstName&gt;&lt;lastName&gt;Kirby&lt;/lastName&gt;&lt;/author&gt;&lt;/authors&gt;&lt;/publication&gt;&lt;/publications&gt;&lt;cites&gt;&lt;/cites&gt;&lt;/citation&gt;</w:instrText>
      </w:r>
      <w:r w:rsidRPr="00A71304">
        <w:rPr>
          <w:rFonts w:ascii="Arial" w:hAnsi="Arial"/>
          <w:sz w:val="22"/>
          <w:szCs w:val="22"/>
        </w:rPr>
        <w:fldChar w:fldCharType="separate"/>
      </w:r>
      <w:r w:rsidRPr="00A71304">
        <w:rPr>
          <w:rFonts w:ascii="Arial" w:hAnsi="Arial"/>
          <w:sz w:val="22"/>
          <w:szCs w:val="22"/>
        </w:rPr>
        <w:t>(24)</w:t>
      </w:r>
      <w:r w:rsidRPr="00A71304">
        <w:rPr>
          <w:rFonts w:ascii="Arial" w:hAnsi="Arial"/>
          <w:sz w:val="22"/>
          <w:szCs w:val="22"/>
        </w:rPr>
        <w:fldChar w:fldCharType="end"/>
      </w:r>
      <w:r w:rsidRPr="00A71304">
        <w:rPr>
          <w:rFonts w:ascii="Arial" w:hAnsi="Arial"/>
          <w:sz w:val="22"/>
          <w:szCs w:val="22"/>
        </w:rPr>
        <w:t>.</w:t>
      </w:r>
    </w:p>
    <w:p w:rsidR="00F51533" w:rsidRDefault="00A71304">
      <w:pPr>
        <w:spacing w:after="0" w:line="360" w:lineRule="auto"/>
        <w:rPr>
          <w:rFonts w:ascii="Arial" w:hAnsi="Arial"/>
          <w:sz w:val="22"/>
          <w:szCs w:val="22"/>
        </w:rPr>
      </w:pPr>
      <w:r w:rsidRPr="00A71304">
        <w:rPr>
          <w:rFonts w:ascii="Arial" w:hAnsi="Arial"/>
          <w:sz w:val="22"/>
          <w:szCs w:val="22"/>
        </w:rPr>
        <w:tab/>
        <w:t xml:space="preserve">Based on these findings we conclude that ciprofloxacin remains an appropriate prophylactic antibiotic for TRUS in our local setting. Whether or not it should be supplemented or changed elsewhere must depend on the local population.  We suggest that periodic rectal swab cultures should be taken to ascertain the prevalence of ciprofloxacin resistance and to confirm its continued appropriateness. In regions with high fluoroquinolone resistance, pre-procedure screening could also be used to identify individual patients carrying resistant organisms, who might benefit from supplementary antibiotics. According to The Department of Health </w:t>
      </w:r>
      <w:r w:rsidRPr="00A71304">
        <w:rPr>
          <w:rFonts w:ascii="Arial" w:hAnsi="Arial"/>
          <w:sz w:val="22"/>
          <w:szCs w:val="22"/>
        </w:rPr>
        <w:fldChar w:fldCharType="begin"/>
      </w:r>
      <w:r w:rsidRPr="00A71304">
        <w:rPr>
          <w:rFonts w:ascii="Arial" w:hAnsi="Arial"/>
          <w:sz w:val="22"/>
          <w:szCs w:val="22"/>
        </w:rPr>
        <w:instrText xml:space="preserve"> ADDIN PAPERS2_CITATIONS &lt;citation&gt;&lt;uuid&gt;49901CB5-06C1-46DD-AF26-3D88E81041E2&lt;/uuid&gt;&lt;priority&gt;17&lt;/priority&gt;&lt;publications&gt;&lt;publication&gt;&lt;publication_date&gt;99201211061200000000222000&lt;/publication_date&gt;&lt;startpage&gt;1&lt;/startpage&gt;&lt;title&gt;To:&lt;/title&gt;&lt;uuid&gt;E260F777-A60B-42FB-BD50-0469136AEB6F&lt;/uuid&gt;&lt;subtype&gt;400&lt;/subtype&gt;&lt;endpage&gt;64&lt;/endpage&gt;&lt;type&gt;400&lt;/type&gt;&lt;url&gt;http://www.google.co.uk/search?client=safari&amp;amp;rls=10_7_4&amp;amp;q=To&amp;amp;ie=UTF-8&amp;amp;oe=UTF-8&amp;amp;gws_rd=cr&amp;amp;ei=6FhcUrnmIemw0QXRpIGoCg&lt;/url&gt;&lt;authors&gt;&lt;author&gt;&lt;lastName&gt;OISIII&lt;/lastName&gt;&lt;/author&gt;&lt;/authors&gt;&lt;/publication&gt;&lt;/publications&gt;&lt;cites&gt;&lt;/cites&gt;&lt;/citation&gt;</w:instrText>
      </w:r>
      <w:r w:rsidRPr="00A71304">
        <w:rPr>
          <w:rFonts w:ascii="Arial" w:hAnsi="Arial"/>
          <w:sz w:val="22"/>
          <w:szCs w:val="22"/>
        </w:rPr>
        <w:fldChar w:fldCharType="separate"/>
      </w:r>
      <w:r w:rsidRPr="00A71304">
        <w:rPr>
          <w:rFonts w:ascii="Arial" w:hAnsi="Arial"/>
          <w:sz w:val="22"/>
          <w:szCs w:val="22"/>
        </w:rPr>
        <w:t>(25)</w:t>
      </w:r>
      <w:r w:rsidRPr="00A71304">
        <w:rPr>
          <w:rFonts w:ascii="Arial" w:hAnsi="Arial"/>
          <w:sz w:val="22"/>
          <w:szCs w:val="22"/>
        </w:rPr>
        <w:fldChar w:fldCharType="end"/>
      </w:r>
      <w:r w:rsidR="00EE6561">
        <w:rPr>
          <w:rFonts w:ascii="Arial" w:hAnsi="Arial"/>
          <w:sz w:val="22"/>
          <w:szCs w:val="22"/>
        </w:rPr>
        <w:t xml:space="preserve"> </w:t>
      </w:r>
      <w:r w:rsidRPr="00A71304">
        <w:rPr>
          <w:rFonts w:ascii="Arial" w:hAnsi="Arial"/>
          <w:sz w:val="22"/>
          <w:szCs w:val="22"/>
        </w:rPr>
        <w:t>an A&amp;E admission costs, on average, £108, plus £400 per 24 hours</w:t>
      </w:r>
      <w:r w:rsidR="005925DD">
        <w:rPr>
          <w:rFonts w:ascii="Arial" w:hAnsi="Arial"/>
          <w:sz w:val="22"/>
          <w:szCs w:val="22"/>
        </w:rPr>
        <w:t xml:space="preserve"> of</w:t>
      </w:r>
      <w:r w:rsidRPr="00A71304">
        <w:rPr>
          <w:rFonts w:ascii="Arial" w:hAnsi="Arial"/>
          <w:sz w:val="22"/>
          <w:szCs w:val="22"/>
        </w:rPr>
        <w:t xml:space="preserve"> hospital stay.  On this basis, screening becomes cost-effective even if only one patient in a hundred would otherwise experience an infection necessitating hospitalisation, even before individual suffering and economic costs are considered.</w:t>
      </w:r>
    </w:p>
    <w:p w:rsidR="00F51533" w:rsidRDefault="00F51533">
      <w:pPr>
        <w:widowControl w:val="0"/>
        <w:autoSpaceDE w:val="0"/>
        <w:autoSpaceDN w:val="0"/>
        <w:adjustRightInd w:val="0"/>
        <w:spacing w:after="0" w:line="360" w:lineRule="auto"/>
        <w:rPr>
          <w:sz w:val="22"/>
        </w:rPr>
      </w:pPr>
    </w:p>
    <w:p w:rsidR="00F51533" w:rsidRDefault="00A71304">
      <w:pPr>
        <w:spacing w:after="0" w:line="360" w:lineRule="auto"/>
        <w:rPr>
          <w:rFonts w:ascii="Arial" w:hAnsi="Arial"/>
          <w:b/>
          <w:sz w:val="24"/>
          <w:szCs w:val="24"/>
        </w:rPr>
      </w:pPr>
      <w:r w:rsidRPr="00A71304">
        <w:rPr>
          <w:rFonts w:ascii="Arial" w:hAnsi="Arial"/>
          <w:b/>
          <w:sz w:val="24"/>
          <w:szCs w:val="24"/>
        </w:rPr>
        <w:t>Conclusion</w:t>
      </w:r>
    </w:p>
    <w:p w:rsidR="00F51533" w:rsidRDefault="00A71304">
      <w:pPr>
        <w:spacing w:after="0" w:line="360" w:lineRule="auto"/>
        <w:rPr>
          <w:rFonts w:ascii="Arial" w:hAnsi="Arial"/>
          <w:sz w:val="22"/>
          <w:szCs w:val="22"/>
        </w:rPr>
      </w:pPr>
      <w:r w:rsidRPr="00A71304">
        <w:rPr>
          <w:rFonts w:ascii="Arial" w:hAnsi="Arial"/>
          <w:sz w:val="22"/>
          <w:szCs w:val="22"/>
        </w:rPr>
        <w:t xml:space="preserve">Ciprofloxacin resistance remains rare in the intestinal Enterobacteriaceae flora in our local TRUS population. Due to the geographical location of Norwich and the limited access of our patients to other hospitals, we are confident with this result genuinely </w:t>
      </w:r>
      <w:r w:rsidRPr="00A71304">
        <w:rPr>
          <w:rFonts w:ascii="Arial" w:hAnsi="Arial"/>
          <w:sz w:val="22"/>
          <w:szCs w:val="22"/>
        </w:rPr>
        <w:lastRenderedPageBreak/>
        <w:t>reflects the local situation.  Prophylaxis may need review in settings of higher resistance or for individual high-risk patients.</w:t>
      </w:r>
    </w:p>
    <w:p w:rsidR="00E50FA4" w:rsidRPr="00AC71A4" w:rsidRDefault="00EE6561" w:rsidP="00E50FA4">
      <w:pPr>
        <w:tabs>
          <w:tab w:val="left" w:pos="1187"/>
        </w:tabs>
        <w:spacing w:line="480" w:lineRule="auto"/>
        <w:rPr>
          <w:sz w:val="22"/>
        </w:rPr>
      </w:pPr>
      <w:r>
        <w:rPr>
          <w:sz w:val="22"/>
        </w:rPr>
        <w:tab/>
      </w:r>
    </w:p>
    <w:p w:rsidR="00F51533" w:rsidRDefault="00A71304">
      <w:pPr>
        <w:spacing w:after="0" w:line="360" w:lineRule="auto"/>
        <w:rPr>
          <w:rFonts w:ascii="Arial" w:hAnsi="Arial"/>
          <w:b/>
          <w:sz w:val="24"/>
          <w:szCs w:val="24"/>
        </w:rPr>
      </w:pPr>
      <w:r w:rsidRPr="00A71304">
        <w:rPr>
          <w:rFonts w:ascii="Arial" w:hAnsi="Arial"/>
          <w:b/>
          <w:sz w:val="24"/>
          <w:szCs w:val="24"/>
        </w:rPr>
        <w:t>Works Cited</w:t>
      </w:r>
    </w:p>
    <w:p w:rsidR="00E50FA4" w:rsidRDefault="00E50FA4" w:rsidP="00E50FA4">
      <w:pPr>
        <w:widowControl w:val="0"/>
        <w:autoSpaceDE w:val="0"/>
        <w:autoSpaceDN w:val="0"/>
        <w:adjustRightInd w:val="0"/>
        <w:rPr>
          <w:rFonts w:ascii="Arial" w:hAnsi="Arial"/>
          <w:color w:val="404040"/>
          <w:lang w:val="en-US"/>
        </w:rPr>
      </w:pPr>
    </w:p>
    <w:p w:rsidR="00E50FA4" w:rsidRDefault="00A71304"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olor w:val="404040"/>
          <w:lang w:val="en-US"/>
        </w:rPr>
        <w:fldChar w:fldCharType="begin"/>
      </w:r>
      <w:r w:rsidR="00EE6561">
        <w:rPr>
          <w:rFonts w:ascii="Arial" w:hAnsi="Arial"/>
          <w:color w:val="404040"/>
          <w:lang w:val="en-US"/>
        </w:rPr>
        <w:instrText xml:space="preserve"> ADDIN PAPERS2_CITATIONS &lt;papers2_bibliography/&gt;</w:instrText>
      </w:r>
      <w:r>
        <w:rPr>
          <w:rFonts w:ascii="Arial" w:hAnsi="Arial"/>
          <w:color w:val="404040"/>
          <w:lang w:val="en-US"/>
        </w:rPr>
        <w:fldChar w:fldCharType="separate"/>
      </w:r>
      <w:r w:rsidR="00EE6561">
        <w:rPr>
          <w:rFonts w:ascii="Arial" w:hAnsi="Arial" w:cs="Arial"/>
          <w:lang w:val="en-US"/>
        </w:rPr>
        <w:t>1.</w:t>
      </w:r>
      <w:r w:rsidR="00EE6561">
        <w:rPr>
          <w:rFonts w:ascii="Arial" w:hAnsi="Arial" w:cs="Arial"/>
          <w:lang w:val="en-US"/>
        </w:rPr>
        <w:tab/>
        <w:t xml:space="preserve">Batura D, Gopal Rao G. The national burden of infections after prostate biopsy in England and Wales: a wake-up call for better prevention. Journal of Antimicrobial Chemotherapy. 2013 ;68:247–9.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2.</w:t>
      </w:r>
      <w:r>
        <w:rPr>
          <w:rFonts w:ascii="Arial" w:hAnsi="Arial" w:cs="Arial"/>
          <w:lang w:val="en-US"/>
        </w:rPr>
        <w:tab/>
        <w:t xml:space="preserve">Deliveliotis C, John V, Louras G, Andreas S, Alargof E, Sofras F, et al. Multiple transrectal ultrasound guided prostatic biopsies: morbidity and tolerance. Int Urol Nephrol. 1999;31:681–6.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3.</w:t>
      </w:r>
      <w:r>
        <w:rPr>
          <w:rFonts w:ascii="Arial" w:hAnsi="Arial" w:cs="Arial"/>
          <w:lang w:val="en-US"/>
        </w:rPr>
        <w:tab/>
        <w:t xml:space="preserve">Collins GN, Lloyd SN, Hehir M, McKELVIE GB. Multiple Transrectal Ultrasound-Guided Prostatic Biopsies-True Morbidity and Patient Acceptance. Br J Urol. 1993 ;71:460–3.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4.</w:t>
      </w:r>
      <w:r>
        <w:rPr>
          <w:rFonts w:ascii="Arial" w:hAnsi="Arial" w:cs="Arial"/>
          <w:lang w:val="en-US"/>
        </w:rPr>
        <w:tab/>
        <w:t xml:space="preserve">Aron M, Rajeev TP, Gupta NP. Antibiotic prophylaxis for transrectal needle biopsy of the prostate: a randomized controlled study. Br J Urol. 2001 24;85:682–5.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5.</w:t>
      </w:r>
      <w:r>
        <w:rPr>
          <w:rFonts w:ascii="Arial" w:hAnsi="Arial" w:cs="Arial"/>
          <w:lang w:val="en-US"/>
        </w:rPr>
        <w:tab/>
        <w:t xml:space="preserve">Rommel FM, Agusta VE, Breslin JA, Huffnagle HW. Antibiotic prophylaxis in ultrasound guided transrectal prostate biopsy. The Journal of Urology 1997.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6.</w:t>
      </w:r>
      <w:r>
        <w:rPr>
          <w:rFonts w:ascii="Arial" w:hAnsi="Arial" w:cs="Arial"/>
          <w:lang w:val="en-US"/>
        </w:rPr>
        <w:tab/>
        <w:t xml:space="preserve">Malek GH, Wegenke JD, Cox CE, Patterson AL. Single-dose oral ciprofloxacin versus placebo for prophylaxis during transrectal prostate biopsy. Urology. 1998.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7.</w:t>
      </w:r>
      <w:r>
        <w:rPr>
          <w:rFonts w:ascii="Arial" w:hAnsi="Arial" w:cs="Arial"/>
          <w:lang w:val="en-US"/>
        </w:rPr>
        <w:tab/>
        <w:t xml:space="preserve">Carignan A, Roussy JF, Lapointe V, Valiquette L. Increasing Risk of Infectious Complications After Transrectal Ultrasound–Guided Prostate Biopsies: Time to Reassess Antimicrobial Prophylaxis? European Urology. 2012.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8.</w:t>
      </w:r>
      <w:r>
        <w:rPr>
          <w:rFonts w:ascii="Arial" w:hAnsi="Arial" w:cs="Arial"/>
          <w:lang w:val="en-US"/>
        </w:rPr>
        <w:tab/>
        <w:t xml:space="preserve">Bjerklund-Johansen TE, Botto H, Cek M. Management of urinary and male genital tract infections. UPDATE. 2008.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9.</w:t>
      </w:r>
      <w:r>
        <w:rPr>
          <w:rFonts w:ascii="Arial" w:hAnsi="Arial" w:cs="Arial"/>
          <w:lang w:val="en-US"/>
        </w:rPr>
        <w:tab/>
        <w:t xml:space="preserve">Batura D, Rao GG, Nielsen PB. Prevalence of antimicrobial resistance in intestinal flora of patients undergoing prostatic biopsy: implications for prophylaxis and treatment of infections after biopsy. BJU Int. 2010 14;106:1017–20.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10.</w:t>
      </w:r>
      <w:r>
        <w:rPr>
          <w:rFonts w:ascii="Arial" w:hAnsi="Arial" w:cs="Arial"/>
          <w:lang w:val="en-US"/>
        </w:rPr>
        <w:tab/>
        <w:t xml:space="preserve">Nam RK, Saskin R, Lee Y, Liu Y, Law C, Klotz LH, et al. Increasing Hospital Admission Rates for Urological Complications After Transrectal Ultrasound Guided Prostate Biopsy. The Journal of Urology. Elsevier; 2010 ;183:963–9.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11.</w:t>
      </w:r>
      <w:r>
        <w:rPr>
          <w:rFonts w:ascii="Arial" w:hAnsi="Arial" w:cs="Arial"/>
          <w:lang w:val="en-US"/>
        </w:rPr>
        <w:tab/>
        <w:t xml:space="preserve">Carlson WH, Bell DG, Lawen JG. Multi-drug resistant E.coli urosepsis in physicia... [Can J Urol. 2010] - PubMed - NCBI. The Canadian journal of Urology 2010.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12.</w:t>
      </w:r>
      <w:r>
        <w:rPr>
          <w:rFonts w:ascii="Arial" w:hAnsi="Arial" w:cs="Arial"/>
          <w:lang w:val="en-US"/>
        </w:rPr>
        <w:tab/>
        <w:t xml:space="preserve">Young JL, Liss MA, Szabo RJ. Sepsis Due to Fluoroquinolone-resistant Escherichia coli After Transrectal Ultrasound-guided Prostate Needle Biopsy. Urology. Elsevier; 2009 ;74:332–8.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13.</w:t>
      </w:r>
      <w:r>
        <w:rPr>
          <w:rFonts w:ascii="Arial" w:hAnsi="Arial" w:cs="Arial"/>
          <w:lang w:val="en-US"/>
        </w:rPr>
        <w:tab/>
        <w:t xml:space="preserve">Loeb S, van den Heuvel S, Zhu X, Bangma CH, Schröder FH, Roobol MJ. Infectious Complications and Hospital Admissions After Prostate Biopsy in a European Randomized Trial. European Urology. 2012 ;61:1110–4.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14.</w:t>
      </w:r>
      <w:r>
        <w:rPr>
          <w:rFonts w:ascii="Arial" w:hAnsi="Arial" w:cs="Arial"/>
          <w:lang w:val="en-US"/>
        </w:rPr>
        <w:tab/>
        <w:t xml:space="preserve">Patel U, Kirby R. Infections after prostate biopsy and antibiotic resistance. BJU Int. 2008 ;101:1201–2.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lastRenderedPageBreak/>
        <w:t>15.</w:t>
      </w:r>
      <w:r>
        <w:rPr>
          <w:rFonts w:ascii="Arial" w:hAnsi="Arial" w:cs="Arial"/>
          <w:lang w:val="en-US"/>
        </w:rPr>
        <w:tab/>
        <w:t xml:space="preserve">Nys S. Antibiotic resistance of faecal Escherichia coli from healthy volunteers from eight developing countries. Journal of Antimicrobial Chemotherapy. 2004 29;54:952–5.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16.</w:t>
      </w:r>
      <w:r>
        <w:rPr>
          <w:rFonts w:ascii="Arial" w:hAnsi="Arial" w:cs="Arial"/>
          <w:lang w:val="en-US"/>
        </w:rPr>
        <w:tab/>
        <w:t xml:space="preserve">Batura D, Rao GG, Nielsen PB. Prevalence of antimicrobial resistance in intestinal flora of patients undergoing prostatic biopsy: implications for prophylaxis and treatment of infections after biopsy. BJU Int. 2010  14;106:1017–20.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17.</w:t>
      </w:r>
      <w:r>
        <w:rPr>
          <w:rFonts w:ascii="Arial" w:hAnsi="Arial" w:cs="Arial"/>
          <w:lang w:val="en-US"/>
        </w:rPr>
        <w:tab/>
        <w:t>Carlene A Muto MM, Marian Pokrywka MBC, Kathleen Shutt MS, Aaron B Mendelsohn P, Kathy Nouri MRBC, Kathy Posey MBC, et al. A Large Outbreak of Clostridium difficile</w:t>
      </w:r>
      <w:r>
        <w:rPr>
          <w:rFonts w:ascii="American Typewriter" w:hAnsi="American Typewriter" w:cs="American Typewriter"/>
          <w:lang w:val="en-US"/>
        </w:rPr>
        <w:t>‐</w:t>
      </w:r>
      <w:r>
        <w:rPr>
          <w:rFonts w:ascii="Arial" w:hAnsi="Arial" w:cs="Arial"/>
          <w:lang w:val="en-US"/>
        </w:rPr>
        <w:t xml:space="preserve">Associated Disease With an Unexpected Proportion of Deaths and Colectomies at a Teaching Hospital Following Increased Fluoroquinolone Use. http://dx.doi.org/10.1086/502539.  The University of Chicago Press; 2005.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18.</w:t>
      </w:r>
      <w:r>
        <w:rPr>
          <w:rFonts w:ascii="Arial" w:hAnsi="Arial" w:cs="Arial"/>
          <w:lang w:val="en-US"/>
        </w:rPr>
        <w:tab/>
        <w:t xml:space="preserve">Madden T, Doble A, Aliyu SH, Neal DE. Infective complications after transrectal ultrasound-guided prostate biopsy following a new protocol for antibiotic prophylaxis aimed at reducing hospital-acquired infections. BJU Int. 2011  18;108:1597–602.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19.</w:t>
      </w:r>
      <w:r>
        <w:rPr>
          <w:rFonts w:ascii="Arial" w:hAnsi="Arial" w:cs="Arial"/>
          <w:lang w:val="en-US"/>
        </w:rPr>
        <w:tab/>
        <w:t xml:space="preserve">Hori S, Sengupta A, Joannides A, Balogun-Ojuri B, Tilley R, McLoughlin J. Changing antibiotic prophylaxis for transrectal ultrasound-guided prostate biopsies: are we putting our patients at risk? BJU Int. 2010  28;106:1298–302.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20.</w:t>
      </w:r>
      <w:r>
        <w:rPr>
          <w:rFonts w:ascii="Arial" w:hAnsi="Arial" w:cs="Arial"/>
          <w:lang w:val="en-US"/>
        </w:rPr>
        <w:tab/>
        <w:t xml:space="preserve">MALIGNANCY UT. BAUS Annual Meeting, 17–20  2013, Manchester Central Poster Sessions. 2013.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21.</w:t>
      </w:r>
      <w:r>
        <w:rPr>
          <w:rFonts w:ascii="Arial" w:hAnsi="Arial" w:cs="Arial"/>
          <w:lang w:val="en-US"/>
        </w:rPr>
        <w:tab/>
        <w:t xml:space="preserve">Batura D, Rao GG, Bo Nielsen P, Charlett A. Adding amikacin to fluoroquinolone-based antimicrobial prophylaxis reduces prostate biopsy infection rates. BJU Int. 2010  4;107:760–4.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22.</w:t>
      </w:r>
      <w:r>
        <w:rPr>
          <w:rFonts w:ascii="Arial" w:hAnsi="Arial" w:cs="Arial"/>
          <w:lang w:val="en-US"/>
        </w:rPr>
        <w:tab/>
        <w:t xml:space="preserve">Duplessis CA, Bavaro M, Simons MP, Marguet C, Santomauro M, Auge B, et al. Rectal Cultures Before Transrectal Ultrasound-guided Prostate Biopsy Reduce Post-prostatic Biopsy Infection Rates. Urology. Elsevier; 2012 ;79:556–63.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23.</w:t>
      </w:r>
      <w:r>
        <w:rPr>
          <w:rFonts w:ascii="Arial" w:hAnsi="Arial" w:cs="Arial"/>
          <w:lang w:val="en-US"/>
        </w:rPr>
        <w:tab/>
        <w:t xml:space="preserve">Wickramasinghe NH, Xu L, Eustace A, Shabir S, Saluja T, Hawkey PM. High community faecal carriage rates of CTX-M ESBL-producing Escherichia coli in a specific population group in Birmingham, UK. Journal of Antimicrobial Chemotherapy. 2012 ;67:1108–13.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24.</w:t>
      </w:r>
      <w:r>
        <w:rPr>
          <w:rFonts w:ascii="Arial" w:hAnsi="Arial" w:cs="Arial"/>
          <w:lang w:val="en-US"/>
        </w:rPr>
        <w:tab/>
        <w:t xml:space="preserve">Patel U, Dasgupta P, Amoroso P, Challacombe B, Pilcher J, Kirby R. Infection after transrectal ultrasonography-guided prostate biopsy: increased relative risks after recent international travel or antibiotic use. BJU Int. 2011  31;109:1781–5. </w:t>
      </w:r>
    </w:p>
    <w:p w:rsidR="00E50FA4" w:rsidRDefault="00EE6561" w:rsidP="00E50FA4">
      <w:pPr>
        <w:widowControl w:val="0"/>
        <w:tabs>
          <w:tab w:val="left" w:pos="640"/>
        </w:tabs>
        <w:autoSpaceDE w:val="0"/>
        <w:autoSpaceDN w:val="0"/>
        <w:adjustRightInd w:val="0"/>
        <w:spacing w:after="240" w:line="240" w:lineRule="auto"/>
        <w:ind w:left="640" w:hanging="640"/>
        <w:jc w:val="left"/>
        <w:rPr>
          <w:rFonts w:ascii="Arial" w:hAnsi="Arial" w:cs="Arial"/>
          <w:lang w:val="en-US"/>
        </w:rPr>
      </w:pPr>
      <w:r>
        <w:rPr>
          <w:rFonts w:ascii="Arial" w:hAnsi="Arial" w:cs="Arial"/>
          <w:lang w:val="en-US"/>
        </w:rPr>
        <w:t>25.</w:t>
      </w:r>
      <w:r>
        <w:rPr>
          <w:rFonts w:ascii="Arial" w:hAnsi="Arial" w:cs="Arial"/>
          <w:lang w:val="en-US"/>
        </w:rPr>
        <w:tab/>
        <w:t>OISIII. Department of Health To:. 2012 Nov 6;:1–64.(</w:t>
      </w:r>
      <w:r w:rsidRPr="008D5A95">
        <w:rPr>
          <w:rFonts w:ascii="Arial" w:hAnsi="Arial" w:cs="Arial"/>
          <w:lang w:val="en-US"/>
        </w:rPr>
        <w:t>https://www.gov.uk/government/uploads/system/uploads/attachment_data/file/213060/2011-12-reference-costs-publication.pdf</w:t>
      </w:r>
      <w:r>
        <w:rPr>
          <w:rFonts w:ascii="Arial" w:hAnsi="Arial" w:cs="Arial"/>
          <w:lang w:val="en-US"/>
        </w:rPr>
        <w:t>)</w:t>
      </w:r>
    </w:p>
    <w:p w:rsidR="00E50FA4" w:rsidRDefault="00A71304" w:rsidP="00E50FA4">
      <w:pPr>
        <w:widowControl w:val="0"/>
        <w:tabs>
          <w:tab w:val="left" w:pos="640"/>
        </w:tabs>
        <w:autoSpaceDE w:val="0"/>
        <w:autoSpaceDN w:val="0"/>
        <w:adjustRightInd w:val="0"/>
        <w:spacing w:after="0" w:line="240" w:lineRule="auto"/>
        <w:ind w:left="640" w:hanging="640"/>
        <w:jc w:val="left"/>
        <w:rPr>
          <w:rFonts w:ascii="Arial" w:hAnsi="Arial"/>
          <w:color w:val="404040"/>
          <w:lang w:val="en-US"/>
        </w:rPr>
      </w:pPr>
      <w:r>
        <w:rPr>
          <w:rFonts w:ascii="Arial" w:hAnsi="Arial"/>
          <w:color w:val="404040"/>
          <w:lang w:val="en-US"/>
        </w:rPr>
        <w:fldChar w:fldCharType="end"/>
      </w:r>
    </w:p>
    <w:p w:rsidR="00E50FA4" w:rsidRDefault="00E50FA4" w:rsidP="00E50FA4">
      <w:pPr>
        <w:widowControl w:val="0"/>
        <w:tabs>
          <w:tab w:val="left" w:pos="640"/>
        </w:tabs>
        <w:autoSpaceDE w:val="0"/>
        <w:autoSpaceDN w:val="0"/>
        <w:adjustRightInd w:val="0"/>
        <w:spacing w:after="240" w:line="240" w:lineRule="auto"/>
        <w:ind w:left="640" w:hanging="640"/>
        <w:jc w:val="left"/>
        <w:rPr>
          <w:rFonts w:ascii="Arial" w:hAnsi="Arial"/>
          <w:color w:val="404040"/>
          <w:lang w:val="en-US"/>
        </w:rPr>
      </w:pPr>
    </w:p>
    <w:p w:rsidR="00E50FA4" w:rsidRDefault="00E50FA4" w:rsidP="00E50FA4">
      <w:pPr>
        <w:widowControl w:val="0"/>
        <w:tabs>
          <w:tab w:val="left" w:pos="640"/>
        </w:tabs>
        <w:autoSpaceDE w:val="0"/>
        <w:autoSpaceDN w:val="0"/>
        <w:adjustRightInd w:val="0"/>
        <w:spacing w:after="240" w:line="240" w:lineRule="auto"/>
        <w:ind w:left="640" w:hanging="640"/>
        <w:jc w:val="left"/>
      </w:pPr>
    </w:p>
    <w:p w:rsidR="00E50FA4" w:rsidRDefault="00E50FA4" w:rsidP="00E50FA4">
      <w:pPr>
        <w:widowControl w:val="0"/>
        <w:tabs>
          <w:tab w:val="left" w:pos="640"/>
        </w:tabs>
        <w:autoSpaceDE w:val="0"/>
        <w:autoSpaceDN w:val="0"/>
        <w:adjustRightInd w:val="0"/>
        <w:spacing w:after="240" w:line="240" w:lineRule="auto"/>
        <w:ind w:left="640" w:hanging="640"/>
        <w:jc w:val="left"/>
      </w:pPr>
    </w:p>
    <w:p w:rsidR="00E50FA4" w:rsidRDefault="00E50FA4" w:rsidP="00E50FA4">
      <w:pPr>
        <w:widowControl w:val="0"/>
        <w:tabs>
          <w:tab w:val="left" w:pos="640"/>
        </w:tabs>
        <w:autoSpaceDE w:val="0"/>
        <w:autoSpaceDN w:val="0"/>
        <w:adjustRightInd w:val="0"/>
        <w:spacing w:after="240" w:line="240" w:lineRule="auto"/>
        <w:ind w:left="640" w:hanging="640"/>
        <w:jc w:val="left"/>
      </w:pPr>
    </w:p>
    <w:p w:rsidR="00E50FA4" w:rsidRDefault="00E50FA4" w:rsidP="00E50FA4">
      <w:pPr>
        <w:widowControl w:val="0"/>
        <w:tabs>
          <w:tab w:val="left" w:pos="640"/>
        </w:tabs>
        <w:autoSpaceDE w:val="0"/>
        <w:autoSpaceDN w:val="0"/>
        <w:adjustRightInd w:val="0"/>
        <w:spacing w:after="240" w:line="240" w:lineRule="auto"/>
        <w:ind w:left="640" w:hanging="640"/>
        <w:jc w:val="left"/>
      </w:pPr>
    </w:p>
    <w:p w:rsidR="00E50FA4" w:rsidRDefault="00E50FA4" w:rsidP="00E50FA4">
      <w:pPr>
        <w:widowControl w:val="0"/>
        <w:tabs>
          <w:tab w:val="left" w:pos="640"/>
        </w:tabs>
        <w:autoSpaceDE w:val="0"/>
        <w:autoSpaceDN w:val="0"/>
        <w:adjustRightInd w:val="0"/>
        <w:spacing w:after="240" w:line="240" w:lineRule="auto"/>
        <w:ind w:left="640" w:hanging="640"/>
        <w:jc w:val="left"/>
        <w:rPr>
          <w:rFonts w:ascii="Arial" w:hAnsi="Arial"/>
          <w:color w:val="404040"/>
          <w:lang w:val="en-US"/>
        </w:rPr>
      </w:pPr>
    </w:p>
    <w:p w:rsidR="00E50FA4" w:rsidRDefault="00E50FA4" w:rsidP="00E50FA4">
      <w:pPr>
        <w:widowControl w:val="0"/>
        <w:tabs>
          <w:tab w:val="left" w:pos="640"/>
        </w:tabs>
        <w:autoSpaceDE w:val="0"/>
        <w:autoSpaceDN w:val="0"/>
        <w:adjustRightInd w:val="0"/>
        <w:spacing w:after="240" w:line="240" w:lineRule="auto"/>
        <w:ind w:left="640" w:hanging="640"/>
        <w:jc w:val="left"/>
        <w:rPr>
          <w:rFonts w:ascii="Arial" w:hAnsi="Arial"/>
          <w:color w:val="404040"/>
          <w:lang w:val="en-US"/>
        </w:rPr>
      </w:pPr>
    </w:p>
    <w:p w:rsidR="00E50FA4" w:rsidRDefault="00E50FA4" w:rsidP="00E50FA4">
      <w:pPr>
        <w:widowControl w:val="0"/>
        <w:tabs>
          <w:tab w:val="left" w:pos="640"/>
        </w:tabs>
        <w:autoSpaceDE w:val="0"/>
        <w:autoSpaceDN w:val="0"/>
        <w:adjustRightInd w:val="0"/>
        <w:spacing w:after="240" w:line="240" w:lineRule="auto"/>
        <w:ind w:left="640" w:hanging="640"/>
        <w:jc w:val="left"/>
        <w:rPr>
          <w:rFonts w:ascii="Arial" w:hAnsi="Arial"/>
          <w:color w:val="404040"/>
          <w:lang w:val="en-US"/>
        </w:rPr>
      </w:pPr>
    </w:p>
    <w:p w:rsidR="00E50FA4" w:rsidRDefault="000B155C" w:rsidP="00E50FA4">
      <w:pPr>
        <w:widowControl w:val="0"/>
        <w:tabs>
          <w:tab w:val="left" w:pos="640"/>
        </w:tabs>
        <w:autoSpaceDE w:val="0"/>
        <w:autoSpaceDN w:val="0"/>
        <w:adjustRightInd w:val="0"/>
        <w:spacing w:after="240" w:line="240" w:lineRule="auto"/>
        <w:ind w:left="640" w:hanging="640"/>
        <w:jc w:val="left"/>
        <w:rPr>
          <w:rFonts w:ascii="Arial" w:hAnsi="Arial"/>
          <w:color w:val="404040"/>
          <w:lang w:val="en-US"/>
        </w:rPr>
      </w:pPr>
      <w:r>
        <w:rPr>
          <w:rFonts w:ascii="Arial" w:hAnsi="Arial"/>
          <w:noProof/>
          <w:color w:val="404040"/>
          <w:lang w:val="en-US" w:eastAsia="en-US"/>
        </w:rPr>
        <w:pict>
          <v:shapetype id="_x0000_t202" coordsize="21600,21600" o:spt="202" path="m,l,21600r21600,l21600,xe">
            <v:stroke joinstyle="miter"/>
            <v:path gradientshapeok="t" o:connecttype="rect"/>
          </v:shapetype>
          <v:shape id="Text Box 8" o:spid="_x0000_s1026" type="#_x0000_t202" style="position:absolute;left:0;text-align:left;margin-left:-35.9pt;margin-top:18.9pt;width:450pt;height:510pt;z-index:251671552;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36 0 -36 21568 21636 21568 21636 0 -36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" filled="f">
            <v:path arrowok="t"/>
            <v:textbox>
              <w:txbxContent>
                <w:p w:rsidR="00E50FA4" w:rsidRPr="000E49B9" w:rsidRDefault="00E50FA4" w:rsidP="00E50FA4">
                  <w:pPr>
                    <w:widowControl w:val="0"/>
                    <w:autoSpaceDE w:val="0"/>
                    <w:autoSpaceDN w:val="0"/>
                    <w:adjustRightInd w:val="0"/>
                    <w:spacing w:after="240"/>
                    <w:rPr>
                      <w:rFonts w:ascii="Arial" w:hAnsi="Arial"/>
                      <w:sz w:val="16"/>
                      <w:szCs w:val="16"/>
                    </w:rPr>
                  </w:pPr>
                  <w:r w:rsidRPr="00B52364">
                    <w:rPr>
                      <w:rFonts w:ascii="Arial" w:hAnsi="Arial"/>
                      <w:b/>
                      <w:sz w:val="16"/>
                      <w:szCs w:val="16"/>
                      <w:u w:val="single"/>
                    </w:rPr>
                    <w:t xml:space="preserve">Table </w:t>
                  </w:r>
                  <w:r>
                    <w:rPr>
                      <w:rFonts w:ascii="Arial" w:hAnsi="Arial"/>
                      <w:b/>
                      <w:sz w:val="16"/>
                      <w:szCs w:val="16"/>
                      <w:u w:val="single"/>
                    </w:rPr>
                    <w:t>1</w:t>
                  </w:r>
                  <w:r w:rsidRPr="00B52364">
                    <w:rPr>
                      <w:rFonts w:ascii="Arial" w:hAnsi="Arial"/>
                      <w:sz w:val="16"/>
                      <w:szCs w:val="16"/>
                    </w:rPr>
                    <w:t xml:space="preserve"> </w:t>
                  </w:r>
                  <w:r>
                    <w:rPr>
                      <w:rFonts w:ascii="Arial" w:hAnsi="Arial"/>
                      <w:sz w:val="16"/>
                      <w:szCs w:val="16"/>
                    </w:rPr>
                    <w:t>Risk factors in patients with ciprofloxacin-resistance isolates</w:t>
                  </w:r>
                </w:p>
                <w:tbl>
                  <w:tblPr>
                    <w:tblW w:w="8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2268"/>
                    <w:gridCol w:w="2410"/>
                    <w:gridCol w:w="2390"/>
                  </w:tblGrid>
                  <w:tr w:rsidR="00E50FA4" w:rsidRPr="00182B9A">
                    <w:trPr>
                      <w:trHeight w:val="373"/>
                    </w:trPr>
                    <w:tc>
                      <w:tcPr>
                        <w:tcW w:w="1526" w:type="dxa"/>
                      </w:tcPr>
                      <w:p w:rsidR="00E50FA4" w:rsidRPr="003C7842" w:rsidRDefault="00E50FA4" w:rsidP="00E50FA4">
                        <w:pPr>
                          <w:spacing w:line="480" w:lineRule="auto"/>
                          <w:rPr>
                            <w:rFonts w:ascii="Arial" w:hAnsi="Arial" w:cs="Arial"/>
                            <w:b/>
                            <w:bCs/>
                            <w:sz w:val="22"/>
                            <w:szCs w:val="22"/>
                          </w:rPr>
                        </w:pPr>
                        <w:r w:rsidRPr="003C7842">
                          <w:rPr>
                            <w:rFonts w:ascii="Arial" w:hAnsi="Arial" w:cs="Arial"/>
                            <w:b/>
                            <w:bCs/>
                            <w:sz w:val="22"/>
                            <w:szCs w:val="22"/>
                          </w:rPr>
                          <w:t>Patients</w:t>
                        </w:r>
                      </w:p>
                      <w:p w:rsidR="00E50FA4" w:rsidRPr="003C7842" w:rsidRDefault="00E50FA4" w:rsidP="00E50FA4">
                        <w:pPr>
                          <w:spacing w:line="480" w:lineRule="auto"/>
                          <w:rPr>
                            <w:rFonts w:ascii="Arial" w:hAnsi="Arial" w:cs="Arial"/>
                            <w:b/>
                            <w:bCs/>
                            <w:sz w:val="22"/>
                            <w:szCs w:val="22"/>
                          </w:rPr>
                        </w:pPr>
                      </w:p>
                    </w:tc>
                    <w:tc>
                      <w:tcPr>
                        <w:tcW w:w="2268" w:type="dxa"/>
                      </w:tcPr>
                      <w:p w:rsidR="00E50FA4" w:rsidRDefault="00E50FA4" w:rsidP="00E50FA4">
                        <w:pPr>
                          <w:spacing w:line="480" w:lineRule="auto"/>
                          <w:jc w:val="left"/>
                          <w:rPr>
                            <w:rFonts w:ascii="Arial" w:hAnsi="Arial" w:cs="Arial"/>
                            <w:b/>
                          </w:rPr>
                        </w:pPr>
                        <w:r w:rsidRPr="00136675">
                          <w:rPr>
                            <w:rFonts w:ascii="Arial" w:hAnsi="Arial" w:cs="Arial"/>
                            <w:b/>
                          </w:rPr>
                          <w:t xml:space="preserve">Travel History </w:t>
                        </w:r>
                      </w:p>
                      <w:p w:rsidR="00E50FA4" w:rsidRPr="00136675" w:rsidRDefault="00E50FA4" w:rsidP="00E50FA4">
                        <w:pPr>
                          <w:spacing w:line="480" w:lineRule="auto"/>
                          <w:jc w:val="left"/>
                          <w:rPr>
                            <w:rFonts w:ascii="Arial" w:hAnsi="Arial" w:cs="Arial"/>
                            <w:b/>
                            <w:bCs/>
                          </w:rPr>
                        </w:pPr>
                        <w:r w:rsidRPr="00136675">
                          <w:rPr>
                            <w:rFonts w:ascii="Arial" w:hAnsi="Arial" w:cs="Arial"/>
                            <w:b/>
                          </w:rPr>
                          <w:t>(Past 12 months)</w:t>
                        </w:r>
                      </w:p>
                    </w:tc>
                    <w:tc>
                      <w:tcPr>
                        <w:tcW w:w="2410" w:type="dxa"/>
                      </w:tcPr>
                      <w:p w:rsidR="00E50FA4" w:rsidRDefault="00E50FA4" w:rsidP="00E50FA4">
                        <w:pPr>
                          <w:spacing w:line="480" w:lineRule="auto"/>
                          <w:jc w:val="left"/>
                          <w:rPr>
                            <w:rFonts w:ascii="Arial" w:hAnsi="Arial" w:cs="Arial"/>
                            <w:b/>
                          </w:rPr>
                        </w:pPr>
                        <w:r w:rsidRPr="00136675">
                          <w:rPr>
                            <w:rFonts w:ascii="Arial" w:hAnsi="Arial" w:cs="Arial"/>
                            <w:b/>
                          </w:rPr>
                          <w:t>Hospitalisation for over 48 h</w:t>
                        </w:r>
                      </w:p>
                      <w:p w:rsidR="00E50FA4" w:rsidRPr="00136675" w:rsidRDefault="00E50FA4" w:rsidP="00E50FA4">
                        <w:pPr>
                          <w:spacing w:line="480" w:lineRule="auto"/>
                          <w:jc w:val="left"/>
                          <w:rPr>
                            <w:rFonts w:ascii="Arial" w:hAnsi="Arial" w:cs="Arial"/>
                            <w:b/>
                            <w:bCs/>
                          </w:rPr>
                        </w:pPr>
                        <w:r w:rsidRPr="00136675">
                          <w:rPr>
                            <w:rFonts w:ascii="Arial" w:hAnsi="Arial" w:cs="Arial"/>
                            <w:b/>
                          </w:rPr>
                          <w:t xml:space="preserve"> (Past 12 months)</w:t>
                        </w:r>
                      </w:p>
                    </w:tc>
                    <w:tc>
                      <w:tcPr>
                        <w:tcW w:w="2390" w:type="dxa"/>
                      </w:tcPr>
                      <w:p w:rsidR="00E50FA4" w:rsidRDefault="00E50FA4" w:rsidP="00E50FA4">
                        <w:pPr>
                          <w:spacing w:line="480" w:lineRule="auto"/>
                          <w:jc w:val="left"/>
                          <w:rPr>
                            <w:rFonts w:ascii="Arial" w:hAnsi="Arial" w:cs="Arial"/>
                            <w:b/>
                          </w:rPr>
                        </w:pPr>
                        <w:r w:rsidRPr="00136675">
                          <w:rPr>
                            <w:rFonts w:ascii="Arial" w:hAnsi="Arial" w:cs="Arial"/>
                            <w:b/>
                          </w:rPr>
                          <w:t xml:space="preserve">Antibiotic treatments </w:t>
                        </w:r>
                      </w:p>
                      <w:p w:rsidR="00E50FA4" w:rsidRPr="00136675" w:rsidRDefault="00E50FA4" w:rsidP="00E50FA4">
                        <w:pPr>
                          <w:spacing w:line="480" w:lineRule="auto"/>
                          <w:jc w:val="left"/>
                          <w:rPr>
                            <w:rFonts w:ascii="Arial" w:hAnsi="Arial" w:cs="Arial"/>
                            <w:b/>
                            <w:bCs/>
                          </w:rPr>
                        </w:pPr>
                        <w:r w:rsidRPr="00136675">
                          <w:rPr>
                            <w:rFonts w:ascii="Arial" w:hAnsi="Arial" w:cs="Arial"/>
                            <w:b/>
                          </w:rPr>
                          <w:t>(Past 3 months)</w:t>
                        </w:r>
                      </w:p>
                    </w:tc>
                  </w:tr>
                  <w:tr w:rsidR="00E50FA4" w:rsidRPr="00182B9A">
                    <w:trPr>
                      <w:trHeight w:val="278"/>
                    </w:trPr>
                    <w:tc>
                      <w:tcPr>
                        <w:tcW w:w="1526" w:type="dxa"/>
                        <w:noWrap/>
                      </w:tcPr>
                      <w:p w:rsidR="00E50FA4" w:rsidRPr="00136675" w:rsidRDefault="00E50FA4" w:rsidP="00E50FA4">
                        <w:pPr>
                          <w:spacing w:line="480" w:lineRule="auto"/>
                          <w:rPr>
                            <w:rFonts w:ascii="Arial" w:hAnsi="Arial" w:cs="Arial"/>
                            <w:b/>
                            <w:bCs/>
                            <w:color w:val="000000"/>
                          </w:rPr>
                        </w:pPr>
                        <w:r w:rsidRPr="00136675">
                          <w:rPr>
                            <w:rFonts w:ascii="Arial" w:hAnsi="Arial" w:cs="Arial"/>
                            <w:b/>
                            <w:bCs/>
                            <w:color w:val="000000"/>
                          </w:rPr>
                          <w:t>P1</w:t>
                        </w:r>
                      </w:p>
                    </w:tc>
                    <w:tc>
                      <w:tcPr>
                        <w:tcW w:w="2268"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41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Yes</w:t>
                        </w:r>
                      </w:p>
                    </w:tc>
                    <w:tc>
                      <w:tcPr>
                        <w:tcW w:w="239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r>
                  <w:tr w:rsidR="00E50FA4" w:rsidRPr="00182B9A">
                    <w:trPr>
                      <w:trHeight w:val="192"/>
                    </w:trPr>
                    <w:tc>
                      <w:tcPr>
                        <w:tcW w:w="1526" w:type="dxa"/>
                        <w:noWrap/>
                      </w:tcPr>
                      <w:p w:rsidR="00E50FA4" w:rsidRPr="00136675" w:rsidRDefault="00E50FA4" w:rsidP="00E50FA4">
                        <w:pPr>
                          <w:spacing w:line="480" w:lineRule="auto"/>
                          <w:rPr>
                            <w:rFonts w:ascii="Arial" w:hAnsi="Arial" w:cs="Arial"/>
                            <w:b/>
                            <w:bCs/>
                            <w:color w:val="000000"/>
                          </w:rPr>
                        </w:pPr>
                        <w:r w:rsidRPr="00136675">
                          <w:rPr>
                            <w:rFonts w:ascii="Arial" w:hAnsi="Arial" w:cs="Arial"/>
                            <w:b/>
                            <w:bCs/>
                            <w:color w:val="000000"/>
                          </w:rPr>
                          <w:t>P2</w:t>
                        </w:r>
                      </w:p>
                    </w:tc>
                    <w:tc>
                      <w:tcPr>
                        <w:tcW w:w="2268"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41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39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r>
                  <w:tr w:rsidR="00E50FA4" w:rsidRPr="00182B9A">
                    <w:trPr>
                      <w:trHeight w:val="301"/>
                    </w:trPr>
                    <w:tc>
                      <w:tcPr>
                        <w:tcW w:w="1526" w:type="dxa"/>
                        <w:noWrap/>
                      </w:tcPr>
                      <w:p w:rsidR="00E50FA4" w:rsidRPr="00136675" w:rsidRDefault="00E50FA4" w:rsidP="00E50FA4">
                        <w:pPr>
                          <w:spacing w:line="480" w:lineRule="auto"/>
                          <w:rPr>
                            <w:rFonts w:ascii="Arial" w:hAnsi="Arial" w:cs="Arial"/>
                            <w:b/>
                            <w:bCs/>
                            <w:color w:val="000000"/>
                          </w:rPr>
                        </w:pPr>
                        <w:r w:rsidRPr="00136675">
                          <w:rPr>
                            <w:rFonts w:ascii="Arial" w:hAnsi="Arial" w:cs="Arial"/>
                            <w:b/>
                            <w:bCs/>
                            <w:color w:val="000000"/>
                          </w:rPr>
                          <w:t>P3</w:t>
                        </w:r>
                      </w:p>
                    </w:tc>
                    <w:tc>
                      <w:tcPr>
                        <w:tcW w:w="2268"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41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39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r>
                  <w:tr w:rsidR="00E50FA4" w:rsidRPr="00182B9A">
                    <w:trPr>
                      <w:trHeight w:val="106"/>
                    </w:trPr>
                    <w:tc>
                      <w:tcPr>
                        <w:tcW w:w="1526" w:type="dxa"/>
                        <w:noWrap/>
                      </w:tcPr>
                      <w:p w:rsidR="00E50FA4" w:rsidRPr="00136675" w:rsidRDefault="00E50FA4" w:rsidP="00E50FA4">
                        <w:pPr>
                          <w:spacing w:line="480" w:lineRule="auto"/>
                          <w:rPr>
                            <w:rFonts w:ascii="Arial" w:hAnsi="Arial" w:cs="Arial"/>
                            <w:b/>
                            <w:bCs/>
                            <w:color w:val="000000"/>
                          </w:rPr>
                        </w:pPr>
                        <w:r w:rsidRPr="00136675">
                          <w:rPr>
                            <w:rFonts w:ascii="Arial" w:hAnsi="Arial" w:cs="Arial"/>
                            <w:b/>
                            <w:bCs/>
                            <w:color w:val="000000"/>
                          </w:rPr>
                          <w:t>P4</w:t>
                        </w:r>
                      </w:p>
                    </w:tc>
                    <w:tc>
                      <w:tcPr>
                        <w:tcW w:w="2268" w:type="dxa"/>
                      </w:tcPr>
                      <w:p w:rsidR="00E50FA4" w:rsidRPr="00136675" w:rsidRDefault="00E50FA4" w:rsidP="00E50FA4">
                        <w:pPr>
                          <w:spacing w:line="480" w:lineRule="auto"/>
                          <w:rPr>
                            <w:rFonts w:ascii="Arial" w:hAnsi="Arial" w:cs="Arial"/>
                            <w:color w:val="FF0000"/>
                          </w:rPr>
                        </w:pPr>
                        <w:r w:rsidRPr="00136675">
                          <w:rPr>
                            <w:rFonts w:ascii="Arial" w:hAnsi="Arial" w:cs="Arial"/>
                            <w:color w:val="FF0000"/>
                          </w:rPr>
                          <w:t>USA</w:t>
                        </w:r>
                      </w:p>
                    </w:tc>
                    <w:tc>
                      <w:tcPr>
                        <w:tcW w:w="241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39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r>
                  <w:tr w:rsidR="00E50FA4" w:rsidRPr="00182B9A">
                    <w:trPr>
                      <w:trHeight w:val="199"/>
                    </w:trPr>
                    <w:tc>
                      <w:tcPr>
                        <w:tcW w:w="1526" w:type="dxa"/>
                        <w:noWrap/>
                      </w:tcPr>
                      <w:p w:rsidR="00E50FA4" w:rsidRPr="00136675" w:rsidRDefault="00E50FA4" w:rsidP="00E50FA4">
                        <w:pPr>
                          <w:spacing w:line="480" w:lineRule="auto"/>
                          <w:rPr>
                            <w:rFonts w:ascii="Arial" w:hAnsi="Arial" w:cs="Arial"/>
                            <w:b/>
                            <w:bCs/>
                            <w:color w:val="000000"/>
                          </w:rPr>
                        </w:pPr>
                        <w:r w:rsidRPr="00136675">
                          <w:rPr>
                            <w:rFonts w:ascii="Arial" w:hAnsi="Arial" w:cs="Arial"/>
                            <w:b/>
                            <w:bCs/>
                            <w:color w:val="000000"/>
                          </w:rPr>
                          <w:t>P5</w:t>
                        </w:r>
                      </w:p>
                    </w:tc>
                    <w:tc>
                      <w:tcPr>
                        <w:tcW w:w="2268" w:type="dxa"/>
                      </w:tcPr>
                      <w:p w:rsidR="00E50FA4" w:rsidRPr="00136675" w:rsidRDefault="00E50FA4" w:rsidP="00E50FA4">
                        <w:pPr>
                          <w:spacing w:line="480" w:lineRule="auto"/>
                          <w:rPr>
                            <w:rFonts w:ascii="Arial" w:hAnsi="Arial" w:cs="Arial"/>
                            <w:color w:val="FF0000"/>
                          </w:rPr>
                        </w:pPr>
                        <w:r w:rsidRPr="00136675">
                          <w:rPr>
                            <w:rFonts w:ascii="Arial" w:hAnsi="Arial" w:cs="Arial"/>
                            <w:color w:val="FF0000"/>
                          </w:rPr>
                          <w:t>France</w:t>
                        </w:r>
                      </w:p>
                    </w:tc>
                    <w:tc>
                      <w:tcPr>
                        <w:tcW w:w="241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39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r>
                  <w:tr w:rsidR="00E50FA4" w:rsidRPr="00182B9A">
                    <w:trPr>
                      <w:trHeight w:val="278"/>
                    </w:trPr>
                    <w:tc>
                      <w:tcPr>
                        <w:tcW w:w="1526" w:type="dxa"/>
                        <w:noWrap/>
                      </w:tcPr>
                      <w:p w:rsidR="00E50FA4" w:rsidRPr="00136675" w:rsidRDefault="00E50FA4" w:rsidP="00E50FA4">
                        <w:pPr>
                          <w:spacing w:line="480" w:lineRule="auto"/>
                          <w:rPr>
                            <w:rFonts w:ascii="Arial" w:hAnsi="Arial" w:cs="Arial"/>
                            <w:b/>
                            <w:bCs/>
                            <w:color w:val="000000"/>
                          </w:rPr>
                        </w:pPr>
                        <w:r w:rsidRPr="00136675">
                          <w:rPr>
                            <w:rFonts w:ascii="Arial" w:hAnsi="Arial" w:cs="Arial"/>
                            <w:b/>
                            <w:bCs/>
                            <w:color w:val="000000"/>
                          </w:rPr>
                          <w:t>P6</w:t>
                        </w:r>
                      </w:p>
                    </w:tc>
                    <w:tc>
                      <w:tcPr>
                        <w:tcW w:w="2268"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41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39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r>
                  <w:tr w:rsidR="00E50FA4" w:rsidRPr="00182B9A">
                    <w:trPr>
                      <w:trHeight w:val="278"/>
                    </w:trPr>
                    <w:tc>
                      <w:tcPr>
                        <w:tcW w:w="1526" w:type="dxa"/>
                        <w:noWrap/>
                      </w:tcPr>
                      <w:p w:rsidR="00E50FA4" w:rsidRPr="00136675" w:rsidRDefault="00E50FA4" w:rsidP="00E50FA4">
                        <w:pPr>
                          <w:spacing w:line="480" w:lineRule="auto"/>
                          <w:rPr>
                            <w:rFonts w:ascii="Arial" w:hAnsi="Arial" w:cs="Arial"/>
                            <w:b/>
                            <w:bCs/>
                            <w:color w:val="000000"/>
                          </w:rPr>
                        </w:pPr>
                        <w:r w:rsidRPr="00136675">
                          <w:rPr>
                            <w:rFonts w:ascii="Arial" w:hAnsi="Arial" w:cs="Arial"/>
                            <w:b/>
                            <w:bCs/>
                            <w:color w:val="000000"/>
                          </w:rPr>
                          <w:t>P7</w:t>
                        </w:r>
                      </w:p>
                    </w:tc>
                    <w:tc>
                      <w:tcPr>
                        <w:tcW w:w="2268"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41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39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r>
                  <w:tr w:rsidR="00E50FA4" w:rsidRPr="00182B9A">
                    <w:trPr>
                      <w:trHeight w:val="192"/>
                    </w:trPr>
                    <w:tc>
                      <w:tcPr>
                        <w:tcW w:w="1526" w:type="dxa"/>
                        <w:noWrap/>
                      </w:tcPr>
                      <w:p w:rsidR="00E50FA4" w:rsidRPr="00136675" w:rsidRDefault="00E50FA4" w:rsidP="00E50FA4">
                        <w:pPr>
                          <w:spacing w:line="480" w:lineRule="auto"/>
                          <w:rPr>
                            <w:rFonts w:ascii="Arial" w:hAnsi="Arial" w:cs="Arial"/>
                            <w:b/>
                            <w:bCs/>
                            <w:color w:val="000000"/>
                          </w:rPr>
                        </w:pPr>
                        <w:r w:rsidRPr="00136675">
                          <w:rPr>
                            <w:rFonts w:ascii="Arial" w:hAnsi="Arial" w:cs="Arial"/>
                            <w:b/>
                            <w:bCs/>
                            <w:color w:val="000000"/>
                          </w:rPr>
                          <w:t>P8</w:t>
                        </w:r>
                      </w:p>
                    </w:tc>
                    <w:tc>
                      <w:tcPr>
                        <w:tcW w:w="2268"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41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390" w:type="dxa"/>
                      </w:tcPr>
                      <w:p w:rsidR="00E50FA4" w:rsidRPr="00136675" w:rsidRDefault="00E50FA4" w:rsidP="00E50FA4">
                        <w:pPr>
                          <w:spacing w:line="480" w:lineRule="auto"/>
                          <w:rPr>
                            <w:rFonts w:ascii="Arial" w:hAnsi="Arial" w:cs="Arial"/>
                            <w:color w:val="FF0000"/>
                          </w:rPr>
                        </w:pPr>
                        <w:r>
                          <w:rPr>
                            <w:rFonts w:ascii="Arial" w:hAnsi="Arial" w:cs="Arial"/>
                            <w:color w:val="FF0000"/>
                          </w:rPr>
                          <w:t>Unknown</w:t>
                        </w:r>
                      </w:p>
                    </w:tc>
                  </w:tr>
                  <w:tr w:rsidR="00E50FA4" w:rsidRPr="00182B9A">
                    <w:trPr>
                      <w:trHeight w:val="348"/>
                    </w:trPr>
                    <w:tc>
                      <w:tcPr>
                        <w:tcW w:w="1526" w:type="dxa"/>
                        <w:noWrap/>
                      </w:tcPr>
                      <w:p w:rsidR="00E50FA4" w:rsidRPr="00136675" w:rsidRDefault="00E50FA4" w:rsidP="00E50FA4">
                        <w:pPr>
                          <w:spacing w:line="480" w:lineRule="auto"/>
                          <w:rPr>
                            <w:rFonts w:ascii="Arial" w:hAnsi="Arial" w:cs="Arial"/>
                            <w:b/>
                            <w:bCs/>
                            <w:color w:val="000000"/>
                          </w:rPr>
                        </w:pPr>
                        <w:r w:rsidRPr="00136675">
                          <w:rPr>
                            <w:rFonts w:ascii="Arial" w:hAnsi="Arial" w:cs="Arial"/>
                            <w:b/>
                            <w:bCs/>
                            <w:color w:val="000000"/>
                          </w:rPr>
                          <w:t>P9</w:t>
                        </w:r>
                      </w:p>
                    </w:tc>
                    <w:tc>
                      <w:tcPr>
                        <w:tcW w:w="2268"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41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39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w:t>
                        </w:r>
                      </w:p>
                    </w:tc>
                  </w:tr>
                  <w:tr w:rsidR="00E50FA4" w:rsidRPr="00182B9A">
                    <w:trPr>
                      <w:trHeight w:val="234"/>
                    </w:trPr>
                    <w:tc>
                      <w:tcPr>
                        <w:tcW w:w="1526" w:type="dxa"/>
                        <w:noWrap/>
                      </w:tcPr>
                      <w:p w:rsidR="00E50FA4" w:rsidRPr="00136675" w:rsidRDefault="00E50FA4" w:rsidP="00E50FA4">
                        <w:pPr>
                          <w:spacing w:line="480" w:lineRule="auto"/>
                          <w:rPr>
                            <w:rFonts w:ascii="Arial" w:hAnsi="Arial" w:cs="Arial"/>
                            <w:b/>
                            <w:bCs/>
                            <w:color w:val="000000"/>
                          </w:rPr>
                        </w:pPr>
                        <w:r w:rsidRPr="00136675">
                          <w:rPr>
                            <w:rFonts w:ascii="Arial" w:hAnsi="Arial" w:cs="Arial"/>
                            <w:b/>
                            <w:bCs/>
                            <w:color w:val="000000"/>
                          </w:rPr>
                          <w:t>P10</w:t>
                        </w:r>
                      </w:p>
                    </w:tc>
                    <w:tc>
                      <w:tcPr>
                        <w:tcW w:w="2268" w:type="dxa"/>
                      </w:tcPr>
                      <w:p w:rsidR="00E50FA4" w:rsidRPr="00136675" w:rsidRDefault="00E50FA4" w:rsidP="00E50FA4">
                        <w:pPr>
                          <w:spacing w:line="480" w:lineRule="auto"/>
                          <w:rPr>
                            <w:rFonts w:ascii="Arial" w:hAnsi="Arial" w:cs="Arial"/>
                            <w:color w:val="FF0000"/>
                          </w:rPr>
                        </w:pPr>
                        <w:r w:rsidRPr="00136675">
                          <w:rPr>
                            <w:rFonts w:ascii="Arial" w:hAnsi="Arial" w:cs="Arial"/>
                            <w:color w:val="FF0000"/>
                          </w:rPr>
                          <w:t>Greece</w:t>
                        </w:r>
                      </w:p>
                    </w:tc>
                    <w:tc>
                      <w:tcPr>
                        <w:tcW w:w="2410" w:type="dxa"/>
                      </w:tcPr>
                      <w:p w:rsidR="00E50FA4" w:rsidRPr="00136675" w:rsidRDefault="00E50FA4" w:rsidP="00E50FA4">
                        <w:pPr>
                          <w:spacing w:line="480" w:lineRule="auto"/>
                          <w:rPr>
                            <w:rFonts w:ascii="Arial" w:hAnsi="Arial" w:cs="Arial"/>
                            <w:color w:val="000000"/>
                          </w:rPr>
                        </w:pPr>
                        <w:r w:rsidRPr="00136675">
                          <w:rPr>
                            <w:rFonts w:ascii="Arial" w:hAnsi="Arial" w:cs="Arial"/>
                            <w:color w:val="000000"/>
                          </w:rPr>
                          <w:t>No</w:t>
                        </w:r>
                      </w:p>
                    </w:tc>
                    <w:tc>
                      <w:tcPr>
                        <w:tcW w:w="2390" w:type="dxa"/>
                      </w:tcPr>
                      <w:p w:rsidR="00E50FA4" w:rsidRPr="00136675" w:rsidRDefault="00E50FA4" w:rsidP="00E50FA4">
                        <w:pPr>
                          <w:spacing w:line="480" w:lineRule="auto"/>
                          <w:rPr>
                            <w:rFonts w:ascii="Arial" w:hAnsi="Arial" w:cs="Arial"/>
                            <w:color w:val="FF0000"/>
                          </w:rPr>
                        </w:pPr>
                        <w:r w:rsidRPr="00136675">
                          <w:rPr>
                            <w:rFonts w:ascii="Arial" w:hAnsi="Arial" w:cs="Arial"/>
                            <w:color w:val="FF0000"/>
                          </w:rPr>
                          <w:t>Amoxicillin +Flucloxacillin</w:t>
                        </w:r>
                      </w:p>
                    </w:tc>
                  </w:tr>
                </w:tbl>
                <w:p w:rsidR="00E50FA4" w:rsidRDefault="00E50FA4" w:rsidP="00E50FA4"/>
              </w:txbxContent>
            </v:textbox>
            <w10:wrap type="through"/>
          </v:shape>
        </w:pict>
      </w:r>
    </w:p>
    <w:p w:rsidR="00E50FA4" w:rsidRDefault="00E50FA4" w:rsidP="00E50FA4">
      <w:pPr>
        <w:widowControl w:val="0"/>
        <w:tabs>
          <w:tab w:val="left" w:pos="640"/>
        </w:tabs>
        <w:autoSpaceDE w:val="0"/>
        <w:autoSpaceDN w:val="0"/>
        <w:adjustRightInd w:val="0"/>
        <w:spacing w:after="240" w:line="240" w:lineRule="auto"/>
        <w:ind w:left="640" w:hanging="640"/>
        <w:jc w:val="left"/>
        <w:rPr>
          <w:rFonts w:ascii="Arial" w:hAnsi="Arial"/>
          <w:color w:val="404040"/>
          <w:lang w:val="en-US"/>
        </w:rPr>
      </w:pPr>
    </w:p>
    <w:p w:rsidR="00E50FA4" w:rsidRDefault="00E50FA4" w:rsidP="00E50FA4">
      <w:pPr>
        <w:widowControl w:val="0"/>
        <w:tabs>
          <w:tab w:val="left" w:pos="640"/>
        </w:tabs>
        <w:autoSpaceDE w:val="0"/>
        <w:autoSpaceDN w:val="0"/>
        <w:adjustRightInd w:val="0"/>
        <w:spacing w:after="240" w:line="240" w:lineRule="auto"/>
        <w:ind w:left="640" w:hanging="640"/>
        <w:jc w:val="left"/>
        <w:rPr>
          <w:rFonts w:ascii="Arial" w:hAnsi="Arial"/>
          <w:color w:val="404040"/>
          <w:lang w:val="en-US"/>
        </w:rPr>
      </w:pPr>
    </w:p>
    <w:p w:rsidR="00E50FA4" w:rsidRPr="0083116A" w:rsidRDefault="000B155C">
      <w:pPr>
        <w:widowControl w:val="0"/>
        <w:tabs>
          <w:tab w:val="left" w:pos="640"/>
        </w:tabs>
        <w:autoSpaceDE w:val="0"/>
        <w:autoSpaceDN w:val="0"/>
        <w:adjustRightInd w:val="0"/>
        <w:spacing w:after="240" w:line="240" w:lineRule="auto"/>
        <w:ind w:left="640" w:hanging="640"/>
        <w:jc w:val="left"/>
        <w:rPr>
          <w:rFonts w:ascii="Arial" w:hAnsi="Arial"/>
          <w:lang w:val="en-US"/>
        </w:rPr>
      </w:pPr>
      <w:r>
        <w:rPr>
          <w:noProof/>
          <w:lang w:val="en-US" w:eastAsia="en-US"/>
        </w:rPr>
        <w:lastRenderedPageBreak/>
        <w:pict>
          <v:shape id="Text Box 1" o:spid="_x0000_s1027" type="#_x0000_t202" style="position:absolute;left:0;text-align:left;margin-left:-89.9pt;margin-top:12.5pt;width:572.25pt;height:273.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" filled="f">
            <v:path arrowok="t"/>
            <v:textbox>
              <w:txbxContent>
                <w:p w:rsidR="00E50FA4" w:rsidRPr="00F77BA8" w:rsidRDefault="00E50FA4" w:rsidP="00E50FA4">
                  <w:pPr>
                    <w:widowControl w:val="0"/>
                    <w:autoSpaceDE w:val="0"/>
                    <w:autoSpaceDN w:val="0"/>
                    <w:adjustRightInd w:val="0"/>
                    <w:spacing w:after="240"/>
                    <w:rPr>
                      <w:rFonts w:ascii="Arial" w:hAnsi="Arial" w:cs="Lucida Grande"/>
                      <w:lang w:val="en-US"/>
                    </w:rPr>
                  </w:pPr>
                  <w:r w:rsidRPr="00F77BA8">
                    <w:rPr>
                      <w:rFonts w:ascii="Arial" w:hAnsi="Arial"/>
                      <w:b/>
                      <w:u w:val="single"/>
                    </w:rPr>
                    <w:t>Table 2:</w:t>
                  </w:r>
                  <w:r w:rsidRPr="00F77BA8">
                    <w:rPr>
                      <w:rFonts w:ascii="Arial" w:hAnsi="Arial"/>
                    </w:rPr>
                    <w:t xml:space="preserve"> Antimicrobial </w:t>
                  </w:r>
                  <w:r w:rsidRPr="00F77BA8">
                    <w:rPr>
                      <w:rFonts w:ascii="Arial" w:hAnsi="Arial" w:cs="Lucida Grande"/>
                      <w:lang w:val="en-US"/>
                    </w:rPr>
                    <w:t>susceptibility of ciprofloxacin-resistant isolates recovered from 10 patients in 2012.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07"/>
                    <w:gridCol w:w="608"/>
                    <w:gridCol w:w="540"/>
                    <w:gridCol w:w="479"/>
                    <w:gridCol w:w="522"/>
                    <w:gridCol w:w="441"/>
                    <w:gridCol w:w="577"/>
                    <w:gridCol w:w="508"/>
                    <w:gridCol w:w="484"/>
                    <w:gridCol w:w="501"/>
                    <w:gridCol w:w="592"/>
                    <w:gridCol w:w="487"/>
                    <w:gridCol w:w="454"/>
                    <w:gridCol w:w="655"/>
                    <w:gridCol w:w="596"/>
                    <w:gridCol w:w="552"/>
                    <w:gridCol w:w="530"/>
                    <w:gridCol w:w="479"/>
                    <w:gridCol w:w="459"/>
                    <w:gridCol w:w="586"/>
                  </w:tblGrid>
                  <w:tr w:rsidR="00E50FA4" w:rsidRPr="00F77BA8">
                    <w:trPr>
                      <w:trHeight w:val="391"/>
                    </w:trPr>
                    <w:tc>
                      <w:tcPr>
                        <w:tcW w:w="738" w:type="dxa"/>
                      </w:tcPr>
                      <w:p w:rsidR="00E50FA4" w:rsidRPr="00F77BA8" w:rsidRDefault="00A71304" w:rsidP="00E50FA4">
                        <w:pPr>
                          <w:spacing w:after="0" w:line="480" w:lineRule="auto"/>
                          <w:rPr>
                            <w:b/>
                            <w:bCs/>
                          </w:rPr>
                        </w:pPr>
                        <w:r w:rsidRPr="00F77BA8">
                          <w:rPr>
                            <w:b/>
                            <w:bCs/>
                          </w:rPr>
                          <w:t>Nbr Patients</w:t>
                        </w:r>
                      </w:p>
                    </w:tc>
                    <w:tc>
                      <w:tcPr>
                        <w:tcW w:w="451" w:type="dxa"/>
                      </w:tcPr>
                      <w:p w:rsidR="00E50FA4" w:rsidRPr="00F77BA8" w:rsidRDefault="00A71304" w:rsidP="00E50FA4">
                        <w:pPr>
                          <w:spacing w:after="0" w:line="480" w:lineRule="auto"/>
                          <w:rPr>
                            <w:b/>
                            <w:bCs/>
                          </w:rPr>
                        </w:pPr>
                        <w:r w:rsidRPr="00F77BA8">
                          <w:rPr>
                            <w:rFonts w:cs="Arial"/>
                            <w:b/>
                            <w:bCs/>
                          </w:rPr>
                          <w:t>Amp</w:t>
                        </w:r>
                      </w:p>
                    </w:tc>
                    <w:tc>
                      <w:tcPr>
                        <w:tcW w:w="411" w:type="dxa"/>
                      </w:tcPr>
                      <w:p w:rsidR="00E50FA4" w:rsidRPr="00F77BA8" w:rsidRDefault="00A71304" w:rsidP="00E50FA4">
                        <w:pPr>
                          <w:spacing w:before="240" w:after="0" w:line="480" w:lineRule="auto"/>
                          <w:outlineLvl w:val="1"/>
                          <w:rPr>
                            <w:b/>
                            <w:bCs/>
                          </w:rPr>
                        </w:pPr>
                        <w:r w:rsidRPr="00F77BA8">
                          <w:rPr>
                            <w:rFonts w:cs="Arial"/>
                            <w:b/>
                            <w:bCs/>
                          </w:rPr>
                          <w:t>Aug</w:t>
                        </w:r>
                      </w:p>
                    </w:tc>
                    <w:tc>
                      <w:tcPr>
                        <w:tcW w:w="374" w:type="dxa"/>
                      </w:tcPr>
                      <w:p w:rsidR="00E50FA4" w:rsidRPr="00F77BA8" w:rsidRDefault="00A71304" w:rsidP="00E50FA4">
                        <w:pPr>
                          <w:spacing w:after="0" w:line="480" w:lineRule="auto"/>
                          <w:rPr>
                            <w:b/>
                            <w:bCs/>
                          </w:rPr>
                        </w:pPr>
                        <w:r w:rsidRPr="00F77BA8">
                          <w:rPr>
                            <w:rFonts w:cs="Arial"/>
                            <w:b/>
                            <w:bCs/>
                          </w:rPr>
                          <w:t>Pip</w:t>
                        </w:r>
                      </w:p>
                    </w:tc>
                    <w:tc>
                      <w:tcPr>
                        <w:tcW w:w="574" w:type="dxa"/>
                      </w:tcPr>
                      <w:p w:rsidR="00E50FA4" w:rsidRPr="00F77BA8" w:rsidRDefault="00A71304" w:rsidP="00E50FA4">
                        <w:pPr>
                          <w:spacing w:after="0" w:line="480" w:lineRule="auto"/>
                          <w:rPr>
                            <w:b/>
                            <w:bCs/>
                          </w:rPr>
                        </w:pPr>
                        <w:r w:rsidRPr="00F77BA8">
                          <w:rPr>
                            <w:rFonts w:cs="Arial"/>
                            <w:b/>
                            <w:bCs/>
                          </w:rPr>
                          <w:t>Ptz</w:t>
                        </w:r>
                      </w:p>
                    </w:tc>
                    <w:tc>
                      <w:tcPr>
                        <w:tcW w:w="415" w:type="dxa"/>
                      </w:tcPr>
                      <w:p w:rsidR="00E50FA4" w:rsidRPr="00F77BA8" w:rsidRDefault="00A71304" w:rsidP="00E50FA4">
                        <w:pPr>
                          <w:spacing w:after="0" w:line="480" w:lineRule="auto"/>
                          <w:rPr>
                            <w:b/>
                            <w:bCs/>
                          </w:rPr>
                        </w:pPr>
                        <w:r w:rsidRPr="00F77BA8">
                          <w:rPr>
                            <w:rFonts w:cs="Arial"/>
                            <w:b/>
                            <w:bCs/>
                          </w:rPr>
                          <w:t>Clt</w:t>
                        </w:r>
                      </w:p>
                    </w:tc>
                    <w:tc>
                      <w:tcPr>
                        <w:tcW w:w="437" w:type="dxa"/>
                      </w:tcPr>
                      <w:p w:rsidR="00E50FA4" w:rsidRPr="00F77BA8" w:rsidRDefault="00A71304" w:rsidP="00E50FA4">
                        <w:pPr>
                          <w:spacing w:after="0" w:line="480" w:lineRule="auto"/>
                          <w:rPr>
                            <w:b/>
                            <w:bCs/>
                          </w:rPr>
                        </w:pPr>
                        <w:r w:rsidRPr="00F77BA8">
                          <w:rPr>
                            <w:rFonts w:cs="Arial"/>
                            <w:b/>
                            <w:bCs/>
                          </w:rPr>
                          <w:t>Cxm</w:t>
                        </w:r>
                      </w:p>
                    </w:tc>
                    <w:tc>
                      <w:tcPr>
                        <w:tcW w:w="395" w:type="dxa"/>
                      </w:tcPr>
                      <w:p w:rsidR="00E50FA4" w:rsidRPr="00F77BA8" w:rsidRDefault="00A71304" w:rsidP="00E50FA4">
                        <w:pPr>
                          <w:spacing w:after="0" w:line="480" w:lineRule="auto"/>
                          <w:rPr>
                            <w:b/>
                            <w:bCs/>
                          </w:rPr>
                        </w:pPr>
                        <w:r w:rsidRPr="00F77BA8">
                          <w:rPr>
                            <w:rFonts w:cs="Arial"/>
                            <w:b/>
                            <w:bCs/>
                          </w:rPr>
                          <w:t>Fox</w:t>
                        </w:r>
                      </w:p>
                    </w:tc>
                    <w:tc>
                      <w:tcPr>
                        <w:tcW w:w="379" w:type="dxa"/>
                      </w:tcPr>
                      <w:p w:rsidR="00E50FA4" w:rsidRPr="00F77BA8" w:rsidRDefault="00A71304" w:rsidP="00E50FA4">
                        <w:pPr>
                          <w:spacing w:after="0" w:line="480" w:lineRule="auto"/>
                          <w:rPr>
                            <w:b/>
                            <w:bCs/>
                          </w:rPr>
                        </w:pPr>
                        <w:r w:rsidRPr="00F77BA8">
                          <w:rPr>
                            <w:rFonts w:cs="Arial"/>
                            <w:b/>
                            <w:bCs/>
                          </w:rPr>
                          <w:t>Ctx</w:t>
                        </w:r>
                      </w:p>
                    </w:tc>
                    <w:tc>
                      <w:tcPr>
                        <w:tcW w:w="401" w:type="dxa"/>
                      </w:tcPr>
                      <w:p w:rsidR="00E50FA4" w:rsidRPr="00F77BA8" w:rsidRDefault="00A71304" w:rsidP="00E50FA4">
                        <w:pPr>
                          <w:spacing w:after="0" w:line="480" w:lineRule="auto"/>
                          <w:rPr>
                            <w:b/>
                            <w:bCs/>
                          </w:rPr>
                        </w:pPr>
                        <w:r w:rsidRPr="00F77BA8">
                          <w:rPr>
                            <w:rFonts w:cs="Arial"/>
                            <w:b/>
                            <w:bCs/>
                          </w:rPr>
                          <w:t>Caz</w:t>
                        </w:r>
                      </w:p>
                    </w:tc>
                    <w:tc>
                      <w:tcPr>
                        <w:tcW w:w="444" w:type="dxa"/>
                      </w:tcPr>
                      <w:p w:rsidR="00E50FA4" w:rsidRPr="00F77BA8" w:rsidRDefault="00A71304" w:rsidP="00E50FA4">
                        <w:pPr>
                          <w:spacing w:after="0" w:line="480" w:lineRule="auto"/>
                          <w:rPr>
                            <w:b/>
                            <w:bCs/>
                          </w:rPr>
                        </w:pPr>
                        <w:r w:rsidRPr="00F77BA8">
                          <w:rPr>
                            <w:rFonts w:cs="Arial"/>
                            <w:b/>
                            <w:bCs/>
                          </w:rPr>
                          <w:t>Cpm</w:t>
                        </w:r>
                      </w:p>
                    </w:tc>
                    <w:tc>
                      <w:tcPr>
                        <w:tcW w:w="379" w:type="dxa"/>
                      </w:tcPr>
                      <w:p w:rsidR="00E50FA4" w:rsidRPr="00F77BA8" w:rsidRDefault="00A71304" w:rsidP="00E50FA4">
                        <w:pPr>
                          <w:spacing w:after="0" w:line="480" w:lineRule="auto"/>
                          <w:rPr>
                            <w:b/>
                            <w:bCs/>
                          </w:rPr>
                        </w:pPr>
                        <w:r w:rsidRPr="00F77BA8">
                          <w:rPr>
                            <w:rFonts w:cs="Arial"/>
                            <w:b/>
                            <w:bCs/>
                          </w:rPr>
                          <w:t>Azt</w:t>
                        </w:r>
                      </w:p>
                    </w:tc>
                    <w:tc>
                      <w:tcPr>
                        <w:tcW w:w="359" w:type="dxa"/>
                      </w:tcPr>
                      <w:p w:rsidR="00E50FA4" w:rsidRPr="00F77BA8" w:rsidRDefault="00A71304" w:rsidP="00E50FA4">
                        <w:pPr>
                          <w:spacing w:after="0" w:line="480" w:lineRule="auto"/>
                          <w:rPr>
                            <w:b/>
                            <w:bCs/>
                          </w:rPr>
                        </w:pPr>
                        <w:r w:rsidRPr="00F77BA8">
                          <w:rPr>
                            <w:rFonts w:cs="Arial"/>
                            <w:b/>
                            <w:bCs/>
                          </w:rPr>
                          <w:t>Ert</w:t>
                        </w:r>
                      </w:p>
                    </w:tc>
                    <w:tc>
                      <w:tcPr>
                        <w:tcW w:w="424" w:type="dxa"/>
                      </w:tcPr>
                      <w:p w:rsidR="00E50FA4" w:rsidRPr="00F77BA8" w:rsidRDefault="00A71304" w:rsidP="00E50FA4">
                        <w:pPr>
                          <w:spacing w:after="0" w:line="480" w:lineRule="auto"/>
                          <w:rPr>
                            <w:b/>
                            <w:bCs/>
                          </w:rPr>
                        </w:pPr>
                        <w:r w:rsidRPr="00F77BA8">
                          <w:rPr>
                            <w:rFonts w:cs="Arial"/>
                            <w:b/>
                            <w:bCs/>
                          </w:rPr>
                          <w:t>Mem</w:t>
                        </w:r>
                      </w:p>
                    </w:tc>
                    <w:tc>
                      <w:tcPr>
                        <w:tcW w:w="416" w:type="dxa"/>
                      </w:tcPr>
                      <w:p w:rsidR="00E50FA4" w:rsidRPr="00F77BA8" w:rsidRDefault="00A71304" w:rsidP="00E50FA4">
                        <w:pPr>
                          <w:spacing w:before="240" w:after="0" w:line="480" w:lineRule="auto"/>
                          <w:outlineLvl w:val="1"/>
                          <w:rPr>
                            <w:b/>
                            <w:bCs/>
                          </w:rPr>
                        </w:pPr>
                        <w:r w:rsidRPr="00F77BA8">
                          <w:rPr>
                            <w:rFonts w:cs="Arial"/>
                            <w:b/>
                            <w:bCs/>
                          </w:rPr>
                          <w:t>Amk</w:t>
                        </w:r>
                      </w:p>
                    </w:tc>
                    <w:tc>
                      <w:tcPr>
                        <w:tcW w:w="421" w:type="dxa"/>
                      </w:tcPr>
                      <w:p w:rsidR="00E50FA4" w:rsidRPr="00F77BA8" w:rsidRDefault="00A71304" w:rsidP="00E50FA4">
                        <w:pPr>
                          <w:spacing w:before="240" w:after="0" w:line="480" w:lineRule="auto"/>
                          <w:outlineLvl w:val="1"/>
                          <w:rPr>
                            <w:b/>
                            <w:bCs/>
                          </w:rPr>
                        </w:pPr>
                        <w:r w:rsidRPr="00F77BA8">
                          <w:rPr>
                            <w:rFonts w:cs="Arial"/>
                            <w:b/>
                            <w:bCs/>
                          </w:rPr>
                          <w:t>Gen</w:t>
                        </w:r>
                      </w:p>
                    </w:tc>
                    <w:tc>
                      <w:tcPr>
                        <w:tcW w:w="405" w:type="dxa"/>
                      </w:tcPr>
                      <w:p w:rsidR="00E50FA4" w:rsidRPr="00F77BA8" w:rsidRDefault="00A71304" w:rsidP="00E50FA4">
                        <w:pPr>
                          <w:spacing w:after="0" w:line="480" w:lineRule="auto"/>
                          <w:rPr>
                            <w:b/>
                            <w:bCs/>
                          </w:rPr>
                        </w:pPr>
                        <w:r w:rsidRPr="00F77BA8">
                          <w:rPr>
                            <w:rFonts w:cs="Arial"/>
                            <w:b/>
                            <w:bCs/>
                          </w:rPr>
                          <w:t>Tob</w:t>
                        </w:r>
                      </w:p>
                    </w:tc>
                    <w:tc>
                      <w:tcPr>
                        <w:tcW w:w="379" w:type="dxa"/>
                      </w:tcPr>
                      <w:p w:rsidR="00E50FA4" w:rsidRPr="00F77BA8" w:rsidRDefault="00A71304" w:rsidP="00E50FA4">
                        <w:pPr>
                          <w:spacing w:after="0" w:line="480" w:lineRule="auto"/>
                          <w:rPr>
                            <w:b/>
                            <w:bCs/>
                          </w:rPr>
                        </w:pPr>
                        <w:r w:rsidRPr="00F77BA8">
                          <w:rPr>
                            <w:rFonts w:cs="Arial"/>
                            <w:b/>
                            <w:bCs/>
                          </w:rPr>
                          <w:t>Cip</w:t>
                        </w:r>
                      </w:p>
                    </w:tc>
                    <w:tc>
                      <w:tcPr>
                        <w:tcW w:w="366" w:type="dxa"/>
                      </w:tcPr>
                      <w:p w:rsidR="00E50FA4" w:rsidRPr="00F77BA8" w:rsidRDefault="00A71304" w:rsidP="00E50FA4">
                        <w:pPr>
                          <w:spacing w:after="0" w:line="480" w:lineRule="auto"/>
                          <w:rPr>
                            <w:b/>
                            <w:bCs/>
                          </w:rPr>
                        </w:pPr>
                        <w:r w:rsidRPr="00F77BA8">
                          <w:rPr>
                            <w:rFonts w:cs="Arial"/>
                            <w:b/>
                            <w:bCs/>
                          </w:rPr>
                          <w:t>Tig</w:t>
                        </w:r>
                      </w:p>
                    </w:tc>
                    <w:tc>
                      <w:tcPr>
                        <w:tcW w:w="348" w:type="dxa"/>
                      </w:tcPr>
                      <w:p w:rsidR="00E50FA4" w:rsidRPr="00F77BA8" w:rsidRDefault="00A71304" w:rsidP="00E50FA4">
                        <w:pPr>
                          <w:spacing w:after="0" w:line="480" w:lineRule="auto"/>
                          <w:rPr>
                            <w:b/>
                            <w:bCs/>
                          </w:rPr>
                        </w:pPr>
                        <w:r w:rsidRPr="00F77BA8">
                          <w:rPr>
                            <w:rFonts w:cs="Arial"/>
                            <w:b/>
                            <w:bCs/>
                          </w:rPr>
                          <w:t>Tmp</w:t>
                        </w:r>
                      </w:p>
                    </w:tc>
                  </w:tr>
                  <w:tr w:rsidR="00E50FA4" w:rsidRPr="00F77BA8">
                    <w:trPr>
                      <w:trHeight w:val="391"/>
                    </w:trPr>
                    <w:tc>
                      <w:tcPr>
                        <w:tcW w:w="738" w:type="dxa"/>
                      </w:tcPr>
                      <w:p w:rsidR="00E50FA4" w:rsidRPr="00F77BA8" w:rsidRDefault="00A71304" w:rsidP="00E50FA4">
                        <w:pPr>
                          <w:spacing w:line="480" w:lineRule="auto"/>
                          <w:rPr>
                            <w:b/>
                            <w:bCs/>
                          </w:rPr>
                        </w:pPr>
                        <w:r w:rsidRPr="00F77BA8">
                          <w:rPr>
                            <w:b/>
                            <w:bCs/>
                          </w:rPr>
                          <w:t>Susceptible</w:t>
                        </w:r>
                      </w:p>
                    </w:tc>
                    <w:tc>
                      <w:tcPr>
                        <w:tcW w:w="451" w:type="dxa"/>
                      </w:tcPr>
                      <w:p w:rsidR="00E50FA4" w:rsidRPr="00F77BA8" w:rsidRDefault="00A71304" w:rsidP="00E50FA4">
                        <w:pPr>
                          <w:spacing w:line="480" w:lineRule="auto"/>
                          <w:rPr>
                            <w:rFonts w:eastAsia="MS ????"/>
                            <w:b/>
                            <w:bCs/>
                            <w:lang w:val="en-US"/>
                          </w:rPr>
                        </w:pPr>
                        <w:r w:rsidRPr="00F77BA8">
                          <w:t>4</w:t>
                        </w:r>
                      </w:p>
                    </w:tc>
                    <w:tc>
                      <w:tcPr>
                        <w:tcW w:w="411" w:type="dxa"/>
                      </w:tcPr>
                      <w:p w:rsidR="00E50FA4" w:rsidRPr="00F77BA8" w:rsidRDefault="00A71304" w:rsidP="00E50FA4">
                        <w:pPr>
                          <w:spacing w:line="480" w:lineRule="auto"/>
                        </w:pPr>
                        <w:r w:rsidRPr="00F77BA8">
                          <w:t>8</w:t>
                        </w:r>
                      </w:p>
                    </w:tc>
                    <w:tc>
                      <w:tcPr>
                        <w:tcW w:w="374" w:type="dxa"/>
                      </w:tcPr>
                      <w:p w:rsidR="00E50FA4" w:rsidRPr="00F77BA8" w:rsidRDefault="00A71304" w:rsidP="00E50FA4">
                        <w:pPr>
                          <w:spacing w:line="480" w:lineRule="auto"/>
                        </w:pPr>
                        <w:r w:rsidRPr="00F77BA8">
                          <w:t>2</w:t>
                        </w:r>
                      </w:p>
                    </w:tc>
                    <w:tc>
                      <w:tcPr>
                        <w:tcW w:w="574" w:type="dxa"/>
                      </w:tcPr>
                      <w:p w:rsidR="00E50FA4" w:rsidRPr="00F77BA8" w:rsidRDefault="00A71304" w:rsidP="00E50FA4">
                        <w:pPr>
                          <w:spacing w:line="480" w:lineRule="auto"/>
                        </w:pPr>
                        <w:r w:rsidRPr="00F77BA8">
                          <w:t>2</w:t>
                        </w:r>
                      </w:p>
                    </w:tc>
                    <w:tc>
                      <w:tcPr>
                        <w:tcW w:w="415" w:type="dxa"/>
                      </w:tcPr>
                      <w:p w:rsidR="00E50FA4" w:rsidRPr="00F77BA8" w:rsidRDefault="00A71304" w:rsidP="00E50FA4">
                        <w:pPr>
                          <w:spacing w:line="480" w:lineRule="auto"/>
                        </w:pPr>
                        <w:r w:rsidRPr="00F77BA8">
                          <w:t>4</w:t>
                        </w:r>
                      </w:p>
                    </w:tc>
                    <w:tc>
                      <w:tcPr>
                        <w:tcW w:w="437" w:type="dxa"/>
                      </w:tcPr>
                      <w:p w:rsidR="00E50FA4" w:rsidRPr="00F77BA8" w:rsidRDefault="00A71304" w:rsidP="00E50FA4">
                        <w:pPr>
                          <w:spacing w:line="480" w:lineRule="auto"/>
                        </w:pPr>
                        <w:r w:rsidRPr="00F77BA8">
                          <w:t>6</w:t>
                        </w:r>
                      </w:p>
                    </w:tc>
                    <w:tc>
                      <w:tcPr>
                        <w:tcW w:w="395" w:type="dxa"/>
                      </w:tcPr>
                      <w:p w:rsidR="00E50FA4" w:rsidRPr="00F77BA8" w:rsidRDefault="00A71304" w:rsidP="00E50FA4">
                        <w:pPr>
                          <w:spacing w:line="480" w:lineRule="auto"/>
                        </w:pPr>
                        <w:r w:rsidRPr="00F77BA8">
                          <w:t>7</w:t>
                        </w:r>
                      </w:p>
                    </w:tc>
                    <w:tc>
                      <w:tcPr>
                        <w:tcW w:w="379" w:type="dxa"/>
                      </w:tcPr>
                      <w:p w:rsidR="00E50FA4" w:rsidRPr="00F77BA8" w:rsidRDefault="00A71304" w:rsidP="00E50FA4">
                        <w:pPr>
                          <w:spacing w:line="480" w:lineRule="auto"/>
                        </w:pPr>
                        <w:r w:rsidRPr="00F77BA8">
                          <w:t>8</w:t>
                        </w:r>
                      </w:p>
                    </w:tc>
                    <w:tc>
                      <w:tcPr>
                        <w:tcW w:w="401" w:type="dxa"/>
                      </w:tcPr>
                      <w:p w:rsidR="00E50FA4" w:rsidRPr="00F77BA8" w:rsidRDefault="00A71304" w:rsidP="00E50FA4">
                        <w:pPr>
                          <w:spacing w:line="480" w:lineRule="auto"/>
                        </w:pPr>
                        <w:r w:rsidRPr="00F77BA8">
                          <w:t>8</w:t>
                        </w:r>
                      </w:p>
                    </w:tc>
                    <w:tc>
                      <w:tcPr>
                        <w:tcW w:w="444" w:type="dxa"/>
                      </w:tcPr>
                      <w:p w:rsidR="00E50FA4" w:rsidRPr="00F77BA8" w:rsidRDefault="00A71304" w:rsidP="00E50FA4">
                        <w:pPr>
                          <w:spacing w:line="480" w:lineRule="auto"/>
                        </w:pPr>
                        <w:r w:rsidRPr="00F77BA8">
                          <w:t>7</w:t>
                        </w:r>
                      </w:p>
                    </w:tc>
                    <w:tc>
                      <w:tcPr>
                        <w:tcW w:w="379" w:type="dxa"/>
                      </w:tcPr>
                      <w:p w:rsidR="00E50FA4" w:rsidRPr="00F77BA8" w:rsidRDefault="00A71304" w:rsidP="00E50FA4">
                        <w:pPr>
                          <w:spacing w:line="480" w:lineRule="auto"/>
                        </w:pPr>
                        <w:r w:rsidRPr="00F77BA8">
                          <w:t>8</w:t>
                        </w:r>
                      </w:p>
                    </w:tc>
                    <w:tc>
                      <w:tcPr>
                        <w:tcW w:w="359" w:type="dxa"/>
                      </w:tcPr>
                      <w:p w:rsidR="00E50FA4" w:rsidRPr="00F77BA8" w:rsidRDefault="00A71304" w:rsidP="00E50FA4">
                        <w:pPr>
                          <w:spacing w:line="480" w:lineRule="auto"/>
                          <w:rPr>
                            <w:b/>
                          </w:rPr>
                        </w:pPr>
                        <w:r w:rsidRPr="00F77BA8">
                          <w:rPr>
                            <w:b/>
                          </w:rPr>
                          <w:t>9</w:t>
                        </w:r>
                      </w:p>
                    </w:tc>
                    <w:tc>
                      <w:tcPr>
                        <w:tcW w:w="424" w:type="dxa"/>
                      </w:tcPr>
                      <w:p w:rsidR="00E50FA4" w:rsidRPr="00F77BA8" w:rsidRDefault="00A71304" w:rsidP="00E50FA4">
                        <w:pPr>
                          <w:spacing w:line="480" w:lineRule="auto"/>
                          <w:rPr>
                            <w:b/>
                          </w:rPr>
                        </w:pPr>
                        <w:r w:rsidRPr="00F77BA8">
                          <w:rPr>
                            <w:b/>
                          </w:rPr>
                          <w:t>10</w:t>
                        </w:r>
                      </w:p>
                    </w:tc>
                    <w:tc>
                      <w:tcPr>
                        <w:tcW w:w="416" w:type="dxa"/>
                      </w:tcPr>
                      <w:p w:rsidR="00E50FA4" w:rsidRPr="00F77BA8" w:rsidRDefault="00A71304" w:rsidP="00E50FA4">
                        <w:pPr>
                          <w:spacing w:line="480" w:lineRule="auto"/>
                        </w:pPr>
                        <w:r w:rsidRPr="00F77BA8">
                          <w:t>7</w:t>
                        </w:r>
                      </w:p>
                    </w:tc>
                    <w:tc>
                      <w:tcPr>
                        <w:tcW w:w="421" w:type="dxa"/>
                      </w:tcPr>
                      <w:p w:rsidR="00E50FA4" w:rsidRPr="00F77BA8" w:rsidRDefault="00A71304" w:rsidP="00E50FA4">
                        <w:pPr>
                          <w:spacing w:line="480" w:lineRule="auto"/>
                          <w:rPr>
                            <w:b/>
                          </w:rPr>
                        </w:pPr>
                        <w:r w:rsidRPr="00F77BA8">
                          <w:rPr>
                            <w:b/>
                          </w:rPr>
                          <w:t>9</w:t>
                        </w:r>
                      </w:p>
                    </w:tc>
                    <w:tc>
                      <w:tcPr>
                        <w:tcW w:w="405" w:type="dxa"/>
                      </w:tcPr>
                      <w:p w:rsidR="00E50FA4" w:rsidRPr="00F77BA8" w:rsidRDefault="00A71304" w:rsidP="00E50FA4">
                        <w:pPr>
                          <w:spacing w:line="480" w:lineRule="auto"/>
                        </w:pPr>
                        <w:r w:rsidRPr="00F77BA8">
                          <w:t>7</w:t>
                        </w:r>
                      </w:p>
                    </w:tc>
                    <w:tc>
                      <w:tcPr>
                        <w:tcW w:w="379" w:type="dxa"/>
                      </w:tcPr>
                      <w:p w:rsidR="00E50FA4" w:rsidRPr="00F77BA8" w:rsidRDefault="00A71304" w:rsidP="00E50FA4">
                        <w:pPr>
                          <w:spacing w:line="480" w:lineRule="auto"/>
                        </w:pPr>
                        <w:r w:rsidRPr="00F77BA8">
                          <w:t>0</w:t>
                        </w:r>
                      </w:p>
                    </w:tc>
                    <w:tc>
                      <w:tcPr>
                        <w:tcW w:w="366" w:type="dxa"/>
                      </w:tcPr>
                      <w:p w:rsidR="00E50FA4" w:rsidRPr="00F77BA8" w:rsidRDefault="00A71304" w:rsidP="00E50FA4">
                        <w:pPr>
                          <w:spacing w:line="480" w:lineRule="auto"/>
                          <w:rPr>
                            <w:b/>
                          </w:rPr>
                        </w:pPr>
                        <w:r w:rsidRPr="00F77BA8">
                          <w:rPr>
                            <w:b/>
                          </w:rPr>
                          <w:t>9</w:t>
                        </w:r>
                      </w:p>
                    </w:tc>
                    <w:tc>
                      <w:tcPr>
                        <w:tcW w:w="348" w:type="dxa"/>
                      </w:tcPr>
                      <w:p w:rsidR="00E50FA4" w:rsidRPr="00F77BA8" w:rsidRDefault="00A71304" w:rsidP="00E50FA4">
                        <w:pPr>
                          <w:spacing w:line="480" w:lineRule="auto"/>
                        </w:pPr>
                        <w:r w:rsidRPr="00F77BA8">
                          <w:t>7</w:t>
                        </w:r>
                      </w:p>
                    </w:tc>
                  </w:tr>
                  <w:tr w:rsidR="00E50FA4" w:rsidRPr="00F77BA8">
                    <w:trPr>
                      <w:trHeight w:val="391"/>
                    </w:trPr>
                    <w:tc>
                      <w:tcPr>
                        <w:tcW w:w="738" w:type="dxa"/>
                      </w:tcPr>
                      <w:p w:rsidR="00E50FA4" w:rsidRPr="00F77BA8" w:rsidRDefault="00A71304" w:rsidP="00E50FA4">
                        <w:pPr>
                          <w:spacing w:line="480" w:lineRule="auto"/>
                          <w:rPr>
                            <w:b/>
                            <w:bCs/>
                          </w:rPr>
                        </w:pPr>
                        <w:r w:rsidRPr="00F77BA8">
                          <w:rPr>
                            <w:b/>
                            <w:bCs/>
                          </w:rPr>
                          <w:t>Intermediate</w:t>
                        </w:r>
                      </w:p>
                    </w:tc>
                    <w:tc>
                      <w:tcPr>
                        <w:tcW w:w="451" w:type="dxa"/>
                      </w:tcPr>
                      <w:p w:rsidR="00E50FA4" w:rsidRPr="00F77BA8" w:rsidRDefault="00A71304" w:rsidP="00E50FA4">
                        <w:pPr>
                          <w:spacing w:line="480" w:lineRule="auto"/>
                          <w:rPr>
                            <w:b/>
                          </w:rPr>
                        </w:pPr>
                        <w:r w:rsidRPr="00F77BA8">
                          <w:rPr>
                            <w:b/>
                          </w:rPr>
                          <w:t>0</w:t>
                        </w:r>
                      </w:p>
                    </w:tc>
                    <w:tc>
                      <w:tcPr>
                        <w:tcW w:w="411" w:type="dxa"/>
                      </w:tcPr>
                      <w:p w:rsidR="00E50FA4" w:rsidRPr="00F77BA8" w:rsidRDefault="00A71304" w:rsidP="00E50FA4">
                        <w:pPr>
                          <w:spacing w:line="480" w:lineRule="auto"/>
                        </w:pPr>
                        <w:r w:rsidRPr="00F77BA8">
                          <w:t>0</w:t>
                        </w:r>
                      </w:p>
                    </w:tc>
                    <w:tc>
                      <w:tcPr>
                        <w:tcW w:w="374" w:type="dxa"/>
                      </w:tcPr>
                      <w:p w:rsidR="00E50FA4" w:rsidRPr="00F77BA8" w:rsidRDefault="00A71304" w:rsidP="00E50FA4">
                        <w:pPr>
                          <w:spacing w:line="480" w:lineRule="auto"/>
                          <w:rPr>
                            <w:b/>
                          </w:rPr>
                        </w:pPr>
                        <w:r w:rsidRPr="00F77BA8">
                          <w:rPr>
                            <w:b/>
                          </w:rPr>
                          <w:t>0</w:t>
                        </w:r>
                      </w:p>
                    </w:tc>
                    <w:tc>
                      <w:tcPr>
                        <w:tcW w:w="574" w:type="dxa"/>
                      </w:tcPr>
                      <w:p w:rsidR="00E50FA4" w:rsidRPr="00F77BA8" w:rsidRDefault="00A71304" w:rsidP="00E50FA4">
                        <w:pPr>
                          <w:spacing w:line="480" w:lineRule="auto"/>
                        </w:pPr>
                        <w:r w:rsidRPr="00F77BA8">
                          <w:t>1</w:t>
                        </w:r>
                      </w:p>
                    </w:tc>
                    <w:tc>
                      <w:tcPr>
                        <w:tcW w:w="415" w:type="dxa"/>
                      </w:tcPr>
                      <w:p w:rsidR="00E50FA4" w:rsidRPr="00F77BA8" w:rsidRDefault="00A71304" w:rsidP="00E50FA4">
                        <w:pPr>
                          <w:spacing w:line="480" w:lineRule="auto"/>
                        </w:pPr>
                        <w:r w:rsidRPr="00F77BA8">
                          <w:t>2</w:t>
                        </w:r>
                      </w:p>
                    </w:tc>
                    <w:tc>
                      <w:tcPr>
                        <w:tcW w:w="437" w:type="dxa"/>
                      </w:tcPr>
                      <w:p w:rsidR="00E50FA4" w:rsidRPr="00F77BA8" w:rsidRDefault="00A71304" w:rsidP="00E50FA4">
                        <w:pPr>
                          <w:spacing w:line="480" w:lineRule="auto"/>
                          <w:rPr>
                            <w:b/>
                          </w:rPr>
                        </w:pPr>
                        <w:r w:rsidRPr="00F77BA8">
                          <w:rPr>
                            <w:b/>
                          </w:rPr>
                          <w:t>0</w:t>
                        </w:r>
                      </w:p>
                    </w:tc>
                    <w:tc>
                      <w:tcPr>
                        <w:tcW w:w="395" w:type="dxa"/>
                      </w:tcPr>
                      <w:p w:rsidR="00E50FA4" w:rsidRPr="00F77BA8" w:rsidRDefault="00A71304" w:rsidP="00E50FA4">
                        <w:pPr>
                          <w:spacing w:line="480" w:lineRule="auto"/>
                        </w:pPr>
                        <w:r w:rsidRPr="00F77BA8">
                          <w:t>2</w:t>
                        </w:r>
                      </w:p>
                    </w:tc>
                    <w:tc>
                      <w:tcPr>
                        <w:tcW w:w="379" w:type="dxa"/>
                      </w:tcPr>
                      <w:p w:rsidR="00E50FA4" w:rsidRPr="00F77BA8" w:rsidRDefault="00A71304" w:rsidP="00E50FA4">
                        <w:pPr>
                          <w:spacing w:line="480" w:lineRule="auto"/>
                        </w:pPr>
                        <w:r w:rsidRPr="00F77BA8">
                          <w:t>0</w:t>
                        </w:r>
                      </w:p>
                    </w:tc>
                    <w:tc>
                      <w:tcPr>
                        <w:tcW w:w="401" w:type="dxa"/>
                      </w:tcPr>
                      <w:p w:rsidR="00E50FA4" w:rsidRPr="00F77BA8" w:rsidRDefault="00A71304" w:rsidP="00E50FA4">
                        <w:pPr>
                          <w:spacing w:line="480" w:lineRule="auto"/>
                        </w:pPr>
                        <w:r w:rsidRPr="00F77BA8">
                          <w:t>1</w:t>
                        </w:r>
                      </w:p>
                    </w:tc>
                    <w:tc>
                      <w:tcPr>
                        <w:tcW w:w="444" w:type="dxa"/>
                      </w:tcPr>
                      <w:p w:rsidR="00E50FA4" w:rsidRPr="00F77BA8" w:rsidRDefault="00A71304" w:rsidP="00E50FA4">
                        <w:pPr>
                          <w:spacing w:line="480" w:lineRule="auto"/>
                        </w:pPr>
                        <w:r w:rsidRPr="00F77BA8">
                          <w:t>1</w:t>
                        </w:r>
                      </w:p>
                    </w:tc>
                    <w:tc>
                      <w:tcPr>
                        <w:tcW w:w="379" w:type="dxa"/>
                      </w:tcPr>
                      <w:p w:rsidR="00E50FA4" w:rsidRPr="00F77BA8" w:rsidRDefault="00A71304" w:rsidP="00E50FA4">
                        <w:pPr>
                          <w:spacing w:line="480" w:lineRule="auto"/>
                        </w:pPr>
                        <w:r w:rsidRPr="00F77BA8">
                          <w:t>0</w:t>
                        </w:r>
                      </w:p>
                    </w:tc>
                    <w:tc>
                      <w:tcPr>
                        <w:tcW w:w="359" w:type="dxa"/>
                      </w:tcPr>
                      <w:p w:rsidR="00E50FA4" w:rsidRPr="00F77BA8" w:rsidRDefault="00A71304" w:rsidP="00E50FA4">
                        <w:pPr>
                          <w:spacing w:line="480" w:lineRule="auto"/>
                        </w:pPr>
                        <w:r w:rsidRPr="00F77BA8">
                          <w:t>0</w:t>
                        </w:r>
                      </w:p>
                    </w:tc>
                    <w:tc>
                      <w:tcPr>
                        <w:tcW w:w="424" w:type="dxa"/>
                      </w:tcPr>
                      <w:p w:rsidR="00E50FA4" w:rsidRPr="00F77BA8" w:rsidRDefault="00A71304" w:rsidP="00E50FA4">
                        <w:pPr>
                          <w:spacing w:line="480" w:lineRule="auto"/>
                        </w:pPr>
                        <w:r w:rsidRPr="00F77BA8">
                          <w:t>0</w:t>
                        </w:r>
                      </w:p>
                    </w:tc>
                    <w:tc>
                      <w:tcPr>
                        <w:tcW w:w="416" w:type="dxa"/>
                      </w:tcPr>
                      <w:p w:rsidR="00E50FA4" w:rsidRPr="00F77BA8" w:rsidRDefault="00A71304" w:rsidP="00E50FA4">
                        <w:pPr>
                          <w:spacing w:line="480" w:lineRule="auto"/>
                        </w:pPr>
                        <w:r w:rsidRPr="00F77BA8">
                          <w:t>2</w:t>
                        </w:r>
                      </w:p>
                    </w:tc>
                    <w:tc>
                      <w:tcPr>
                        <w:tcW w:w="421" w:type="dxa"/>
                      </w:tcPr>
                      <w:p w:rsidR="00E50FA4" w:rsidRPr="00F77BA8" w:rsidRDefault="00A71304" w:rsidP="00E50FA4">
                        <w:pPr>
                          <w:spacing w:line="480" w:lineRule="auto"/>
                        </w:pPr>
                        <w:r w:rsidRPr="00F77BA8">
                          <w:t>0</w:t>
                        </w:r>
                      </w:p>
                    </w:tc>
                    <w:tc>
                      <w:tcPr>
                        <w:tcW w:w="405" w:type="dxa"/>
                      </w:tcPr>
                      <w:p w:rsidR="00E50FA4" w:rsidRPr="00F77BA8" w:rsidRDefault="00A71304" w:rsidP="00E50FA4">
                        <w:pPr>
                          <w:spacing w:line="480" w:lineRule="auto"/>
                        </w:pPr>
                        <w:r w:rsidRPr="00F77BA8">
                          <w:t>0</w:t>
                        </w:r>
                      </w:p>
                    </w:tc>
                    <w:tc>
                      <w:tcPr>
                        <w:tcW w:w="379" w:type="dxa"/>
                      </w:tcPr>
                      <w:p w:rsidR="00E50FA4" w:rsidRPr="00F77BA8" w:rsidRDefault="00A71304" w:rsidP="00E50FA4">
                        <w:pPr>
                          <w:spacing w:line="480" w:lineRule="auto"/>
                          <w:rPr>
                            <w:b/>
                          </w:rPr>
                        </w:pPr>
                        <w:r w:rsidRPr="00F77BA8">
                          <w:rPr>
                            <w:b/>
                          </w:rPr>
                          <w:t>0</w:t>
                        </w:r>
                      </w:p>
                    </w:tc>
                    <w:tc>
                      <w:tcPr>
                        <w:tcW w:w="366" w:type="dxa"/>
                      </w:tcPr>
                      <w:p w:rsidR="00E50FA4" w:rsidRPr="00F77BA8" w:rsidRDefault="00A71304" w:rsidP="00E50FA4">
                        <w:pPr>
                          <w:spacing w:line="480" w:lineRule="auto"/>
                        </w:pPr>
                        <w:r w:rsidRPr="00F77BA8">
                          <w:t>0</w:t>
                        </w:r>
                      </w:p>
                    </w:tc>
                    <w:tc>
                      <w:tcPr>
                        <w:tcW w:w="348" w:type="dxa"/>
                      </w:tcPr>
                      <w:p w:rsidR="00E50FA4" w:rsidRPr="00F77BA8" w:rsidRDefault="00A71304" w:rsidP="00E50FA4">
                        <w:pPr>
                          <w:spacing w:line="480" w:lineRule="auto"/>
                        </w:pPr>
                        <w:r w:rsidRPr="00F77BA8">
                          <w:t>0</w:t>
                        </w:r>
                      </w:p>
                    </w:tc>
                  </w:tr>
                  <w:tr w:rsidR="00E50FA4" w:rsidRPr="00F77BA8">
                    <w:trPr>
                      <w:trHeight w:val="391"/>
                    </w:trPr>
                    <w:tc>
                      <w:tcPr>
                        <w:tcW w:w="738" w:type="dxa"/>
                      </w:tcPr>
                      <w:p w:rsidR="00E50FA4" w:rsidRPr="00F77BA8" w:rsidRDefault="00A71304" w:rsidP="00E50FA4">
                        <w:pPr>
                          <w:spacing w:line="480" w:lineRule="auto"/>
                          <w:rPr>
                            <w:b/>
                            <w:bCs/>
                          </w:rPr>
                        </w:pPr>
                        <w:r w:rsidRPr="00F77BA8">
                          <w:rPr>
                            <w:b/>
                            <w:bCs/>
                          </w:rPr>
                          <w:t>Resistant</w:t>
                        </w:r>
                      </w:p>
                    </w:tc>
                    <w:tc>
                      <w:tcPr>
                        <w:tcW w:w="451" w:type="dxa"/>
                      </w:tcPr>
                      <w:p w:rsidR="00E50FA4" w:rsidRPr="00F77BA8" w:rsidRDefault="00A71304" w:rsidP="00E50FA4">
                        <w:pPr>
                          <w:spacing w:line="480" w:lineRule="auto"/>
                          <w:rPr>
                            <w:b/>
                          </w:rPr>
                        </w:pPr>
                        <w:r w:rsidRPr="00F77BA8">
                          <w:rPr>
                            <w:b/>
                          </w:rPr>
                          <w:t>6</w:t>
                        </w:r>
                      </w:p>
                    </w:tc>
                    <w:tc>
                      <w:tcPr>
                        <w:tcW w:w="411" w:type="dxa"/>
                      </w:tcPr>
                      <w:p w:rsidR="00E50FA4" w:rsidRPr="00F77BA8" w:rsidRDefault="00A71304" w:rsidP="00E50FA4">
                        <w:pPr>
                          <w:spacing w:line="480" w:lineRule="auto"/>
                        </w:pPr>
                        <w:r w:rsidRPr="00F77BA8">
                          <w:t>2</w:t>
                        </w:r>
                      </w:p>
                    </w:tc>
                    <w:tc>
                      <w:tcPr>
                        <w:tcW w:w="374" w:type="dxa"/>
                      </w:tcPr>
                      <w:p w:rsidR="00E50FA4" w:rsidRPr="00F77BA8" w:rsidRDefault="00A71304" w:rsidP="00E50FA4">
                        <w:pPr>
                          <w:spacing w:line="480" w:lineRule="auto"/>
                          <w:rPr>
                            <w:b/>
                          </w:rPr>
                        </w:pPr>
                        <w:r w:rsidRPr="00F77BA8">
                          <w:rPr>
                            <w:b/>
                          </w:rPr>
                          <w:t>5</w:t>
                        </w:r>
                      </w:p>
                    </w:tc>
                    <w:tc>
                      <w:tcPr>
                        <w:tcW w:w="574" w:type="dxa"/>
                      </w:tcPr>
                      <w:p w:rsidR="00E50FA4" w:rsidRPr="00F77BA8" w:rsidRDefault="00A71304" w:rsidP="00E50FA4">
                        <w:pPr>
                          <w:spacing w:line="480" w:lineRule="auto"/>
                        </w:pPr>
                        <w:r w:rsidRPr="00F77BA8">
                          <w:t>0</w:t>
                        </w:r>
                      </w:p>
                    </w:tc>
                    <w:tc>
                      <w:tcPr>
                        <w:tcW w:w="415" w:type="dxa"/>
                      </w:tcPr>
                      <w:p w:rsidR="00E50FA4" w:rsidRPr="00F77BA8" w:rsidRDefault="00A71304" w:rsidP="00E50FA4">
                        <w:pPr>
                          <w:spacing w:line="480" w:lineRule="auto"/>
                        </w:pPr>
                        <w:r w:rsidRPr="00F77BA8">
                          <w:t>3</w:t>
                        </w:r>
                      </w:p>
                    </w:tc>
                    <w:tc>
                      <w:tcPr>
                        <w:tcW w:w="437" w:type="dxa"/>
                      </w:tcPr>
                      <w:p w:rsidR="00E50FA4" w:rsidRPr="00F77BA8" w:rsidRDefault="00A71304" w:rsidP="00E50FA4">
                        <w:pPr>
                          <w:spacing w:line="480" w:lineRule="auto"/>
                          <w:rPr>
                            <w:b/>
                          </w:rPr>
                        </w:pPr>
                        <w:r w:rsidRPr="00F77BA8">
                          <w:rPr>
                            <w:b/>
                          </w:rPr>
                          <w:t>4</w:t>
                        </w:r>
                      </w:p>
                    </w:tc>
                    <w:tc>
                      <w:tcPr>
                        <w:tcW w:w="395" w:type="dxa"/>
                      </w:tcPr>
                      <w:p w:rsidR="00E50FA4" w:rsidRPr="00F77BA8" w:rsidRDefault="00A71304" w:rsidP="00E50FA4">
                        <w:pPr>
                          <w:spacing w:line="480" w:lineRule="auto"/>
                        </w:pPr>
                        <w:r w:rsidRPr="00F77BA8">
                          <w:t>0</w:t>
                        </w:r>
                      </w:p>
                    </w:tc>
                    <w:tc>
                      <w:tcPr>
                        <w:tcW w:w="379" w:type="dxa"/>
                      </w:tcPr>
                      <w:p w:rsidR="00E50FA4" w:rsidRPr="00F77BA8" w:rsidRDefault="00A71304" w:rsidP="00E50FA4">
                        <w:pPr>
                          <w:spacing w:line="480" w:lineRule="auto"/>
                        </w:pPr>
                        <w:r w:rsidRPr="00F77BA8">
                          <w:t>2</w:t>
                        </w:r>
                      </w:p>
                    </w:tc>
                    <w:tc>
                      <w:tcPr>
                        <w:tcW w:w="401" w:type="dxa"/>
                      </w:tcPr>
                      <w:p w:rsidR="00E50FA4" w:rsidRPr="00F77BA8" w:rsidRDefault="00A71304" w:rsidP="00E50FA4">
                        <w:pPr>
                          <w:spacing w:line="480" w:lineRule="auto"/>
                        </w:pPr>
                        <w:r w:rsidRPr="00F77BA8">
                          <w:t>1</w:t>
                        </w:r>
                      </w:p>
                    </w:tc>
                    <w:tc>
                      <w:tcPr>
                        <w:tcW w:w="444" w:type="dxa"/>
                      </w:tcPr>
                      <w:p w:rsidR="00E50FA4" w:rsidRPr="00F77BA8" w:rsidRDefault="00A71304" w:rsidP="00E50FA4">
                        <w:pPr>
                          <w:spacing w:line="480" w:lineRule="auto"/>
                        </w:pPr>
                        <w:r w:rsidRPr="00F77BA8">
                          <w:t>1</w:t>
                        </w:r>
                      </w:p>
                    </w:tc>
                    <w:tc>
                      <w:tcPr>
                        <w:tcW w:w="379" w:type="dxa"/>
                      </w:tcPr>
                      <w:p w:rsidR="00E50FA4" w:rsidRPr="00F77BA8" w:rsidRDefault="00A71304" w:rsidP="00E50FA4">
                        <w:pPr>
                          <w:spacing w:line="480" w:lineRule="auto"/>
                        </w:pPr>
                        <w:r w:rsidRPr="00F77BA8">
                          <w:t>1</w:t>
                        </w:r>
                      </w:p>
                    </w:tc>
                    <w:tc>
                      <w:tcPr>
                        <w:tcW w:w="359" w:type="dxa"/>
                      </w:tcPr>
                      <w:p w:rsidR="00E50FA4" w:rsidRPr="00F77BA8" w:rsidRDefault="00A71304" w:rsidP="00E50FA4">
                        <w:pPr>
                          <w:spacing w:line="480" w:lineRule="auto"/>
                        </w:pPr>
                        <w:r w:rsidRPr="00F77BA8">
                          <w:t>0</w:t>
                        </w:r>
                      </w:p>
                    </w:tc>
                    <w:tc>
                      <w:tcPr>
                        <w:tcW w:w="424" w:type="dxa"/>
                      </w:tcPr>
                      <w:p w:rsidR="00E50FA4" w:rsidRPr="00F77BA8" w:rsidRDefault="00A71304" w:rsidP="00E50FA4">
                        <w:pPr>
                          <w:spacing w:line="480" w:lineRule="auto"/>
                        </w:pPr>
                        <w:r w:rsidRPr="00F77BA8">
                          <w:t>0</w:t>
                        </w:r>
                      </w:p>
                    </w:tc>
                    <w:tc>
                      <w:tcPr>
                        <w:tcW w:w="416" w:type="dxa"/>
                      </w:tcPr>
                      <w:p w:rsidR="00E50FA4" w:rsidRPr="00F77BA8" w:rsidRDefault="00A71304" w:rsidP="00E50FA4">
                        <w:pPr>
                          <w:spacing w:line="480" w:lineRule="auto"/>
                        </w:pPr>
                        <w:r w:rsidRPr="00F77BA8">
                          <w:t>0</w:t>
                        </w:r>
                      </w:p>
                    </w:tc>
                    <w:tc>
                      <w:tcPr>
                        <w:tcW w:w="421" w:type="dxa"/>
                      </w:tcPr>
                      <w:p w:rsidR="00E50FA4" w:rsidRPr="00F77BA8" w:rsidRDefault="00A71304" w:rsidP="00E50FA4">
                        <w:pPr>
                          <w:spacing w:line="480" w:lineRule="auto"/>
                        </w:pPr>
                        <w:r w:rsidRPr="00F77BA8">
                          <w:t>1</w:t>
                        </w:r>
                      </w:p>
                    </w:tc>
                    <w:tc>
                      <w:tcPr>
                        <w:tcW w:w="405" w:type="dxa"/>
                      </w:tcPr>
                      <w:p w:rsidR="00E50FA4" w:rsidRPr="00F77BA8" w:rsidRDefault="00A71304" w:rsidP="00E50FA4">
                        <w:pPr>
                          <w:spacing w:line="480" w:lineRule="auto"/>
                        </w:pPr>
                        <w:r w:rsidRPr="00F77BA8">
                          <w:t>2</w:t>
                        </w:r>
                      </w:p>
                    </w:tc>
                    <w:tc>
                      <w:tcPr>
                        <w:tcW w:w="379" w:type="dxa"/>
                      </w:tcPr>
                      <w:p w:rsidR="00E50FA4" w:rsidRPr="00F77BA8" w:rsidRDefault="00A71304" w:rsidP="00E50FA4">
                        <w:pPr>
                          <w:spacing w:line="480" w:lineRule="auto"/>
                          <w:rPr>
                            <w:b/>
                          </w:rPr>
                        </w:pPr>
                        <w:r w:rsidRPr="00F77BA8">
                          <w:rPr>
                            <w:b/>
                          </w:rPr>
                          <w:t>10</w:t>
                        </w:r>
                      </w:p>
                    </w:tc>
                    <w:tc>
                      <w:tcPr>
                        <w:tcW w:w="366" w:type="dxa"/>
                      </w:tcPr>
                      <w:p w:rsidR="00E50FA4" w:rsidRPr="00F77BA8" w:rsidRDefault="00A71304" w:rsidP="00E50FA4">
                        <w:pPr>
                          <w:spacing w:line="480" w:lineRule="auto"/>
                        </w:pPr>
                        <w:r w:rsidRPr="00F77BA8">
                          <w:t>0</w:t>
                        </w:r>
                      </w:p>
                    </w:tc>
                    <w:tc>
                      <w:tcPr>
                        <w:tcW w:w="348" w:type="dxa"/>
                      </w:tcPr>
                      <w:p w:rsidR="00E50FA4" w:rsidRPr="00F77BA8" w:rsidRDefault="00A71304" w:rsidP="00E50FA4">
                        <w:pPr>
                          <w:spacing w:line="480" w:lineRule="auto"/>
                        </w:pPr>
                        <w:r w:rsidRPr="00F77BA8">
                          <w:t>0</w:t>
                        </w:r>
                      </w:p>
                    </w:tc>
                  </w:tr>
                  <w:tr w:rsidR="00E50FA4" w:rsidRPr="00F77BA8">
                    <w:trPr>
                      <w:trHeight w:val="659"/>
                    </w:trPr>
                    <w:tc>
                      <w:tcPr>
                        <w:tcW w:w="738" w:type="dxa"/>
                      </w:tcPr>
                      <w:p w:rsidR="00E50FA4" w:rsidRPr="00F77BA8" w:rsidRDefault="00A71304" w:rsidP="00E50FA4">
                        <w:pPr>
                          <w:spacing w:line="480" w:lineRule="auto"/>
                          <w:rPr>
                            <w:b/>
                            <w:bCs/>
                          </w:rPr>
                        </w:pPr>
                        <w:r w:rsidRPr="00F77BA8">
                          <w:rPr>
                            <w:b/>
                            <w:bCs/>
                          </w:rPr>
                          <w:t>Not Tested</w:t>
                        </w:r>
                      </w:p>
                    </w:tc>
                    <w:tc>
                      <w:tcPr>
                        <w:tcW w:w="451" w:type="dxa"/>
                      </w:tcPr>
                      <w:p w:rsidR="00E50FA4" w:rsidRPr="00F77BA8" w:rsidRDefault="00A71304" w:rsidP="00E50FA4">
                        <w:pPr>
                          <w:spacing w:line="480" w:lineRule="auto"/>
                        </w:pPr>
                        <w:r w:rsidRPr="00F77BA8">
                          <w:t>0</w:t>
                        </w:r>
                      </w:p>
                    </w:tc>
                    <w:tc>
                      <w:tcPr>
                        <w:tcW w:w="411" w:type="dxa"/>
                      </w:tcPr>
                      <w:p w:rsidR="00E50FA4" w:rsidRPr="00F77BA8" w:rsidRDefault="00A71304" w:rsidP="00E50FA4">
                        <w:pPr>
                          <w:spacing w:line="480" w:lineRule="auto"/>
                        </w:pPr>
                        <w:r w:rsidRPr="00F77BA8">
                          <w:t>0</w:t>
                        </w:r>
                      </w:p>
                    </w:tc>
                    <w:tc>
                      <w:tcPr>
                        <w:tcW w:w="374" w:type="dxa"/>
                      </w:tcPr>
                      <w:p w:rsidR="00E50FA4" w:rsidRPr="00F77BA8" w:rsidRDefault="00A71304" w:rsidP="00E50FA4">
                        <w:pPr>
                          <w:spacing w:line="480" w:lineRule="auto"/>
                        </w:pPr>
                        <w:r w:rsidRPr="00F77BA8">
                          <w:t>3</w:t>
                        </w:r>
                      </w:p>
                    </w:tc>
                    <w:tc>
                      <w:tcPr>
                        <w:tcW w:w="574" w:type="dxa"/>
                      </w:tcPr>
                      <w:p w:rsidR="00E50FA4" w:rsidRPr="00F77BA8" w:rsidRDefault="00A71304" w:rsidP="00E50FA4">
                        <w:pPr>
                          <w:spacing w:line="480" w:lineRule="auto"/>
                        </w:pPr>
                        <w:r w:rsidRPr="00F77BA8">
                          <w:t>7</w:t>
                        </w:r>
                      </w:p>
                    </w:tc>
                    <w:tc>
                      <w:tcPr>
                        <w:tcW w:w="415" w:type="dxa"/>
                      </w:tcPr>
                      <w:p w:rsidR="00E50FA4" w:rsidRPr="00F77BA8" w:rsidRDefault="00A71304" w:rsidP="00E50FA4">
                        <w:pPr>
                          <w:spacing w:line="480" w:lineRule="auto"/>
                        </w:pPr>
                        <w:r w:rsidRPr="00F77BA8">
                          <w:t>1</w:t>
                        </w:r>
                      </w:p>
                    </w:tc>
                    <w:tc>
                      <w:tcPr>
                        <w:tcW w:w="437" w:type="dxa"/>
                      </w:tcPr>
                      <w:p w:rsidR="00E50FA4" w:rsidRPr="00F77BA8" w:rsidRDefault="00A71304" w:rsidP="00E50FA4">
                        <w:pPr>
                          <w:spacing w:line="480" w:lineRule="auto"/>
                        </w:pPr>
                        <w:r w:rsidRPr="00F77BA8">
                          <w:t>0</w:t>
                        </w:r>
                      </w:p>
                    </w:tc>
                    <w:tc>
                      <w:tcPr>
                        <w:tcW w:w="395" w:type="dxa"/>
                      </w:tcPr>
                      <w:p w:rsidR="00E50FA4" w:rsidRPr="00F77BA8" w:rsidRDefault="00A71304" w:rsidP="00E50FA4">
                        <w:pPr>
                          <w:spacing w:line="480" w:lineRule="auto"/>
                        </w:pPr>
                        <w:r w:rsidRPr="00F77BA8">
                          <w:t>1</w:t>
                        </w:r>
                      </w:p>
                    </w:tc>
                    <w:tc>
                      <w:tcPr>
                        <w:tcW w:w="379" w:type="dxa"/>
                      </w:tcPr>
                      <w:p w:rsidR="00E50FA4" w:rsidRPr="00F77BA8" w:rsidRDefault="00A71304" w:rsidP="00E50FA4">
                        <w:pPr>
                          <w:spacing w:line="480" w:lineRule="auto"/>
                        </w:pPr>
                        <w:r w:rsidRPr="00F77BA8">
                          <w:t>0</w:t>
                        </w:r>
                      </w:p>
                    </w:tc>
                    <w:tc>
                      <w:tcPr>
                        <w:tcW w:w="401" w:type="dxa"/>
                      </w:tcPr>
                      <w:p w:rsidR="00E50FA4" w:rsidRPr="00F77BA8" w:rsidRDefault="00A71304" w:rsidP="00E50FA4">
                        <w:pPr>
                          <w:spacing w:line="480" w:lineRule="auto"/>
                        </w:pPr>
                        <w:r w:rsidRPr="00F77BA8">
                          <w:t>0</w:t>
                        </w:r>
                      </w:p>
                    </w:tc>
                    <w:tc>
                      <w:tcPr>
                        <w:tcW w:w="444" w:type="dxa"/>
                      </w:tcPr>
                      <w:p w:rsidR="00E50FA4" w:rsidRPr="00F77BA8" w:rsidRDefault="00A71304" w:rsidP="00E50FA4">
                        <w:pPr>
                          <w:spacing w:line="480" w:lineRule="auto"/>
                        </w:pPr>
                        <w:r w:rsidRPr="00F77BA8">
                          <w:t>1</w:t>
                        </w:r>
                      </w:p>
                    </w:tc>
                    <w:tc>
                      <w:tcPr>
                        <w:tcW w:w="379" w:type="dxa"/>
                      </w:tcPr>
                      <w:p w:rsidR="00E50FA4" w:rsidRPr="00F77BA8" w:rsidRDefault="00A71304" w:rsidP="00E50FA4">
                        <w:pPr>
                          <w:spacing w:line="480" w:lineRule="auto"/>
                        </w:pPr>
                        <w:r w:rsidRPr="00F77BA8">
                          <w:t>1</w:t>
                        </w:r>
                      </w:p>
                    </w:tc>
                    <w:tc>
                      <w:tcPr>
                        <w:tcW w:w="359" w:type="dxa"/>
                      </w:tcPr>
                      <w:p w:rsidR="00E50FA4" w:rsidRPr="00F77BA8" w:rsidRDefault="00A71304" w:rsidP="00E50FA4">
                        <w:pPr>
                          <w:spacing w:line="480" w:lineRule="auto"/>
                        </w:pPr>
                        <w:r w:rsidRPr="00F77BA8">
                          <w:t>1</w:t>
                        </w:r>
                      </w:p>
                    </w:tc>
                    <w:tc>
                      <w:tcPr>
                        <w:tcW w:w="424" w:type="dxa"/>
                      </w:tcPr>
                      <w:p w:rsidR="00E50FA4" w:rsidRPr="00F77BA8" w:rsidRDefault="00A71304" w:rsidP="00E50FA4">
                        <w:pPr>
                          <w:spacing w:line="480" w:lineRule="auto"/>
                        </w:pPr>
                        <w:r w:rsidRPr="00F77BA8">
                          <w:t>0</w:t>
                        </w:r>
                      </w:p>
                    </w:tc>
                    <w:tc>
                      <w:tcPr>
                        <w:tcW w:w="416" w:type="dxa"/>
                      </w:tcPr>
                      <w:p w:rsidR="00E50FA4" w:rsidRPr="00F77BA8" w:rsidRDefault="00A71304" w:rsidP="00E50FA4">
                        <w:pPr>
                          <w:spacing w:line="480" w:lineRule="auto"/>
                        </w:pPr>
                        <w:r w:rsidRPr="00F77BA8">
                          <w:t>1</w:t>
                        </w:r>
                      </w:p>
                    </w:tc>
                    <w:tc>
                      <w:tcPr>
                        <w:tcW w:w="421" w:type="dxa"/>
                      </w:tcPr>
                      <w:p w:rsidR="00E50FA4" w:rsidRPr="00F77BA8" w:rsidRDefault="00A71304" w:rsidP="00E50FA4">
                        <w:pPr>
                          <w:spacing w:line="480" w:lineRule="auto"/>
                          <w:rPr>
                            <w:rFonts w:eastAsia="MS ????"/>
                            <w:b/>
                            <w:bCs/>
                            <w:i/>
                            <w:iCs/>
                          </w:rPr>
                        </w:pPr>
                        <w:r w:rsidRPr="00F77BA8">
                          <w:t>0</w:t>
                        </w:r>
                      </w:p>
                    </w:tc>
                    <w:tc>
                      <w:tcPr>
                        <w:tcW w:w="405" w:type="dxa"/>
                      </w:tcPr>
                      <w:p w:rsidR="00E50FA4" w:rsidRPr="00F77BA8" w:rsidRDefault="00A71304" w:rsidP="00E50FA4">
                        <w:pPr>
                          <w:spacing w:line="480" w:lineRule="auto"/>
                        </w:pPr>
                        <w:r w:rsidRPr="00F77BA8">
                          <w:t>1</w:t>
                        </w:r>
                      </w:p>
                    </w:tc>
                    <w:tc>
                      <w:tcPr>
                        <w:tcW w:w="379" w:type="dxa"/>
                      </w:tcPr>
                      <w:p w:rsidR="00E50FA4" w:rsidRPr="00F77BA8" w:rsidRDefault="00A71304" w:rsidP="00E50FA4">
                        <w:pPr>
                          <w:spacing w:line="480" w:lineRule="auto"/>
                          <w:rPr>
                            <w:rFonts w:eastAsia="MS ????"/>
                            <w:b/>
                            <w:bCs/>
                            <w:lang w:val="en-US"/>
                          </w:rPr>
                        </w:pPr>
                        <w:r w:rsidRPr="00F77BA8">
                          <w:t>0</w:t>
                        </w:r>
                      </w:p>
                    </w:tc>
                    <w:tc>
                      <w:tcPr>
                        <w:tcW w:w="366" w:type="dxa"/>
                      </w:tcPr>
                      <w:p w:rsidR="00E50FA4" w:rsidRPr="00F77BA8" w:rsidRDefault="00A71304" w:rsidP="00E50FA4">
                        <w:pPr>
                          <w:spacing w:line="480" w:lineRule="auto"/>
                        </w:pPr>
                        <w:r w:rsidRPr="00F77BA8">
                          <w:t>1</w:t>
                        </w:r>
                      </w:p>
                    </w:tc>
                    <w:tc>
                      <w:tcPr>
                        <w:tcW w:w="348" w:type="dxa"/>
                      </w:tcPr>
                      <w:p w:rsidR="00E50FA4" w:rsidRPr="00F77BA8" w:rsidRDefault="00A71304" w:rsidP="00E50FA4">
                        <w:pPr>
                          <w:spacing w:line="480" w:lineRule="auto"/>
                        </w:pPr>
                        <w:r w:rsidRPr="00F77BA8">
                          <w:t>3</w:t>
                        </w:r>
                      </w:p>
                    </w:tc>
                  </w:tr>
                </w:tbl>
                <w:p w:rsidR="00E50FA4" w:rsidRPr="007C268B" w:rsidRDefault="00E50FA4" w:rsidP="00E50FA4">
                  <w:r w:rsidRPr="00F77BA8">
                    <w:t>Abbreviations: Amp. ampicillin; Aug, co-amoxiclav; Pip, piperacillin; Ptz, piperacillin-tazobactam; Cltn, cephalothin; Cxm, cefuroxime; F Fox, cefoxitin; Ctx, cefotaxime; Caz, ceftazidime; Cpm, cefepime; Azt, aztreonam; Ert, ertapenem; Mem, meropenem; Amk, amikacin; Gen, gentamicin; Cip, ciprofloxacin; Tig, tigecycline and Tmp, trimethoprim.   Susceptibility testing methods: 9 isolates tested by Vitek. 1 patient tested by BSAC disc diffusion</w:t>
                  </w:r>
                </w:p>
              </w:txbxContent>
            </v:textbox>
            <w10:wrap type="square"/>
          </v:shape>
        </w:pict>
      </w:r>
    </w:p>
    <w:sectPr w:rsidR="00E50FA4" w:rsidRPr="0083116A" w:rsidSect="00E50FA4">
      <w:headerReference w:type="default" r:id="rId11"/>
      <w:pgSz w:w="11900" w:h="16840"/>
      <w:pgMar w:top="1440" w:right="1800" w:bottom="1440" w:left="1800" w:header="706" w:footer="706" w:gutter="0"/>
      <w:lnNumType w:countBy="1" w:restart="continuous"/>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0FA4" w:rsidRDefault="00E50FA4" w:rsidP="00E50FA4">
      <w:r>
        <w:separator/>
      </w:r>
    </w:p>
  </w:endnote>
  <w:endnote w:type="continuationSeparator" w:id="0">
    <w:p w:rsidR="00E50FA4" w:rsidRDefault="00E50FA4" w:rsidP="00E50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
    <w:altName w:val="Optima ExtraBlack"/>
    <w:panose1 w:val="00000000000000000000"/>
    <w:charset w:val="80"/>
    <w:family w:val="auto"/>
    <w:notTrueType/>
    <w:pitch w:val="variable"/>
    <w:sig w:usb0="00000001" w:usb1="08070000" w:usb2="00000010" w:usb3="00000000" w:csb0="00020000" w:csb1="00000000"/>
  </w:font>
  <w:font w:name="Lucida Grande">
    <w:altName w:val="Mangal"/>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
    <w:panose1 w:val="00000000000000000000"/>
    <w:charset w:val="80"/>
    <w:family w:val="auto"/>
    <w:notTrueType/>
    <w:pitch w:val="variable"/>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Semibold SemiExt It">
    <w:charset w:val="00"/>
    <w:family w:val="auto"/>
    <w:pitch w:val="variable"/>
    <w:sig w:usb0="00000003" w:usb1="00000000" w:usb2="00000000" w:usb3="00000000" w:csb0="00000001" w:csb1="00000000"/>
  </w:font>
  <w:font w:name="American Typewriter">
    <w:altName w:val="Nyala"/>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0FA4" w:rsidRDefault="00E50FA4" w:rsidP="00E50FA4">
      <w:r>
        <w:separator/>
      </w:r>
    </w:p>
  </w:footnote>
  <w:footnote w:type="continuationSeparator" w:id="0">
    <w:p w:rsidR="00E50FA4" w:rsidRDefault="00E50FA4" w:rsidP="00E50F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FA4" w:rsidRDefault="00E50FA4">
    <w:pPr>
      <w:pStyle w:val="Header"/>
    </w:pPr>
    <w:r>
      <w:rPr>
        <w:rFonts w:ascii="Arial" w:hAnsi="Arial" w:cs="Lucida Grande"/>
        <w:b/>
        <w:bCs/>
        <w:sz w:val="18"/>
        <w:szCs w:val="18"/>
        <w:lang w:val="en-US"/>
      </w:rPr>
      <w:t xml:space="preserve">Ciprofloxacin-resistant </w:t>
    </w:r>
    <w:r w:rsidRPr="00AC71A4">
      <w:rPr>
        <w:rFonts w:ascii="Arial" w:hAnsi="Arial" w:cs="Lucida Grande"/>
        <w:b/>
        <w:bCs/>
        <w:i/>
        <w:sz w:val="18"/>
        <w:szCs w:val="18"/>
        <w:lang w:val="en-US"/>
      </w:rPr>
      <w:t>E. coli</w:t>
    </w:r>
    <w:r>
      <w:rPr>
        <w:rFonts w:ascii="Arial" w:hAnsi="Arial" w:cs="Lucida Grande"/>
        <w:b/>
        <w:bCs/>
        <w:sz w:val="18"/>
        <w:szCs w:val="18"/>
        <w:lang w:val="en-US"/>
      </w:rPr>
      <w:t xml:space="preserve"> in TRUS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821D23"/>
    <w:multiLevelType w:val="hybridMultilevel"/>
    <w:tmpl w:val="81483E1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3BF02BE7"/>
    <w:multiLevelType w:val="hybridMultilevel"/>
    <w:tmpl w:val="03F4179C"/>
    <w:lvl w:ilvl="0" w:tplc="46E4F900">
      <w:start w:val="1"/>
      <w:numFmt w:val="decimal"/>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embedSystemFonts/>
  <w:revisionView w:inkAnnotations="0"/>
  <w:trackRevisions/>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2"/>
  </w:compat>
  <w:rsids>
    <w:rsidRoot w:val="00C002F2"/>
    <w:rsid w:val="000B155C"/>
    <w:rsid w:val="0058637D"/>
    <w:rsid w:val="005925DD"/>
    <w:rsid w:val="0083116A"/>
    <w:rsid w:val="00A71304"/>
    <w:rsid w:val="00AA38D8"/>
    <w:rsid w:val="00BD0595"/>
    <w:rsid w:val="00C002F2"/>
    <w:rsid w:val="00E50FA4"/>
    <w:rsid w:val="00EE6561"/>
    <w:rsid w:val="00F51533"/>
    <w:rsid w:val="00F77BA8"/>
    <w:rsid w:val="00FE07FF"/>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192A767D-530A-45D2-A934-A34FD7AF4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 w:hAnsi="Calibri" w:cs="Times New Roman"/>
        <w:sz w:val="22"/>
        <w:szCs w:val="22"/>
        <w:lang w:val="en-GB" w:eastAsia="en-GB"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07FF"/>
    <w:pPr>
      <w:spacing w:after="200" w:line="276" w:lineRule="auto"/>
      <w:jc w:val="both"/>
    </w:pPr>
    <w:rPr>
      <w:sz w:val="20"/>
      <w:szCs w:val="20"/>
    </w:rPr>
  </w:style>
  <w:style w:type="paragraph" w:styleId="Heading1">
    <w:name w:val="heading 1"/>
    <w:basedOn w:val="Normal"/>
    <w:next w:val="Normal"/>
    <w:link w:val="Heading1Char"/>
    <w:uiPriority w:val="99"/>
    <w:qFormat/>
    <w:locked/>
    <w:rsid w:val="00FE07FF"/>
    <w:pPr>
      <w:spacing w:before="300" w:after="40"/>
      <w:jc w:val="left"/>
      <w:outlineLvl w:val="0"/>
    </w:pPr>
    <w:rPr>
      <w:smallCaps/>
      <w:spacing w:val="5"/>
      <w:sz w:val="32"/>
      <w:szCs w:val="32"/>
    </w:rPr>
  </w:style>
  <w:style w:type="paragraph" w:styleId="Heading2">
    <w:name w:val="heading 2"/>
    <w:basedOn w:val="Normal"/>
    <w:next w:val="Normal"/>
    <w:link w:val="Heading2Char"/>
    <w:uiPriority w:val="99"/>
    <w:qFormat/>
    <w:locked/>
    <w:rsid w:val="00FE07FF"/>
    <w:pPr>
      <w:spacing w:before="240" w:after="80"/>
      <w:jc w:val="left"/>
      <w:outlineLvl w:val="1"/>
    </w:pPr>
    <w:rPr>
      <w:smallCaps/>
      <w:spacing w:val="5"/>
      <w:sz w:val="28"/>
      <w:szCs w:val="28"/>
    </w:rPr>
  </w:style>
  <w:style w:type="paragraph" w:styleId="Heading3">
    <w:name w:val="heading 3"/>
    <w:basedOn w:val="Normal"/>
    <w:next w:val="Normal"/>
    <w:link w:val="Heading3Char"/>
    <w:uiPriority w:val="99"/>
    <w:qFormat/>
    <w:locked/>
    <w:rsid w:val="00FE07FF"/>
    <w:pPr>
      <w:spacing w:after="0"/>
      <w:jc w:val="left"/>
      <w:outlineLvl w:val="2"/>
    </w:pPr>
    <w:rPr>
      <w:smallCaps/>
      <w:spacing w:val="5"/>
      <w:sz w:val="24"/>
      <w:szCs w:val="24"/>
    </w:rPr>
  </w:style>
  <w:style w:type="paragraph" w:styleId="Heading4">
    <w:name w:val="heading 4"/>
    <w:basedOn w:val="Normal"/>
    <w:next w:val="Normal"/>
    <w:link w:val="Heading4Char"/>
    <w:uiPriority w:val="99"/>
    <w:qFormat/>
    <w:locked/>
    <w:rsid w:val="00FE07FF"/>
    <w:pPr>
      <w:spacing w:before="240" w:after="0"/>
      <w:jc w:val="left"/>
      <w:outlineLvl w:val="3"/>
    </w:pPr>
    <w:rPr>
      <w:smallCaps/>
      <w:spacing w:val="10"/>
      <w:sz w:val="22"/>
      <w:szCs w:val="22"/>
    </w:rPr>
  </w:style>
  <w:style w:type="paragraph" w:styleId="Heading5">
    <w:name w:val="heading 5"/>
    <w:basedOn w:val="Normal"/>
    <w:next w:val="Normal"/>
    <w:link w:val="Heading5Char"/>
    <w:uiPriority w:val="99"/>
    <w:qFormat/>
    <w:locked/>
    <w:rsid w:val="00FE07FF"/>
    <w:pPr>
      <w:spacing w:before="200" w:after="0"/>
      <w:jc w:val="left"/>
      <w:outlineLvl w:val="4"/>
    </w:pPr>
    <w:rPr>
      <w:smallCaps/>
      <w:color w:val="943634"/>
      <w:spacing w:val="10"/>
      <w:sz w:val="22"/>
      <w:szCs w:val="26"/>
    </w:rPr>
  </w:style>
  <w:style w:type="paragraph" w:styleId="Heading6">
    <w:name w:val="heading 6"/>
    <w:basedOn w:val="Normal"/>
    <w:next w:val="Normal"/>
    <w:link w:val="Heading6Char"/>
    <w:uiPriority w:val="99"/>
    <w:qFormat/>
    <w:locked/>
    <w:rsid w:val="00FE07FF"/>
    <w:pPr>
      <w:spacing w:after="0"/>
      <w:jc w:val="left"/>
      <w:outlineLvl w:val="5"/>
    </w:pPr>
    <w:rPr>
      <w:smallCaps/>
      <w:color w:val="C0504D"/>
      <w:spacing w:val="5"/>
      <w:sz w:val="22"/>
    </w:rPr>
  </w:style>
  <w:style w:type="paragraph" w:styleId="Heading7">
    <w:name w:val="heading 7"/>
    <w:basedOn w:val="Normal"/>
    <w:next w:val="Normal"/>
    <w:link w:val="Heading7Char"/>
    <w:uiPriority w:val="99"/>
    <w:qFormat/>
    <w:locked/>
    <w:rsid w:val="00FE07FF"/>
    <w:pPr>
      <w:spacing w:after="0"/>
      <w:jc w:val="left"/>
      <w:outlineLvl w:val="6"/>
    </w:pPr>
    <w:rPr>
      <w:b/>
      <w:smallCaps/>
      <w:color w:val="C0504D"/>
      <w:spacing w:val="10"/>
    </w:rPr>
  </w:style>
  <w:style w:type="paragraph" w:styleId="Heading8">
    <w:name w:val="heading 8"/>
    <w:basedOn w:val="Normal"/>
    <w:next w:val="Normal"/>
    <w:link w:val="Heading8Char"/>
    <w:uiPriority w:val="99"/>
    <w:qFormat/>
    <w:locked/>
    <w:rsid w:val="00FE07FF"/>
    <w:pPr>
      <w:spacing w:after="0"/>
      <w:jc w:val="left"/>
      <w:outlineLvl w:val="7"/>
    </w:pPr>
    <w:rPr>
      <w:b/>
      <w:i/>
      <w:smallCaps/>
      <w:color w:val="943634"/>
    </w:rPr>
  </w:style>
  <w:style w:type="paragraph" w:styleId="Heading9">
    <w:name w:val="heading 9"/>
    <w:basedOn w:val="Normal"/>
    <w:next w:val="Normal"/>
    <w:link w:val="Heading9Char"/>
    <w:uiPriority w:val="99"/>
    <w:qFormat/>
    <w:locked/>
    <w:rsid w:val="00FE07FF"/>
    <w:pPr>
      <w:spacing w:after="0"/>
      <w:jc w:val="left"/>
      <w:outlineLvl w:val="8"/>
    </w:pPr>
    <w:rPr>
      <w:b/>
      <w:i/>
      <w:smallCaps/>
      <w:color w:val="6224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E07FF"/>
    <w:rPr>
      <w:rFonts w:cs="Times New Roman"/>
      <w:smallCaps/>
      <w:spacing w:val="5"/>
      <w:sz w:val="32"/>
      <w:szCs w:val="32"/>
    </w:rPr>
  </w:style>
  <w:style w:type="character" w:customStyle="1" w:styleId="Heading2Char">
    <w:name w:val="Heading 2 Char"/>
    <w:basedOn w:val="DefaultParagraphFont"/>
    <w:link w:val="Heading2"/>
    <w:uiPriority w:val="99"/>
    <w:semiHidden/>
    <w:locked/>
    <w:rsid w:val="00FE07FF"/>
    <w:rPr>
      <w:rFonts w:cs="Times New Roman"/>
      <w:smallCaps/>
      <w:spacing w:val="5"/>
      <w:sz w:val="28"/>
      <w:szCs w:val="28"/>
    </w:rPr>
  </w:style>
  <w:style w:type="character" w:customStyle="1" w:styleId="Heading3Char">
    <w:name w:val="Heading 3 Char"/>
    <w:basedOn w:val="DefaultParagraphFont"/>
    <w:link w:val="Heading3"/>
    <w:uiPriority w:val="99"/>
    <w:semiHidden/>
    <w:locked/>
    <w:rsid w:val="00FE07FF"/>
    <w:rPr>
      <w:rFonts w:cs="Times New Roman"/>
      <w:smallCaps/>
      <w:spacing w:val="5"/>
      <w:sz w:val="24"/>
      <w:szCs w:val="24"/>
    </w:rPr>
  </w:style>
  <w:style w:type="character" w:customStyle="1" w:styleId="Heading4Char">
    <w:name w:val="Heading 4 Char"/>
    <w:basedOn w:val="DefaultParagraphFont"/>
    <w:link w:val="Heading4"/>
    <w:uiPriority w:val="99"/>
    <w:semiHidden/>
    <w:locked/>
    <w:rsid w:val="00FE07FF"/>
    <w:rPr>
      <w:rFonts w:cs="Times New Roman"/>
      <w:smallCaps/>
      <w:spacing w:val="10"/>
      <w:sz w:val="22"/>
      <w:szCs w:val="22"/>
    </w:rPr>
  </w:style>
  <w:style w:type="character" w:customStyle="1" w:styleId="Heading5Char">
    <w:name w:val="Heading 5 Char"/>
    <w:basedOn w:val="DefaultParagraphFont"/>
    <w:link w:val="Heading5"/>
    <w:uiPriority w:val="99"/>
    <w:semiHidden/>
    <w:locked/>
    <w:rsid w:val="00FE07FF"/>
    <w:rPr>
      <w:rFonts w:cs="Times New Roman"/>
      <w:smallCaps/>
      <w:color w:val="943634"/>
      <w:spacing w:val="10"/>
      <w:sz w:val="26"/>
      <w:szCs w:val="26"/>
    </w:rPr>
  </w:style>
  <w:style w:type="character" w:customStyle="1" w:styleId="Heading6Char">
    <w:name w:val="Heading 6 Char"/>
    <w:basedOn w:val="DefaultParagraphFont"/>
    <w:link w:val="Heading6"/>
    <w:uiPriority w:val="99"/>
    <w:semiHidden/>
    <w:locked/>
    <w:rsid w:val="00FE07FF"/>
    <w:rPr>
      <w:rFonts w:cs="Times New Roman"/>
      <w:smallCaps/>
      <w:color w:val="C0504D"/>
      <w:spacing w:val="5"/>
      <w:sz w:val="22"/>
    </w:rPr>
  </w:style>
  <w:style w:type="character" w:customStyle="1" w:styleId="Heading7Char">
    <w:name w:val="Heading 7 Char"/>
    <w:basedOn w:val="DefaultParagraphFont"/>
    <w:link w:val="Heading7"/>
    <w:uiPriority w:val="99"/>
    <w:semiHidden/>
    <w:locked/>
    <w:rsid w:val="00FE07FF"/>
    <w:rPr>
      <w:rFonts w:cs="Times New Roman"/>
      <w:b/>
      <w:smallCaps/>
      <w:color w:val="C0504D"/>
      <w:spacing w:val="10"/>
    </w:rPr>
  </w:style>
  <w:style w:type="character" w:customStyle="1" w:styleId="Heading8Char">
    <w:name w:val="Heading 8 Char"/>
    <w:basedOn w:val="DefaultParagraphFont"/>
    <w:link w:val="Heading8"/>
    <w:uiPriority w:val="99"/>
    <w:semiHidden/>
    <w:locked/>
    <w:rsid w:val="00FE07FF"/>
    <w:rPr>
      <w:rFonts w:cs="Times New Roman"/>
      <w:b/>
      <w:i/>
      <w:smallCaps/>
      <w:color w:val="943634"/>
    </w:rPr>
  </w:style>
  <w:style w:type="character" w:customStyle="1" w:styleId="Heading9Char">
    <w:name w:val="Heading 9 Char"/>
    <w:basedOn w:val="DefaultParagraphFont"/>
    <w:link w:val="Heading9"/>
    <w:uiPriority w:val="99"/>
    <w:semiHidden/>
    <w:locked/>
    <w:rsid w:val="00FE07FF"/>
    <w:rPr>
      <w:rFonts w:cs="Times New Roman"/>
      <w:b/>
      <w:i/>
      <w:smallCaps/>
      <w:color w:val="622423"/>
    </w:rPr>
  </w:style>
  <w:style w:type="character" w:styleId="CommentReference">
    <w:name w:val="annotation reference"/>
    <w:basedOn w:val="DefaultParagraphFont"/>
    <w:uiPriority w:val="99"/>
    <w:semiHidden/>
    <w:rsid w:val="00FE07FF"/>
    <w:rPr>
      <w:rFonts w:cs="Times New Roman"/>
      <w:sz w:val="18"/>
      <w:szCs w:val="18"/>
    </w:rPr>
  </w:style>
  <w:style w:type="paragraph" w:styleId="CommentText">
    <w:name w:val="annotation text"/>
    <w:basedOn w:val="Normal"/>
    <w:link w:val="CommentTextChar"/>
    <w:uiPriority w:val="99"/>
    <w:semiHidden/>
    <w:rsid w:val="00FE07FF"/>
  </w:style>
  <w:style w:type="character" w:customStyle="1" w:styleId="CommentTextChar">
    <w:name w:val="Comment Text Char"/>
    <w:basedOn w:val="DefaultParagraphFont"/>
    <w:link w:val="CommentText"/>
    <w:uiPriority w:val="99"/>
    <w:semiHidden/>
    <w:locked/>
    <w:rsid w:val="00FE07FF"/>
    <w:rPr>
      <w:rFonts w:cs="Times New Roman"/>
      <w:lang w:val="en-GB"/>
    </w:rPr>
  </w:style>
  <w:style w:type="paragraph" w:styleId="CommentSubject">
    <w:name w:val="annotation subject"/>
    <w:basedOn w:val="CommentText"/>
    <w:next w:val="CommentText"/>
    <w:link w:val="CommentSubjectChar"/>
    <w:uiPriority w:val="99"/>
    <w:semiHidden/>
    <w:rsid w:val="00FE07FF"/>
    <w:rPr>
      <w:b/>
      <w:bCs/>
    </w:rPr>
  </w:style>
  <w:style w:type="character" w:customStyle="1" w:styleId="CommentSubjectChar">
    <w:name w:val="Comment Subject Char"/>
    <w:basedOn w:val="CommentTextChar"/>
    <w:link w:val="CommentSubject"/>
    <w:uiPriority w:val="99"/>
    <w:semiHidden/>
    <w:locked/>
    <w:rsid w:val="00FE07FF"/>
    <w:rPr>
      <w:rFonts w:cs="Times New Roman"/>
      <w:b/>
      <w:bCs/>
      <w:sz w:val="20"/>
      <w:szCs w:val="20"/>
      <w:lang w:val="en-GB"/>
    </w:rPr>
  </w:style>
  <w:style w:type="paragraph" w:styleId="BalloonText">
    <w:name w:val="Balloon Text"/>
    <w:basedOn w:val="Normal"/>
    <w:link w:val="BalloonTextChar"/>
    <w:uiPriority w:val="99"/>
    <w:semiHidden/>
    <w:rsid w:val="00FE07FF"/>
    <w:rPr>
      <w:rFonts w:ascii="Lucida Grande" w:hAnsi="Lucida Grande"/>
      <w:sz w:val="18"/>
      <w:szCs w:val="18"/>
    </w:rPr>
  </w:style>
  <w:style w:type="character" w:customStyle="1" w:styleId="BalloonTextChar">
    <w:name w:val="Balloon Text Char"/>
    <w:basedOn w:val="DefaultParagraphFont"/>
    <w:link w:val="BalloonText"/>
    <w:uiPriority w:val="99"/>
    <w:semiHidden/>
    <w:locked/>
    <w:rsid w:val="00FE07FF"/>
    <w:rPr>
      <w:rFonts w:ascii="Lucida Grande" w:hAnsi="Lucida Grande" w:cs="Times New Roman"/>
      <w:sz w:val="18"/>
      <w:szCs w:val="18"/>
      <w:lang w:val="en-GB"/>
    </w:rPr>
  </w:style>
  <w:style w:type="paragraph" w:styleId="ListParagraph">
    <w:name w:val="List Paragraph"/>
    <w:basedOn w:val="Normal"/>
    <w:uiPriority w:val="99"/>
    <w:qFormat/>
    <w:rsid w:val="00FE07FF"/>
    <w:pPr>
      <w:ind w:left="720"/>
      <w:contextualSpacing/>
    </w:pPr>
  </w:style>
  <w:style w:type="paragraph" w:styleId="FootnoteText">
    <w:name w:val="footnote text"/>
    <w:basedOn w:val="Normal"/>
    <w:link w:val="FootnoteTextChar"/>
    <w:uiPriority w:val="99"/>
    <w:rsid w:val="00FE07FF"/>
  </w:style>
  <w:style w:type="character" w:customStyle="1" w:styleId="FootnoteTextChar">
    <w:name w:val="Footnote Text Char"/>
    <w:basedOn w:val="DefaultParagraphFont"/>
    <w:link w:val="FootnoteText"/>
    <w:uiPriority w:val="99"/>
    <w:locked/>
    <w:rsid w:val="00FE07FF"/>
    <w:rPr>
      <w:rFonts w:cs="Times New Roman"/>
      <w:sz w:val="24"/>
      <w:szCs w:val="24"/>
      <w:lang w:eastAsia="en-US"/>
    </w:rPr>
  </w:style>
  <w:style w:type="character" w:styleId="FootnoteReference">
    <w:name w:val="footnote reference"/>
    <w:basedOn w:val="DefaultParagraphFont"/>
    <w:uiPriority w:val="99"/>
    <w:rsid w:val="00FE07FF"/>
    <w:rPr>
      <w:rFonts w:cs="Times New Roman"/>
      <w:vertAlign w:val="superscript"/>
    </w:rPr>
  </w:style>
  <w:style w:type="paragraph" w:styleId="EndnoteText">
    <w:name w:val="endnote text"/>
    <w:basedOn w:val="Normal"/>
    <w:link w:val="EndnoteTextChar"/>
    <w:uiPriority w:val="99"/>
    <w:rsid w:val="00FE07FF"/>
  </w:style>
  <w:style w:type="character" w:customStyle="1" w:styleId="EndnoteTextChar">
    <w:name w:val="Endnote Text Char"/>
    <w:basedOn w:val="DefaultParagraphFont"/>
    <w:link w:val="EndnoteText"/>
    <w:uiPriority w:val="99"/>
    <w:locked/>
    <w:rsid w:val="00FE07FF"/>
    <w:rPr>
      <w:rFonts w:cs="Times New Roman"/>
      <w:sz w:val="24"/>
      <w:szCs w:val="24"/>
      <w:lang w:eastAsia="en-US"/>
    </w:rPr>
  </w:style>
  <w:style w:type="character" w:styleId="EndnoteReference">
    <w:name w:val="endnote reference"/>
    <w:basedOn w:val="DefaultParagraphFont"/>
    <w:uiPriority w:val="99"/>
    <w:rsid w:val="00FE07FF"/>
    <w:rPr>
      <w:rFonts w:cs="Times New Roman"/>
      <w:vertAlign w:val="superscript"/>
    </w:rPr>
  </w:style>
  <w:style w:type="table" w:styleId="TableGrid">
    <w:name w:val="Table Grid"/>
    <w:basedOn w:val="TableNormal"/>
    <w:uiPriority w:val="99"/>
    <w:locked/>
    <w:rsid w:val="00FE07F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99"/>
    <w:rsid w:val="00FE07FF"/>
    <w:rPr>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99"/>
    <w:rsid w:val="00FE07FF"/>
    <w:rPr>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99"/>
    <w:rsid w:val="00FE07FF"/>
    <w:rPr>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styleId="LightShading-Accent6">
    <w:name w:val="Light Shading Accent 6"/>
    <w:basedOn w:val="TableNormal"/>
    <w:uiPriority w:val="99"/>
    <w:rsid w:val="00FE07FF"/>
    <w:rPr>
      <w:color w:val="E36C0A"/>
      <w:sz w:val="20"/>
      <w:szCs w:val="20"/>
    </w:rPr>
    <w:tblPr>
      <w:tblStyleRowBandSize w:val="1"/>
      <w:tblStyleColBandSize w:val="1"/>
      <w:tblBorders>
        <w:top w:val="single" w:sz="8" w:space="0" w:color="F79646"/>
        <w:bottom w:val="single" w:sz="8" w:space="0" w:color="F79646"/>
      </w:tblBorders>
    </w:tblPr>
    <w:tblStylePr w:type="firstRow">
      <w:pPr>
        <w:spacing w:before="0" w:after="0"/>
      </w:pPr>
      <w:rPr>
        <w:rFonts w:cs="Times New Roman"/>
        <w:b/>
        <w:bCs/>
      </w:rPr>
      <w:tblPr/>
      <w:tcPr>
        <w:tcBorders>
          <w:top w:val="single" w:sz="8" w:space="0" w:color="F79646"/>
          <w:left w:val="nil"/>
          <w:bottom w:val="single" w:sz="8" w:space="0" w:color="F79646"/>
          <w:right w:val="nil"/>
          <w:insideH w:val="nil"/>
          <w:insideV w:val="nil"/>
        </w:tcBorders>
      </w:tcPr>
    </w:tblStylePr>
    <w:tblStylePr w:type="lastRow">
      <w:pPr>
        <w:spacing w:before="0" w:after="0"/>
      </w:pPr>
      <w:rPr>
        <w:rFonts w:cs="Times New Roman"/>
        <w:b/>
        <w:bCs/>
      </w:rPr>
      <w:tblPr/>
      <w:tcPr>
        <w:tcBorders>
          <w:top w:val="single" w:sz="8" w:space="0" w:color="F79646"/>
          <w:left w:val="nil"/>
          <w:bottom w:val="single" w:sz="8" w:space="0" w:color="F7964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DE4D0"/>
      </w:tcPr>
    </w:tblStylePr>
    <w:tblStylePr w:type="band1Horz">
      <w:rPr>
        <w:rFonts w:cs="Times New Roman"/>
      </w:rPr>
      <w:tblPr/>
      <w:tcPr>
        <w:tcBorders>
          <w:left w:val="nil"/>
          <w:right w:val="nil"/>
          <w:insideH w:val="nil"/>
          <w:insideV w:val="nil"/>
        </w:tcBorders>
        <w:shd w:val="clear" w:color="auto" w:fill="FDE4D0"/>
      </w:tcPr>
    </w:tblStylePr>
  </w:style>
  <w:style w:type="table" w:styleId="LightList-Accent6">
    <w:name w:val="Light List Accent 6"/>
    <w:basedOn w:val="TableNormal"/>
    <w:uiPriority w:val="99"/>
    <w:rsid w:val="00FE07FF"/>
    <w:rPr>
      <w:sz w:val="20"/>
      <w:szCs w:val="2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pPr>
      <w:rPr>
        <w:rFonts w:cs="Times New Roman"/>
        <w:b/>
        <w:bCs/>
        <w:color w:val="FFFFFF"/>
      </w:rPr>
      <w:tblPr/>
      <w:tcPr>
        <w:shd w:val="clear" w:color="auto" w:fill="F79646"/>
      </w:tcPr>
    </w:tblStylePr>
    <w:tblStylePr w:type="lastRow">
      <w:pPr>
        <w:spacing w:before="0" w:after="0"/>
      </w:pPr>
      <w:rPr>
        <w:rFonts w:cs="Times New Roman"/>
        <w:b/>
        <w:bCs/>
      </w:rPr>
      <w:tblPr/>
      <w:tcPr>
        <w:tcBorders>
          <w:top w:val="double" w:sz="6" w:space="0" w:color="F79646"/>
          <w:left w:val="single" w:sz="8" w:space="0" w:color="F79646"/>
          <w:bottom w:val="single" w:sz="8" w:space="0" w:color="F79646"/>
          <w:right w:val="single" w:sz="8" w:space="0" w:color="F7964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F79646"/>
          <w:left w:val="single" w:sz="8" w:space="0" w:color="F79646"/>
          <w:bottom w:val="single" w:sz="8" w:space="0" w:color="F79646"/>
          <w:right w:val="single" w:sz="8" w:space="0" w:color="F79646"/>
        </w:tcBorders>
      </w:tcPr>
    </w:tblStylePr>
    <w:tblStylePr w:type="band1Horz">
      <w:rPr>
        <w:rFonts w:cs="Times New Roman"/>
      </w:rPr>
      <w:tblPr/>
      <w:tcPr>
        <w:tcBorders>
          <w:top w:val="single" w:sz="8" w:space="0" w:color="F79646"/>
          <w:left w:val="single" w:sz="8" w:space="0" w:color="F79646"/>
          <w:bottom w:val="single" w:sz="8" w:space="0" w:color="F79646"/>
          <w:right w:val="single" w:sz="8" w:space="0" w:color="F79646"/>
        </w:tcBorders>
      </w:tcPr>
    </w:tblStylePr>
  </w:style>
  <w:style w:type="table" w:styleId="LightList-Accent3">
    <w:name w:val="Light List Accent 3"/>
    <w:basedOn w:val="TableNormal"/>
    <w:uiPriority w:val="99"/>
    <w:rsid w:val="00FE07FF"/>
    <w:rPr>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pPr>
      <w:rPr>
        <w:rFonts w:cs="Times New Roman"/>
        <w:b/>
        <w:bCs/>
        <w:color w:val="FFFFFF"/>
      </w:rPr>
      <w:tblPr/>
      <w:tcPr>
        <w:shd w:val="clear" w:color="auto" w:fill="9BBB59"/>
      </w:tcPr>
    </w:tblStylePr>
    <w:tblStylePr w:type="lastRow">
      <w:pPr>
        <w:spacing w:before="0" w:after="0"/>
      </w:pPr>
      <w:rPr>
        <w:rFonts w:cs="Times New Roman"/>
        <w:b/>
        <w:bCs/>
      </w:rPr>
      <w:tblPr/>
      <w:tcPr>
        <w:tcBorders>
          <w:top w:val="double" w:sz="6" w:space="0" w:color="9BBB59"/>
          <w:left w:val="single" w:sz="8" w:space="0" w:color="9BBB59"/>
          <w:bottom w:val="single" w:sz="8" w:space="0" w:color="9BBB59"/>
          <w:right w:val="single" w:sz="8" w:space="0" w:color="9BBB59"/>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9BBB59"/>
          <w:left w:val="single" w:sz="8" w:space="0" w:color="9BBB59"/>
          <w:bottom w:val="single" w:sz="8" w:space="0" w:color="9BBB59"/>
          <w:right w:val="single" w:sz="8" w:space="0" w:color="9BBB59"/>
        </w:tcBorders>
      </w:tcPr>
    </w:tblStylePr>
    <w:tblStylePr w:type="band1Horz">
      <w:rPr>
        <w:rFonts w:cs="Times New Roman"/>
      </w:rPr>
      <w:tblPr/>
      <w:tcPr>
        <w:tcBorders>
          <w:top w:val="single" w:sz="8" w:space="0" w:color="9BBB59"/>
          <w:left w:val="single" w:sz="8" w:space="0" w:color="9BBB59"/>
          <w:bottom w:val="single" w:sz="8" w:space="0" w:color="9BBB59"/>
          <w:right w:val="single" w:sz="8" w:space="0" w:color="9BBB59"/>
        </w:tcBorders>
      </w:tcPr>
    </w:tblStylePr>
  </w:style>
  <w:style w:type="table" w:styleId="LightList-Accent1">
    <w:name w:val="Light List Accent 1"/>
    <w:basedOn w:val="TableNormal"/>
    <w:uiPriority w:val="99"/>
    <w:rsid w:val="00FE07FF"/>
    <w:rPr>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pPr>
      <w:rPr>
        <w:rFonts w:cs="Times New Roman"/>
        <w:b/>
        <w:bCs/>
        <w:color w:val="FFFFFF"/>
      </w:rPr>
      <w:tblPr/>
      <w:tcPr>
        <w:shd w:val="clear" w:color="auto" w:fill="4F81BD"/>
      </w:tcPr>
    </w:tblStylePr>
    <w:tblStylePr w:type="lastRow">
      <w:pPr>
        <w:spacing w:before="0" w:after="0"/>
      </w:pPr>
      <w:rPr>
        <w:rFonts w:cs="Times New Roman"/>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tcBorders>
      </w:tcPr>
    </w:tblStylePr>
  </w:style>
  <w:style w:type="table" w:styleId="MediumList1-Accent2">
    <w:name w:val="Medium List 1 Accent 2"/>
    <w:basedOn w:val="TableNormal"/>
    <w:uiPriority w:val="99"/>
    <w:rsid w:val="00FE07FF"/>
    <w:rPr>
      <w:color w:val="000000"/>
      <w:sz w:val="20"/>
      <w:szCs w:val="20"/>
    </w:rPr>
    <w:tblPr>
      <w:tblStyleRowBandSize w:val="1"/>
      <w:tblStyleColBandSize w:val="1"/>
      <w:tblBorders>
        <w:top w:val="single" w:sz="8" w:space="0" w:color="C0504D"/>
        <w:bottom w:val="single" w:sz="8" w:space="0" w:color="C0504D"/>
      </w:tblBorders>
    </w:tblPr>
    <w:tblStylePr w:type="firstRow">
      <w:rPr>
        <w:rFonts w:ascii="Cambria" w:eastAsia="MS ????" w:hAnsi="Cambria" w:cs="Times New Roman"/>
      </w:rPr>
      <w:tblPr/>
      <w:tcPr>
        <w:tcBorders>
          <w:top w:val="nil"/>
          <w:bottom w:val="single" w:sz="8" w:space="0" w:color="C0504D"/>
        </w:tcBorders>
      </w:tcPr>
    </w:tblStylePr>
    <w:tblStylePr w:type="lastRow">
      <w:rPr>
        <w:rFonts w:cs="Times New Roman"/>
        <w:b/>
        <w:bCs/>
        <w:color w:val="1F497D"/>
      </w:rPr>
      <w:tblPr/>
      <w:tcPr>
        <w:tcBorders>
          <w:top w:val="single" w:sz="8" w:space="0" w:color="C0504D"/>
          <w:bottom w:val="single" w:sz="8" w:space="0" w:color="C0504D"/>
        </w:tcBorders>
      </w:tcPr>
    </w:tblStylePr>
    <w:tblStylePr w:type="firstCol">
      <w:rPr>
        <w:rFonts w:cs="Times New Roman"/>
        <w:b/>
        <w:bCs/>
      </w:rPr>
    </w:tblStylePr>
    <w:tblStylePr w:type="lastCol">
      <w:rPr>
        <w:rFonts w:cs="Times New Roman"/>
        <w:b/>
        <w:bCs/>
      </w:rPr>
      <w:tblPr/>
      <w:tcPr>
        <w:tcBorders>
          <w:top w:val="single" w:sz="8" w:space="0" w:color="C0504D"/>
          <w:bottom w:val="single" w:sz="8" w:space="0" w:color="C0504D"/>
        </w:tcBorders>
      </w:tcPr>
    </w:tblStylePr>
    <w:tblStylePr w:type="band1Vert">
      <w:rPr>
        <w:rFonts w:cs="Times New Roman"/>
      </w:rPr>
      <w:tblPr/>
      <w:tcPr>
        <w:shd w:val="clear" w:color="auto" w:fill="EFD3D2"/>
      </w:tcPr>
    </w:tblStylePr>
    <w:tblStylePr w:type="band1Horz">
      <w:rPr>
        <w:rFonts w:cs="Times New Roman"/>
      </w:rPr>
      <w:tblPr/>
      <w:tcPr>
        <w:shd w:val="clear" w:color="auto" w:fill="EFD3D2"/>
      </w:tcPr>
    </w:tblStylePr>
  </w:style>
  <w:style w:type="table" w:styleId="MediumList1-Accent3">
    <w:name w:val="Medium List 1 Accent 3"/>
    <w:basedOn w:val="TableNormal"/>
    <w:uiPriority w:val="99"/>
    <w:rsid w:val="00FE07FF"/>
    <w:rPr>
      <w:color w:val="000000"/>
      <w:sz w:val="20"/>
      <w:szCs w:val="20"/>
    </w:rPr>
    <w:tblPr>
      <w:tblStyleRowBandSize w:val="1"/>
      <w:tblStyleColBandSize w:val="1"/>
      <w:tblBorders>
        <w:top w:val="single" w:sz="8" w:space="0" w:color="9BBB59"/>
        <w:bottom w:val="single" w:sz="8" w:space="0" w:color="9BBB59"/>
      </w:tblBorders>
    </w:tblPr>
    <w:tblStylePr w:type="firstRow">
      <w:rPr>
        <w:rFonts w:ascii="Cambria" w:eastAsia="MS ????" w:hAnsi="Cambria" w:cs="Times New Roman"/>
      </w:rPr>
      <w:tblPr/>
      <w:tcPr>
        <w:tcBorders>
          <w:top w:val="nil"/>
          <w:bottom w:val="single" w:sz="8" w:space="0" w:color="9BBB59"/>
        </w:tcBorders>
      </w:tcPr>
    </w:tblStylePr>
    <w:tblStylePr w:type="lastRow">
      <w:rPr>
        <w:rFonts w:cs="Times New Roman"/>
        <w:b/>
        <w:bCs/>
        <w:color w:val="1F497D"/>
      </w:rPr>
      <w:tblPr/>
      <w:tcPr>
        <w:tcBorders>
          <w:top w:val="single" w:sz="8" w:space="0" w:color="9BBB59"/>
          <w:bottom w:val="single" w:sz="8" w:space="0" w:color="9BBB59"/>
        </w:tcBorders>
      </w:tcPr>
    </w:tblStylePr>
    <w:tblStylePr w:type="firstCol">
      <w:rPr>
        <w:rFonts w:cs="Times New Roman"/>
        <w:b/>
        <w:bCs/>
      </w:rPr>
    </w:tblStylePr>
    <w:tblStylePr w:type="lastCol">
      <w:rPr>
        <w:rFonts w:cs="Times New Roman"/>
        <w:b/>
        <w:bCs/>
      </w:rPr>
      <w:tblPr/>
      <w:tcPr>
        <w:tcBorders>
          <w:top w:val="single" w:sz="8" w:space="0" w:color="9BBB59"/>
          <w:bottom w:val="single" w:sz="8" w:space="0" w:color="9BBB59"/>
        </w:tcBorders>
      </w:tcPr>
    </w:tblStylePr>
    <w:tblStylePr w:type="band1Vert">
      <w:rPr>
        <w:rFonts w:cs="Times New Roman"/>
      </w:rPr>
      <w:tblPr/>
      <w:tcPr>
        <w:shd w:val="clear" w:color="auto" w:fill="E6EED5"/>
      </w:tcPr>
    </w:tblStylePr>
    <w:tblStylePr w:type="band1Horz">
      <w:rPr>
        <w:rFonts w:cs="Times New Roman"/>
      </w:rPr>
      <w:tblPr/>
      <w:tcPr>
        <w:shd w:val="clear" w:color="auto" w:fill="E6EED5"/>
      </w:tcPr>
    </w:tblStylePr>
  </w:style>
  <w:style w:type="table" w:styleId="MediumGrid1-Accent4">
    <w:name w:val="Medium Grid 1 Accent 4"/>
    <w:basedOn w:val="TableNormal"/>
    <w:uiPriority w:val="99"/>
    <w:rsid w:val="00FE07FF"/>
    <w:rPr>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rFonts w:cs="Times New Roman"/>
        <w:b/>
        <w:bCs/>
      </w:rPr>
    </w:tblStylePr>
    <w:tblStylePr w:type="lastRow">
      <w:rPr>
        <w:rFonts w:cs="Times New Roman"/>
        <w:b/>
        <w:bCs/>
      </w:rPr>
      <w:tblPr/>
      <w:tcPr>
        <w:tcBorders>
          <w:top w:val="single" w:sz="18" w:space="0" w:color="9F8AB9"/>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BFB1D0"/>
      </w:tcPr>
    </w:tblStylePr>
    <w:tblStylePr w:type="band1Horz">
      <w:rPr>
        <w:rFonts w:cs="Times New Roman"/>
      </w:rPr>
      <w:tblPr/>
      <w:tcPr>
        <w:shd w:val="clear" w:color="auto" w:fill="BFB1D0"/>
      </w:tcPr>
    </w:tblStylePr>
  </w:style>
  <w:style w:type="table" w:styleId="MediumGrid2-Accent6">
    <w:name w:val="Medium Grid 2 Accent 6"/>
    <w:basedOn w:val="TableNormal"/>
    <w:uiPriority w:val="99"/>
    <w:rsid w:val="00FE07FF"/>
    <w:rPr>
      <w:rFonts w:ascii="Cambria" w:eastAsia="MS ????" w:hAnsi="Cambria"/>
      <w:color w:val="000000"/>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rFonts w:cs="Times New Roman"/>
        <w:b/>
        <w:bCs/>
        <w:color w:val="000000"/>
      </w:rPr>
      <w:tblPr/>
      <w:tcPr>
        <w:shd w:val="clear" w:color="auto" w:fill="FEF4EC"/>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imes New Roman"/>
        <w:b/>
        <w:bCs/>
        <w:color w:val="000000"/>
      </w:rPr>
      <w:tblPr/>
      <w:tcPr>
        <w:tcBorders>
          <w:top w:val="nil"/>
          <w:left w:val="nil"/>
          <w:bottom w:val="nil"/>
          <w:right w:val="nil"/>
          <w:insideH w:val="nil"/>
          <w:insideV w:val="nil"/>
        </w:tcBorders>
        <w:shd w:val="clear" w:color="auto" w:fill="FFFFFF"/>
      </w:tcPr>
    </w:tblStylePr>
    <w:tblStylePr w:type="lastCol">
      <w:rPr>
        <w:rFonts w:cs="Times New Roman"/>
        <w:b w:val="0"/>
        <w:bCs w:val="0"/>
        <w:color w:val="000000"/>
      </w:rPr>
      <w:tblPr/>
      <w:tcPr>
        <w:tcBorders>
          <w:top w:val="nil"/>
          <w:left w:val="nil"/>
          <w:bottom w:val="nil"/>
          <w:right w:val="nil"/>
          <w:insideH w:val="nil"/>
          <w:insideV w:val="nil"/>
        </w:tcBorders>
        <w:shd w:val="clear" w:color="auto" w:fill="FDE9D9"/>
      </w:tcPr>
    </w:tblStylePr>
    <w:tblStylePr w:type="band1Vert">
      <w:rPr>
        <w:rFonts w:cs="Times New Roman"/>
      </w:rPr>
      <w:tblPr/>
      <w:tcPr>
        <w:shd w:val="clear" w:color="auto" w:fill="FBCAA2"/>
      </w:tcPr>
    </w:tblStylePr>
    <w:tblStylePr w:type="band1Horz">
      <w:rPr>
        <w:rFonts w:cs="Times New Roman"/>
      </w:rPr>
      <w:tblPr/>
      <w:tcPr>
        <w:tcBorders>
          <w:insideH w:val="single" w:sz="6" w:space="0" w:color="F79646"/>
          <w:insideV w:val="single" w:sz="6" w:space="0" w:color="F79646"/>
        </w:tcBorders>
        <w:shd w:val="clear" w:color="auto" w:fill="FBCAA2"/>
      </w:tcPr>
    </w:tblStylePr>
    <w:tblStylePr w:type="nwCell">
      <w:rPr>
        <w:rFonts w:cs="Times New Roman"/>
      </w:rPr>
      <w:tblPr/>
      <w:tcPr>
        <w:shd w:val="clear" w:color="auto" w:fill="FFFFFF"/>
      </w:tcPr>
    </w:tblStylePr>
  </w:style>
  <w:style w:type="table" w:styleId="ColorfulList-Accent2">
    <w:name w:val="Colorful List Accent 2"/>
    <w:basedOn w:val="TableNormal"/>
    <w:uiPriority w:val="99"/>
    <w:rsid w:val="00FE07FF"/>
    <w:rPr>
      <w:color w:val="000000"/>
      <w:sz w:val="20"/>
      <w:szCs w:val="20"/>
    </w:rPr>
    <w:tblPr>
      <w:tblStyleRowBandSize w:val="1"/>
      <w:tblStyleColBandSize w:val="1"/>
    </w:tblPr>
    <w:tcPr>
      <w:shd w:val="clear" w:color="auto" w:fill="F8EDED"/>
    </w:tcPr>
    <w:tblStylePr w:type="firstRow">
      <w:rPr>
        <w:rFonts w:cs="Times New Roman"/>
        <w:b/>
        <w:bCs/>
        <w:color w:val="FFFFFF"/>
      </w:rPr>
      <w:tblPr/>
      <w:tcPr>
        <w:tcBorders>
          <w:bottom w:val="single" w:sz="12" w:space="0" w:color="FFFFFF"/>
        </w:tcBorders>
        <w:shd w:val="clear" w:color="auto" w:fill="9E3A38"/>
      </w:tcPr>
    </w:tblStylePr>
    <w:tblStylePr w:type="lastRow">
      <w:rPr>
        <w:rFonts w:cs="Times New Roman"/>
        <w:b/>
        <w:bCs/>
        <w:color w:val="9E3A38"/>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EFD3D2"/>
      </w:tcPr>
    </w:tblStylePr>
    <w:tblStylePr w:type="band1Horz">
      <w:rPr>
        <w:rFonts w:cs="Times New Roman"/>
      </w:rPr>
      <w:tblPr/>
      <w:tcPr>
        <w:shd w:val="clear" w:color="auto" w:fill="F2DBDB"/>
      </w:tcPr>
    </w:tblStylePr>
  </w:style>
  <w:style w:type="table" w:styleId="ColorfulList-Accent1">
    <w:name w:val="Colorful List Accent 1"/>
    <w:basedOn w:val="TableNormal"/>
    <w:uiPriority w:val="99"/>
    <w:rsid w:val="00FE07FF"/>
    <w:rPr>
      <w:color w:val="000000"/>
      <w:sz w:val="20"/>
      <w:szCs w:val="20"/>
    </w:rPr>
    <w:tblPr>
      <w:tblStyleRowBandSize w:val="1"/>
      <w:tblStyleColBandSize w:val="1"/>
    </w:tblPr>
    <w:tcPr>
      <w:shd w:val="clear" w:color="auto" w:fill="EDF2F8"/>
    </w:tcPr>
    <w:tblStylePr w:type="firstRow">
      <w:rPr>
        <w:rFonts w:cs="Times New Roman"/>
        <w:b/>
        <w:bCs/>
        <w:color w:val="FFFFFF"/>
      </w:rPr>
      <w:tblPr/>
      <w:tcPr>
        <w:tcBorders>
          <w:bottom w:val="single" w:sz="12" w:space="0" w:color="FFFFFF"/>
        </w:tcBorders>
        <w:shd w:val="clear" w:color="auto" w:fill="9E3A38"/>
      </w:tcPr>
    </w:tblStylePr>
    <w:tblStylePr w:type="lastRow">
      <w:rPr>
        <w:rFonts w:cs="Times New Roman"/>
        <w:b/>
        <w:bCs/>
        <w:color w:val="9E3A38"/>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3DFEE"/>
      </w:tcPr>
    </w:tblStylePr>
    <w:tblStylePr w:type="band1Horz">
      <w:rPr>
        <w:rFonts w:cs="Times New Roman"/>
      </w:rPr>
      <w:tblPr/>
      <w:tcPr>
        <w:shd w:val="clear" w:color="auto" w:fill="DBE5F1"/>
      </w:tcPr>
    </w:tblStylePr>
  </w:style>
  <w:style w:type="table" w:styleId="ColorfulList">
    <w:name w:val="Colorful List"/>
    <w:basedOn w:val="TableNormal"/>
    <w:uiPriority w:val="99"/>
    <w:rsid w:val="00FE07FF"/>
    <w:rPr>
      <w:color w:val="000000"/>
      <w:sz w:val="20"/>
      <w:szCs w:val="20"/>
    </w:rPr>
    <w:tblPr>
      <w:tblStyleRowBandSize w:val="1"/>
      <w:tblStyleColBandSize w:val="1"/>
    </w:tblPr>
    <w:tcPr>
      <w:shd w:val="clear" w:color="auto" w:fill="E6E6E6"/>
    </w:tcPr>
    <w:tblStylePr w:type="firstRow">
      <w:rPr>
        <w:rFonts w:cs="Times New Roman"/>
        <w:b/>
        <w:bCs/>
        <w:color w:val="FFFFFF"/>
      </w:rPr>
      <w:tblPr/>
      <w:tcPr>
        <w:tcBorders>
          <w:bottom w:val="single" w:sz="12" w:space="0" w:color="FFFFFF"/>
        </w:tcBorders>
        <w:shd w:val="clear" w:color="auto" w:fill="9E3A38"/>
      </w:tcPr>
    </w:tblStylePr>
    <w:tblStylePr w:type="lastRow">
      <w:rPr>
        <w:rFonts w:cs="Times New Roman"/>
        <w:b/>
        <w:bCs/>
        <w:color w:val="9E3A38"/>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C0C0C0"/>
      </w:tcPr>
    </w:tblStylePr>
    <w:tblStylePr w:type="band1Horz">
      <w:rPr>
        <w:rFonts w:cs="Times New Roman"/>
      </w:rPr>
      <w:tblPr/>
      <w:tcPr>
        <w:shd w:val="clear" w:color="auto" w:fill="CCCCCC"/>
      </w:tcPr>
    </w:tblStylePr>
  </w:style>
  <w:style w:type="character" w:styleId="LineNumber">
    <w:name w:val="line number"/>
    <w:basedOn w:val="DefaultParagraphFont"/>
    <w:uiPriority w:val="99"/>
    <w:semiHidden/>
    <w:rsid w:val="00FE07FF"/>
    <w:rPr>
      <w:rFonts w:cs="Times New Roman"/>
    </w:rPr>
  </w:style>
  <w:style w:type="paragraph" w:styleId="Caption">
    <w:name w:val="caption"/>
    <w:basedOn w:val="Normal"/>
    <w:next w:val="Normal"/>
    <w:uiPriority w:val="99"/>
    <w:qFormat/>
    <w:locked/>
    <w:rsid w:val="00FE07FF"/>
    <w:rPr>
      <w:b/>
      <w:bCs/>
      <w:caps/>
      <w:sz w:val="16"/>
      <w:szCs w:val="18"/>
    </w:rPr>
  </w:style>
  <w:style w:type="paragraph" w:styleId="Title">
    <w:name w:val="Title"/>
    <w:basedOn w:val="Normal"/>
    <w:next w:val="Normal"/>
    <w:link w:val="TitleChar"/>
    <w:uiPriority w:val="99"/>
    <w:qFormat/>
    <w:locked/>
    <w:rsid w:val="00FE07FF"/>
    <w:pPr>
      <w:pBdr>
        <w:top w:val="single" w:sz="12" w:space="1" w:color="C0504D"/>
      </w:pBdr>
      <w:spacing w:line="240" w:lineRule="auto"/>
      <w:jc w:val="right"/>
    </w:pPr>
    <w:rPr>
      <w:smallCaps/>
      <w:sz w:val="48"/>
      <w:szCs w:val="48"/>
    </w:rPr>
  </w:style>
  <w:style w:type="character" w:customStyle="1" w:styleId="TitleChar">
    <w:name w:val="Title Char"/>
    <w:basedOn w:val="DefaultParagraphFont"/>
    <w:link w:val="Title"/>
    <w:uiPriority w:val="99"/>
    <w:locked/>
    <w:rsid w:val="00FE07FF"/>
    <w:rPr>
      <w:rFonts w:cs="Times New Roman"/>
      <w:smallCaps/>
      <w:sz w:val="48"/>
      <w:szCs w:val="48"/>
    </w:rPr>
  </w:style>
  <w:style w:type="paragraph" w:styleId="Subtitle">
    <w:name w:val="Subtitle"/>
    <w:basedOn w:val="Normal"/>
    <w:next w:val="Normal"/>
    <w:link w:val="SubtitleChar"/>
    <w:uiPriority w:val="99"/>
    <w:qFormat/>
    <w:locked/>
    <w:rsid w:val="00FE07FF"/>
    <w:pPr>
      <w:spacing w:after="720" w:line="240" w:lineRule="auto"/>
      <w:jc w:val="right"/>
    </w:pPr>
    <w:rPr>
      <w:rFonts w:ascii="Cambria" w:eastAsia="MS ????" w:hAnsi="Cambria"/>
      <w:szCs w:val="22"/>
    </w:rPr>
  </w:style>
  <w:style w:type="character" w:customStyle="1" w:styleId="SubtitleChar">
    <w:name w:val="Subtitle Char"/>
    <w:basedOn w:val="DefaultParagraphFont"/>
    <w:link w:val="Subtitle"/>
    <w:uiPriority w:val="99"/>
    <w:locked/>
    <w:rsid w:val="00FE07FF"/>
    <w:rPr>
      <w:rFonts w:ascii="Cambria" w:eastAsia="MS ????" w:hAnsi="Cambria" w:cs="Times New Roman"/>
      <w:sz w:val="22"/>
      <w:szCs w:val="22"/>
    </w:rPr>
  </w:style>
  <w:style w:type="character" w:styleId="Strong">
    <w:name w:val="Strong"/>
    <w:basedOn w:val="DefaultParagraphFont"/>
    <w:uiPriority w:val="99"/>
    <w:qFormat/>
    <w:locked/>
    <w:rsid w:val="00FE07FF"/>
    <w:rPr>
      <w:rFonts w:cs="Times New Roman"/>
      <w:b/>
      <w:color w:val="C0504D"/>
    </w:rPr>
  </w:style>
  <w:style w:type="character" w:styleId="Emphasis">
    <w:name w:val="Emphasis"/>
    <w:basedOn w:val="DefaultParagraphFont"/>
    <w:uiPriority w:val="99"/>
    <w:qFormat/>
    <w:locked/>
    <w:rsid w:val="00FE07FF"/>
    <w:rPr>
      <w:rFonts w:cs="Times New Roman"/>
      <w:b/>
      <w:i/>
      <w:spacing w:val="10"/>
    </w:rPr>
  </w:style>
  <w:style w:type="paragraph" w:styleId="NoSpacing">
    <w:name w:val="No Spacing"/>
    <w:basedOn w:val="Normal"/>
    <w:link w:val="NoSpacingChar"/>
    <w:uiPriority w:val="99"/>
    <w:qFormat/>
    <w:rsid w:val="00FE07FF"/>
    <w:pPr>
      <w:spacing w:after="0" w:line="240" w:lineRule="auto"/>
    </w:pPr>
  </w:style>
  <w:style w:type="character" w:customStyle="1" w:styleId="NoSpacingChar">
    <w:name w:val="No Spacing Char"/>
    <w:basedOn w:val="DefaultParagraphFont"/>
    <w:link w:val="NoSpacing"/>
    <w:uiPriority w:val="99"/>
    <w:locked/>
    <w:rsid w:val="00FE07FF"/>
    <w:rPr>
      <w:rFonts w:cs="Times New Roman"/>
    </w:rPr>
  </w:style>
  <w:style w:type="paragraph" w:styleId="Quote">
    <w:name w:val="Quote"/>
    <w:basedOn w:val="Normal"/>
    <w:next w:val="Normal"/>
    <w:link w:val="QuoteChar"/>
    <w:uiPriority w:val="99"/>
    <w:qFormat/>
    <w:rsid w:val="00FE07FF"/>
    <w:rPr>
      <w:i/>
    </w:rPr>
  </w:style>
  <w:style w:type="character" w:customStyle="1" w:styleId="QuoteChar">
    <w:name w:val="Quote Char"/>
    <w:basedOn w:val="DefaultParagraphFont"/>
    <w:link w:val="Quote"/>
    <w:uiPriority w:val="99"/>
    <w:locked/>
    <w:rsid w:val="00FE07FF"/>
    <w:rPr>
      <w:rFonts w:cs="Times New Roman"/>
      <w:i/>
    </w:rPr>
  </w:style>
  <w:style w:type="paragraph" w:styleId="IntenseQuote">
    <w:name w:val="Intense Quote"/>
    <w:basedOn w:val="Normal"/>
    <w:next w:val="Normal"/>
    <w:link w:val="IntenseQuoteChar"/>
    <w:uiPriority w:val="99"/>
    <w:qFormat/>
    <w:rsid w:val="00FE07FF"/>
    <w:pPr>
      <w:pBdr>
        <w:top w:val="single" w:sz="8" w:space="10" w:color="943634"/>
        <w:left w:val="single" w:sz="8" w:space="10" w:color="943634"/>
        <w:bottom w:val="single" w:sz="8" w:space="10" w:color="943634"/>
        <w:right w:val="single" w:sz="8" w:space="10" w:color="943634"/>
      </w:pBdr>
      <w:shd w:val="clear" w:color="auto" w:fill="C0504D"/>
      <w:spacing w:before="140" w:after="140"/>
      <w:ind w:left="1440" w:right="1440"/>
    </w:pPr>
    <w:rPr>
      <w:b/>
      <w:i/>
      <w:color w:val="FFFFFF"/>
    </w:rPr>
  </w:style>
  <w:style w:type="character" w:customStyle="1" w:styleId="IntenseQuoteChar">
    <w:name w:val="Intense Quote Char"/>
    <w:basedOn w:val="DefaultParagraphFont"/>
    <w:link w:val="IntenseQuote"/>
    <w:uiPriority w:val="99"/>
    <w:locked/>
    <w:rsid w:val="00FE07FF"/>
    <w:rPr>
      <w:rFonts w:cs="Times New Roman"/>
      <w:b/>
      <w:i/>
      <w:color w:val="FFFFFF"/>
      <w:shd w:val="clear" w:color="auto" w:fill="C0504D"/>
    </w:rPr>
  </w:style>
  <w:style w:type="character" w:styleId="SubtleEmphasis">
    <w:name w:val="Subtle Emphasis"/>
    <w:basedOn w:val="DefaultParagraphFont"/>
    <w:uiPriority w:val="99"/>
    <w:qFormat/>
    <w:rsid w:val="00FE07FF"/>
    <w:rPr>
      <w:rFonts w:cs="Times New Roman"/>
      <w:i/>
    </w:rPr>
  </w:style>
  <w:style w:type="character" w:styleId="IntenseEmphasis">
    <w:name w:val="Intense Emphasis"/>
    <w:basedOn w:val="DefaultParagraphFont"/>
    <w:uiPriority w:val="99"/>
    <w:qFormat/>
    <w:rsid w:val="00FE07FF"/>
    <w:rPr>
      <w:rFonts w:cs="Times New Roman"/>
      <w:b/>
      <w:i/>
      <w:color w:val="C0504D"/>
      <w:spacing w:val="10"/>
    </w:rPr>
  </w:style>
  <w:style w:type="character" w:styleId="SubtleReference">
    <w:name w:val="Subtle Reference"/>
    <w:basedOn w:val="DefaultParagraphFont"/>
    <w:uiPriority w:val="99"/>
    <w:qFormat/>
    <w:rsid w:val="00FE07FF"/>
    <w:rPr>
      <w:rFonts w:cs="Times New Roman"/>
      <w:b/>
    </w:rPr>
  </w:style>
  <w:style w:type="character" w:styleId="IntenseReference">
    <w:name w:val="Intense Reference"/>
    <w:basedOn w:val="DefaultParagraphFont"/>
    <w:uiPriority w:val="99"/>
    <w:qFormat/>
    <w:rsid w:val="00FE07FF"/>
    <w:rPr>
      <w:rFonts w:cs="Times New Roman"/>
      <w:b/>
      <w:smallCaps/>
      <w:spacing w:val="5"/>
      <w:sz w:val="22"/>
      <w:u w:val="single"/>
    </w:rPr>
  </w:style>
  <w:style w:type="character" w:styleId="BookTitle">
    <w:name w:val="Book Title"/>
    <w:basedOn w:val="DefaultParagraphFont"/>
    <w:uiPriority w:val="99"/>
    <w:qFormat/>
    <w:rsid w:val="00FE07FF"/>
    <w:rPr>
      <w:rFonts w:ascii="Cambria" w:eastAsia="MS ????" w:hAnsi="Cambria" w:cs="Times New Roman"/>
      <w:i/>
      <w:sz w:val="20"/>
    </w:rPr>
  </w:style>
  <w:style w:type="paragraph" w:styleId="TOCHeading">
    <w:name w:val="TOC Heading"/>
    <w:basedOn w:val="Heading1"/>
    <w:next w:val="Normal"/>
    <w:uiPriority w:val="99"/>
    <w:qFormat/>
    <w:rsid w:val="00FE07FF"/>
    <w:pPr>
      <w:outlineLvl w:val="9"/>
    </w:pPr>
  </w:style>
  <w:style w:type="paragraph" w:styleId="Revision">
    <w:name w:val="Revision"/>
    <w:hidden/>
    <w:uiPriority w:val="99"/>
    <w:semiHidden/>
    <w:rsid w:val="00FE07FF"/>
    <w:rPr>
      <w:sz w:val="20"/>
      <w:szCs w:val="20"/>
    </w:rPr>
  </w:style>
  <w:style w:type="character" w:styleId="Hyperlink">
    <w:name w:val="Hyperlink"/>
    <w:basedOn w:val="DefaultParagraphFont"/>
    <w:uiPriority w:val="99"/>
    <w:locked/>
    <w:rsid w:val="00FE07FF"/>
    <w:rPr>
      <w:rFonts w:cs="Times New Roman"/>
      <w:color w:val="0000FF"/>
      <w:u w:val="single"/>
    </w:rPr>
  </w:style>
  <w:style w:type="character" w:styleId="FollowedHyperlink">
    <w:name w:val="FollowedHyperlink"/>
    <w:basedOn w:val="DefaultParagraphFont"/>
    <w:uiPriority w:val="99"/>
    <w:semiHidden/>
    <w:locked/>
    <w:rsid w:val="00FE07FF"/>
    <w:rPr>
      <w:rFonts w:cs="Times New Roman"/>
      <w:color w:val="800080"/>
      <w:u w:val="single"/>
    </w:rPr>
  </w:style>
  <w:style w:type="paragraph" w:styleId="Header">
    <w:name w:val="header"/>
    <w:basedOn w:val="Normal"/>
    <w:link w:val="HeaderChar"/>
    <w:uiPriority w:val="99"/>
    <w:locked/>
    <w:rsid w:val="00FE07FF"/>
    <w:pPr>
      <w:tabs>
        <w:tab w:val="center" w:pos="4320"/>
        <w:tab w:val="right" w:pos="8640"/>
      </w:tabs>
      <w:spacing w:after="0" w:line="240" w:lineRule="auto"/>
    </w:pPr>
  </w:style>
  <w:style w:type="character" w:customStyle="1" w:styleId="HeaderChar">
    <w:name w:val="Header Char"/>
    <w:basedOn w:val="DefaultParagraphFont"/>
    <w:link w:val="Header"/>
    <w:uiPriority w:val="99"/>
    <w:locked/>
    <w:rsid w:val="00FE07FF"/>
    <w:rPr>
      <w:rFonts w:cs="Times New Roman"/>
      <w:sz w:val="20"/>
      <w:szCs w:val="20"/>
    </w:rPr>
  </w:style>
  <w:style w:type="paragraph" w:styleId="Footer">
    <w:name w:val="footer"/>
    <w:basedOn w:val="Normal"/>
    <w:link w:val="FooterChar"/>
    <w:uiPriority w:val="99"/>
    <w:locked/>
    <w:rsid w:val="00FE07FF"/>
    <w:pPr>
      <w:tabs>
        <w:tab w:val="center" w:pos="4320"/>
        <w:tab w:val="right" w:pos="8640"/>
      </w:tabs>
      <w:spacing w:after="0" w:line="240" w:lineRule="auto"/>
    </w:pPr>
  </w:style>
  <w:style w:type="character" w:customStyle="1" w:styleId="FooterChar">
    <w:name w:val="Footer Char"/>
    <w:basedOn w:val="DefaultParagraphFont"/>
    <w:link w:val="Footer"/>
    <w:uiPriority w:val="99"/>
    <w:locked/>
    <w:rsid w:val="00FE07FF"/>
    <w:rPr>
      <w:rFont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6803644">
      <w:bodyDiv w:val="1"/>
      <w:marLeft w:val="0"/>
      <w:marRight w:val="0"/>
      <w:marTop w:val="0"/>
      <w:marBottom w:val="0"/>
      <w:divBdr>
        <w:top w:val="none" w:sz="0" w:space="0" w:color="auto"/>
        <w:left w:val="none" w:sz="0" w:space="0" w:color="auto"/>
        <w:bottom w:val="none" w:sz="0" w:space="0" w:color="auto"/>
        <w:right w:val="none" w:sz="0" w:space="0" w:color="auto"/>
      </w:divBdr>
    </w:div>
    <w:div w:id="409621565">
      <w:bodyDiv w:val="1"/>
      <w:marLeft w:val="0"/>
      <w:marRight w:val="0"/>
      <w:marTop w:val="0"/>
      <w:marBottom w:val="0"/>
      <w:divBdr>
        <w:top w:val="none" w:sz="0" w:space="0" w:color="auto"/>
        <w:left w:val="none" w:sz="0" w:space="0" w:color="auto"/>
        <w:bottom w:val="none" w:sz="0" w:space="0" w:color="auto"/>
        <w:right w:val="none" w:sz="0" w:space="0" w:color="auto"/>
      </w:divBdr>
    </w:div>
    <w:div w:id="436679898">
      <w:bodyDiv w:val="1"/>
      <w:marLeft w:val="0"/>
      <w:marRight w:val="0"/>
      <w:marTop w:val="0"/>
      <w:marBottom w:val="0"/>
      <w:divBdr>
        <w:top w:val="none" w:sz="0" w:space="0" w:color="auto"/>
        <w:left w:val="none" w:sz="0" w:space="0" w:color="auto"/>
        <w:bottom w:val="none" w:sz="0" w:space="0" w:color="auto"/>
        <w:right w:val="none" w:sz="0" w:space="0" w:color="auto"/>
      </w:divBdr>
    </w:div>
    <w:div w:id="703991461">
      <w:bodyDiv w:val="1"/>
      <w:marLeft w:val="0"/>
      <w:marRight w:val="0"/>
      <w:marTop w:val="0"/>
      <w:marBottom w:val="0"/>
      <w:divBdr>
        <w:top w:val="none" w:sz="0" w:space="0" w:color="auto"/>
        <w:left w:val="none" w:sz="0" w:space="0" w:color="auto"/>
        <w:bottom w:val="none" w:sz="0" w:space="0" w:color="auto"/>
        <w:right w:val="none" w:sz="0" w:space="0" w:color="auto"/>
      </w:divBdr>
    </w:div>
    <w:div w:id="774986646">
      <w:marLeft w:val="0"/>
      <w:marRight w:val="0"/>
      <w:marTop w:val="0"/>
      <w:marBottom w:val="0"/>
      <w:divBdr>
        <w:top w:val="none" w:sz="0" w:space="0" w:color="auto"/>
        <w:left w:val="none" w:sz="0" w:space="0" w:color="auto"/>
        <w:bottom w:val="none" w:sz="0" w:space="0" w:color="auto"/>
        <w:right w:val="none" w:sz="0" w:space="0" w:color="auto"/>
      </w:divBdr>
    </w:div>
    <w:div w:id="774986647">
      <w:marLeft w:val="0"/>
      <w:marRight w:val="0"/>
      <w:marTop w:val="0"/>
      <w:marBottom w:val="0"/>
      <w:divBdr>
        <w:top w:val="none" w:sz="0" w:space="0" w:color="auto"/>
        <w:left w:val="none" w:sz="0" w:space="0" w:color="auto"/>
        <w:bottom w:val="none" w:sz="0" w:space="0" w:color="auto"/>
        <w:right w:val="none" w:sz="0" w:space="0" w:color="auto"/>
      </w:divBdr>
    </w:div>
    <w:div w:id="774986648">
      <w:marLeft w:val="0"/>
      <w:marRight w:val="0"/>
      <w:marTop w:val="0"/>
      <w:marBottom w:val="0"/>
      <w:divBdr>
        <w:top w:val="none" w:sz="0" w:space="0" w:color="auto"/>
        <w:left w:val="none" w:sz="0" w:space="0" w:color="auto"/>
        <w:bottom w:val="none" w:sz="0" w:space="0" w:color="auto"/>
        <w:right w:val="none" w:sz="0" w:space="0" w:color="auto"/>
      </w:divBdr>
    </w:div>
    <w:div w:id="774986649">
      <w:marLeft w:val="0"/>
      <w:marRight w:val="0"/>
      <w:marTop w:val="0"/>
      <w:marBottom w:val="0"/>
      <w:divBdr>
        <w:top w:val="none" w:sz="0" w:space="0" w:color="auto"/>
        <w:left w:val="none" w:sz="0" w:space="0" w:color="auto"/>
        <w:bottom w:val="none" w:sz="0" w:space="0" w:color="auto"/>
        <w:right w:val="none" w:sz="0" w:space="0" w:color="auto"/>
      </w:divBdr>
    </w:div>
    <w:div w:id="1493329093">
      <w:bodyDiv w:val="1"/>
      <w:marLeft w:val="0"/>
      <w:marRight w:val="0"/>
      <w:marTop w:val="0"/>
      <w:marBottom w:val="0"/>
      <w:divBdr>
        <w:top w:val="none" w:sz="0" w:space="0" w:color="auto"/>
        <w:left w:val="none" w:sz="0" w:space="0" w:color="auto"/>
        <w:bottom w:val="none" w:sz="0" w:space="0" w:color="auto"/>
        <w:right w:val="none" w:sz="0" w:space="0" w:color="auto"/>
      </w:divBdr>
    </w:div>
    <w:div w:id="1496530554">
      <w:bodyDiv w:val="1"/>
      <w:marLeft w:val="0"/>
      <w:marRight w:val="0"/>
      <w:marTop w:val="0"/>
      <w:marBottom w:val="0"/>
      <w:divBdr>
        <w:top w:val="none" w:sz="0" w:space="0" w:color="auto"/>
        <w:left w:val="none" w:sz="0" w:space="0" w:color="auto"/>
        <w:bottom w:val="none" w:sz="0" w:space="0" w:color="auto"/>
        <w:right w:val="none" w:sz="0" w:space="0" w:color="auto"/>
      </w:divBdr>
    </w:div>
    <w:div w:id="1578783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atherine.tremlett@nnuh.nhs.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arcelino.yazbekhanna@nnuh.nhs.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mark.rochester@nnuh.nhs.uk" TargetMode="External"/><Relationship Id="rId4" Type="http://schemas.openxmlformats.org/officeDocument/2006/relationships/webSettings" Target="webSettings.xml"/><Relationship Id="rId9" Type="http://schemas.openxmlformats.org/officeDocument/2006/relationships/hyperlink" Target="mailto:robert.mills@nnuh.nhs.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8ABB434</Template>
  <TotalTime>1</TotalTime>
  <Pages>12</Pages>
  <Words>7945</Words>
  <Characters>45291</Characters>
  <Application>Microsoft Office Word</Application>
  <DocSecurity>4</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David Livermore</Company>
  <LinksUpToDate>false</LinksUpToDate>
  <CharactersWithSpaces>53130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marcelino yazbek hanna</dc:creator>
  <cp:lastModifiedBy>Sophie MORLEY (FMH-LS)</cp:lastModifiedBy>
  <cp:revision>2</cp:revision>
  <cp:lastPrinted>2013-09-09T18:53:00Z</cp:lastPrinted>
  <dcterms:created xsi:type="dcterms:W3CDTF">2015-08-10T12:35:00Z</dcterms:created>
  <dcterms:modified xsi:type="dcterms:W3CDTF">2015-08-10T12:35:00Z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APERS2_INFO_01">
    <vt:lpwstr>&lt;info&gt;&lt;style id="http://www.zotero.org/styles/vancouver"/&gt;&lt;hasBiblio/&gt;&lt;format class="21"/&gt;&lt;count citations="18" publications="25"/&gt;&lt;/info&gt;PAPERS2_INFO_END</vt:lpwstr>
  </property>
</Properties>
</file>