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924764" w14:textId="77777777" w:rsidR="00FF294D" w:rsidRDefault="00FF294D" w:rsidP="00FF294D">
      <w:pPr>
        <w:autoSpaceDE w:val="0"/>
        <w:autoSpaceDN w:val="0"/>
        <w:adjustRightInd w:val="0"/>
        <w:ind w:left="720" w:hanging="720"/>
        <w:rPr>
          <w:rFonts w:ascii="Helvetica" w:hAnsi="Helvetica" w:cs="Helvetica"/>
          <w:szCs w:val="24"/>
        </w:rPr>
      </w:pPr>
    </w:p>
    <w:p w14:paraId="33C972A3" w14:textId="77777777" w:rsidR="00FF294D" w:rsidRPr="00D044A8" w:rsidRDefault="00FF294D" w:rsidP="00FF294D">
      <w:pPr>
        <w:autoSpaceDE w:val="0"/>
        <w:autoSpaceDN w:val="0"/>
        <w:adjustRightInd w:val="0"/>
        <w:rPr>
          <w:rFonts w:ascii="Verdana" w:hAnsi="Verdana" w:cs="Verdana"/>
          <w:color w:val="000000"/>
          <w:szCs w:val="24"/>
        </w:rPr>
      </w:pPr>
    </w:p>
    <w:p w14:paraId="523FB09A" w14:textId="77777777" w:rsidR="00FF294D" w:rsidRPr="00D044A8" w:rsidRDefault="00FF294D" w:rsidP="00FF294D">
      <w:pPr>
        <w:autoSpaceDE w:val="0"/>
        <w:autoSpaceDN w:val="0"/>
        <w:adjustRightInd w:val="0"/>
        <w:jc w:val="center"/>
        <w:rPr>
          <w:rFonts w:ascii="Verdana" w:hAnsi="Verdana" w:cs="Verdana"/>
          <w:color w:val="000000"/>
          <w:sz w:val="23"/>
          <w:szCs w:val="23"/>
        </w:rPr>
      </w:pPr>
      <w:r w:rsidRPr="00D044A8">
        <w:rPr>
          <w:rFonts w:ascii="Verdana" w:hAnsi="Verdana" w:cs="Verdana"/>
          <w:color w:val="000000"/>
          <w:szCs w:val="24"/>
        </w:rPr>
        <w:t xml:space="preserve"> </w:t>
      </w:r>
      <w:r w:rsidRPr="00D044A8">
        <w:rPr>
          <w:rFonts w:ascii="Verdana" w:hAnsi="Verdana" w:cs="Verdana"/>
          <w:i/>
          <w:iCs/>
          <w:color w:val="000000"/>
          <w:sz w:val="23"/>
          <w:szCs w:val="23"/>
        </w:rPr>
        <w:t xml:space="preserve">This is the author’s final version of the work, as accepted for publication </w:t>
      </w:r>
    </w:p>
    <w:p w14:paraId="7066F888" w14:textId="77777777" w:rsidR="00FF294D" w:rsidRPr="00D044A8" w:rsidRDefault="00FF294D" w:rsidP="00FF294D">
      <w:pPr>
        <w:autoSpaceDE w:val="0"/>
        <w:autoSpaceDN w:val="0"/>
        <w:adjustRightInd w:val="0"/>
        <w:jc w:val="center"/>
        <w:rPr>
          <w:rFonts w:ascii="Verdana" w:hAnsi="Verdana" w:cs="Verdana"/>
          <w:color w:val="000000"/>
          <w:sz w:val="23"/>
          <w:szCs w:val="23"/>
        </w:rPr>
      </w:pPr>
      <w:proofErr w:type="gramStart"/>
      <w:r w:rsidRPr="00D044A8">
        <w:rPr>
          <w:rFonts w:ascii="Verdana" w:hAnsi="Verdana" w:cs="Verdana"/>
          <w:i/>
          <w:iCs/>
          <w:color w:val="000000"/>
          <w:sz w:val="23"/>
          <w:szCs w:val="23"/>
        </w:rPr>
        <w:t>following</w:t>
      </w:r>
      <w:proofErr w:type="gramEnd"/>
      <w:r w:rsidRPr="00D044A8">
        <w:rPr>
          <w:rFonts w:ascii="Verdana" w:hAnsi="Verdana" w:cs="Verdana"/>
          <w:i/>
          <w:iCs/>
          <w:color w:val="000000"/>
          <w:sz w:val="23"/>
          <w:szCs w:val="23"/>
        </w:rPr>
        <w:t xml:space="preserve"> peer review but without the publisher’s layout or pagination. </w:t>
      </w:r>
    </w:p>
    <w:p w14:paraId="39596B86" w14:textId="77777777" w:rsidR="00FF294D" w:rsidRPr="00D044A8" w:rsidRDefault="00FF294D" w:rsidP="00FF294D">
      <w:pPr>
        <w:autoSpaceDE w:val="0"/>
        <w:autoSpaceDN w:val="0"/>
        <w:adjustRightInd w:val="0"/>
        <w:jc w:val="center"/>
        <w:rPr>
          <w:rFonts w:ascii="Verdana" w:hAnsi="Verdana" w:cs="Verdana"/>
          <w:color w:val="000000"/>
          <w:sz w:val="23"/>
          <w:szCs w:val="23"/>
        </w:rPr>
      </w:pPr>
      <w:r w:rsidRPr="00D044A8">
        <w:rPr>
          <w:rFonts w:ascii="Verdana" w:hAnsi="Verdana" w:cs="Verdana"/>
          <w:i/>
          <w:iCs/>
          <w:color w:val="000000"/>
          <w:sz w:val="23"/>
          <w:szCs w:val="23"/>
        </w:rPr>
        <w:t xml:space="preserve">The definitive version is available at </w:t>
      </w:r>
    </w:p>
    <w:p w14:paraId="378E50C9" w14:textId="2FAC7AA9" w:rsidR="00FF294D" w:rsidRPr="00FF294D" w:rsidRDefault="00FF294D" w:rsidP="00FF294D">
      <w:pPr>
        <w:autoSpaceDE w:val="0"/>
        <w:autoSpaceDN w:val="0"/>
        <w:adjustRightInd w:val="0"/>
        <w:ind w:left="720" w:hanging="720"/>
        <w:jc w:val="center"/>
        <w:rPr>
          <w:rFonts w:ascii="Verdana" w:hAnsi="Verdana" w:cs="Helvetica"/>
          <w:i/>
          <w:sz w:val="23"/>
          <w:szCs w:val="23"/>
        </w:rPr>
      </w:pPr>
      <w:hyperlink r:id="rId5" w:history="1">
        <w:r w:rsidRPr="00FF294D">
          <w:rPr>
            <w:rStyle w:val="Hyperlink"/>
            <w:rFonts w:ascii="Verdana" w:hAnsi="Verdana"/>
            <w:i/>
            <w:sz w:val="23"/>
            <w:szCs w:val="23"/>
          </w:rPr>
          <w:t>http://dx.doi.org/10.1080/14615517.2014.981049</w:t>
        </w:r>
      </w:hyperlink>
    </w:p>
    <w:p w14:paraId="69BDFF6A" w14:textId="77777777" w:rsidR="00FF294D" w:rsidRDefault="00FF294D" w:rsidP="00FF294D">
      <w:pPr>
        <w:autoSpaceDE w:val="0"/>
        <w:autoSpaceDN w:val="0"/>
        <w:adjustRightInd w:val="0"/>
        <w:ind w:left="720" w:hanging="720"/>
        <w:rPr>
          <w:rFonts w:ascii="Helvetica" w:hAnsi="Helvetica" w:cs="Helvetica"/>
          <w:szCs w:val="24"/>
        </w:rPr>
      </w:pPr>
    </w:p>
    <w:p w14:paraId="38FC81E4" w14:textId="77777777" w:rsidR="00FF294D" w:rsidRDefault="00FF294D" w:rsidP="00FF294D">
      <w:pPr>
        <w:autoSpaceDE w:val="0"/>
        <w:autoSpaceDN w:val="0"/>
        <w:adjustRightInd w:val="0"/>
        <w:ind w:left="720" w:hanging="720"/>
        <w:rPr>
          <w:rFonts w:ascii="Helvetica" w:hAnsi="Helvetica" w:cs="Helvetica"/>
          <w:szCs w:val="24"/>
        </w:rPr>
      </w:pPr>
    </w:p>
    <w:p w14:paraId="4824A40C" w14:textId="7D9B7FBD" w:rsidR="00FF294D" w:rsidRDefault="00FF294D" w:rsidP="00FF294D">
      <w:pPr>
        <w:jc w:val="center"/>
        <w:rPr>
          <w:b/>
        </w:rPr>
      </w:pPr>
    </w:p>
    <w:p w14:paraId="40B6357A" w14:textId="77777777" w:rsidR="00FF294D" w:rsidRDefault="00FF294D" w:rsidP="003276B4">
      <w:pPr>
        <w:jc w:val="center"/>
        <w:rPr>
          <w:b/>
        </w:rPr>
      </w:pPr>
    </w:p>
    <w:p w14:paraId="53E99477" w14:textId="51993F17" w:rsidR="00491E2F" w:rsidRPr="00FF294D" w:rsidRDefault="003276B4" w:rsidP="003276B4">
      <w:pPr>
        <w:jc w:val="center"/>
        <w:rPr>
          <w:rFonts w:asciiTheme="majorHAnsi" w:hAnsiTheme="majorHAnsi"/>
          <w:b/>
        </w:rPr>
      </w:pPr>
      <w:r w:rsidRPr="00FF294D">
        <w:rPr>
          <w:rFonts w:asciiTheme="majorHAnsi" w:hAnsiTheme="majorHAnsi"/>
          <w:b/>
        </w:rPr>
        <w:t>Demonstrating the benefits of impact assessment</w:t>
      </w:r>
      <w:r w:rsidR="00C94AE4" w:rsidRPr="00FF294D">
        <w:rPr>
          <w:rFonts w:asciiTheme="majorHAnsi" w:hAnsiTheme="majorHAnsi"/>
          <w:b/>
        </w:rPr>
        <w:t xml:space="preserve"> for proponents</w:t>
      </w:r>
    </w:p>
    <w:p w14:paraId="42F1698E" w14:textId="77777777" w:rsidR="003276B4" w:rsidRPr="00FF294D" w:rsidRDefault="003276B4">
      <w:pPr>
        <w:rPr>
          <w:rFonts w:asciiTheme="majorHAnsi" w:hAnsiTheme="majorHAnsi"/>
        </w:rPr>
      </w:pPr>
    </w:p>
    <w:p w14:paraId="66876517" w14:textId="70FDA396" w:rsidR="00626F44" w:rsidRPr="00FF294D" w:rsidRDefault="00626F44" w:rsidP="00626F44">
      <w:pPr>
        <w:pStyle w:val="Default"/>
        <w:rPr>
          <w:rFonts w:asciiTheme="majorHAnsi" w:hAnsiTheme="majorHAnsi"/>
        </w:rPr>
      </w:pPr>
      <w:r w:rsidRPr="00FF294D">
        <w:rPr>
          <w:rFonts w:asciiTheme="majorHAnsi" w:hAnsiTheme="majorHAnsi"/>
          <w:b/>
        </w:rPr>
        <w:t>Angus Morrison-Saunders</w:t>
      </w:r>
      <w:r w:rsidRPr="00FF294D">
        <w:rPr>
          <w:rFonts w:asciiTheme="majorHAnsi" w:hAnsiTheme="majorHAnsi"/>
        </w:rPr>
        <w:t>* - Murdoch University, Australia; North-West University, South Africa; Email A.Morrison-Saunders@murdoch.edu.au</w:t>
      </w:r>
    </w:p>
    <w:p w14:paraId="2FDA0562" w14:textId="77777777" w:rsidR="00626F44" w:rsidRPr="00FF294D" w:rsidRDefault="00626F44" w:rsidP="00626F44">
      <w:pPr>
        <w:pStyle w:val="Default"/>
        <w:rPr>
          <w:rFonts w:asciiTheme="majorHAnsi" w:hAnsiTheme="majorHAnsi"/>
        </w:rPr>
      </w:pPr>
      <w:r w:rsidRPr="00FF294D">
        <w:rPr>
          <w:rFonts w:asciiTheme="majorHAnsi" w:hAnsiTheme="majorHAnsi"/>
          <w:b/>
        </w:rPr>
        <w:t>Alan Bond</w:t>
      </w:r>
      <w:r w:rsidRPr="00FF294D">
        <w:rPr>
          <w:rFonts w:asciiTheme="majorHAnsi" w:hAnsiTheme="majorHAnsi"/>
        </w:rPr>
        <w:t xml:space="preserve"> - U</w:t>
      </w:r>
      <w:bookmarkStart w:id="0" w:name="_GoBack"/>
      <w:bookmarkEnd w:id="0"/>
      <w:r w:rsidRPr="00FF294D">
        <w:rPr>
          <w:rFonts w:asciiTheme="majorHAnsi" w:hAnsiTheme="majorHAnsi"/>
        </w:rPr>
        <w:t>niversity of East Anglia, United Kingdom; North-West University, South Africa, Email alan.bond@uea.ac.uk</w:t>
      </w:r>
    </w:p>
    <w:p w14:paraId="733E21AF" w14:textId="4D79AA47" w:rsidR="00626F44" w:rsidRPr="00FF294D" w:rsidRDefault="00626F44" w:rsidP="00626F44">
      <w:pPr>
        <w:rPr>
          <w:rFonts w:asciiTheme="majorHAnsi" w:hAnsiTheme="majorHAnsi"/>
          <w:szCs w:val="24"/>
        </w:rPr>
      </w:pPr>
      <w:r w:rsidRPr="00FF294D">
        <w:rPr>
          <w:rFonts w:asciiTheme="majorHAnsi" w:hAnsiTheme="majorHAnsi"/>
          <w:b/>
          <w:szCs w:val="24"/>
        </w:rPr>
        <w:t>Jenny Pope</w:t>
      </w:r>
      <w:r w:rsidRPr="00FF294D">
        <w:rPr>
          <w:rFonts w:asciiTheme="majorHAnsi" w:hAnsiTheme="majorHAnsi"/>
          <w:szCs w:val="24"/>
        </w:rPr>
        <w:t xml:space="preserve"> - Integral Sustainability, Australia; North-West University, South Africa; </w:t>
      </w:r>
      <w:r w:rsidRPr="00FF294D">
        <w:rPr>
          <w:rFonts w:asciiTheme="majorHAnsi" w:hAnsiTheme="majorHAnsi"/>
        </w:rPr>
        <w:t>Email jenny@integral-sustainability.net</w:t>
      </w:r>
    </w:p>
    <w:p w14:paraId="5297B032" w14:textId="77777777" w:rsidR="00626F44" w:rsidRPr="00FF294D" w:rsidRDefault="00626F44" w:rsidP="00626F44">
      <w:pPr>
        <w:pStyle w:val="Default"/>
        <w:rPr>
          <w:rFonts w:asciiTheme="majorHAnsi" w:hAnsiTheme="majorHAnsi"/>
        </w:rPr>
      </w:pPr>
      <w:r w:rsidRPr="00FF294D">
        <w:rPr>
          <w:rFonts w:asciiTheme="majorHAnsi" w:hAnsiTheme="majorHAnsi"/>
          <w:b/>
        </w:rPr>
        <w:t>Francois Retief</w:t>
      </w:r>
      <w:r w:rsidRPr="00FF294D">
        <w:rPr>
          <w:rFonts w:asciiTheme="majorHAnsi" w:hAnsiTheme="majorHAnsi"/>
        </w:rPr>
        <w:t xml:space="preserve"> - North-West University, South Africa, Email francois.retief@nwu.ac.za</w:t>
      </w:r>
    </w:p>
    <w:p w14:paraId="204F411D" w14:textId="77777777" w:rsidR="00626F44" w:rsidRPr="00FF294D" w:rsidRDefault="00626F44" w:rsidP="00626F44">
      <w:pPr>
        <w:pStyle w:val="Default"/>
        <w:rPr>
          <w:rFonts w:asciiTheme="majorHAnsi" w:hAnsiTheme="majorHAnsi"/>
        </w:rPr>
      </w:pPr>
    </w:p>
    <w:p w14:paraId="1B81ABF0" w14:textId="77777777" w:rsidR="00626F44" w:rsidRPr="00FF294D" w:rsidRDefault="00626F44" w:rsidP="00626F44">
      <w:pPr>
        <w:pStyle w:val="Default"/>
        <w:rPr>
          <w:rFonts w:asciiTheme="majorHAnsi" w:hAnsiTheme="majorHAnsi"/>
        </w:rPr>
      </w:pPr>
      <w:r w:rsidRPr="00FF294D">
        <w:rPr>
          <w:rFonts w:asciiTheme="majorHAnsi" w:hAnsiTheme="majorHAnsi"/>
        </w:rPr>
        <w:t>*corresponding author</w:t>
      </w:r>
    </w:p>
    <w:p w14:paraId="076270A0" w14:textId="77777777" w:rsidR="00626F44" w:rsidRDefault="00626F44"/>
    <w:p w14:paraId="0FDF3384" w14:textId="77777777" w:rsidR="00626F44" w:rsidRDefault="00626F44">
      <w:pPr>
        <w:rPr>
          <w:b/>
        </w:rPr>
      </w:pPr>
      <w:r>
        <w:rPr>
          <w:b/>
        </w:rPr>
        <w:br w:type="page"/>
      </w:r>
    </w:p>
    <w:p w14:paraId="4B50E9DF" w14:textId="7A28F22A" w:rsidR="00626F44" w:rsidRPr="00235A72" w:rsidRDefault="00626F44" w:rsidP="00626F44">
      <w:pPr>
        <w:jc w:val="center"/>
        <w:rPr>
          <w:b/>
        </w:rPr>
      </w:pPr>
      <w:r w:rsidRPr="003276B4">
        <w:rPr>
          <w:b/>
        </w:rPr>
        <w:lastRenderedPageBreak/>
        <w:t xml:space="preserve">Demonstrating the benefits of impact </w:t>
      </w:r>
      <w:r w:rsidRPr="00235A72">
        <w:rPr>
          <w:b/>
        </w:rPr>
        <w:t>assessment for proponents</w:t>
      </w:r>
    </w:p>
    <w:p w14:paraId="5E662989" w14:textId="77777777" w:rsidR="00657A4E" w:rsidRDefault="00657A4E"/>
    <w:p w14:paraId="73F49162" w14:textId="77777777" w:rsidR="003276B4" w:rsidRDefault="003276B4">
      <w:r>
        <w:t>ABSTRACT</w:t>
      </w:r>
    </w:p>
    <w:p w14:paraId="067B5432" w14:textId="0C09A8A8" w:rsidR="00A023C9" w:rsidRPr="00626F44" w:rsidRDefault="00EA66E3">
      <w:r>
        <w:rPr>
          <w:szCs w:val="24"/>
        </w:rPr>
        <w:t>This paper is a</w:t>
      </w:r>
      <w:r w:rsidRPr="00626F44">
        <w:rPr>
          <w:szCs w:val="24"/>
        </w:rPr>
        <w:t xml:space="preserve"> </w:t>
      </w:r>
      <w:r w:rsidR="00A023C9" w:rsidRPr="00626F44">
        <w:rPr>
          <w:szCs w:val="24"/>
        </w:rPr>
        <w:t xml:space="preserve">call for more studies that explicitly demonstrate the benefits of impact assessment to proponents. While the community of impact assessment practitioners generally believe </w:t>
      </w:r>
      <w:r w:rsidR="00626F44" w:rsidRPr="00626F44">
        <w:rPr>
          <w:szCs w:val="24"/>
        </w:rPr>
        <w:t>that</w:t>
      </w:r>
      <w:r w:rsidR="00A023C9" w:rsidRPr="00626F44">
        <w:rPr>
          <w:szCs w:val="24"/>
        </w:rPr>
        <w:t xml:space="preserve"> impact assessment is beneficial (to all stakeholders), empirical demonstration of this</w:t>
      </w:r>
      <w:r>
        <w:rPr>
          <w:szCs w:val="24"/>
        </w:rPr>
        <w:t>, particularly to project proponents,</w:t>
      </w:r>
      <w:r w:rsidR="00A023C9" w:rsidRPr="00626F44">
        <w:rPr>
          <w:szCs w:val="24"/>
        </w:rPr>
        <w:t xml:space="preserve"> is </w:t>
      </w:r>
      <w:r w:rsidR="00626F44" w:rsidRPr="00626F44">
        <w:rPr>
          <w:szCs w:val="24"/>
        </w:rPr>
        <w:t>warranted</w:t>
      </w:r>
      <w:r w:rsidR="00A023C9" w:rsidRPr="00626F44">
        <w:rPr>
          <w:szCs w:val="24"/>
        </w:rPr>
        <w:t xml:space="preserve">, </w:t>
      </w:r>
      <w:r w:rsidR="00E435DE">
        <w:rPr>
          <w:szCs w:val="24"/>
        </w:rPr>
        <w:t xml:space="preserve">and </w:t>
      </w:r>
      <w:r w:rsidR="00A023C9" w:rsidRPr="00626F44">
        <w:rPr>
          <w:szCs w:val="24"/>
        </w:rPr>
        <w:t xml:space="preserve">especially in financial terms. While many impact assessment benefits are intangible in nature, learning from the business and management literature shows how </w:t>
      </w:r>
      <w:r>
        <w:rPr>
          <w:szCs w:val="24"/>
        </w:rPr>
        <w:t>such benefits</w:t>
      </w:r>
      <w:r w:rsidRPr="00626F44">
        <w:rPr>
          <w:szCs w:val="24"/>
        </w:rPr>
        <w:t xml:space="preserve"> </w:t>
      </w:r>
      <w:r w:rsidR="00A023C9" w:rsidRPr="00626F44">
        <w:rPr>
          <w:szCs w:val="24"/>
        </w:rPr>
        <w:t xml:space="preserve">can usefully be measured based upon perceptions of managers within proponent agencies in tandem with archival material. </w:t>
      </w:r>
      <w:r w:rsidR="003E58F4" w:rsidRPr="00626F44">
        <w:rPr>
          <w:szCs w:val="24"/>
        </w:rPr>
        <w:t xml:space="preserve">A </w:t>
      </w:r>
      <w:r w:rsidR="003E58F4" w:rsidRPr="007B5037">
        <w:rPr>
          <w:szCs w:val="24"/>
        </w:rPr>
        <w:t>framework</w:t>
      </w:r>
      <w:r w:rsidR="003E58F4" w:rsidRPr="00626F44">
        <w:rPr>
          <w:szCs w:val="24"/>
        </w:rPr>
        <w:t xml:space="preserve"> of the</w:t>
      </w:r>
      <w:r w:rsidR="00A023C9" w:rsidRPr="00626F44">
        <w:rPr>
          <w:szCs w:val="24"/>
        </w:rPr>
        <w:t xml:space="preserve"> nature of impact assessment benefits</w:t>
      </w:r>
      <w:r w:rsidR="003E58F4" w:rsidRPr="00626F44">
        <w:rPr>
          <w:szCs w:val="24"/>
        </w:rPr>
        <w:t xml:space="preserve"> for proponents</w:t>
      </w:r>
      <w:r w:rsidR="00A023C9" w:rsidRPr="00626F44">
        <w:rPr>
          <w:szCs w:val="24"/>
        </w:rPr>
        <w:t>, and their relative tangibility</w:t>
      </w:r>
      <w:r w:rsidR="003E58F4" w:rsidRPr="00626F44">
        <w:rPr>
          <w:szCs w:val="24"/>
        </w:rPr>
        <w:t xml:space="preserve"> is presented</w:t>
      </w:r>
      <w:r w:rsidR="007B5037">
        <w:rPr>
          <w:color w:val="0000FF"/>
          <w:szCs w:val="24"/>
        </w:rPr>
        <w:t xml:space="preserve"> </w:t>
      </w:r>
      <w:r w:rsidR="007B5037" w:rsidRPr="006E68AF">
        <w:rPr>
          <w:szCs w:val="24"/>
        </w:rPr>
        <w:t>along with a five step methodology for determining benefit</w:t>
      </w:r>
      <w:r w:rsidR="006E68AF">
        <w:rPr>
          <w:szCs w:val="24"/>
        </w:rPr>
        <w:t>s</w:t>
      </w:r>
      <w:r w:rsidR="00A023C9" w:rsidRPr="00626F44">
        <w:rPr>
          <w:szCs w:val="24"/>
        </w:rPr>
        <w:t>. We now call upon impact assessment researcher</w:t>
      </w:r>
      <w:r w:rsidR="00F41CAF">
        <w:rPr>
          <w:szCs w:val="24"/>
        </w:rPr>
        <w:t>s</w:t>
      </w:r>
      <w:r w:rsidR="00A023C9" w:rsidRPr="00626F44">
        <w:rPr>
          <w:szCs w:val="24"/>
        </w:rPr>
        <w:t xml:space="preserve"> and practitioners alike to </w:t>
      </w:r>
      <w:r>
        <w:rPr>
          <w:szCs w:val="24"/>
        </w:rPr>
        <w:t xml:space="preserve">use this </w:t>
      </w:r>
      <w:r w:rsidRPr="007B5037">
        <w:rPr>
          <w:szCs w:val="24"/>
        </w:rPr>
        <w:t>framework</w:t>
      </w:r>
      <w:r w:rsidR="007B5037">
        <w:rPr>
          <w:color w:val="0000FF"/>
          <w:szCs w:val="24"/>
        </w:rPr>
        <w:t xml:space="preserve"> </w:t>
      </w:r>
      <w:r w:rsidR="007B5037" w:rsidRPr="00FB59C1">
        <w:rPr>
          <w:szCs w:val="24"/>
        </w:rPr>
        <w:t>and methodology</w:t>
      </w:r>
      <w:r>
        <w:rPr>
          <w:szCs w:val="24"/>
        </w:rPr>
        <w:t xml:space="preserve"> to </w:t>
      </w:r>
      <w:r w:rsidR="009A1BF3">
        <w:rPr>
          <w:szCs w:val="24"/>
        </w:rPr>
        <w:t>structure</w:t>
      </w:r>
      <w:r w:rsidR="009A1BF3" w:rsidRPr="00626F44">
        <w:rPr>
          <w:szCs w:val="24"/>
        </w:rPr>
        <w:t xml:space="preserve"> </w:t>
      </w:r>
      <w:r w:rsidR="00A023C9" w:rsidRPr="00626F44">
        <w:rPr>
          <w:szCs w:val="24"/>
        </w:rPr>
        <w:t xml:space="preserve">investigations from practice that will </w:t>
      </w:r>
      <w:r w:rsidR="009A1BF3">
        <w:rPr>
          <w:szCs w:val="24"/>
        </w:rPr>
        <w:t>contribute to</w:t>
      </w:r>
      <w:r w:rsidR="009A1BF3" w:rsidRPr="00626F44">
        <w:rPr>
          <w:szCs w:val="24"/>
        </w:rPr>
        <w:t xml:space="preserve"> </w:t>
      </w:r>
      <w:r w:rsidR="00A023C9" w:rsidRPr="00626F44">
        <w:rPr>
          <w:szCs w:val="24"/>
        </w:rPr>
        <w:t>an empirical database for demonstrating the benefits of impact assessment to proponents.</w:t>
      </w:r>
    </w:p>
    <w:p w14:paraId="4459B8A3" w14:textId="77777777" w:rsidR="00A023C9" w:rsidRPr="00626F44" w:rsidRDefault="00A023C9"/>
    <w:p w14:paraId="087A62A7" w14:textId="77777777" w:rsidR="003276B4" w:rsidRPr="00626F44" w:rsidRDefault="003276B4"/>
    <w:p w14:paraId="5A27527E" w14:textId="5EDE0539" w:rsidR="003276B4" w:rsidRPr="00626F44" w:rsidRDefault="003276B4">
      <w:r w:rsidRPr="00626F44">
        <w:t>Ke</w:t>
      </w:r>
      <w:r w:rsidR="00657A4E" w:rsidRPr="00626F44">
        <w:t>y</w:t>
      </w:r>
      <w:r w:rsidRPr="00626F44">
        <w:t>words:</w:t>
      </w:r>
      <w:r w:rsidR="00A023C9" w:rsidRPr="00626F44">
        <w:t xml:space="preserve"> impact assessment benefits, proponents, cost-benefit analysis, effectiveness</w:t>
      </w:r>
    </w:p>
    <w:p w14:paraId="0AC27A79" w14:textId="77777777" w:rsidR="000748B2" w:rsidRDefault="000748B2"/>
    <w:p w14:paraId="3194A3F6" w14:textId="77777777" w:rsidR="003276B4" w:rsidRDefault="003276B4"/>
    <w:p w14:paraId="2E62D555" w14:textId="77777777" w:rsidR="003276B4" w:rsidRPr="003276B4" w:rsidRDefault="00B64C28">
      <w:pPr>
        <w:rPr>
          <w:b/>
        </w:rPr>
      </w:pPr>
      <w:r>
        <w:rPr>
          <w:b/>
        </w:rPr>
        <w:t xml:space="preserve">1. </w:t>
      </w:r>
      <w:r w:rsidR="003276B4">
        <w:rPr>
          <w:b/>
        </w:rPr>
        <w:t>Introduction</w:t>
      </w:r>
    </w:p>
    <w:p w14:paraId="209EE3DD" w14:textId="77777777" w:rsidR="003276B4" w:rsidRDefault="003276B4"/>
    <w:p w14:paraId="2E645BD3" w14:textId="160F0A42" w:rsidR="00D01B16" w:rsidRDefault="0034301E" w:rsidP="00650E86">
      <w:pPr>
        <w:widowControl w:val="0"/>
        <w:autoSpaceDE w:val="0"/>
        <w:autoSpaceDN w:val="0"/>
        <w:adjustRightInd w:val="0"/>
      </w:pPr>
      <w:r w:rsidRPr="00235A72">
        <w:t xml:space="preserve">This paper </w:t>
      </w:r>
      <w:r w:rsidR="00745CD5">
        <w:t>is a call to</w:t>
      </w:r>
      <w:r w:rsidRPr="00235A72">
        <w:t xml:space="preserve"> practitioners and researchers alike to explicitly demonstrate the benefits of impact assessment </w:t>
      </w:r>
      <w:r w:rsidR="00C94AE4" w:rsidRPr="00235A72">
        <w:t xml:space="preserve">for proponents </w:t>
      </w:r>
      <w:r w:rsidRPr="00235A72">
        <w:t xml:space="preserve">in practice. And to do so in a simple but convincing manner. Our starting point </w:t>
      </w:r>
      <w:r w:rsidR="00D01B16">
        <w:t xml:space="preserve">and </w:t>
      </w:r>
      <w:r w:rsidR="00745CD5">
        <w:t>rationale are the</w:t>
      </w:r>
      <w:r w:rsidRPr="00235A72">
        <w:t xml:space="preserve"> concerns we have previously raised about </w:t>
      </w:r>
      <w:r w:rsidR="00745CD5">
        <w:t>the threat of</w:t>
      </w:r>
      <w:r w:rsidR="00745CD5" w:rsidRPr="00235A72">
        <w:t xml:space="preserve"> </w:t>
      </w:r>
      <w:r w:rsidRPr="00235A72">
        <w:t>cut-backs in impact assessment by governments around the world in the face of economic recession (Morrison-Saunders et al 2014)</w:t>
      </w:r>
      <w:r w:rsidR="00650E86" w:rsidRPr="00235A72">
        <w:t xml:space="preserve">, </w:t>
      </w:r>
      <w:r w:rsidR="00D01B16">
        <w:t xml:space="preserve">and our belief </w:t>
      </w:r>
      <w:r w:rsidR="00650E86" w:rsidRPr="00235A72">
        <w:t>that: "impact assessment is faced with serious and potentially fatal threats to its existence from governments and others to whom impact assessment is nothing but an expensive and time-consuming regulatory hurdle" (Pope et al 2013, p7)</w:t>
      </w:r>
      <w:r w:rsidR="00D01B16">
        <w:t xml:space="preserve">.  </w:t>
      </w:r>
      <w:r w:rsidR="00D01B16" w:rsidRPr="00626F44">
        <w:rPr>
          <w:szCs w:val="24"/>
        </w:rPr>
        <w:t xml:space="preserve">While the community of impact assessment practitioners generally believe that </w:t>
      </w:r>
      <w:r w:rsidR="00D01B16">
        <w:rPr>
          <w:szCs w:val="24"/>
        </w:rPr>
        <w:t>impact assessment is beneficial, we have also previously noted that</w:t>
      </w:r>
      <w:r w:rsidR="00B4696A" w:rsidRPr="00235A72">
        <w:t xml:space="preserve">: "demonstrating the value of the benefits of IA </w:t>
      </w:r>
      <w:r w:rsidR="00AE4567" w:rsidRPr="00235A72">
        <w:t xml:space="preserve">[impact assessment] </w:t>
      </w:r>
      <w:r w:rsidR="00B4696A" w:rsidRPr="00235A72">
        <w:t>to all stakeholders has been an elusive quest for practitioners and researchers" (Bond et al 2014, p46).</w:t>
      </w:r>
      <w:r w:rsidR="006366E7" w:rsidRPr="00235A72">
        <w:t xml:space="preserve"> </w:t>
      </w:r>
      <w:r w:rsidR="00513BA4">
        <w:t xml:space="preserve">We argue here that in the face of the </w:t>
      </w:r>
      <w:r w:rsidR="00FB59C1" w:rsidRPr="00523686">
        <w:t>perceived</w:t>
      </w:r>
      <w:r w:rsidR="00920639" w:rsidRPr="00523686">
        <w:t xml:space="preserve"> </w:t>
      </w:r>
      <w:r w:rsidR="00513BA4" w:rsidRPr="00523686">
        <w:t>t</w:t>
      </w:r>
      <w:r w:rsidR="00513BA4">
        <w:t xml:space="preserve">hreats to impact assessment that we see, it is imperative that more efforts are made to demonstrate its benefits. This paper seeks to contribute to future research in this area by offering a simple </w:t>
      </w:r>
      <w:r w:rsidR="00513BA4" w:rsidRPr="00215B8F">
        <w:t>framework</w:t>
      </w:r>
      <w:r w:rsidR="00513BA4">
        <w:t xml:space="preserve"> that can be used to structure such research, thereby enhancing comparability of studies and enabling a database of </w:t>
      </w:r>
      <w:r w:rsidR="00764429">
        <w:t>evidence</w:t>
      </w:r>
      <w:r w:rsidR="00513BA4">
        <w:t xml:space="preserve"> to be built over time. </w:t>
      </w:r>
    </w:p>
    <w:p w14:paraId="139A9BB4" w14:textId="77777777" w:rsidR="00D176FA" w:rsidRDefault="00D176FA" w:rsidP="00650E86">
      <w:pPr>
        <w:widowControl w:val="0"/>
        <w:autoSpaceDE w:val="0"/>
        <w:autoSpaceDN w:val="0"/>
        <w:adjustRightInd w:val="0"/>
      </w:pPr>
    </w:p>
    <w:p w14:paraId="4E178584" w14:textId="1C2C1B0E" w:rsidR="00E84E12" w:rsidRDefault="00D176FA" w:rsidP="00920639">
      <w:pPr>
        <w:autoSpaceDE w:val="0"/>
        <w:autoSpaceDN w:val="0"/>
        <w:adjustRightInd w:val="0"/>
      </w:pPr>
      <w:r>
        <w:t>It has been previously point</w:t>
      </w:r>
      <w:r w:rsidR="00523686">
        <w:t>ed out by many authors, notably Bartlett and Kurian (1999</w:t>
      </w:r>
      <w:proofErr w:type="gramStart"/>
      <w:r w:rsidR="00523686">
        <w:t>)</w:t>
      </w:r>
      <w:r w:rsidR="004D3649">
        <w:t>,</w:t>
      </w:r>
      <w:r>
        <w:t xml:space="preserve"> that impact assessment </w:t>
      </w:r>
      <w:r w:rsidR="004D3649">
        <w:t>works in many different ways,</w:t>
      </w:r>
      <w:proofErr w:type="gramEnd"/>
      <w:r w:rsidR="004D3649">
        <w:t xml:space="preserve"> and the influence of impact assessment therefore extends well beyond the management of actual impacts on the receiving environment. </w:t>
      </w:r>
      <w:r w:rsidR="0072773C">
        <w:t xml:space="preserve">Whereas impact assessment follow-up, defined as </w:t>
      </w:r>
      <w:r w:rsidR="00A16BDC" w:rsidRPr="00C57DB5">
        <w:t>“</w:t>
      </w:r>
      <w:r w:rsidR="00563609">
        <w:t>t</w:t>
      </w:r>
      <w:r w:rsidR="00A16BDC" w:rsidRPr="00C57DB5">
        <w:t>he monitoring and evaluation of the impacts</w:t>
      </w:r>
      <w:r w:rsidR="00A16BDC">
        <w:t xml:space="preserve"> </w:t>
      </w:r>
      <w:r w:rsidR="00A16BDC" w:rsidRPr="00C57DB5">
        <w:t>of a project or plan (that has been subject to</w:t>
      </w:r>
      <w:r w:rsidR="00920639">
        <w:t xml:space="preserve"> EIA [environmental impact assessment]</w:t>
      </w:r>
      <w:r w:rsidR="00A16BDC" w:rsidRPr="00C57DB5">
        <w:t>) for management of, and communication</w:t>
      </w:r>
      <w:r w:rsidR="00A16BDC">
        <w:t xml:space="preserve"> </w:t>
      </w:r>
      <w:r w:rsidR="00A16BDC" w:rsidRPr="00C57DB5">
        <w:t>about, the environmental performance of that</w:t>
      </w:r>
      <w:r w:rsidR="00920639">
        <w:t xml:space="preserve"> </w:t>
      </w:r>
      <w:r w:rsidR="00A16BDC" w:rsidRPr="00C57DB5">
        <w:t>project or plan</w:t>
      </w:r>
      <w:r w:rsidR="00A16BDC">
        <w:t xml:space="preserve">” </w:t>
      </w:r>
      <w:r w:rsidR="00DD7B2E">
        <w:t>(Marshall et al 2005, p176)</w:t>
      </w:r>
      <w:r w:rsidR="008977B0">
        <w:t>,</w:t>
      </w:r>
      <w:r w:rsidR="005A5C77">
        <w:t xml:space="preserve"> has been the subject of considerable research, the wider influence of impact assessment has received less attention</w:t>
      </w:r>
      <w:r w:rsidR="00563609">
        <w:t xml:space="preserve">. This </w:t>
      </w:r>
      <w:r w:rsidR="008C5217">
        <w:t>can at least</w:t>
      </w:r>
      <w:r w:rsidR="005A5C77">
        <w:t xml:space="preserve"> partly </w:t>
      </w:r>
      <w:r w:rsidR="008C5217">
        <w:t xml:space="preserve">be attributed </w:t>
      </w:r>
      <w:r w:rsidR="005A5C77">
        <w:t xml:space="preserve">to </w:t>
      </w:r>
      <w:r w:rsidR="008C5217">
        <w:t xml:space="preserve">the </w:t>
      </w:r>
      <w:r w:rsidR="00563609">
        <w:t xml:space="preserve">methodological </w:t>
      </w:r>
      <w:r w:rsidR="005A5C77">
        <w:t xml:space="preserve">challenges associated </w:t>
      </w:r>
      <w:r w:rsidR="00563609">
        <w:t xml:space="preserve">with evaluating the more intangible outcomes, especially as changes catalysed by impact assessment may only </w:t>
      </w:r>
      <w:r w:rsidR="005A5C77">
        <w:t xml:space="preserve">become apparent over time, such as </w:t>
      </w:r>
      <w:r w:rsidR="00563609">
        <w:t xml:space="preserve">learning within stakeholder organisations. </w:t>
      </w:r>
    </w:p>
    <w:p w14:paraId="38E44CC7" w14:textId="77777777" w:rsidR="00E84E12" w:rsidRDefault="00E84E12" w:rsidP="00A16BDC">
      <w:pPr>
        <w:widowControl w:val="0"/>
        <w:autoSpaceDE w:val="0"/>
        <w:autoSpaceDN w:val="0"/>
        <w:adjustRightInd w:val="0"/>
      </w:pPr>
    </w:p>
    <w:p w14:paraId="675AB679" w14:textId="130AC841" w:rsidR="00CC19B3" w:rsidRDefault="000F6C10" w:rsidP="00565098">
      <w:pPr>
        <w:widowControl w:val="0"/>
        <w:autoSpaceDE w:val="0"/>
        <w:autoSpaceDN w:val="0"/>
        <w:adjustRightInd w:val="0"/>
      </w:pPr>
      <w:r>
        <w:t xml:space="preserve">In seeking to redress this imbalance, we </w:t>
      </w:r>
      <w:r w:rsidR="006924EF">
        <w:t xml:space="preserve">focus in this paper </w:t>
      </w:r>
      <w:r>
        <w:t>on</w:t>
      </w:r>
      <w:r w:rsidR="006924EF">
        <w:t xml:space="preserve"> one specific </w:t>
      </w:r>
      <w:r>
        <w:t xml:space="preserve">type of </w:t>
      </w:r>
      <w:r w:rsidR="006924EF">
        <w:t xml:space="preserve">stakeholder organisation: the proponent. </w:t>
      </w:r>
      <w:r w:rsidR="00E84E12">
        <w:t>We have several reasons for doing so. Firstly</w:t>
      </w:r>
      <w:r w:rsidR="00565098">
        <w:t xml:space="preserve">, </w:t>
      </w:r>
      <w:r w:rsidR="00D1732D">
        <w:t xml:space="preserve">it is </w:t>
      </w:r>
      <w:r w:rsidR="00CF2A02">
        <w:t xml:space="preserve">the </w:t>
      </w:r>
      <w:r w:rsidR="00B8067E">
        <w:t xml:space="preserve">actions of proponents </w:t>
      </w:r>
      <w:r w:rsidR="00D1732D">
        <w:t xml:space="preserve">that drive </w:t>
      </w:r>
      <w:r w:rsidR="00B8067E">
        <w:t xml:space="preserve">the need for impact assessment </w:t>
      </w:r>
      <w:r w:rsidR="00D1732D">
        <w:t>in the first place, so they are clearly a vital stakeholder; secondly</w:t>
      </w:r>
      <w:r w:rsidR="00523686">
        <w:t>,</w:t>
      </w:r>
      <w:r w:rsidR="00D1732D">
        <w:t xml:space="preserve"> proponents are the main funders of impact assessment and hence have considerable influence over how it is conducted; and thirdly, in our experience it is often the proponent organisations leading the charge against impact assessment and pushing regulators towards ‘streamlining’ and ‘cutting green tape’</w:t>
      </w:r>
      <w:r w:rsidR="005142ED">
        <w:t xml:space="preserve"> (e.g. Middle et al 2013; Morrison-Saunders et al 2014)</w:t>
      </w:r>
      <w:r w:rsidR="00D1732D">
        <w:t xml:space="preserve">. </w:t>
      </w:r>
      <w:r w:rsidR="00C94AE4" w:rsidRPr="00920639">
        <w:t>For proponents, th</w:t>
      </w:r>
      <w:r w:rsidR="00C94AE4" w:rsidRPr="00235A72">
        <w:t xml:space="preserve">e credibility of impact assessment lies in its ability to </w:t>
      </w:r>
      <w:r w:rsidR="00AC2B0B">
        <w:t>offer</w:t>
      </w:r>
      <w:r w:rsidR="00AC2B0B" w:rsidRPr="00235A72">
        <w:t xml:space="preserve"> </w:t>
      </w:r>
      <w:r w:rsidR="00C94AE4" w:rsidRPr="00235A72">
        <w:t>benefits in excess of costs</w:t>
      </w:r>
      <w:r w:rsidR="004B596D">
        <w:t xml:space="preserve">. In practice, as Fuller (1999) found, this translates into an expectation by proponents that impact assessment should deliver </w:t>
      </w:r>
      <w:r w:rsidR="004B596D" w:rsidRPr="00235A72">
        <w:t xml:space="preserve">permission to develop at </w:t>
      </w:r>
      <w:r w:rsidR="004B596D">
        <w:t xml:space="preserve">the </w:t>
      </w:r>
      <w:r w:rsidR="004B596D" w:rsidRPr="00235A72">
        <w:t>least cost in the least time</w:t>
      </w:r>
      <w:r w:rsidR="00492CF7">
        <w:t>, a</w:t>
      </w:r>
      <w:r w:rsidR="00B05102">
        <w:t xml:space="preserve">pproval to develop </w:t>
      </w:r>
      <w:r w:rsidR="00492CF7">
        <w:t>being</w:t>
      </w:r>
      <w:r w:rsidR="00B05102">
        <w:t xml:space="preserve"> a bankable benefit of impact assessment to proponents, as we shall discuss </w:t>
      </w:r>
      <w:r w:rsidR="00E641BB">
        <w:t>in more detail</w:t>
      </w:r>
      <w:r w:rsidR="00B05102">
        <w:t xml:space="preserve"> later. </w:t>
      </w:r>
      <w:r w:rsidR="00E641BB">
        <w:t xml:space="preserve"> There may also be less obvious, less tangible benefits </w:t>
      </w:r>
      <w:r w:rsidR="00492CF7">
        <w:t xml:space="preserve">to proponents </w:t>
      </w:r>
      <w:r w:rsidR="00E641BB">
        <w:t>that emerge over time</w:t>
      </w:r>
      <w:r w:rsidR="004F3A49">
        <w:t>: for example Bartlett and Kurian (1999</w:t>
      </w:r>
      <w:r w:rsidR="00D64A83">
        <w:t>, p421</w:t>
      </w:r>
      <w:r w:rsidR="004F3A49">
        <w:t>) in discussion of their organisational politics model of impact assessment, suggest that “one possibility is that [impact assessment] may change the internal politics of an organisation required to undertake it” and it is conceivable that such changes might bring about longer-term benefits to the organisation</w:t>
      </w:r>
      <w:r w:rsidR="00D64A83">
        <w:t xml:space="preserve">. Thus, when we speak of benefits, we mean both the tangible and intangible benefits, and argue that it is essential to </w:t>
      </w:r>
      <w:r w:rsidR="00492CF7">
        <w:t xml:space="preserve">be able to identify and </w:t>
      </w:r>
      <w:r w:rsidR="00D64A83">
        <w:t>demonstrate all such benefits. In</w:t>
      </w:r>
      <w:r w:rsidR="00BB792F">
        <w:t xml:space="preserve"> the absence of demonstration of benefits it is not surprising that some proponents see impact assessment as a regulatory burden rather than as a value-adding process</w:t>
      </w:r>
      <w:r w:rsidR="00D64A83">
        <w:t xml:space="preserve">, and may merely pay lip service to it, or </w:t>
      </w:r>
      <w:r w:rsidR="00492CF7">
        <w:t xml:space="preserve">even </w:t>
      </w:r>
      <w:r w:rsidR="00D64A83">
        <w:t>actively oppose it</w:t>
      </w:r>
      <w:r w:rsidR="00C94AE4" w:rsidRPr="00235A72">
        <w:t xml:space="preserve">. </w:t>
      </w:r>
      <w:r w:rsidR="00852F87">
        <w:t>We also acknowledge that the language of developers is money, and will consider the demonstration of benefits in financial, as well as qualitative terms.</w:t>
      </w:r>
    </w:p>
    <w:p w14:paraId="78BE07D6" w14:textId="77777777" w:rsidR="00CC19B3" w:rsidRDefault="00CC19B3" w:rsidP="00565098">
      <w:pPr>
        <w:widowControl w:val="0"/>
        <w:autoSpaceDE w:val="0"/>
        <w:autoSpaceDN w:val="0"/>
        <w:adjustRightInd w:val="0"/>
      </w:pPr>
    </w:p>
    <w:p w14:paraId="7B3F2F03" w14:textId="1B4BE649" w:rsidR="00565098" w:rsidRDefault="003229C2" w:rsidP="00565098">
      <w:pPr>
        <w:widowControl w:val="0"/>
        <w:autoSpaceDE w:val="0"/>
        <w:autoSpaceDN w:val="0"/>
        <w:adjustRightInd w:val="0"/>
      </w:pPr>
      <w:r>
        <w:t xml:space="preserve">The focus on proponents means that this paper and the framework it proposes are particularly aimed at </w:t>
      </w:r>
      <w:r w:rsidR="005B0811">
        <w:t xml:space="preserve">forms of impact assessment in which the proponent is distinct from the regulator, which is typically true of project-level impact assessment. It may also be true of strategic environmental assessment </w:t>
      </w:r>
      <w:r w:rsidR="00920639">
        <w:t xml:space="preserve">(SEA) </w:t>
      </w:r>
      <w:r w:rsidR="005B0811">
        <w:t xml:space="preserve">of policies, plans and programmes, but we recognise </w:t>
      </w:r>
      <w:r w:rsidR="00CC19B3">
        <w:t xml:space="preserve">that in some systems the SEA is undertaken as part of developing the plan and hence the proponent and assessor </w:t>
      </w:r>
      <w:r w:rsidR="00920639">
        <w:t>can be</w:t>
      </w:r>
      <w:r w:rsidR="00CC19B3">
        <w:t xml:space="preserve"> one and the same entity. </w:t>
      </w:r>
      <w:r w:rsidR="00690D07">
        <w:t xml:space="preserve">Proponents could </w:t>
      </w:r>
      <w:r w:rsidR="00CC19B3">
        <w:t>come from the</w:t>
      </w:r>
      <w:r w:rsidR="00690D07">
        <w:t xml:space="preserve"> private </w:t>
      </w:r>
      <w:r w:rsidR="00CC19B3">
        <w:t>or the</w:t>
      </w:r>
      <w:r w:rsidR="00690D07">
        <w:t xml:space="preserve"> public sectors</w:t>
      </w:r>
      <w:r w:rsidR="00CC19B3">
        <w:t>, or a com</w:t>
      </w:r>
      <w:r w:rsidR="008D1AC8">
        <w:t>b</w:t>
      </w:r>
      <w:r w:rsidR="00CC19B3">
        <w:t>ination of both in the case of public-private partnerships. We consider that</w:t>
      </w:r>
      <w:r w:rsidR="00690D07">
        <w:t xml:space="preserve"> the </w:t>
      </w:r>
      <w:r w:rsidR="00491951">
        <w:t>need to demonstrate benefits is</w:t>
      </w:r>
      <w:r w:rsidR="00690D07">
        <w:t xml:space="preserve"> eq</w:t>
      </w:r>
      <w:r w:rsidR="00491951">
        <w:t xml:space="preserve">ually important for the private and </w:t>
      </w:r>
      <w:r w:rsidR="00690D07">
        <w:t>public sectors</w:t>
      </w:r>
      <w:r w:rsidR="00920639">
        <w:t xml:space="preserve"> alike</w:t>
      </w:r>
      <w:r w:rsidR="00690D07">
        <w:t xml:space="preserve">.  </w:t>
      </w:r>
    </w:p>
    <w:p w14:paraId="7FD7B684" w14:textId="32F4914E" w:rsidR="00DB0978" w:rsidRDefault="00DB0978" w:rsidP="00650E86">
      <w:pPr>
        <w:widowControl w:val="0"/>
        <w:autoSpaceDE w:val="0"/>
        <w:autoSpaceDN w:val="0"/>
        <w:adjustRightInd w:val="0"/>
      </w:pPr>
    </w:p>
    <w:p w14:paraId="71528D65" w14:textId="1BE18FBA" w:rsidR="002B54A4" w:rsidRPr="00235A72" w:rsidRDefault="002B54A4" w:rsidP="002B54A4">
      <w:pPr>
        <w:widowControl w:val="0"/>
        <w:autoSpaceDE w:val="0"/>
        <w:autoSpaceDN w:val="0"/>
        <w:adjustRightInd w:val="0"/>
      </w:pPr>
      <w:r>
        <w:t>We commence in Section 2 by</w:t>
      </w:r>
      <w:r w:rsidR="002C3F1A">
        <w:t xml:space="preserve"> </w:t>
      </w:r>
      <w:r w:rsidR="00A06BA8">
        <w:t>critically reflect</w:t>
      </w:r>
      <w:r>
        <w:t>ing</w:t>
      </w:r>
      <w:r w:rsidR="00A06BA8">
        <w:t xml:space="preserve"> upon</w:t>
      </w:r>
      <w:r w:rsidR="002C3F1A">
        <w:t xml:space="preserve"> work that has already been done in relation to demonstrating the benefits of impact assessment.</w:t>
      </w:r>
      <w:r>
        <w:t xml:space="preserve"> </w:t>
      </w:r>
      <w:r w:rsidRPr="00235A72">
        <w:t>Given the central role of proponents in this paper, we found it useful to draw upon models and wisdom derived in business and management literature</w:t>
      </w:r>
      <w:r>
        <w:t xml:space="preserve"> to support the development of our framework. In particular we found a useful body of work relating to </w:t>
      </w:r>
      <w:r w:rsidRPr="00235A72">
        <w:t xml:space="preserve">valuing the contribution of investments in information systems by individual companies. </w:t>
      </w:r>
      <w:r w:rsidRPr="0002293A">
        <w:t xml:space="preserve">This literature has also grappled with the identification and measurement of benefits to endeavour to justify (or otherwise) the considerable resource implications of technological change. </w:t>
      </w:r>
      <w:r w:rsidRPr="00235A72">
        <w:t xml:space="preserve">We reflect </w:t>
      </w:r>
      <w:r>
        <w:t xml:space="preserve">in Section 3 </w:t>
      </w:r>
      <w:r w:rsidRPr="00235A72">
        <w:t>on some key learnings from this sector of relevance to the consideration of benefits within impact assessment.</w:t>
      </w:r>
      <w:r>
        <w:t xml:space="preserve"> We use this literature </w:t>
      </w:r>
      <w:r w:rsidRPr="00235A72">
        <w:t xml:space="preserve">as the basis </w:t>
      </w:r>
      <w:r w:rsidR="006F0650">
        <w:t>for</w:t>
      </w:r>
      <w:r w:rsidRPr="00235A72">
        <w:t xml:space="preserve"> the development of a framework for categorising benefits in </w:t>
      </w:r>
      <w:r w:rsidR="006F0650">
        <w:t>S</w:t>
      </w:r>
      <w:r w:rsidRPr="00235A72">
        <w:t xml:space="preserve">ection </w:t>
      </w:r>
      <w:r>
        <w:t>4</w:t>
      </w:r>
      <w:r w:rsidRPr="00235A72">
        <w:t xml:space="preserve">. </w:t>
      </w:r>
      <w:r>
        <w:t xml:space="preserve">It is important to emphasise at this point that our proposed framework merely </w:t>
      </w:r>
      <w:r w:rsidR="00432DB5">
        <w:t xml:space="preserve">offers a </w:t>
      </w:r>
      <w:r>
        <w:t>structure</w:t>
      </w:r>
      <w:r w:rsidR="00432DB5">
        <w:t xml:space="preserve"> for future research</w:t>
      </w:r>
      <w:r w:rsidR="005B47F8" w:rsidRPr="006F0650">
        <w:t>;</w:t>
      </w:r>
      <w:r w:rsidRPr="006F0650">
        <w:t xml:space="preserve"> </w:t>
      </w:r>
      <w:r w:rsidR="005B47F8" w:rsidRPr="006F0650">
        <w:t>w</w:t>
      </w:r>
      <w:r>
        <w:t xml:space="preserve">e do not pre-empt </w:t>
      </w:r>
      <w:r w:rsidR="00432DB5">
        <w:t xml:space="preserve">this </w:t>
      </w:r>
      <w:r>
        <w:t xml:space="preserve">research by </w:t>
      </w:r>
      <w:r w:rsidR="007E72AB">
        <w:t>specifying</w:t>
      </w:r>
      <w:r>
        <w:t xml:space="preserve"> what all the </w:t>
      </w:r>
      <w:r w:rsidR="007E72AB">
        <w:t xml:space="preserve">potential </w:t>
      </w:r>
      <w:r>
        <w:t xml:space="preserve">benefits of impact assessment to proponents </w:t>
      </w:r>
      <w:r w:rsidR="007E72AB">
        <w:t>might be</w:t>
      </w:r>
      <w:r>
        <w:t xml:space="preserve">. </w:t>
      </w:r>
      <w:r w:rsidRPr="00235A72">
        <w:t xml:space="preserve">In </w:t>
      </w:r>
      <w:r>
        <w:t>Section 5</w:t>
      </w:r>
      <w:r w:rsidRPr="00235A72">
        <w:t xml:space="preserve">, we illustrate our framework with examples drawn from the published literature on impact assessment </w:t>
      </w:r>
      <w:r w:rsidR="006F0650">
        <w:t xml:space="preserve">benefits </w:t>
      </w:r>
      <w:r w:rsidRPr="00235A72">
        <w:t xml:space="preserve">to demonstrate its utility, but recognise the evidence of benefits is incomplete and call on researchers and practitioners to fill the gaps. Finally, we conclude with </w:t>
      </w:r>
      <w:r w:rsidRPr="00235A72">
        <w:lastRenderedPageBreak/>
        <w:t xml:space="preserve">a critical reflection on the framework proposed and </w:t>
      </w:r>
      <w:r w:rsidR="005B47F8" w:rsidRPr="006F0650">
        <w:t>present the broad outline of a methodological approach which can complement the framework as a means</w:t>
      </w:r>
      <w:r w:rsidRPr="006F0650">
        <w:t xml:space="preserve"> to </w:t>
      </w:r>
      <w:r w:rsidRPr="00235A72">
        <w:t>focus research and learning in a</w:t>
      </w:r>
      <w:r w:rsidRPr="00E9728D">
        <w:t xml:space="preserve"> traditionally rarely explored</w:t>
      </w:r>
      <w:r w:rsidRPr="00235A72">
        <w:t xml:space="preserve"> area of impact assessment.</w:t>
      </w:r>
    </w:p>
    <w:p w14:paraId="31FDD148" w14:textId="77777777" w:rsidR="002B54A4" w:rsidRDefault="002B54A4" w:rsidP="00C67B67">
      <w:pPr>
        <w:widowControl w:val="0"/>
        <w:autoSpaceDE w:val="0"/>
        <w:autoSpaceDN w:val="0"/>
        <w:adjustRightInd w:val="0"/>
      </w:pPr>
    </w:p>
    <w:p w14:paraId="24ECD383" w14:textId="77777777" w:rsidR="00AB247F" w:rsidRDefault="00AB247F" w:rsidP="00C67B67">
      <w:pPr>
        <w:widowControl w:val="0"/>
        <w:autoSpaceDE w:val="0"/>
        <w:autoSpaceDN w:val="0"/>
        <w:adjustRightInd w:val="0"/>
      </w:pPr>
    </w:p>
    <w:p w14:paraId="1F91FA8E" w14:textId="3C50092E" w:rsidR="00B8067E" w:rsidRPr="00920639" w:rsidRDefault="00EC2F4F" w:rsidP="00C67B67">
      <w:pPr>
        <w:widowControl w:val="0"/>
        <w:autoSpaceDE w:val="0"/>
        <w:autoSpaceDN w:val="0"/>
        <w:adjustRightInd w:val="0"/>
        <w:rPr>
          <w:b/>
        </w:rPr>
      </w:pPr>
      <w:r w:rsidRPr="00920639">
        <w:rPr>
          <w:b/>
        </w:rPr>
        <w:t xml:space="preserve">2. Demonstrating </w:t>
      </w:r>
      <w:r w:rsidR="00FB3DC8" w:rsidRPr="00920639">
        <w:rPr>
          <w:b/>
        </w:rPr>
        <w:t xml:space="preserve">the benefits of impact assessment </w:t>
      </w:r>
      <w:r w:rsidRPr="00920639">
        <w:rPr>
          <w:b/>
        </w:rPr>
        <w:t xml:space="preserve">– an overview of progress to date </w:t>
      </w:r>
    </w:p>
    <w:p w14:paraId="3E45E32B" w14:textId="77777777" w:rsidR="00B8067E" w:rsidRDefault="00B8067E" w:rsidP="00C67B67">
      <w:pPr>
        <w:widowControl w:val="0"/>
        <w:autoSpaceDE w:val="0"/>
        <w:autoSpaceDN w:val="0"/>
        <w:adjustRightInd w:val="0"/>
      </w:pPr>
    </w:p>
    <w:p w14:paraId="5F5DDDC3" w14:textId="7A50FD11" w:rsidR="00DB70B9" w:rsidRDefault="00AB247F" w:rsidP="00C67B67">
      <w:pPr>
        <w:widowControl w:val="0"/>
        <w:autoSpaceDE w:val="0"/>
        <w:autoSpaceDN w:val="0"/>
        <w:adjustRightInd w:val="0"/>
        <w:rPr>
          <w:szCs w:val="24"/>
        </w:rPr>
      </w:pPr>
      <w:r>
        <w:t xml:space="preserve">It is not our intention to reproduce or attempt to summarise the scope of viewpoints and ways of framing or investigating the benefits of impact assessment in the previously published work here. We are supportive and appreciative of this important body of work. However, </w:t>
      </w:r>
      <w:r w:rsidRPr="00D05F3D">
        <w:t xml:space="preserve">our sense is that, like Brown and McDonald (1995) essentially cautioned, studies of the benefits and effectiveness of </w:t>
      </w:r>
      <w:r w:rsidRPr="006C2F37">
        <w:t>impact</w:t>
      </w:r>
      <w:r w:rsidRPr="00D05F3D">
        <w:t xml:space="preserve"> assessme</w:t>
      </w:r>
      <w:r w:rsidRPr="006C2F37">
        <w:t>nt processes have re</w:t>
      </w:r>
      <w:r w:rsidRPr="00D05F3D">
        <w:t xml:space="preserve">mained largely as academic exercises carried out by researchers typically operating independently. We recognise that practitioners frequently report on successful impact assessment practice case studies at events such as the annual </w:t>
      </w:r>
      <w:r w:rsidR="00FC3B38">
        <w:t>International Association for Impact Assessment (</w:t>
      </w:r>
      <w:r w:rsidRPr="00D05F3D">
        <w:t>IAIA</w:t>
      </w:r>
      <w:r w:rsidR="00FC3B38">
        <w:t>)</w:t>
      </w:r>
      <w:r w:rsidRPr="00D05F3D">
        <w:t xml:space="preserve"> conference</w:t>
      </w:r>
      <w:r w:rsidR="00595439">
        <w:t>s</w:t>
      </w:r>
      <w:r w:rsidRPr="00D05F3D">
        <w:t xml:space="preserve">, but no sense of a united vision around the benefits of impact assessment has emerged to date. </w:t>
      </w:r>
      <w:proofErr w:type="spellStart"/>
      <w:r>
        <w:t>Oosterhuis</w:t>
      </w:r>
      <w:proofErr w:type="spellEnd"/>
      <w:r>
        <w:t xml:space="preserve"> (2007, p11) reported that </w:t>
      </w:r>
      <w:r w:rsidR="00595439">
        <w:rPr>
          <w:szCs w:val="24"/>
        </w:rPr>
        <w:t>he</w:t>
      </w:r>
      <w:r w:rsidRPr="00384854">
        <w:rPr>
          <w:szCs w:val="24"/>
        </w:rPr>
        <w:t xml:space="preserve"> had: "not encountered any studies trying to estimate the environmental benefits of EIA in terms of the (quantified or even monetized) environmental improvement (or prevention of environmental damage) that can be attributed to the EIA procedure". In the face of the perceiv</w:t>
      </w:r>
      <w:r w:rsidR="00920639">
        <w:rPr>
          <w:szCs w:val="24"/>
        </w:rPr>
        <w:t>ed threats to impact assessment</w:t>
      </w:r>
      <w:r w:rsidRPr="00384854">
        <w:rPr>
          <w:szCs w:val="24"/>
        </w:rPr>
        <w:t xml:space="preserve"> we identified at the outset of this paper, we would like to see a more concerted</w:t>
      </w:r>
      <w:r w:rsidRPr="00D05F3D">
        <w:t xml:space="preserve"> ef</w:t>
      </w:r>
      <w:r w:rsidRPr="00FC3B38">
        <w:rPr>
          <w:szCs w:val="24"/>
        </w:rPr>
        <w:t xml:space="preserve">fort, and especially targeted towards understanding impact assessment benefits for proponents. </w:t>
      </w:r>
      <w:r w:rsidR="00DB70B9">
        <w:rPr>
          <w:szCs w:val="24"/>
        </w:rPr>
        <w:t xml:space="preserve">In saying this we acknowledge that we have an open ended understanding of the range of potential benefits and </w:t>
      </w:r>
      <w:r w:rsidR="00FD4B16">
        <w:rPr>
          <w:szCs w:val="24"/>
        </w:rPr>
        <w:t>are reluctant to define benefits in any fixed way</w:t>
      </w:r>
      <w:r w:rsidR="00DB70B9">
        <w:rPr>
          <w:szCs w:val="24"/>
        </w:rPr>
        <w:t>.</w:t>
      </w:r>
      <w:r w:rsidR="00FD4B16">
        <w:rPr>
          <w:szCs w:val="24"/>
        </w:rPr>
        <w:t xml:space="preserve"> This is different from the </w:t>
      </w:r>
      <w:r w:rsidR="00A16E9B">
        <w:rPr>
          <w:szCs w:val="24"/>
        </w:rPr>
        <w:t>understanding of</w:t>
      </w:r>
      <w:r w:rsidR="00FD4B16">
        <w:rPr>
          <w:szCs w:val="24"/>
        </w:rPr>
        <w:t xml:space="preserve"> effectiveness which is specifically linked to </w:t>
      </w:r>
      <w:r w:rsidR="00A16E9B">
        <w:rPr>
          <w:szCs w:val="24"/>
        </w:rPr>
        <w:t>a</w:t>
      </w:r>
      <w:r w:rsidR="00FD4B16">
        <w:rPr>
          <w:szCs w:val="24"/>
        </w:rPr>
        <w:t xml:space="preserve"> particular </w:t>
      </w:r>
      <w:r w:rsidR="00A16E9B">
        <w:rPr>
          <w:szCs w:val="24"/>
        </w:rPr>
        <w:t>definition</w:t>
      </w:r>
      <w:r w:rsidR="00FD4B16">
        <w:rPr>
          <w:szCs w:val="24"/>
        </w:rPr>
        <w:t xml:space="preserve"> of the nature and purpose of impact assessment</w:t>
      </w:r>
      <w:r w:rsidR="00A16E9B">
        <w:rPr>
          <w:szCs w:val="24"/>
        </w:rPr>
        <w:t xml:space="preserve"> within different contexts</w:t>
      </w:r>
      <w:r w:rsidR="00FD4B16">
        <w:rPr>
          <w:szCs w:val="24"/>
        </w:rPr>
        <w:t xml:space="preserve">, as pointed out by </w:t>
      </w:r>
      <w:proofErr w:type="spellStart"/>
      <w:r w:rsidR="00FD4B16">
        <w:rPr>
          <w:szCs w:val="24"/>
        </w:rPr>
        <w:t>Elling</w:t>
      </w:r>
      <w:proofErr w:type="spellEnd"/>
      <w:r w:rsidR="00FD4B16">
        <w:rPr>
          <w:szCs w:val="24"/>
        </w:rPr>
        <w:t xml:space="preserve"> (2009)</w:t>
      </w:r>
      <w:r w:rsidR="00A16E9B">
        <w:rPr>
          <w:szCs w:val="24"/>
        </w:rPr>
        <w:t xml:space="preserve"> and </w:t>
      </w:r>
      <w:r w:rsidR="00920639">
        <w:rPr>
          <w:szCs w:val="24"/>
        </w:rPr>
        <w:t>echoed</w:t>
      </w:r>
      <w:r w:rsidR="00A16E9B">
        <w:rPr>
          <w:szCs w:val="24"/>
        </w:rPr>
        <w:t xml:space="preserve"> by Morgan (2012)</w:t>
      </w:r>
      <w:r w:rsidR="00FD4B16">
        <w:rPr>
          <w:szCs w:val="24"/>
        </w:rPr>
        <w:t>.</w:t>
      </w:r>
    </w:p>
    <w:p w14:paraId="4886AD6B" w14:textId="77777777" w:rsidR="00DB70B9" w:rsidRDefault="00DB70B9" w:rsidP="00C67B67">
      <w:pPr>
        <w:widowControl w:val="0"/>
        <w:autoSpaceDE w:val="0"/>
        <w:autoSpaceDN w:val="0"/>
        <w:adjustRightInd w:val="0"/>
        <w:rPr>
          <w:szCs w:val="24"/>
        </w:rPr>
      </w:pPr>
    </w:p>
    <w:p w14:paraId="42B78335" w14:textId="11BD56C3" w:rsidR="00AB247F" w:rsidRPr="00DB70B9" w:rsidRDefault="00AB247F" w:rsidP="00AB247F">
      <w:pPr>
        <w:widowControl w:val="0"/>
        <w:autoSpaceDE w:val="0"/>
        <w:autoSpaceDN w:val="0"/>
        <w:adjustRightInd w:val="0"/>
      </w:pPr>
      <w:r w:rsidRPr="00FC3B38">
        <w:rPr>
          <w:szCs w:val="24"/>
        </w:rPr>
        <w:t xml:space="preserve">In relation to our </w:t>
      </w:r>
      <w:r w:rsidR="00595439">
        <w:rPr>
          <w:szCs w:val="24"/>
        </w:rPr>
        <w:t>rationale</w:t>
      </w:r>
      <w:r w:rsidRPr="00FC3B38">
        <w:rPr>
          <w:szCs w:val="24"/>
        </w:rPr>
        <w:t xml:space="preserve"> for writing this paper, we also note that the messages around the benefits of impact assessment do not appear to be reaching all stakeholders. Upon reflection on the literatu</w:t>
      </w:r>
      <w:r>
        <w:t>re, we can identify several explanations for why this might be the case.</w:t>
      </w:r>
      <w:r w:rsidR="00DB70B9">
        <w:t xml:space="preserve">  </w:t>
      </w:r>
      <w:r>
        <w:t>We begin by reiterating two points made by Brown and McDonald (1995) that would appear to remain relevant today just as much as they did two decades ago. Firstly they stated that: '</w:t>
      </w:r>
      <w:r w:rsidRPr="00244C81">
        <w:t>Measuring the effectiveness and efficiency of EA are critical to assessing its achievements, but even after two decades of experience [i.e. now four decades], this is difficult because the necessary research has not been done</w:t>
      </w:r>
      <w:r>
        <w:t>' (p67). The implication here is that there is more discussion around how to determine impact assessment effectiveness in a theoretical sense, rather than empirical studies that apply the models that have been advanced. Secondly Brown and McDonald (1995) observed that extant effectiveness studies were generated from within the impact assessment community of practitioners, '</w:t>
      </w:r>
      <w:r w:rsidRPr="006028C3">
        <w:t>without the concomitant fundamental post-audit investigations required and input from other players</w:t>
      </w:r>
      <w:r>
        <w:t xml:space="preserve">' (p67). Whilst we are equally guilty of this limitation within this paper, </w:t>
      </w:r>
      <w:r w:rsidRPr="00920639">
        <w:t xml:space="preserve">our intention is </w:t>
      </w:r>
      <w:r w:rsidRPr="00D635A8">
        <w:t xml:space="preserve">to put forward a simple framework </w:t>
      </w:r>
      <w:r w:rsidR="00920639" w:rsidRPr="00D635A8">
        <w:t>that will enable</w:t>
      </w:r>
      <w:r w:rsidRPr="00D635A8">
        <w:t xml:space="preserve"> the benefits of impact assessment to proponents </w:t>
      </w:r>
      <w:r w:rsidR="00920639" w:rsidRPr="00D635A8">
        <w:t xml:space="preserve">to be investigated and understood </w:t>
      </w:r>
      <w:r w:rsidRPr="00D635A8">
        <w:t>for refinement and advancement by all stakeholders</w:t>
      </w:r>
      <w:r>
        <w:t xml:space="preserve">. While there may be: "widespread consensus that EIA can contribute to significant environmental benefits" as </w:t>
      </w:r>
      <w:proofErr w:type="spellStart"/>
      <w:r>
        <w:t>Oosterhuis</w:t>
      </w:r>
      <w:proofErr w:type="spellEnd"/>
      <w:r>
        <w:t xml:space="preserve"> (2007, p11) claims based upon review of material generated by the impact assessment community, it is only if there is support for impact assessment across a broad section of society, and especially the proponents of development who are required to carry out impact assessment studies, </w:t>
      </w:r>
      <w:r w:rsidRPr="00100D84">
        <w:t>that</w:t>
      </w:r>
      <w:r>
        <w:t xml:space="preserve"> its future </w:t>
      </w:r>
      <w:r w:rsidRPr="00100D84">
        <w:t xml:space="preserve">can </w:t>
      </w:r>
      <w:r>
        <w:t xml:space="preserve">be assured. </w:t>
      </w:r>
      <w:r w:rsidR="001B4443">
        <w:t xml:space="preserve">Thus it is essential that the benefits to other stakeholders, and particularly </w:t>
      </w:r>
      <w:r w:rsidR="00F57904">
        <w:t>to</w:t>
      </w:r>
      <w:r w:rsidR="001B4443">
        <w:t xml:space="preserve"> </w:t>
      </w:r>
      <w:r w:rsidR="001B4443" w:rsidRPr="00D635A8">
        <w:t xml:space="preserve">proponents, be </w:t>
      </w:r>
      <w:r w:rsidR="00920639" w:rsidRPr="00D635A8">
        <w:t xml:space="preserve">investigated, evaluated and </w:t>
      </w:r>
      <w:r w:rsidR="001B4443" w:rsidRPr="00D635A8">
        <w:t>demonstrated</w:t>
      </w:r>
      <w:r w:rsidR="00920639" w:rsidRPr="00D635A8">
        <w:t xml:space="preserve">; the framework we put forward points to </w:t>
      </w:r>
      <w:r w:rsidR="00526D57" w:rsidRPr="00D635A8">
        <w:t xml:space="preserve">a staged methodological approach for </w:t>
      </w:r>
      <w:r w:rsidR="00526D57" w:rsidRPr="00D635A8">
        <w:lastRenderedPageBreak/>
        <w:t>doing this</w:t>
      </w:r>
      <w:r w:rsidR="001B4443" w:rsidRPr="00D635A8">
        <w:t>.</w:t>
      </w:r>
      <w:r w:rsidR="001B4443">
        <w:t xml:space="preserve"> </w:t>
      </w:r>
    </w:p>
    <w:p w14:paraId="7467871E" w14:textId="77777777" w:rsidR="00AB247F" w:rsidRPr="00235A72" w:rsidRDefault="00AB247F" w:rsidP="00C67B67">
      <w:pPr>
        <w:widowControl w:val="0"/>
        <w:autoSpaceDE w:val="0"/>
        <w:autoSpaceDN w:val="0"/>
        <w:adjustRightInd w:val="0"/>
      </w:pPr>
    </w:p>
    <w:p w14:paraId="72B5A64C" w14:textId="0FF4DD1F" w:rsidR="00EE527A" w:rsidRPr="00AB0CAC" w:rsidRDefault="00EE527A" w:rsidP="00EE527A">
      <w:pPr>
        <w:widowControl w:val="0"/>
        <w:autoSpaceDE w:val="0"/>
        <w:autoSpaceDN w:val="0"/>
        <w:adjustRightInd w:val="0"/>
      </w:pPr>
      <w:r>
        <w:t xml:space="preserve">We are aware of some research recording proponent support for impact assessment. For example Annandale and </w:t>
      </w:r>
      <w:proofErr w:type="spellStart"/>
      <w:r>
        <w:t>Taplin</w:t>
      </w:r>
      <w:proofErr w:type="spellEnd"/>
      <w:r>
        <w:t xml:space="preserve"> (2003) </w:t>
      </w:r>
      <w:r w:rsidR="00F57904">
        <w:t>reported that</w:t>
      </w:r>
      <w:r>
        <w:t xml:space="preserve"> the majority of senior mining company executives from Australia and Canada in their study </w:t>
      </w:r>
      <w:r w:rsidR="00F57904">
        <w:t>saw</w:t>
      </w:r>
      <w:r>
        <w:t xml:space="preserve"> impact assessment as a "</w:t>
      </w:r>
      <w:r w:rsidRPr="002C16CF">
        <w:t>catalyst for integrating environmental design into the early planning of a project, thereby alleviating the need to spend money on overcoming environmental problems once a poorly designed project has been commissioned" (p383)</w:t>
      </w:r>
      <w:r>
        <w:t xml:space="preserve">. Similarly a survey of proponents reported both direct and indirect effects of the federal environmental impact assessment regime in Australia to be an important driver of environmental benefits realised through the process (Macintosh, 2010). Anecdotally we have heard proponents to declare that obtaining an impact assessment approval is </w:t>
      </w:r>
      <w:r w:rsidR="002C5E4E">
        <w:t xml:space="preserve">an </w:t>
      </w:r>
      <w:r>
        <w:t xml:space="preserve">important business outcome with respect to obtaining finance for new development ventures. This underscores the value presumably attributed to impact assessment by the major international </w:t>
      </w:r>
      <w:r w:rsidR="000A19AD">
        <w:t>financial institutions</w:t>
      </w:r>
      <w:r>
        <w:t xml:space="preserve"> as evidenced </w:t>
      </w:r>
      <w:r w:rsidR="000A19AD">
        <w:t>by their establishment of</w:t>
      </w:r>
      <w:r>
        <w:t xml:space="preserve"> th</w:t>
      </w:r>
      <w:r w:rsidRPr="00D23E33">
        <w:t xml:space="preserve">eir own voluntary </w:t>
      </w:r>
      <w:r w:rsidR="000A19AD">
        <w:t>E</w:t>
      </w:r>
      <w:r w:rsidRPr="00D23E33">
        <w:t xml:space="preserve">quator </w:t>
      </w:r>
      <w:r w:rsidR="000A19AD">
        <w:t>P</w:t>
      </w:r>
      <w:r w:rsidRPr="00D23E33">
        <w:t xml:space="preserve">rinciples, which </w:t>
      </w:r>
      <w:r w:rsidR="000A19AD">
        <w:t>require impact assessment to be undertaken</w:t>
      </w:r>
      <w:r w:rsidRPr="00D23E33">
        <w:t xml:space="preserve"> should a recipient country for a funded development project not have an adeq</w:t>
      </w:r>
      <w:r w:rsidRPr="00AB0CAC">
        <w:t xml:space="preserve">uate system already in </w:t>
      </w:r>
      <w:r w:rsidR="000A19AD">
        <w:t>place</w:t>
      </w:r>
      <w:r w:rsidR="000A19AD" w:rsidRPr="00AB0CAC">
        <w:t xml:space="preserve"> </w:t>
      </w:r>
      <w:r w:rsidRPr="00AB0CAC">
        <w:t>(</w:t>
      </w:r>
      <w:proofErr w:type="spellStart"/>
      <w:r w:rsidRPr="00AB0CAC">
        <w:t>Macve</w:t>
      </w:r>
      <w:proofErr w:type="spellEnd"/>
      <w:r w:rsidRPr="00AB0CAC">
        <w:t xml:space="preserve"> and Chen, 2010). It also aligns with an identified benefit of impact assessment associated with the "legitimation of sound projects" (</w:t>
      </w:r>
      <w:proofErr w:type="spellStart"/>
      <w:r w:rsidRPr="00AB0CAC">
        <w:t>Ortolano</w:t>
      </w:r>
      <w:proofErr w:type="spellEnd"/>
      <w:r w:rsidRPr="00AB0CAC">
        <w:t xml:space="preserve"> and Shepherd, 1995, p9). The strongest advocacy we are aware of for the business benefits of impact assessment comes from Annandale and </w:t>
      </w:r>
      <w:proofErr w:type="spellStart"/>
      <w:r w:rsidRPr="00AB0CAC">
        <w:t>Taplin</w:t>
      </w:r>
      <w:proofErr w:type="spellEnd"/>
      <w:r w:rsidRPr="00AB0CAC">
        <w:t xml:space="preserve"> (2003) who reported that representatives from a significant majority of proponent companies in their survey: "indicated that the environmental approvals process should be considered to be an important determinant of investment strategy" (p392). </w:t>
      </w:r>
    </w:p>
    <w:p w14:paraId="3DB99D6F" w14:textId="77777777" w:rsidR="00EE527A" w:rsidRPr="00AB0CAC" w:rsidRDefault="00EE527A" w:rsidP="00EE527A">
      <w:pPr>
        <w:widowControl w:val="0"/>
        <w:autoSpaceDE w:val="0"/>
        <w:autoSpaceDN w:val="0"/>
        <w:adjustRightInd w:val="0"/>
      </w:pPr>
    </w:p>
    <w:p w14:paraId="14D96D7D" w14:textId="20DCEE3A" w:rsidR="00EE527A" w:rsidRPr="00FE4F41" w:rsidRDefault="00EE527A" w:rsidP="00EE527A">
      <w:pPr>
        <w:widowControl w:val="0"/>
        <w:autoSpaceDE w:val="0"/>
        <w:autoSpaceDN w:val="0"/>
        <w:adjustRightInd w:val="0"/>
        <w:rPr>
          <w:color w:val="0000FF"/>
        </w:rPr>
      </w:pPr>
      <w:r w:rsidRPr="00AB0CAC">
        <w:t xml:space="preserve">It is interesting to note that there seems to be a presumption in some circles that impact assessment is automatically assumed to be considered to be an overall cost burden to proponents rather than offering net benefit. Perhaps this is best illustrated in terminology employed in recent years describing impact assessment as 'green tape' (e.g. Middle et al 2013) or calling for 'streamlining' of processes because of perceived impediments to business (e.g. Morrison-Saunders et al 2014). Also of concern is an apparent bias in the framing of studies that do investigate the perceptions of proponents regarding impact assessment costs and benefits. For example, Annandale and </w:t>
      </w:r>
      <w:proofErr w:type="spellStart"/>
      <w:r w:rsidRPr="00AB0CAC">
        <w:t>Taplin</w:t>
      </w:r>
      <w:proofErr w:type="spellEnd"/>
      <w:r w:rsidRPr="00AB0CAC">
        <w:t xml:space="preserve"> (2004) drew attention to two industry studies within Australia from the early 1990s that: "were clearly designed with an underlying assumption that environmental approvals regulation is a cost burden" (p393) while Macintosh (2010) posed: "leading questions on cost-effectiveness" (p186) of impact assessment to proponents with several explicitly about aspects such as costs of referral, assessment, delay and compl</w:t>
      </w:r>
      <w:r w:rsidR="00427B4A" w:rsidRPr="00F173A0">
        <w:t>iance</w:t>
      </w:r>
      <w:r w:rsidRPr="00AB0CAC">
        <w:t xml:space="preserve"> </w:t>
      </w:r>
      <w:r w:rsidR="00F173A0">
        <w:t>in relation to</w:t>
      </w:r>
      <w:r w:rsidRPr="00AB0CAC">
        <w:t xml:space="preserve"> the federal Australian impact assessment regime, but no question was put to them specifically regarding benefits of the process. In this context, the conclusions of Annandale and </w:t>
      </w:r>
      <w:proofErr w:type="spellStart"/>
      <w:r w:rsidRPr="00AB0CAC">
        <w:t>Taplin</w:t>
      </w:r>
      <w:proofErr w:type="spellEnd"/>
      <w:r w:rsidRPr="00AB0CAC">
        <w:t xml:space="preserve"> (2004) outlined previously regarding overwhelming support </w:t>
      </w:r>
      <w:r w:rsidR="00AB0CAC" w:rsidRPr="00AB0CAC">
        <w:t xml:space="preserve">by proponents </w:t>
      </w:r>
      <w:r w:rsidRPr="00AB0CAC">
        <w:t xml:space="preserve">for impact assessment are refreshing (and </w:t>
      </w:r>
      <w:r w:rsidR="00F57904">
        <w:t>these authors</w:t>
      </w:r>
      <w:r w:rsidRPr="00AB0CAC">
        <w:t xml:space="preserve"> very clearly expressed their methodology and sample size to demonstrate the robustness of their investigation). Naturally, we would like to see suitably neutral or well-balanced future research carried out in this area, and we </w:t>
      </w:r>
      <w:r w:rsidR="003C126A">
        <w:t>re-broadcast</w:t>
      </w:r>
      <w:r w:rsidRPr="00AB0CAC">
        <w:t xml:space="preserve"> the statement of Annandale and </w:t>
      </w:r>
      <w:proofErr w:type="spellStart"/>
      <w:r w:rsidRPr="00AB0CAC">
        <w:t>Taplin</w:t>
      </w:r>
      <w:proofErr w:type="spellEnd"/>
      <w:r w:rsidRPr="00AB0CAC">
        <w:t xml:space="preserve"> (2004, p395) that "it would appear relevant for further research to focus in more detail on why it was that companies viewed EIA as a 'benefit'". </w:t>
      </w:r>
    </w:p>
    <w:p w14:paraId="744A16CB" w14:textId="77777777" w:rsidR="00EE527A" w:rsidRDefault="00EE527A" w:rsidP="00C67B67">
      <w:pPr>
        <w:widowControl w:val="0"/>
        <w:autoSpaceDE w:val="0"/>
        <w:autoSpaceDN w:val="0"/>
        <w:adjustRightInd w:val="0"/>
      </w:pPr>
    </w:p>
    <w:p w14:paraId="2D77A41C" w14:textId="63BA4AD0" w:rsidR="0036251E" w:rsidRDefault="0036251E" w:rsidP="00C67B67">
      <w:pPr>
        <w:widowControl w:val="0"/>
        <w:autoSpaceDE w:val="0"/>
        <w:autoSpaceDN w:val="0"/>
        <w:adjustRightInd w:val="0"/>
      </w:pPr>
      <w:r w:rsidRPr="00FE4F41">
        <w:t>As suggested above, some of the mo</w:t>
      </w:r>
      <w:r>
        <w:t xml:space="preserve">dels for explaining how impact assessment works in practice (e.g. Bartlett and Kurian, 1999) or for determining effectiveness (e.g.  </w:t>
      </w:r>
      <w:proofErr w:type="spellStart"/>
      <w:r w:rsidRPr="006B46BE">
        <w:t>Chanchitpricha</w:t>
      </w:r>
      <w:proofErr w:type="spellEnd"/>
      <w:r w:rsidRPr="006B46BE">
        <w:t xml:space="preserve"> and Bond, 2013)</w:t>
      </w:r>
      <w:r>
        <w:t xml:space="preserve">, even simply lists of the benefits of impact assessment (e.g. McDonald and Brown, 1995; </w:t>
      </w:r>
      <w:proofErr w:type="spellStart"/>
      <w:r>
        <w:t>Ortolano</w:t>
      </w:r>
      <w:proofErr w:type="spellEnd"/>
      <w:r>
        <w:t xml:space="preserve"> and Shepherd, 1995; </w:t>
      </w:r>
      <w:proofErr w:type="spellStart"/>
      <w:r>
        <w:t>Oosterhuis</w:t>
      </w:r>
      <w:proofErr w:type="spellEnd"/>
      <w:r>
        <w:t xml:space="preserve">, 2007) involve multiple topics or divisions of investigation, sometimes each containing further criteria or sub-topics to consider. </w:t>
      </w:r>
      <w:r w:rsidR="002C5E4E">
        <w:t>We speculate that p</w:t>
      </w:r>
      <w:r>
        <w:t>erhaps the complexity of existing frameworks for determining the benefits of impact assessment inhibits uptake by researchers and practition</w:t>
      </w:r>
      <w:r w:rsidR="002C5E4E">
        <w:t>ers.</w:t>
      </w:r>
    </w:p>
    <w:p w14:paraId="5F8F6D2D" w14:textId="77777777" w:rsidR="005C71F7" w:rsidRDefault="005C71F7" w:rsidP="00C67B67">
      <w:pPr>
        <w:widowControl w:val="0"/>
        <w:autoSpaceDE w:val="0"/>
        <w:autoSpaceDN w:val="0"/>
        <w:adjustRightInd w:val="0"/>
      </w:pPr>
    </w:p>
    <w:p w14:paraId="1C5C4F29" w14:textId="77FABA23" w:rsidR="005C71F7" w:rsidRPr="002C5E4E" w:rsidRDefault="005C71F7" w:rsidP="00C67B67">
      <w:pPr>
        <w:widowControl w:val="0"/>
        <w:autoSpaceDE w:val="0"/>
        <w:autoSpaceDN w:val="0"/>
        <w:adjustRightInd w:val="0"/>
      </w:pPr>
      <w:r w:rsidRPr="002C5E4E">
        <w:t>We return to the subject of the demonstrated benefits of impact assessment in Section 5 where we use examples from the literature to populate and hence demonstrate the use of our framework.</w:t>
      </w:r>
    </w:p>
    <w:p w14:paraId="598C15F6" w14:textId="77777777" w:rsidR="0036251E" w:rsidRDefault="0036251E" w:rsidP="00C67B67">
      <w:pPr>
        <w:widowControl w:val="0"/>
        <w:autoSpaceDE w:val="0"/>
        <w:autoSpaceDN w:val="0"/>
        <w:adjustRightInd w:val="0"/>
      </w:pPr>
    </w:p>
    <w:p w14:paraId="0A514170" w14:textId="77777777" w:rsidR="00C67B67" w:rsidRPr="00235A72" w:rsidRDefault="00C67B67" w:rsidP="00C67B67"/>
    <w:p w14:paraId="347866B7" w14:textId="6EA3D3A3" w:rsidR="005671F1" w:rsidRPr="00235A72" w:rsidRDefault="007C580B" w:rsidP="005671F1">
      <w:pPr>
        <w:rPr>
          <w:b/>
        </w:rPr>
      </w:pPr>
      <w:r>
        <w:rPr>
          <w:b/>
        </w:rPr>
        <w:t>3</w:t>
      </w:r>
      <w:r w:rsidR="005671F1" w:rsidRPr="00235A72">
        <w:rPr>
          <w:b/>
        </w:rPr>
        <w:t>. Frameworks for determining benefits</w:t>
      </w:r>
    </w:p>
    <w:p w14:paraId="0A094869" w14:textId="77777777" w:rsidR="005671F1" w:rsidRPr="00235A72" w:rsidRDefault="005671F1" w:rsidP="005671F1"/>
    <w:p w14:paraId="212B9407" w14:textId="137855A6" w:rsidR="005671F1" w:rsidRPr="00235A72" w:rsidRDefault="005671F1" w:rsidP="005671F1">
      <w:pPr>
        <w:widowControl w:val="0"/>
        <w:autoSpaceDE w:val="0"/>
        <w:autoSpaceDN w:val="0"/>
        <w:adjustRightInd w:val="0"/>
      </w:pPr>
      <w:r w:rsidRPr="00235A72">
        <w:t xml:space="preserve">To clarify our thinking on how best to synthesise notions of the benefits of impact assessment into a simple framework that is cognitively manageable, we found it useful to turn to the business and management literature. Experience has been gained in this field around how to account for </w:t>
      </w:r>
      <w:r w:rsidR="0003620A">
        <w:t>intangible</w:t>
      </w:r>
      <w:r w:rsidR="0003620A" w:rsidRPr="00235A72">
        <w:t xml:space="preserve"> </w:t>
      </w:r>
      <w:r w:rsidRPr="00235A72">
        <w:t xml:space="preserve">as well as </w:t>
      </w:r>
      <w:r w:rsidR="0003620A">
        <w:t>tangible</w:t>
      </w:r>
      <w:r w:rsidR="0003620A" w:rsidRPr="00235A72">
        <w:t xml:space="preserve"> </w:t>
      </w:r>
      <w:r w:rsidRPr="00235A72">
        <w:t>benefits, in this instance for companies investing in new information systems infrastructure</w:t>
      </w:r>
      <w:r w:rsidR="002C5E4E">
        <w:t xml:space="preserve">. </w:t>
      </w:r>
      <w:r w:rsidR="00235A72" w:rsidRPr="00235A72">
        <w:t>In the business and management literature</w:t>
      </w:r>
      <w:r w:rsidRPr="00235A72">
        <w:t xml:space="preserve"> there is significant focus on tangible versus intangible benefits with a recognition that both need to be measured to fully account for the benefits of system development</w:t>
      </w:r>
      <w:r w:rsidR="00060472">
        <w:t>.</w:t>
      </w:r>
      <w:r w:rsidRPr="00235A72">
        <w:t xml:space="preserve"> </w:t>
      </w:r>
      <w:proofErr w:type="spellStart"/>
      <w:r w:rsidRPr="00235A72">
        <w:t>Remenyi</w:t>
      </w:r>
      <w:proofErr w:type="spellEnd"/>
      <w:r w:rsidRPr="00235A72">
        <w:t xml:space="preserve"> (et al, 2007) employs the following definitions: </w:t>
      </w:r>
    </w:p>
    <w:p w14:paraId="1FDA86A5" w14:textId="1585FDDA" w:rsidR="005671F1" w:rsidRPr="00F534B1" w:rsidRDefault="005671F1" w:rsidP="005671F1">
      <w:pPr>
        <w:widowControl w:val="0"/>
        <w:autoSpaceDE w:val="0"/>
        <w:autoSpaceDN w:val="0"/>
        <w:adjustRightInd w:val="0"/>
        <w:ind w:left="720"/>
        <w:rPr>
          <w:sz w:val="22"/>
          <w:szCs w:val="22"/>
        </w:rPr>
      </w:pPr>
      <w:r w:rsidRPr="00F534B1">
        <w:rPr>
          <w:sz w:val="22"/>
          <w:szCs w:val="22"/>
        </w:rPr>
        <w:t>"</w:t>
      </w:r>
      <w:proofErr w:type="gramStart"/>
      <w:r w:rsidRPr="00F534B1">
        <w:rPr>
          <w:sz w:val="22"/>
          <w:szCs w:val="22"/>
        </w:rPr>
        <w:t>a</w:t>
      </w:r>
      <w:proofErr w:type="gramEnd"/>
      <w:r w:rsidRPr="00F534B1">
        <w:rPr>
          <w:sz w:val="22"/>
          <w:szCs w:val="22"/>
        </w:rPr>
        <w:t xml:space="preserve"> tangible benefit is one that directly affects the organization’s bottom line [i.e. profitability] and an intangible benefit does not. An intangible benefit has </w:t>
      </w:r>
      <w:r w:rsidRPr="00215B8F">
        <w:rPr>
          <w:sz w:val="22"/>
          <w:szCs w:val="22"/>
        </w:rPr>
        <w:t>an indirect impact o</w:t>
      </w:r>
      <w:r w:rsidRPr="00F534B1">
        <w:rPr>
          <w:sz w:val="22"/>
          <w:szCs w:val="22"/>
        </w:rPr>
        <w:t>n the organization’s productivity and performance" (</w:t>
      </w:r>
      <w:proofErr w:type="spellStart"/>
      <w:r w:rsidRPr="00F534B1">
        <w:rPr>
          <w:sz w:val="22"/>
          <w:szCs w:val="22"/>
        </w:rPr>
        <w:t>Remenyi</w:t>
      </w:r>
      <w:proofErr w:type="spellEnd"/>
      <w:r w:rsidRPr="00F534B1">
        <w:rPr>
          <w:sz w:val="22"/>
          <w:szCs w:val="22"/>
        </w:rPr>
        <w:t xml:space="preserve"> et al, 2007, p28).</w:t>
      </w:r>
    </w:p>
    <w:p w14:paraId="38C8BEF9" w14:textId="77777777" w:rsidR="00060472" w:rsidRDefault="00060472" w:rsidP="005671F1">
      <w:pPr>
        <w:widowControl w:val="0"/>
        <w:autoSpaceDE w:val="0"/>
        <w:autoSpaceDN w:val="0"/>
        <w:adjustRightInd w:val="0"/>
      </w:pPr>
    </w:p>
    <w:p w14:paraId="1D6C20F7" w14:textId="22DB2031" w:rsidR="005671F1" w:rsidRPr="009F5343" w:rsidRDefault="005671F1" w:rsidP="005671F1">
      <w:pPr>
        <w:widowControl w:val="0"/>
        <w:autoSpaceDE w:val="0"/>
        <w:autoSpaceDN w:val="0"/>
        <w:adjustRightInd w:val="0"/>
        <w:rPr>
          <w:color w:val="3366FF"/>
        </w:rPr>
      </w:pPr>
      <w:r w:rsidRPr="00235A72">
        <w:t xml:space="preserve">In a similar vein, </w:t>
      </w:r>
      <w:proofErr w:type="spellStart"/>
      <w:r w:rsidRPr="00235A72">
        <w:t>Irani</w:t>
      </w:r>
      <w:proofErr w:type="spellEnd"/>
      <w:r w:rsidRPr="00235A72">
        <w:t xml:space="preserve"> and Love (2001) developed a taxonomy for classifying benefits based on Financial, Non-Financial and Partly/Totally Intangible benefits, and throughout their paper they employ the expression "intangible and nonfinancial benefits and costs". As might be expected, all of these authors </w:t>
      </w:r>
      <w:r w:rsidR="00060472">
        <w:t xml:space="preserve">we have cited </w:t>
      </w:r>
      <w:r w:rsidRPr="00235A72">
        <w:t xml:space="preserve">report that intangible benefits are difficult to measure. Murphy and Simon (2002) cite a similar view from an earlier study by Hares &amp; </w:t>
      </w:r>
      <w:proofErr w:type="spellStart"/>
      <w:r w:rsidRPr="00235A72">
        <w:t>Royle</w:t>
      </w:r>
      <w:proofErr w:type="spellEnd"/>
      <w:r w:rsidRPr="00235A72">
        <w:t xml:space="preserve"> (1994), noting that these authors also argued that the boundary between tangible and intangible benefits is a fuzzy one. This </w:t>
      </w:r>
      <w:r w:rsidR="001F2281">
        <w:t>resonates</w:t>
      </w:r>
      <w:r w:rsidRPr="00235A72">
        <w:t xml:space="preserve"> with impact assessment in that the tangible costs are easy to assess, whereas </w:t>
      </w:r>
      <w:r w:rsidR="00054EBA">
        <w:t>many</w:t>
      </w:r>
      <w:r w:rsidRPr="00235A72">
        <w:t xml:space="preserve"> benefits are largely intangible</w:t>
      </w:r>
      <w:r w:rsidR="00235A72" w:rsidRPr="00235A72">
        <w:t xml:space="preserve">. In the business and management literature, </w:t>
      </w:r>
      <w:r w:rsidRPr="00235A72">
        <w:t xml:space="preserve">Lev and </w:t>
      </w:r>
      <w:proofErr w:type="spellStart"/>
      <w:r w:rsidRPr="00235A72">
        <w:t>Zarowin</w:t>
      </w:r>
      <w:proofErr w:type="spellEnd"/>
      <w:r w:rsidRPr="00235A72">
        <w:t xml:space="preserve"> (1999) note that changes in firms, in this case the investment in information systems: "are immediately expensed, while benefits of change are recorded later and are not matched with the previously expensed investments" (pp353-354). This means that: "the fundamental accounting measurement process of periodically matching costs with revenues is seriously distorted, adversely affecting the </w:t>
      </w:r>
      <w:proofErr w:type="spellStart"/>
      <w:r w:rsidRPr="00235A72">
        <w:t>informativeness</w:t>
      </w:r>
      <w:proofErr w:type="spellEnd"/>
      <w:r w:rsidRPr="00235A72">
        <w:t xml:space="preserve"> of financial information" (Lev and </w:t>
      </w:r>
      <w:proofErr w:type="spellStart"/>
      <w:r w:rsidRPr="00235A72">
        <w:t>Zarowin</w:t>
      </w:r>
      <w:proofErr w:type="spellEnd"/>
      <w:r w:rsidRPr="00235A72">
        <w:t xml:space="preserve"> (1999, p354). By extrapolation it is clear that the same challenge is faced when trying to determine the benefits of impact assessment for proponents. It is easy enough to quantify and account for the financial costs of doing impact assessment (e.g. such as in the work of </w:t>
      </w:r>
      <w:r w:rsidR="00C95F97">
        <w:t xml:space="preserve">Retief and </w:t>
      </w:r>
      <w:proofErr w:type="spellStart"/>
      <w:r w:rsidR="00C95F97">
        <w:t>Chabalala</w:t>
      </w:r>
      <w:proofErr w:type="spellEnd"/>
      <w:r w:rsidR="00C95F97">
        <w:t xml:space="preserve"> 2009 and </w:t>
      </w:r>
      <w:r w:rsidRPr="00235A72">
        <w:t xml:space="preserve">Macintosh, 2010), but less clear whether the benefits of doing impact assessment will ever be </w:t>
      </w:r>
      <w:r w:rsidR="0077616E">
        <w:t>presented</w:t>
      </w:r>
      <w:r w:rsidRPr="00235A72">
        <w:t xml:space="preserve"> in the same terms.</w:t>
      </w:r>
    </w:p>
    <w:p w14:paraId="58395FF9" w14:textId="77777777" w:rsidR="005671F1" w:rsidRDefault="005671F1" w:rsidP="005671F1"/>
    <w:p w14:paraId="2C23AECC" w14:textId="77777777" w:rsidR="005671F1" w:rsidRDefault="005671F1" w:rsidP="005671F1">
      <w:pPr>
        <w:widowControl w:val="0"/>
        <w:autoSpaceDE w:val="0"/>
        <w:autoSpaceDN w:val="0"/>
        <w:adjustRightInd w:val="0"/>
      </w:pPr>
      <w:r>
        <w:t xml:space="preserve">The matter of quantification of intangible benefits receives considerable attention in the business and management literature, for example, as reviewed by Murphy and Simon (2002). They draw upon the work of </w:t>
      </w:r>
      <w:proofErr w:type="spellStart"/>
      <w:r>
        <w:t>Litecky</w:t>
      </w:r>
      <w:proofErr w:type="spellEnd"/>
      <w:r>
        <w:t xml:space="preserve"> (1981) who proposed two assumptions as a precondition to quantifying benefits as follows:</w:t>
      </w:r>
    </w:p>
    <w:p w14:paraId="6FF58BB1" w14:textId="77777777" w:rsidR="005671F1" w:rsidRPr="00BA6DEF" w:rsidRDefault="005671F1" w:rsidP="005671F1">
      <w:pPr>
        <w:widowControl w:val="0"/>
        <w:autoSpaceDE w:val="0"/>
        <w:autoSpaceDN w:val="0"/>
        <w:adjustRightInd w:val="0"/>
        <w:ind w:left="720"/>
        <w:rPr>
          <w:sz w:val="22"/>
          <w:szCs w:val="22"/>
        </w:rPr>
      </w:pPr>
      <w:r w:rsidRPr="00BA6DEF">
        <w:rPr>
          <w:sz w:val="22"/>
          <w:szCs w:val="22"/>
        </w:rPr>
        <w:t>First, both tangible costs and benefits are relatively easy to estimate, whereas intangible benefits are quite difficult to estimate. Secondly, tangible costs are ordinarily much greater than tangible benefits, and intangible costs are often insignificant</w:t>
      </w:r>
      <w:r>
        <w:rPr>
          <w:sz w:val="22"/>
          <w:szCs w:val="22"/>
        </w:rPr>
        <w:t xml:space="preserve"> (Murphy and Simon, 2002, p305)</w:t>
      </w:r>
      <w:r w:rsidRPr="00BA6DEF">
        <w:rPr>
          <w:sz w:val="22"/>
          <w:szCs w:val="22"/>
        </w:rPr>
        <w:t>.</w:t>
      </w:r>
    </w:p>
    <w:p w14:paraId="7DF55D8C" w14:textId="77777777" w:rsidR="00BA3C3F" w:rsidRDefault="00BA3C3F" w:rsidP="005671F1">
      <w:pPr>
        <w:rPr>
          <w:color w:val="FF0000"/>
        </w:rPr>
      </w:pPr>
    </w:p>
    <w:p w14:paraId="4B6EAC07" w14:textId="77777777" w:rsidR="0077616E" w:rsidRDefault="00030B01" w:rsidP="005671F1">
      <w:r w:rsidRPr="00D04313">
        <w:t xml:space="preserve">If these assumptions are applied to </w:t>
      </w:r>
      <w:r w:rsidR="00E4367D">
        <w:t>impact assessment</w:t>
      </w:r>
      <w:r w:rsidRPr="00D04313">
        <w:t xml:space="preserve">, the inference for a proponent is that the known costs of conducting </w:t>
      </w:r>
      <w:r w:rsidR="00E4367D">
        <w:t>impact assessment</w:t>
      </w:r>
      <w:r w:rsidRPr="00D04313">
        <w:t xml:space="preserve"> are higher than the known </w:t>
      </w:r>
      <w:r w:rsidR="00D04313">
        <w:t>benefits</w:t>
      </w:r>
      <w:r w:rsidRPr="00D04313">
        <w:t>. Any unknown costs are likely to be negligible in comparison to the known costs. Unknown benefits remain unknown – which is the basis for the current concern over the cost effective</w:t>
      </w:r>
      <w:r w:rsidR="00900216" w:rsidRPr="00D04313">
        <w:t>ne</w:t>
      </w:r>
      <w:r w:rsidRPr="00D04313">
        <w:t xml:space="preserve">ss of </w:t>
      </w:r>
      <w:r w:rsidR="00E4367D">
        <w:t>impact assessment</w:t>
      </w:r>
      <w:r w:rsidRPr="00D04313">
        <w:t xml:space="preserve"> which forms the problem statement for this paper.</w:t>
      </w:r>
      <w:r w:rsidR="00BA3C3F" w:rsidRPr="00D04313">
        <w:t xml:space="preserve"> </w:t>
      </w:r>
    </w:p>
    <w:p w14:paraId="3FE59587" w14:textId="77777777" w:rsidR="0077616E" w:rsidRDefault="0077616E" w:rsidP="005671F1"/>
    <w:p w14:paraId="39FCFF5C" w14:textId="247E1296" w:rsidR="005671F1" w:rsidRPr="00BA3C3F" w:rsidRDefault="005671F1" w:rsidP="005671F1">
      <w:pPr>
        <w:rPr>
          <w:color w:val="FF0000"/>
        </w:rPr>
      </w:pPr>
      <w:r w:rsidRPr="00D04313">
        <w:t xml:space="preserve">A similar view has been expressed by </w:t>
      </w:r>
      <w:proofErr w:type="spellStart"/>
      <w:r w:rsidRPr="00D04313">
        <w:t>Oosterhuis</w:t>
      </w:r>
      <w:proofErr w:type="spellEnd"/>
      <w:r w:rsidRPr="00D04313">
        <w:t xml:space="preserve"> (2007) in relation to uncertainty around determining the net benefits of impact assessment, who wrote: "you can be sure that there will be costs if an EIA is done, but you are not sure that there will be any benefits in terms of better decision making" (p14). Likewise </w:t>
      </w:r>
      <w:r w:rsidR="005F162B">
        <w:t>many stated</w:t>
      </w:r>
      <w:r w:rsidRPr="00D04313">
        <w:t xml:space="preserve"> benefits of impact assessment, such as the notion of </w:t>
      </w:r>
      <w:r w:rsidR="003C126A">
        <w:t xml:space="preserve">enhanced </w:t>
      </w:r>
      <w:r w:rsidRPr="00D04313">
        <w:t>proponent reputation or environmental profile (</w:t>
      </w:r>
      <w:proofErr w:type="spellStart"/>
      <w:r w:rsidRPr="00D04313">
        <w:t>Oosterhuis</w:t>
      </w:r>
      <w:proofErr w:type="spellEnd"/>
      <w:r w:rsidRPr="00D04313">
        <w:t xml:space="preserve">, 2007; McDonald and Brown, 1995) are </w:t>
      </w:r>
      <w:r w:rsidR="00BA3C3F" w:rsidRPr="00D04313">
        <w:t xml:space="preserve">intangible and </w:t>
      </w:r>
      <w:r w:rsidRPr="00D04313">
        <w:t xml:space="preserve">likely to be impossible to quantify and potentially insignificant relative to the actual financial costs of conducting impact assessment. This is notwithstanding the widely held position that the cost of an impact assessment is </w:t>
      </w:r>
      <w:r w:rsidR="001722F9">
        <w:t xml:space="preserve">minimal compared to total project cost.  </w:t>
      </w:r>
      <w:proofErr w:type="spellStart"/>
      <w:r w:rsidR="001722F9">
        <w:t>Oosterhuis</w:t>
      </w:r>
      <w:proofErr w:type="spellEnd"/>
      <w:r w:rsidR="001722F9">
        <w:t xml:space="preserve"> (2007) found that EIA cost</w:t>
      </w:r>
      <w:r w:rsidR="003C126A">
        <w:t xml:space="preserve"> amounts to</w:t>
      </w:r>
      <w:r w:rsidR="001722F9">
        <w:t xml:space="preserve"> </w:t>
      </w:r>
      <w:r w:rsidRPr="00D04313">
        <w:t xml:space="preserve">approximately 1% of the overall development cost (e.g. a review of more than a dozen studies by </w:t>
      </w:r>
      <w:proofErr w:type="spellStart"/>
      <w:r w:rsidRPr="00D04313">
        <w:t>Oosterhuis</w:t>
      </w:r>
      <w:proofErr w:type="spellEnd"/>
      <w:r w:rsidRPr="00D04313">
        <w:t xml:space="preserve"> 2007 establishes this)</w:t>
      </w:r>
      <w:r w:rsidR="001722F9">
        <w:t xml:space="preserve"> while Retief and </w:t>
      </w:r>
      <w:proofErr w:type="spellStart"/>
      <w:r w:rsidR="001722F9">
        <w:t>Chabalala</w:t>
      </w:r>
      <w:proofErr w:type="spellEnd"/>
      <w:r w:rsidR="001722F9">
        <w:t xml:space="preserve"> (2009) found this figure to</w:t>
      </w:r>
      <w:r w:rsidR="005F162B">
        <w:t xml:space="preserve"> fluctuate between 0.01% and 3.</w:t>
      </w:r>
      <w:r w:rsidR="001722F9">
        <w:t xml:space="preserve">9% of total project cost for the nine countries </w:t>
      </w:r>
      <w:r w:rsidR="003401BD">
        <w:t>included in the</w:t>
      </w:r>
      <w:r w:rsidR="005F162B">
        <w:t>ir</w:t>
      </w:r>
      <w:r w:rsidR="003401BD">
        <w:t xml:space="preserve"> </w:t>
      </w:r>
      <w:r w:rsidR="0032266B">
        <w:t>study</w:t>
      </w:r>
      <w:r w:rsidRPr="00D04313">
        <w:t>. The point here is that attributing cause and effect, along with quantification of financial benefit and in the context of an uncertain time-frame (e.g. costs incurred for conducting impac</w:t>
      </w:r>
      <w:r>
        <w:t>t assessment might fall into a one or two year time period, but ongoing proponent reputation benefit is open-ended)</w:t>
      </w:r>
      <w:r w:rsidR="00C0071F">
        <w:t xml:space="preserve"> is challenging</w:t>
      </w:r>
      <w:r>
        <w:t>. Nevertheless, to demonstrate impact assessment benefit is going to require grappling with attribution of benefits and the matter of quantification.</w:t>
      </w:r>
    </w:p>
    <w:p w14:paraId="39DD4237" w14:textId="77777777" w:rsidR="005671F1" w:rsidRDefault="005671F1" w:rsidP="005671F1"/>
    <w:p w14:paraId="55BC4446" w14:textId="6E5DABB6" w:rsidR="005671F1" w:rsidRPr="00005B9C" w:rsidRDefault="005671F1" w:rsidP="005671F1">
      <w:pPr>
        <w:rPr>
          <w:strike/>
        </w:rPr>
      </w:pPr>
      <w:r>
        <w:t>So f</w:t>
      </w:r>
      <w:r w:rsidRPr="00005B9C">
        <w:t xml:space="preserve">ar we have not explained the nature of intangible benefits identified within the business and management literature. We found insights and framing from this literature to be helpful in providing </w:t>
      </w:r>
      <w:r w:rsidR="00066FCD" w:rsidRPr="00005B9C">
        <w:t>a</w:t>
      </w:r>
      <w:r w:rsidR="005E6F08" w:rsidRPr="00005B9C">
        <w:t xml:space="preserve"> conceptualisation that classifies</w:t>
      </w:r>
      <w:r w:rsidR="00066FCD" w:rsidRPr="00005B9C">
        <w:t xml:space="preserve"> benefits as a fi</w:t>
      </w:r>
      <w:r w:rsidR="00005B9C" w:rsidRPr="00005B9C">
        <w:t>r</w:t>
      </w:r>
      <w:r w:rsidR="00066FCD" w:rsidRPr="00005B9C">
        <w:t xml:space="preserve">st step towards their evaluation. </w:t>
      </w:r>
      <w:r w:rsidR="005E6F08" w:rsidRPr="00005B9C">
        <w:t xml:space="preserve">We explore these in more detail in the next section, culminating in our own classification for </w:t>
      </w:r>
      <w:r w:rsidR="005F162B">
        <w:t>impact assessment</w:t>
      </w:r>
      <w:r w:rsidR="005E6F08" w:rsidRPr="00005B9C">
        <w:t xml:space="preserve"> benefits</w:t>
      </w:r>
      <w:r w:rsidR="00005B9C" w:rsidRPr="00005B9C">
        <w:t>.</w:t>
      </w:r>
    </w:p>
    <w:p w14:paraId="6A481BC9" w14:textId="77777777" w:rsidR="00C67B67" w:rsidRDefault="00C67B67" w:rsidP="00C67B67"/>
    <w:p w14:paraId="3B0881C2" w14:textId="77777777" w:rsidR="001D18C7" w:rsidRDefault="001D18C7" w:rsidP="00C67B67"/>
    <w:p w14:paraId="6B5ECD67" w14:textId="44977784" w:rsidR="00C67B67" w:rsidRPr="001D18C7" w:rsidRDefault="007C580B" w:rsidP="00C67B67">
      <w:pPr>
        <w:rPr>
          <w:b/>
        </w:rPr>
      </w:pPr>
      <w:r>
        <w:rPr>
          <w:b/>
        </w:rPr>
        <w:t>4</w:t>
      </w:r>
      <w:r w:rsidR="00C67B67" w:rsidRPr="001D18C7">
        <w:rPr>
          <w:b/>
        </w:rPr>
        <w:t>. Classifying benefits</w:t>
      </w:r>
    </w:p>
    <w:p w14:paraId="5066C6B1" w14:textId="77777777" w:rsidR="001D18C7" w:rsidRPr="00B92C5F" w:rsidRDefault="001D18C7" w:rsidP="00C30A0A">
      <w:pPr>
        <w:widowControl w:val="0"/>
        <w:autoSpaceDE w:val="0"/>
        <w:autoSpaceDN w:val="0"/>
        <w:adjustRightInd w:val="0"/>
        <w:rPr>
          <w:rFonts w:cs="Times New Roman"/>
          <w:szCs w:val="24"/>
          <w:lang w:val="en-US"/>
        </w:rPr>
      </w:pPr>
    </w:p>
    <w:p w14:paraId="0E2266C1" w14:textId="0A90EF34" w:rsidR="00652E57" w:rsidRPr="00B92C5F" w:rsidRDefault="00AF3523" w:rsidP="00C30A0A">
      <w:pPr>
        <w:widowControl w:val="0"/>
        <w:autoSpaceDE w:val="0"/>
        <w:autoSpaceDN w:val="0"/>
        <w:adjustRightInd w:val="0"/>
      </w:pPr>
      <w:r w:rsidRPr="00B92C5F">
        <w:rPr>
          <w:rFonts w:cs="Times New Roman"/>
          <w:szCs w:val="24"/>
          <w:lang w:val="en-US"/>
        </w:rPr>
        <w:t xml:space="preserve">The business and management literature we reviewed for this paper provides some conceptual models for classifying and understanding the benefits to companies around information systems investment decisions. </w:t>
      </w:r>
      <w:r w:rsidRPr="00B92C5F">
        <w:t xml:space="preserve">Common elements in all classifications are tangible versus intangible benefits, so we have included this important distinction in our framework (Table 1). The methodology employed by Murphy and Simon (2002; which was adapted from earlier work by </w:t>
      </w:r>
      <w:r w:rsidR="000357CD">
        <w:t xml:space="preserve">Shang and Seddon (2002) </w:t>
      </w:r>
      <w:r w:rsidRPr="00B92C5F">
        <w:t xml:space="preserve">for accounting for information systems benefits for business included four </w:t>
      </w:r>
      <w:r w:rsidR="00652E57" w:rsidRPr="00B92C5F">
        <w:t xml:space="preserve">dimensions or </w:t>
      </w:r>
      <w:r w:rsidRPr="00B92C5F">
        <w:t>themes</w:t>
      </w:r>
      <w:r w:rsidR="00652E57" w:rsidRPr="00B92C5F">
        <w:t xml:space="preserve"> that we see as being valid in an impact assessment context for proponents as follows (we excluded the 'IT </w:t>
      </w:r>
      <w:r w:rsidR="00977826" w:rsidRPr="00B92C5F">
        <w:t xml:space="preserve">[information technology] </w:t>
      </w:r>
      <w:r w:rsidR="00652E57" w:rsidRPr="00B92C5F">
        <w:t>infrastructure' theme for obvious reasons):</w:t>
      </w:r>
    </w:p>
    <w:p w14:paraId="4214CA08" w14:textId="31A59662" w:rsidR="00652E57" w:rsidRPr="00B92C5F" w:rsidRDefault="00652E57" w:rsidP="00652E57">
      <w:pPr>
        <w:pStyle w:val="ListParagraph"/>
        <w:widowControl w:val="0"/>
        <w:numPr>
          <w:ilvl w:val="0"/>
          <w:numId w:val="13"/>
        </w:numPr>
        <w:autoSpaceDE w:val="0"/>
        <w:autoSpaceDN w:val="0"/>
        <w:adjustRightInd w:val="0"/>
      </w:pPr>
      <w:r w:rsidRPr="00215B8F">
        <w:rPr>
          <w:i/>
        </w:rPr>
        <w:t>operational</w:t>
      </w:r>
      <w:r w:rsidRPr="00B92C5F">
        <w:t xml:space="preserve"> benefits –</w:t>
      </w:r>
      <w:r w:rsidR="00CB329F">
        <w:t xml:space="preserve"> </w:t>
      </w:r>
      <w:r w:rsidRPr="00B92C5F">
        <w:t>cost reduction, time reduction, productivity improvement, quality improvement, and customer services improvement;</w:t>
      </w:r>
    </w:p>
    <w:p w14:paraId="331FA761" w14:textId="18D37E3C" w:rsidR="00652E57" w:rsidRPr="00B92C5F" w:rsidRDefault="00652E57" w:rsidP="00652E57">
      <w:pPr>
        <w:pStyle w:val="ListParagraph"/>
        <w:widowControl w:val="0"/>
        <w:numPr>
          <w:ilvl w:val="0"/>
          <w:numId w:val="13"/>
        </w:numPr>
        <w:autoSpaceDE w:val="0"/>
        <w:autoSpaceDN w:val="0"/>
        <w:adjustRightInd w:val="0"/>
      </w:pPr>
      <w:r w:rsidRPr="00B92C5F">
        <w:rPr>
          <w:i/>
        </w:rPr>
        <w:t>managerial</w:t>
      </w:r>
      <w:r w:rsidRPr="00B92C5F">
        <w:t xml:space="preserve"> benefits </w:t>
      </w:r>
      <w:r w:rsidR="00CB329F" w:rsidRPr="00B92C5F">
        <w:t>–</w:t>
      </w:r>
      <w:r w:rsidRPr="00B92C5F">
        <w:t xml:space="preserve"> better resource management, improved decision-making and planning, and performance improvement;</w:t>
      </w:r>
    </w:p>
    <w:p w14:paraId="5EA4544B" w14:textId="4F5DF514" w:rsidR="00652E57" w:rsidRPr="00B92C5F" w:rsidRDefault="00652E57" w:rsidP="00652E57">
      <w:pPr>
        <w:pStyle w:val="ListParagraph"/>
        <w:widowControl w:val="0"/>
        <w:numPr>
          <w:ilvl w:val="0"/>
          <w:numId w:val="13"/>
        </w:numPr>
        <w:autoSpaceDE w:val="0"/>
        <w:autoSpaceDN w:val="0"/>
        <w:adjustRightInd w:val="0"/>
      </w:pPr>
      <w:r w:rsidRPr="00B92C5F">
        <w:rPr>
          <w:i/>
        </w:rPr>
        <w:t>strategic</w:t>
      </w:r>
      <w:r w:rsidRPr="00B92C5F">
        <w:t xml:space="preserve"> benefits </w:t>
      </w:r>
      <w:r w:rsidR="00CB329F" w:rsidRPr="00B92C5F">
        <w:t>–</w:t>
      </w:r>
      <w:r w:rsidRPr="00B92C5F">
        <w:t xml:space="preserve"> support business growth, support business alliance, build business innovations, build cost leadership, generate product differentiation, and build external linkages; and</w:t>
      </w:r>
    </w:p>
    <w:p w14:paraId="6D64DFAF" w14:textId="34A21F74" w:rsidR="00652E57" w:rsidRPr="00B92C5F" w:rsidRDefault="00652E57" w:rsidP="00652E57">
      <w:pPr>
        <w:pStyle w:val="ListParagraph"/>
        <w:widowControl w:val="0"/>
        <w:numPr>
          <w:ilvl w:val="0"/>
          <w:numId w:val="13"/>
        </w:numPr>
        <w:autoSpaceDE w:val="0"/>
        <w:autoSpaceDN w:val="0"/>
        <w:adjustRightInd w:val="0"/>
      </w:pPr>
      <w:proofErr w:type="gramStart"/>
      <w:r w:rsidRPr="00B92C5F">
        <w:rPr>
          <w:i/>
        </w:rPr>
        <w:t>organizational</w:t>
      </w:r>
      <w:proofErr w:type="gramEnd"/>
      <w:r w:rsidRPr="00B92C5F">
        <w:t xml:space="preserve"> benefits - support organisational changes, facilitate business learning, empowerment, and build common visions.</w:t>
      </w:r>
    </w:p>
    <w:p w14:paraId="51908EB3" w14:textId="77777777" w:rsidR="00122CDA" w:rsidRPr="00B92C5F" w:rsidRDefault="00122CDA" w:rsidP="00C30A0A">
      <w:pPr>
        <w:widowControl w:val="0"/>
        <w:autoSpaceDE w:val="0"/>
        <w:autoSpaceDN w:val="0"/>
        <w:adjustRightInd w:val="0"/>
      </w:pPr>
    </w:p>
    <w:p w14:paraId="3475BC4A" w14:textId="28C01CD0" w:rsidR="00AF3523" w:rsidRDefault="00652E57" w:rsidP="00C30A0A">
      <w:pPr>
        <w:widowControl w:val="0"/>
        <w:autoSpaceDE w:val="0"/>
        <w:autoSpaceDN w:val="0"/>
        <w:adjustRightInd w:val="0"/>
      </w:pPr>
      <w:proofErr w:type="spellStart"/>
      <w:r w:rsidRPr="00B92C5F">
        <w:t>Irani</w:t>
      </w:r>
      <w:proofErr w:type="spellEnd"/>
      <w:r w:rsidRPr="00B92C5F">
        <w:t xml:space="preserve"> and Love (2000) </w:t>
      </w:r>
      <w:r w:rsidR="0026688E" w:rsidRPr="00B92C5F">
        <w:t xml:space="preserve">employed a taxonomy based around strategic, tactical and operational classifications (drawn from earlier work of Harris 1996) </w:t>
      </w:r>
      <w:r w:rsidR="00F84E38" w:rsidRPr="00B92C5F">
        <w:t xml:space="preserve">and </w:t>
      </w:r>
      <w:r w:rsidR="0026688E" w:rsidRPr="00B92C5F">
        <w:t xml:space="preserve">noted that strategic benefits are generally intangible and non-financial in nature while operational benefits are more likely to be tangible, even though often also non-financial in nature. </w:t>
      </w:r>
      <w:r w:rsidR="00F84E38" w:rsidRPr="00B92C5F">
        <w:t xml:space="preserve">There is a clear resonance here with thinking about the nature of strategic forms of impact assessment (e.g. Noble 2000) </w:t>
      </w:r>
      <w:r w:rsidR="009979E4" w:rsidRPr="00B92C5F">
        <w:t xml:space="preserve">tending to be more broad-brush and less specific in nature relative to project level approaches. </w:t>
      </w:r>
      <w:r w:rsidR="00F84E38" w:rsidRPr="00B92C5F">
        <w:t xml:space="preserve">Like the Murphy and Simon (2002) example </w:t>
      </w:r>
      <w:r w:rsidR="003413FC">
        <w:t>previously</w:t>
      </w:r>
      <w:r w:rsidR="00F84E38" w:rsidRPr="00B92C5F">
        <w:t xml:space="preserve">, </w:t>
      </w:r>
      <w:proofErr w:type="spellStart"/>
      <w:r w:rsidR="009979E4" w:rsidRPr="00B92C5F">
        <w:t>Irani</w:t>
      </w:r>
      <w:proofErr w:type="spellEnd"/>
      <w:r w:rsidR="009979E4" w:rsidRPr="00B92C5F">
        <w:t xml:space="preserve"> and Love (2000) outlined multiple sub-points for each of their three classifications. We found a close match in the descriptions for strategic and operational benefits</w:t>
      </w:r>
      <w:r w:rsidR="005F162B">
        <w:t xml:space="preserve"> between these two studies</w:t>
      </w:r>
      <w:r w:rsidR="009979E4" w:rsidRPr="00B92C5F">
        <w:t>, while their 'tactical' classification was suitably encapsulated in the managerial and organisational benefit categories of Murphy and Simon</w:t>
      </w:r>
      <w:r w:rsidR="00DB6635" w:rsidRPr="00B92C5F">
        <w:t xml:space="preserve"> (2002). </w:t>
      </w:r>
      <w:r w:rsidR="00AF3523" w:rsidRPr="00B92C5F">
        <w:t xml:space="preserve">Table 1 sets out a basic framework for classifying </w:t>
      </w:r>
      <w:r w:rsidR="00DB6635" w:rsidRPr="00B92C5F">
        <w:t xml:space="preserve">the </w:t>
      </w:r>
      <w:r w:rsidR="00AF3523" w:rsidRPr="00B92C5F">
        <w:t>benefits</w:t>
      </w:r>
      <w:r w:rsidR="00DB6635" w:rsidRPr="00B92C5F">
        <w:t xml:space="preserve"> of impact assessment</w:t>
      </w:r>
      <w:r w:rsidR="005E6F08" w:rsidRPr="00B92C5F">
        <w:t xml:space="preserve"> on this basis. </w:t>
      </w:r>
    </w:p>
    <w:p w14:paraId="49936BE1" w14:textId="77777777" w:rsidR="005554B1" w:rsidRDefault="005554B1" w:rsidP="00C67B67">
      <w:pPr>
        <w:rPr>
          <w:color w:val="3366FF"/>
        </w:rPr>
      </w:pPr>
    </w:p>
    <w:p w14:paraId="574B6D2A" w14:textId="15955AA1" w:rsidR="005554B1" w:rsidRPr="00EE12D9" w:rsidRDefault="005554B1" w:rsidP="00C67B67">
      <w:pPr>
        <w:rPr>
          <w:b/>
        </w:rPr>
      </w:pPr>
      <w:r w:rsidRPr="00EE12D9">
        <w:rPr>
          <w:b/>
        </w:rPr>
        <w:t xml:space="preserve">Table </w:t>
      </w:r>
      <w:proofErr w:type="gramStart"/>
      <w:r w:rsidRPr="00EE12D9">
        <w:rPr>
          <w:b/>
        </w:rPr>
        <w:t>1  Benefits</w:t>
      </w:r>
      <w:proofErr w:type="gramEnd"/>
      <w:r w:rsidRPr="00EE12D9">
        <w:rPr>
          <w:b/>
        </w:rPr>
        <w:t xml:space="preserve"> classification system</w:t>
      </w:r>
      <w:r w:rsidR="0039785F">
        <w:rPr>
          <w:b/>
        </w:rPr>
        <w:t xml:space="preserve"> </w:t>
      </w:r>
    </w:p>
    <w:tbl>
      <w:tblPr>
        <w:tblStyle w:val="TableGrid"/>
        <w:tblW w:w="2447" w:type="pct"/>
        <w:tblInd w:w="817" w:type="dxa"/>
        <w:tblLook w:val="04A0" w:firstRow="1" w:lastRow="0" w:firstColumn="1" w:lastColumn="0" w:noHBand="0" w:noVBand="1"/>
      </w:tblPr>
      <w:tblGrid>
        <w:gridCol w:w="1875"/>
        <w:gridCol w:w="1528"/>
        <w:gridCol w:w="1417"/>
      </w:tblGrid>
      <w:tr w:rsidR="00B92C5F" w:rsidRPr="00B92C5F" w14:paraId="17072A99" w14:textId="7984DE79" w:rsidTr="00B92C5F">
        <w:tc>
          <w:tcPr>
            <w:tcW w:w="1945" w:type="pct"/>
          </w:tcPr>
          <w:p w14:paraId="5436C3EF" w14:textId="17CC68C0" w:rsidR="005671F1" w:rsidRPr="00B92C5F" w:rsidRDefault="00193C2F" w:rsidP="00C67B67">
            <w:pPr>
              <w:rPr>
                <w:b/>
                <w:sz w:val="22"/>
                <w:szCs w:val="22"/>
              </w:rPr>
            </w:pPr>
            <w:r>
              <w:rPr>
                <w:b/>
                <w:sz w:val="22"/>
                <w:szCs w:val="22"/>
              </w:rPr>
              <w:t xml:space="preserve">Benefit </w:t>
            </w:r>
            <w:r w:rsidR="005671F1" w:rsidRPr="00B92C5F">
              <w:rPr>
                <w:b/>
                <w:sz w:val="22"/>
                <w:szCs w:val="22"/>
              </w:rPr>
              <w:t>Dimensions</w:t>
            </w:r>
          </w:p>
        </w:tc>
        <w:tc>
          <w:tcPr>
            <w:tcW w:w="1585" w:type="pct"/>
          </w:tcPr>
          <w:p w14:paraId="3E81EE61" w14:textId="514B7403" w:rsidR="005671F1" w:rsidRPr="00B92C5F" w:rsidRDefault="005671F1" w:rsidP="005E6F08">
            <w:pPr>
              <w:jc w:val="center"/>
              <w:rPr>
                <w:b/>
                <w:sz w:val="22"/>
                <w:szCs w:val="22"/>
              </w:rPr>
            </w:pPr>
            <w:r w:rsidRPr="00B92C5F">
              <w:rPr>
                <w:b/>
                <w:sz w:val="22"/>
                <w:szCs w:val="22"/>
              </w:rPr>
              <w:t>Tangible</w:t>
            </w:r>
          </w:p>
        </w:tc>
        <w:tc>
          <w:tcPr>
            <w:tcW w:w="1470" w:type="pct"/>
          </w:tcPr>
          <w:p w14:paraId="7957B726" w14:textId="23F0C223" w:rsidR="005671F1" w:rsidRPr="00B92C5F" w:rsidRDefault="005671F1" w:rsidP="005E6F08">
            <w:pPr>
              <w:jc w:val="center"/>
              <w:rPr>
                <w:b/>
                <w:sz w:val="22"/>
                <w:szCs w:val="22"/>
              </w:rPr>
            </w:pPr>
            <w:r w:rsidRPr="00B92C5F">
              <w:rPr>
                <w:b/>
                <w:sz w:val="22"/>
                <w:szCs w:val="22"/>
              </w:rPr>
              <w:t>Intangible</w:t>
            </w:r>
          </w:p>
        </w:tc>
      </w:tr>
      <w:tr w:rsidR="00B92C5F" w:rsidRPr="00B92C5F" w14:paraId="65965582" w14:textId="351A1BED" w:rsidTr="00B92C5F">
        <w:tc>
          <w:tcPr>
            <w:tcW w:w="1945" w:type="pct"/>
          </w:tcPr>
          <w:p w14:paraId="08F9DD84" w14:textId="483BC863" w:rsidR="005671F1" w:rsidRPr="00B92C5F" w:rsidRDefault="00193C2F" w:rsidP="005F162B">
            <w:pPr>
              <w:rPr>
                <w:i/>
                <w:sz w:val="22"/>
                <w:szCs w:val="22"/>
              </w:rPr>
            </w:pPr>
            <w:r>
              <w:rPr>
                <w:i/>
                <w:sz w:val="22"/>
                <w:szCs w:val="22"/>
              </w:rPr>
              <w:t xml:space="preserve">Operational </w:t>
            </w:r>
          </w:p>
        </w:tc>
        <w:tc>
          <w:tcPr>
            <w:tcW w:w="1585" w:type="pct"/>
          </w:tcPr>
          <w:p w14:paraId="31804ABE" w14:textId="518B68BC" w:rsidR="00772926" w:rsidRPr="00B92C5F" w:rsidRDefault="00772926" w:rsidP="005E6F08">
            <w:pPr>
              <w:pStyle w:val="ListParagraph"/>
              <w:ind w:left="317"/>
              <w:rPr>
                <w:sz w:val="22"/>
                <w:szCs w:val="22"/>
              </w:rPr>
            </w:pPr>
          </w:p>
        </w:tc>
        <w:tc>
          <w:tcPr>
            <w:tcW w:w="1470" w:type="pct"/>
          </w:tcPr>
          <w:p w14:paraId="45AE14F6" w14:textId="6C3DC49E" w:rsidR="0039785F" w:rsidRPr="00B92C5F" w:rsidRDefault="0039785F" w:rsidP="005E6F08">
            <w:pPr>
              <w:pStyle w:val="ListParagraph"/>
              <w:ind w:left="458"/>
              <w:rPr>
                <w:sz w:val="22"/>
                <w:szCs w:val="22"/>
              </w:rPr>
            </w:pPr>
          </w:p>
        </w:tc>
      </w:tr>
      <w:tr w:rsidR="00B92C5F" w:rsidRPr="00B92C5F" w14:paraId="6ED4D235" w14:textId="4266EE3E" w:rsidTr="00B92C5F">
        <w:tc>
          <w:tcPr>
            <w:tcW w:w="1945" w:type="pct"/>
          </w:tcPr>
          <w:p w14:paraId="7458157E" w14:textId="432388AB" w:rsidR="005671F1" w:rsidRPr="00B92C5F" w:rsidRDefault="005671F1" w:rsidP="0039785F">
            <w:pPr>
              <w:rPr>
                <w:i/>
                <w:sz w:val="22"/>
                <w:szCs w:val="22"/>
              </w:rPr>
            </w:pPr>
            <w:r w:rsidRPr="00B92C5F">
              <w:rPr>
                <w:i/>
                <w:sz w:val="22"/>
                <w:szCs w:val="22"/>
              </w:rPr>
              <w:t>Managerial</w:t>
            </w:r>
          </w:p>
        </w:tc>
        <w:tc>
          <w:tcPr>
            <w:tcW w:w="1585" w:type="pct"/>
          </w:tcPr>
          <w:p w14:paraId="3DF315D7" w14:textId="45CC815B" w:rsidR="0039785F" w:rsidRPr="00B92C5F" w:rsidRDefault="0039785F" w:rsidP="005E6F08">
            <w:pPr>
              <w:pStyle w:val="ListParagraph"/>
              <w:ind w:left="317"/>
              <w:rPr>
                <w:sz w:val="22"/>
                <w:szCs w:val="22"/>
              </w:rPr>
            </w:pPr>
          </w:p>
        </w:tc>
        <w:tc>
          <w:tcPr>
            <w:tcW w:w="1470" w:type="pct"/>
          </w:tcPr>
          <w:p w14:paraId="01CEA84E" w14:textId="18ACD6D0" w:rsidR="005671F1" w:rsidRPr="00B92C5F" w:rsidRDefault="005671F1" w:rsidP="005E6F08">
            <w:pPr>
              <w:pStyle w:val="ListParagraph"/>
              <w:ind w:left="458"/>
              <w:rPr>
                <w:sz w:val="22"/>
                <w:szCs w:val="22"/>
              </w:rPr>
            </w:pPr>
          </w:p>
        </w:tc>
      </w:tr>
      <w:tr w:rsidR="00B92C5F" w:rsidRPr="00B92C5F" w14:paraId="00CC42C1" w14:textId="701B5B66" w:rsidTr="00B92C5F">
        <w:tc>
          <w:tcPr>
            <w:tcW w:w="1945" w:type="pct"/>
          </w:tcPr>
          <w:p w14:paraId="65E06BFA" w14:textId="453EE8A1" w:rsidR="005671F1" w:rsidRPr="00B92C5F" w:rsidRDefault="005671F1" w:rsidP="0039785F">
            <w:pPr>
              <w:rPr>
                <w:i/>
                <w:sz w:val="22"/>
                <w:szCs w:val="22"/>
              </w:rPr>
            </w:pPr>
            <w:r w:rsidRPr="00B92C5F">
              <w:rPr>
                <w:i/>
                <w:sz w:val="22"/>
                <w:szCs w:val="22"/>
              </w:rPr>
              <w:t>Strategic</w:t>
            </w:r>
          </w:p>
        </w:tc>
        <w:tc>
          <w:tcPr>
            <w:tcW w:w="1585" w:type="pct"/>
          </w:tcPr>
          <w:p w14:paraId="7671AD33" w14:textId="0F5833EB" w:rsidR="0039785F" w:rsidRPr="00B92C5F" w:rsidRDefault="0039785F" w:rsidP="005E6F08">
            <w:pPr>
              <w:pStyle w:val="ListParagraph"/>
              <w:ind w:left="317"/>
              <w:rPr>
                <w:sz w:val="22"/>
                <w:szCs w:val="22"/>
              </w:rPr>
            </w:pPr>
          </w:p>
        </w:tc>
        <w:tc>
          <w:tcPr>
            <w:tcW w:w="1470" w:type="pct"/>
          </w:tcPr>
          <w:p w14:paraId="648E588F" w14:textId="39B9B551" w:rsidR="005671F1" w:rsidRPr="00B92C5F" w:rsidRDefault="005671F1" w:rsidP="005E6F08">
            <w:pPr>
              <w:pStyle w:val="ListParagraph"/>
              <w:ind w:left="458"/>
              <w:rPr>
                <w:sz w:val="22"/>
                <w:szCs w:val="22"/>
              </w:rPr>
            </w:pPr>
          </w:p>
        </w:tc>
      </w:tr>
      <w:tr w:rsidR="00B92C5F" w:rsidRPr="00B92C5F" w14:paraId="11DCF039" w14:textId="43E84422" w:rsidTr="00B92C5F">
        <w:tc>
          <w:tcPr>
            <w:tcW w:w="1945" w:type="pct"/>
          </w:tcPr>
          <w:p w14:paraId="29C51EE4" w14:textId="196F4088" w:rsidR="005671F1" w:rsidRPr="00B92C5F" w:rsidRDefault="005671F1" w:rsidP="0039785F">
            <w:pPr>
              <w:rPr>
                <w:sz w:val="22"/>
                <w:szCs w:val="22"/>
              </w:rPr>
            </w:pPr>
            <w:r w:rsidRPr="00B92C5F">
              <w:rPr>
                <w:i/>
                <w:sz w:val="22"/>
                <w:szCs w:val="22"/>
              </w:rPr>
              <w:t>Organizational</w:t>
            </w:r>
            <w:r w:rsidR="00B931C2" w:rsidRPr="00B92C5F">
              <w:rPr>
                <w:sz w:val="22"/>
                <w:szCs w:val="22"/>
              </w:rPr>
              <w:t xml:space="preserve"> </w:t>
            </w:r>
          </w:p>
        </w:tc>
        <w:tc>
          <w:tcPr>
            <w:tcW w:w="1585" w:type="pct"/>
          </w:tcPr>
          <w:p w14:paraId="2A41D95B" w14:textId="37277B08" w:rsidR="005671F1" w:rsidRPr="00B92C5F" w:rsidRDefault="005671F1" w:rsidP="005E6F08">
            <w:pPr>
              <w:pStyle w:val="ListParagraph"/>
              <w:ind w:left="317"/>
              <w:rPr>
                <w:sz w:val="22"/>
                <w:szCs w:val="22"/>
              </w:rPr>
            </w:pPr>
          </w:p>
        </w:tc>
        <w:tc>
          <w:tcPr>
            <w:tcW w:w="1470" w:type="pct"/>
          </w:tcPr>
          <w:p w14:paraId="408AB28E" w14:textId="246DB068" w:rsidR="005671F1" w:rsidRPr="00B92C5F" w:rsidRDefault="005671F1" w:rsidP="005E6F08">
            <w:pPr>
              <w:pStyle w:val="ListParagraph"/>
              <w:ind w:left="458"/>
              <w:rPr>
                <w:sz w:val="22"/>
                <w:szCs w:val="22"/>
              </w:rPr>
            </w:pPr>
          </w:p>
        </w:tc>
      </w:tr>
    </w:tbl>
    <w:p w14:paraId="6580727B" w14:textId="77777777" w:rsidR="00657A4E" w:rsidRPr="00B92C5F" w:rsidRDefault="00657A4E"/>
    <w:p w14:paraId="7A408C59" w14:textId="79932856" w:rsidR="00AC00DE" w:rsidRPr="00B92C5F" w:rsidRDefault="005E6F08">
      <w:r w:rsidRPr="00B92C5F">
        <w:t xml:space="preserve">In the next section we introduce what is already known about the benefits of impact assessment drawn from the literature. This provides an early opportunity to examine the gaps in our knowledge of benefits based on the classification system outlined in Table 1, and also </w:t>
      </w:r>
      <w:r w:rsidR="005F162B">
        <w:t xml:space="preserve">to </w:t>
      </w:r>
      <w:r w:rsidRPr="00B92C5F">
        <w:t>clarif</w:t>
      </w:r>
      <w:r w:rsidR="005F162B">
        <w:t>y</w:t>
      </w:r>
      <w:r w:rsidRPr="00B92C5F">
        <w:t xml:space="preserve"> the gaps which can form the basis for future research. We acknowledge that other evidence of benefits could have been missed from the literature </w:t>
      </w:r>
      <w:r w:rsidR="00AA1EE6" w:rsidRPr="00B92C5F">
        <w:t xml:space="preserve">review, and encourage others to remedy </w:t>
      </w:r>
      <w:r w:rsidR="00B92C5F" w:rsidRPr="00B92C5F">
        <w:t>any</w:t>
      </w:r>
      <w:r w:rsidR="00AA1EE6" w:rsidRPr="00B92C5F">
        <w:t xml:space="preserve"> such deficiencies where possible.</w:t>
      </w:r>
    </w:p>
    <w:p w14:paraId="7FE7162A" w14:textId="77777777" w:rsidR="005554B1" w:rsidRDefault="005554B1">
      <w:pPr>
        <w:rPr>
          <w:b/>
        </w:rPr>
      </w:pPr>
    </w:p>
    <w:p w14:paraId="27362491" w14:textId="77777777" w:rsidR="00B92C5F" w:rsidRDefault="00B92C5F">
      <w:pPr>
        <w:rPr>
          <w:b/>
        </w:rPr>
      </w:pPr>
    </w:p>
    <w:p w14:paraId="3F967D53" w14:textId="45F1F6F4" w:rsidR="00657A4E" w:rsidRPr="00657A4E" w:rsidRDefault="007C580B">
      <w:pPr>
        <w:rPr>
          <w:b/>
        </w:rPr>
      </w:pPr>
      <w:r>
        <w:rPr>
          <w:b/>
        </w:rPr>
        <w:t>5</w:t>
      </w:r>
      <w:r w:rsidR="00657A4E">
        <w:rPr>
          <w:b/>
        </w:rPr>
        <w:t>. Benefits of impact assessment in the literature</w:t>
      </w:r>
    </w:p>
    <w:p w14:paraId="0B529E51" w14:textId="77777777" w:rsidR="00657A4E" w:rsidRDefault="00657A4E"/>
    <w:p w14:paraId="7F1DDFA4" w14:textId="046F8709" w:rsidR="00D0011F" w:rsidRDefault="005554B1">
      <w:r w:rsidRPr="00EE12D9">
        <w:t>This section introduces the learning from the</w:t>
      </w:r>
      <w:r w:rsidR="00657A4E" w:rsidRPr="00EE12D9">
        <w:t xml:space="preserve"> extensive body of impact assessment literature</w:t>
      </w:r>
      <w:r w:rsidRPr="00EE12D9">
        <w:t xml:space="preserve"> and attempts to place it in the framework set out in Table 1.</w:t>
      </w:r>
      <w:r w:rsidR="00657A4E" w:rsidRPr="00EE12D9">
        <w:t xml:space="preserve"> </w:t>
      </w:r>
      <w:r w:rsidRPr="00EE12D9">
        <w:t xml:space="preserve">In the literature </w:t>
      </w:r>
      <w:r w:rsidR="00657A4E" w:rsidRPr="00EE12D9">
        <w:t xml:space="preserve">there are various streams or themes </w:t>
      </w:r>
      <w:r w:rsidR="00AF549F" w:rsidRPr="00EE12D9">
        <w:t xml:space="preserve">of work </w:t>
      </w:r>
      <w:r w:rsidR="00657A4E" w:rsidRPr="00EE12D9">
        <w:t xml:space="preserve">that </w:t>
      </w:r>
      <w:r w:rsidR="00AF549F" w:rsidRPr="00EE12D9">
        <w:t>relate to demonstrating the benefits</w:t>
      </w:r>
      <w:r w:rsidR="00D0011F" w:rsidRPr="00EE12D9">
        <w:t>, often implicitly, sometimes explicitly</w:t>
      </w:r>
      <w:r w:rsidR="007700F7" w:rsidRPr="00EE12D9">
        <w:t>. Firstly there are works addressing the expressed purpose or principles of best practice impact assessment such those as laid out by the International Association for Impact Assessment</w:t>
      </w:r>
      <w:r w:rsidR="005F162B">
        <w:t xml:space="preserve"> </w:t>
      </w:r>
      <w:r w:rsidR="007700F7" w:rsidRPr="00EE12D9">
        <w:t>(IAIA and IEM 1999)</w:t>
      </w:r>
      <w:r w:rsidR="00C6556D" w:rsidRPr="00EE12D9">
        <w:t xml:space="preserve">; these purposes are by definition benefits of some kind, although they are often intangible goals like </w:t>
      </w:r>
      <w:r w:rsidR="00C6556D" w:rsidRPr="00AB247F">
        <w:rPr>
          <w:i/>
        </w:rPr>
        <w:t>sustainable development</w:t>
      </w:r>
      <w:r w:rsidR="00C6556D" w:rsidRPr="00EE12D9">
        <w:t xml:space="preserve"> (Bond and Morrison-Saunders, 2011) which are difficult to achieve. </w:t>
      </w:r>
      <w:r w:rsidR="00AB247F">
        <w:t>This tallies with</w:t>
      </w:r>
      <w:r w:rsidR="00AB247F" w:rsidRPr="00C37E86">
        <w:t xml:space="preserve"> </w:t>
      </w:r>
      <w:r w:rsidR="00AB247F">
        <w:t xml:space="preserve">the recently emerged thinking around sustainability assessment - especially the work of Robert Gibson calling for impact assessment to be expressly framed to deliver positive contribution to sustainability through mutual reinforcing gains across all sustainability considerations (e.g. Gibson 2006, 2011, 2013) rather than emphasising only mitigation of adverse impacts. </w:t>
      </w:r>
      <w:r w:rsidR="00D0011F" w:rsidRPr="00EE12D9">
        <w:t>R</w:t>
      </w:r>
      <w:r w:rsidR="003671D4" w:rsidRPr="00EE12D9">
        <w:t>esearchers have grappled with the</w:t>
      </w:r>
      <w:r w:rsidR="00D0011F" w:rsidRPr="00EE12D9">
        <w:t>se</w:t>
      </w:r>
      <w:r w:rsidR="003671D4" w:rsidRPr="00EE12D9">
        <w:t xml:space="preserve"> ‘substantive purposes’ of impact</w:t>
      </w:r>
      <w:r w:rsidR="003671D4" w:rsidRPr="00BB3280">
        <w:t xml:space="preserve"> assessment </w:t>
      </w:r>
      <w:r w:rsidR="000357CD">
        <w:t xml:space="preserve">(Cashmore et al, 2004; Cooper and Canter, 1997; Rozema et al, 2012; van </w:t>
      </w:r>
      <w:proofErr w:type="spellStart"/>
      <w:r w:rsidR="000357CD">
        <w:t>Doren</w:t>
      </w:r>
      <w:proofErr w:type="spellEnd"/>
      <w:r w:rsidR="000357CD">
        <w:t xml:space="preserve"> et al, 2013</w:t>
      </w:r>
      <w:proofErr w:type="gramStart"/>
      <w:r w:rsidR="000357CD">
        <w:t xml:space="preserve">) </w:t>
      </w:r>
      <w:r w:rsidR="00D0011F" w:rsidRPr="00875024">
        <w:t xml:space="preserve"> and</w:t>
      </w:r>
      <w:proofErr w:type="gramEnd"/>
      <w:r w:rsidR="00D0011F" w:rsidRPr="00875024">
        <w:t xml:space="preserve"> acknowledge their contested nature</w:t>
      </w:r>
      <w:r w:rsidR="003671D4" w:rsidRPr="00875024">
        <w:t>.</w:t>
      </w:r>
      <w:r w:rsidR="007700F7">
        <w:t xml:space="preserve"> </w:t>
      </w:r>
      <w:r w:rsidR="003671D4">
        <w:t>We note that</w:t>
      </w:r>
      <w:r w:rsidR="007700F7">
        <w:t xml:space="preserve"> impact assessment legislation would normally outline the objectives of </w:t>
      </w:r>
      <w:r w:rsidR="003671D4">
        <w:t>that particular</w:t>
      </w:r>
      <w:r w:rsidR="007700F7">
        <w:t xml:space="preserve"> process</w:t>
      </w:r>
      <w:r w:rsidR="00B86FAE">
        <w:t xml:space="preserve"> within that specific institutional context.</w:t>
      </w:r>
      <w:r w:rsidR="00C37E86">
        <w:t xml:space="preserve"> </w:t>
      </w:r>
    </w:p>
    <w:p w14:paraId="47F9B0FE" w14:textId="77777777" w:rsidR="00D0011F" w:rsidRDefault="00D0011F"/>
    <w:p w14:paraId="3EF4059E" w14:textId="47BB43AD" w:rsidR="002C5ED0" w:rsidRDefault="00C37E86" w:rsidP="002C5ED0">
      <w:r>
        <w:t xml:space="preserve">Secondly, there is the seemingly 'interminable' (Cashmore et al 2004) and contested literature on impact assessment effectiveness. Some recent reviews of this material can be found in </w:t>
      </w:r>
      <w:proofErr w:type="spellStart"/>
      <w:r w:rsidRPr="002976CD">
        <w:t>Chanchitpricha</w:t>
      </w:r>
      <w:proofErr w:type="spellEnd"/>
      <w:r w:rsidRPr="002976CD">
        <w:t xml:space="preserve"> and </w:t>
      </w:r>
      <w:r w:rsidR="007F7B6F">
        <w:t xml:space="preserve">Bond </w:t>
      </w:r>
      <w:r w:rsidR="008C5FB4">
        <w:t xml:space="preserve">(2013) and Bond </w:t>
      </w:r>
      <w:r w:rsidR="007F7B6F">
        <w:t xml:space="preserve">et al </w:t>
      </w:r>
      <w:r w:rsidR="008C5FB4">
        <w:t>(</w:t>
      </w:r>
      <w:r w:rsidR="007F7B6F">
        <w:t>2013</w:t>
      </w:r>
      <w:r>
        <w:t xml:space="preserve">) along with criteria grouped according to different conceptions of effectiveness that the authors intend might guide evaluation of impact assessment processes or applications to measure impact assessment effectiveness. </w:t>
      </w:r>
      <w:r w:rsidR="00D0011F" w:rsidRPr="00875024">
        <w:t xml:space="preserve">Some of these criteria are phrased in terms of the benefits that should accrue from impact assessment, for example </w:t>
      </w:r>
      <w:proofErr w:type="spellStart"/>
      <w:r w:rsidR="00D0011F" w:rsidRPr="00875024">
        <w:t>Chanchitpricha</w:t>
      </w:r>
      <w:proofErr w:type="spellEnd"/>
      <w:r w:rsidR="00D0011F" w:rsidRPr="00875024">
        <w:t xml:space="preserve"> and Bond (2013, p.70) have an effectiveness criterion: “</w:t>
      </w:r>
      <w:r w:rsidR="00D0011F" w:rsidRPr="00AB247F">
        <w:rPr>
          <w:i/>
        </w:rPr>
        <w:t>Institutional and other benefits</w:t>
      </w:r>
      <w:r w:rsidR="00D0011F" w:rsidRPr="00875024">
        <w:t xml:space="preserve"> — there is strong evidence of better departmental relations, development of otherwise absent expertise, learning, new partnerships and better public–private–voluntary sector communication as a result of SEA/IA when it is implemented in decision making” where benefits are clear; another one is: “Parallel development — the SEA/IA and policy/plan/programme developed alongside one other with considerable cross-cutting between the processes” where benefits do not necessarily accrue other than in efficiency terms relative to another way of undertaking the assessment.</w:t>
      </w:r>
      <w:r w:rsidR="00875024" w:rsidRPr="00875024">
        <w:t xml:space="preserve"> </w:t>
      </w:r>
      <w:r w:rsidR="00875024" w:rsidRPr="002C5ED0">
        <w:t xml:space="preserve">From a proponent perspective there are benefits to be realized in these notions of impact assessment effectiveness </w:t>
      </w:r>
      <w:r w:rsidR="006C2F37" w:rsidRPr="002C5ED0">
        <w:t>and</w:t>
      </w:r>
      <w:r w:rsidR="00875024" w:rsidRPr="002C5ED0">
        <w:t xml:space="preserve"> they are clearly intangible in nature. </w:t>
      </w:r>
    </w:p>
    <w:p w14:paraId="7AD2B61C" w14:textId="77777777" w:rsidR="0010098C" w:rsidRDefault="0010098C"/>
    <w:p w14:paraId="447F2E82" w14:textId="3AEEAECB" w:rsidR="00443CAF" w:rsidRPr="00631B44" w:rsidRDefault="007D71A5" w:rsidP="00567931">
      <w:pPr>
        <w:rPr>
          <w:color w:val="FF0000"/>
        </w:rPr>
      </w:pPr>
      <w:r>
        <w:t xml:space="preserve">Finally, there is the matter of the </w:t>
      </w:r>
      <w:r w:rsidRPr="00631B44">
        <w:t xml:space="preserve">nature </w:t>
      </w:r>
      <w:r w:rsidR="006214E4" w:rsidRPr="00631B44">
        <w:t xml:space="preserve">and clarity </w:t>
      </w:r>
      <w:r w:rsidRPr="00631B44">
        <w:t xml:space="preserve">of impact assessment benefits themselves. </w:t>
      </w:r>
      <w:r w:rsidR="006214E4" w:rsidRPr="00631B44">
        <w:t>Key intended</w:t>
      </w:r>
      <w:r w:rsidR="00567931" w:rsidRPr="00631B44">
        <w:t xml:space="preserve"> benefits </w:t>
      </w:r>
      <w:r w:rsidR="006214E4" w:rsidRPr="00631B44">
        <w:t xml:space="preserve">of impact assessment </w:t>
      </w:r>
      <w:r w:rsidR="00567931">
        <w:t>revolve around mitigating adverse effects through designing better development proposals and making better decisions. The notion of better decision-making at the individual proposal level can equally apply to proponents in terms of positive actions such as withdrawal of unsound projects, selection of improved project location, or reformulation of plans (</w:t>
      </w:r>
      <w:proofErr w:type="spellStart"/>
      <w:r w:rsidR="00567931">
        <w:t>Ortolano</w:t>
      </w:r>
      <w:proofErr w:type="spellEnd"/>
      <w:r w:rsidR="00567931">
        <w:t xml:space="preserve"> and Shepherd, 1995); as well as to government approval decisions, including legitimation of sound development proposals (</w:t>
      </w:r>
      <w:proofErr w:type="spellStart"/>
      <w:r w:rsidR="00567931">
        <w:t>Ortolano</w:t>
      </w:r>
      <w:proofErr w:type="spellEnd"/>
      <w:r w:rsidR="00567931">
        <w:t xml:space="preserve"> and Shepherd, 1995), setting conditions to provide for appropriate mitigation and management measures, and rejecting proposals demonstrated to be environmentally or socially unacceptable. </w:t>
      </w:r>
    </w:p>
    <w:p w14:paraId="39D5A73A" w14:textId="77777777" w:rsidR="00660A90" w:rsidRDefault="00660A90" w:rsidP="00567931"/>
    <w:p w14:paraId="6C6BFACF" w14:textId="4EE130D6" w:rsidR="00567931" w:rsidRPr="00443CAF" w:rsidRDefault="00567931" w:rsidP="00567931">
      <w:pPr>
        <w:rPr>
          <w:strike/>
        </w:rPr>
      </w:pPr>
      <w:r>
        <w:t>So</w:t>
      </w:r>
      <w:r w:rsidRPr="002C626A">
        <w:t xml:space="preserve">me of the </w:t>
      </w:r>
      <w:r w:rsidR="00443CAF" w:rsidRPr="002C626A">
        <w:t xml:space="preserve">intangible </w:t>
      </w:r>
      <w:r w:rsidRPr="002C626A">
        <w:t>be</w:t>
      </w:r>
      <w:r>
        <w:t xml:space="preserve">nefits of impact assessment identified </w:t>
      </w:r>
      <w:r w:rsidR="007A3A96">
        <w:t>in the literature</w:t>
      </w:r>
      <w:r w:rsidR="002C626A">
        <w:t xml:space="preserve"> include:</w:t>
      </w:r>
    </w:p>
    <w:p w14:paraId="0581CF9D" w14:textId="6662BB30" w:rsidR="00567931" w:rsidRDefault="00567931" w:rsidP="00567931">
      <w:pPr>
        <w:pStyle w:val="ListParagraph"/>
        <w:numPr>
          <w:ilvl w:val="0"/>
          <w:numId w:val="2"/>
        </w:numPr>
      </w:pPr>
      <w:r w:rsidRPr="00443CAF">
        <w:rPr>
          <w:i/>
        </w:rPr>
        <w:t>involving new and beneficial stakeholders</w:t>
      </w:r>
      <w:r>
        <w:t xml:space="preserve"> in the planning and design process for development proposals leading not only to improved decisions but also to reformed public decision-making processes including 'enhanced inter-agency coordination' (</w:t>
      </w:r>
      <w:proofErr w:type="spellStart"/>
      <w:r>
        <w:t>Ortolano</w:t>
      </w:r>
      <w:proofErr w:type="spellEnd"/>
      <w:r>
        <w:t xml:space="preserve"> and Shepherd, 1995, p11)</w:t>
      </w:r>
      <w:r w:rsidR="008A0A90">
        <w:t>, better cooperation among the concerned authorities and the proponent (</w:t>
      </w:r>
      <w:proofErr w:type="spellStart"/>
      <w:r w:rsidR="008A0A90">
        <w:t>Oosterhuis</w:t>
      </w:r>
      <w:proofErr w:type="spellEnd"/>
      <w:r w:rsidR="008A0A90">
        <w:t xml:space="preserve">, 2007), and </w:t>
      </w:r>
      <w:r>
        <w:t>changes to power relations between ministries</w:t>
      </w:r>
      <w:r w:rsidR="008A0A90">
        <w:t xml:space="preserve"> (</w:t>
      </w:r>
      <w:proofErr w:type="spellStart"/>
      <w:r w:rsidR="008A0A90">
        <w:t>Ortolano</w:t>
      </w:r>
      <w:proofErr w:type="spellEnd"/>
      <w:r w:rsidR="008A0A90">
        <w:t xml:space="preserve"> and Shepherd, 1995)</w:t>
      </w:r>
      <w:r>
        <w:t>;</w:t>
      </w:r>
    </w:p>
    <w:p w14:paraId="34EA7B5D" w14:textId="228B781A" w:rsidR="007A3A96" w:rsidRDefault="007A3A96" w:rsidP="00567931">
      <w:pPr>
        <w:pStyle w:val="ListParagraph"/>
        <w:numPr>
          <w:ilvl w:val="0"/>
          <w:numId w:val="2"/>
        </w:numPr>
      </w:pPr>
      <w:r w:rsidRPr="00443CAF">
        <w:rPr>
          <w:i/>
        </w:rPr>
        <w:t>increased public involvement and participation</w:t>
      </w:r>
      <w:r>
        <w:t xml:space="preserve"> (</w:t>
      </w:r>
      <w:proofErr w:type="spellStart"/>
      <w:r>
        <w:t>Oosterhuis</w:t>
      </w:r>
      <w:proofErr w:type="spellEnd"/>
      <w:r>
        <w:t>, 2007);</w:t>
      </w:r>
    </w:p>
    <w:p w14:paraId="6006699D" w14:textId="0FEDDF80" w:rsidR="00567931" w:rsidRDefault="00567931" w:rsidP="00567931">
      <w:pPr>
        <w:pStyle w:val="ListParagraph"/>
        <w:numPr>
          <w:ilvl w:val="0"/>
          <w:numId w:val="2"/>
        </w:numPr>
      </w:pPr>
      <w:r w:rsidRPr="00443CAF">
        <w:rPr>
          <w:i/>
        </w:rPr>
        <w:t>encouraging the development of enhance</w:t>
      </w:r>
      <w:r w:rsidR="0072513B" w:rsidRPr="006B6DD8">
        <w:rPr>
          <w:i/>
        </w:rPr>
        <w:t>d</w:t>
      </w:r>
      <w:r w:rsidRPr="00443CAF">
        <w:rPr>
          <w:i/>
        </w:rPr>
        <w:t xml:space="preserve"> predictive and evaluative models</w:t>
      </w:r>
      <w:r w:rsidR="00B76E62">
        <w:t xml:space="preserve"> (McDonald and Brown, 1995)</w:t>
      </w:r>
      <w:r>
        <w:t>;</w:t>
      </w:r>
    </w:p>
    <w:p w14:paraId="6194ECED" w14:textId="77777777" w:rsidR="008A0A90" w:rsidRDefault="008A0A90" w:rsidP="00567931">
      <w:pPr>
        <w:pStyle w:val="ListParagraph"/>
        <w:numPr>
          <w:ilvl w:val="0"/>
          <w:numId w:val="2"/>
        </w:numPr>
      </w:pPr>
      <w:r w:rsidRPr="00443CAF">
        <w:rPr>
          <w:i/>
        </w:rPr>
        <w:t>improvements in the environmental profile of proponents</w:t>
      </w:r>
      <w:r>
        <w:t xml:space="preserve"> (</w:t>
      </w:r>
      <w:proofErr w:type="spellStart"/>
      <w:r>
        <w:t>Oosterhuis</w:t>
      </w:r>
      <w:proofErr w:type="spellEnd"/>
      <w:r>
        <w:t xml:space="preserve">, 2007) and </w:t>
      </w:r>
      <w:r w:rsidR="00567931">
        <w:t xml:space="preserve">'greening of the boardroom' (McDonald and Brown, 1995, p485) whereby fewer environmentally unsound proposals are initially put forward and there may be redefinition of the goals and responsibilities of proponents (as well as government and professional organisations also involved in impact assessment) arising in the face of the need to conduct impact assessment; </w:t>
      </w:r>
    </w:p>
    <w:p w14:paraId="0C7EE4BC" w14:textId="77777777" w:rsidR="008A0A90" w:rsidRDefault="008A0A90" w:rsidP="00567931">
      <w:pPr>
        <w:pStyle w:val="ListParagraph"/>
        <w:numPr>
          <w:ilvl w:val="0"/>
          <w:numId w:val="2"/>
        </w:numPr>
      </w:pPr>
      <w:r w:rsidRPr="00443CAF">
        <w:rPr>
          <w:i/>
        </w:rPr>
        <w:t>higher acceptance of proposed development proposals and fewer conflicts</w:t>
      </w:r>
      <w:r>
        <w:t xml:space="preserve"> (</w:t>
      </w:r>
      <w:proofErr w:type="spellStart"/>
      <w:r>
        <w:t>Oosterhuis</w:t>
      </w:r>
      <w:proofErr w:type="spellEnd"/>
      <w:r>
        <w:t>, 2007);</w:t>
      </w:r>
    </w:p>
    <w:p w14:paraId="0391C460" w14:textId="77777777" w:rsidR="00B76E62" w:rsidRDefault="008A0A90" w:rsidP="00567931">
      <w:pPr>
        <w:pStyle w:val="ListParagraph"/>
        <w:numPr>
          <w:ilvl w:val="0"/>
          <w:numId w:val="2"/>
        </w:numPr>
      </w:pPr>
      <w:r w:rsidRPr="00443CAF">
        <w:rPr>
          <w:i/>
        </w:rPr>
        <w:t>time savings</w:t>
      </w:r>
      <w:r>
        <w:t xml:space="preserve"> (</w:t>
      </w:r>
      <w:proofErr w:type="spellStart"/>
      <w:r>
        <w:t>Oosterhuis</w:t>
      </w:r>
      <w:proofErr w:type="spellEnd"/>
      <w:r>
        <w:t xml:space="preserve">, 2007); </w:t>
      </w:r>
    </w:p>
    <w:p w14:paraId="710E92FC" w14:textId="2A48808E" w:rsidR="00567931" w:rsidRDefault="00B76E62" w:rsidP="00567931">
      <w:pPr>
        <w:pStyle w:val="ListParagraph"/>
        <w:numPr>
          <w:ilvl w:val="0"/>
          <w:numId w:val="2"/>
        </w:numPr>
      </w:pPr>
      <w:r w:rsidRPr="00443CAF">
        <w:rPr>
          <w:i/>
        </w:rPr>
        <w:t>prevention of costs</w:t>
      </w:r>
      <w:r w:rsidR="008C3D1D">
        <w:t>, including avoiding unnecessary impact assessments where good project design occurs in concert with effective screening and scoping mechanisms</w:t>
      </w:r>
      <w:r>
        <w:t xml:space="preserve"> (</w:t>
      </w:r>
      <w:proofErr w:type="spellStart"/>
      <w:r>
        <w:t>Oosterhuis</w:t>
      </w:r>
      <w:proofErr w:type="spellEnd"/>
      <w:r>
        <w:t xml:space="preserve">, 2007); </w:t>
      </w:r>
      <w:r w:rsidR="00567931">
        <w:t>and</w:t>
      </w:r>
    </w:p>
    <w:p w14:paraId="5729BD6A" w14:textId="77777777" w:rsidR="00567931" w:rsidRDefault="00567931" w:rsidP="00567931">
      <w:pPr>
        <w:pStyle w:val="ListParagraph"/>
        <w:numPr>
          <w:ilvl w:val="0"/>
          <w:numId w:val="2"/>
        </w:numPr>
      </w:pPr>
      <w:proofErr w:type="gramStart"/>
      <w:r w:rsidRPr="00443CAF">
        <w:rPr>
          <w:i/>
        </w:rPr>
        <w:t>stimulating</w:t>
      </w:r>
      <w:proofErr w:type="gramEnd"/>
      <w:r w:rsidRPr="00443CAF">
        <w:rPr>
          <w:i/>
        </w:rPr>
        <w:t xml:space="preserve"> environmental education</w:t>
      </w:r>
      <w:r>
        <w:t xml:space="preserve"> within impact assessment stakeholders more generally. [Western Australia is one jurisdiction we are aware of that explicitly identifies the promotion of '</w:t>
      </w:r>
      <w:r w:rsidRPr="005E63CD">
        <w:t>education and awareness in environmental issues</w:t>
      </w:r>
      <w:r>
        <w:t xml:space="preserve">' (Western Australian Government Gazette 2012, </w:t>
      </w:r>
      <w:proofErr w:type="gramStart"/>
      <w:r>
        <w:t>s3(</w:t>
      </w:r>
      <w:proofErr w:type="gramEnd"/>
      <w:r>
        <w:t xml:space="preserve">6) as a stated aim of environmental impact assessment]. </w:t>
      </w:r>
    </w:p>
    <w:p w14:paraId="2EBFAA76" w14:textId="77777777" w:rsidR="00713A59" w:rsidRDefault="00713A59">
      <w:r>
        <w:t xml:space="preserve">Table 2 integrates the current known benefits of impact assessment with the benefits classification system from the business and management literature presented in Table 1. </w:t>
      </w:r>
    </w:p>
    <w:p w14:paraId="0582750E" w14:textId="77777777" w:rsidR="00713A59" w:rsidRDefault="00713A59"/>
    <w:p w14:paraId="00BFB99B" w14:textId="16CADDB0" w:rsidR="007D71A5" w:rsidRDefault="00713A59">
      <w:r>
        <w:t>In terms of actually demonstrating the benefits of impact assessment, we note that i</w:t>
      </w:r>
      <w:r w:rsidR="00567931">
        <w:t xml:space="preserve">t is challenging enough to demonstrate the explicitly stated objectives of impact assessment, simply because while monitoring following implementation of development that has undergone impact assessment might measure the environmental and social outcomes attained, there is no available benchmark for the same development without impact assessment. Meanwhile, the </w:t>
      </w:r>
      <w:r w:rsidR="00660A90">
        <w:t>intangible</w:t>
      </w:r>
      <w:r w:rsidR="00567931">
        <w:t xml:space="preserve"> benefits attributed to impact assessment above are </w:t>
      </w:r>
      <w:r w:rsidR="00567931" w:rsidRPr="008B25FB">
        <w:t xml:space="preserve">more </w:t>
      </w:r>
      <w:r w:rsidR="00660A90" w:rsidRPr="008B25FB">
        <w:t>difficult</w:t>
      </w:r>
      <w:r w:rsidR="00567931" w:rsidRPr="008B25FB">
        <w:t xml:space="preserve"> to ascertain </w:t>
      </w:r>
      <w:r w:rsidR="000940E6" w:rsidRPr="008B25FB">
        <w:t xml:space="preserve">in the first instance </w:t>
      </w:r>
      <w:r w:rsidR="00567931" w:rsidRPr="008B25FB">
        <w:t xml:space="preserve">and </w:t>
      </w:r>
      <w:r w:rsidR="000940E6" w:rsidRPr="008B25FB">
        <w:t>there is a further challenge in being</w:t>
      </w:r>
      <w:r w:rsidR="00567931" w:rsidRPr="008B25FB">
        <w:t xml:space="preserve"> able to attribute</w:t>
      </w:r>
      <w:r w:rsidR="000940E6" w:rsidRPr="008B25FB">
        <w:t xml:space="preserve"> these benefits</w:t>
      </w:r>
      <w:r w:rsidR="00567931" w:rsidRPr="008B25FB">
        <w:t xml:space="preserve"> </w:t>
      </w:r>
      <w:r w:rsidR="00567931">
        <w:t>to the presence of impact assessment, rather than some other influence within a given society. In other words, at the heart of demonstrating the benefits of impact assessment lies the challenge of demonstrating cause and effect.</w:t>
      </w:r>
      <w:r w:rsidR="00930904">
        <w:t xml:space="preserve"> </w:t>
      </w:r>
      <w:r w:rsidR="00A3324B" w:rsidRPr="00FE4F41">
        <w:t>This challenge has spurred its own research field examining cou</w:t>
      </w:r>
      <w:r w:rsidR="00285147" w:rsidRPr="00FE4F41">
        <w:t>n</w:t>
      </w:r>
      <w:r w:rsidR="00A3324B" w:rsidRPr="00FE4F41">
        <w:t xml:space="preserve">terfactuals (for example, Barker, 1999; Hillier, 2003; </w:t>
      </w:r>
      <w:proofErr w:type="spellStart"/>
      <w:r w:rsidR="00A3324B" w:rsidRPr="00FE4F41">
        <w:t>Lenihan</w:t>
      </w:r>
      <w:proofErr w:type="spellEnd"/>
      <w:r w:rsidR="00A3324B" w:rsidRPr="00FE4F41">
        <w:t xml:space="preserve"> and Hart, 2004)</w:t>
      </w:r>
      <w:r w:rsidR="00A3324B">
        <w:t xml:space="preserve">. </w:t>
      </w:r>
      <w:r w:rsidR="00930904">
        <w:t xml:space="preserve">Finding a way to account for </w:t>
      </w:r>
      <w:r w:rsidR="00352AF6">
        <w:t>tangible and intangible</w:t>
      </w:r>
      <w:r w:rsidR="00930904">
        <w:t xml:space="preserve"> benefits of impact assessment is central to our framework as addressed in the next section.</w:t>
      </w:r>
    </w:p>
    <w:p w14:paraId="3EF879BD" w14:textId="71FE7846" w:rsidR="008C3D1D" w:rsidRDefault="008C3D1D"/>
    <w:p w14:paraId="37C34FC7" w14:textId="262F30A5" w:rsidR="005E6F08" w:rsidRPr="00EE12D9" w:rsidRDefault="005E6F08" w:rsidP="005E6F08">
      <w:pPr>
        <w:rPr>
          <w:b/>
        </w:rPr>
      </w:pPr>
      <w:r w:rsidRPr="00EE12D9">
        <w:rPr>
          <w:b/>
        </w:rPr>
        <w:t xml:space="preserve">Table </w:t>
      </w:r>
      <w:proofErr w:type="gramStart"/>
      <w:r>
        <w:rPr>
          <w:b/>
        </w:rPr>
        <w:t>2</w:t>
      </w:r>
      <w:r w:rsidRPr="00EE12D9">
        <w:rPr>
          <w:b/>
        </w:rPr>
        <w:t xml:space="preserve">  </w:t>
      </w:r>
      <w:r>
        <w:rPr>
          <w:b/>
        </w:rPr>
        <w:t>Current</w:t>
      </w:r>
      <w:proofErr w:type="gramEnd"/>
      <w:r>
        <w:rPr>
          <w:b/>
        </w:rPr>
        <w:t xml:space="preserve"> known benefits of </w:t>
      </w:r>
      <w:r w:rsidR="00713A59">
        <w:rPr>
          <w:b/>
        </w:rPr>
        <w:t>impact assessment</w:t>
      </w:r>
      <w:r>
        <w:rPr>
          <w:b/>
        </w:rPr>
        <w:t xml:space="preserve"> </w:t>
      </w:r>
    </w:p>
    <w:tbl>
      <w:tblPr>
        <w:tblStyle w:val="TableGrid"/>
        <w:tblW w:w="4608" w:type="pct"/>
        <w:tblInd w:w="817" w:type="dxa"/>
        <w:tblLook w:val="04A0" w:firstRow="1" w:lastRow="0" w:firstColumn="1" w:lastColumn="0" w:noHBand="0" w:noVBand="1"/>
      </w:tblPr>
      <w:tblGrid>
        <w:gridCol w:w="1877"/>
        <w:gridCol w:w="2801"/>
        <w:gridCol w:w="4399"/>
      </w:tblGrid>
      <w:tr w:rsidR="005E6F08" w:rsidRPr="00713A59" w14:paraId="064F85FF" w14:textId="77777777" w:rsidTr="00713A59">
        <w:tc>
          <w:tcPr>
            <w:tcW w:w="1034" w:type="pct"/>
          </w:tcPr>
          <w:p w14:paraId="5AD84CEC" w14:textId="403BB379" w:rsidR="005E6F08" w:rsidRPr="00713A59" w:rsidRDefault="00193C2F" w:rsidP="005E6F08">
            <w:pPr>
              <w:rPr>
                <w:b/>
                <w:sz w:val="22"/>
                <w:szCs w:val="22"/>
              </w:rPr>
            </w:pPr>
            <w:r>
              <w:rPr>
                <w:b/>
                <w:sz w:val="22"/>
                <w:szCs w:val="22"/>
              </w:rPr>
              <w:t xml:space="preserve">Benefit </w:t>
            </w:r>
            <w:r w:rsidR="005E6F08" w:rsidRPr="00713A59">
              <w:rPr>
                <w:b/>
                <w:sz w:val="22"/>
                <w:szCs w:val="22"/>
              </w:rPr>
              <w:t>Dimensions</w:t>
            </w:r>
          </w:p>
        </w:tc>
        <w:tc>
          <w:tcPr>
            <w:tcW w:w="1543" w:type="pct"/>
          </w:tcPr>
          <w:p w14:paraId="370BEC73" w14:textId="77777777" w:rsidR="005E6F08" w:rsidRPr="00713A59" w:rsidRDefault="005E6F08" w:rsidP="005E6F08">
            <w:pPr>
              <w:rPr>
                <w:b/>
                <w:sz w:val="22"/>
                <w:szCs w:val="22"/>
              </w:rPr>
            </w:pPr>
            <w:r w:rsidRPr="00713A59">
              <w:rPr>
                <w:b/>
                <w:sz w:val="22"/>
                <w:szCs w:val="22"/>
              </w:rPr>
              <w:t>Tangible</w:t>
            </w:r>
          </w:p>
        </w:tc>
        <w:tc>
          <w:tcPr>
            <w:tcW w:w="2423" w:type="pct"/>
          </w:tcPr>
          <w:p w14:paraId="5F7AD523" w14:textId="77777777" w:rsidR="005E6F08" w:rsidRPr="00713A59" w:rsidRDefault="005E6F08" w:rsidP="005E6F08">
            <w:pPr>
              <w:rPr>
                <w:b/>
                <w:sz w:val="22"/>
                <w:szCs w:val="22"/>
              </w:rPr>
            </w:pPr>
            <w:r w:rsidRPr="00713A59">
              <w:rPr>
                <w:b/>
                <w:sz w:val="22"/>
                <w:szCs w:val="22"/>
              </w:rPr>
              <w:t>Intangible</w:t>
            </w:r>
          </w:p>
        </w:tc>
      </w:tr>
      <w:tr w:rsidR="005E6F08" w:rsidRPr="00713A59" w14:paraId="5720B488" w14:textId="77777777" w:rsidTr="00713A59">
        <w:tc>
          <w:tcPr>
            <w:tcW w:w="1034" w:type="pct"/>
          </w:tcPr>
          <w:p w14:paraId="33D438CA" w14:textId="2412F9FB" w:rsidR="005E6F08" w:rsidRPr="00713A59" w:rsidRDefault="00193C2F" w:rsidP="005E6F08">
            <w:pPr>
              <w:rPr>
                <w:i/>
                <w:sz w:val="22"/>
                <w:szCs w:val="22"/>
              </w:rPr>
            </w:pPr>
            <w:r>
              <w:rPr>
                <w:i/>
                <w:sz w:val="22"/>
                <w:szCs w:val="22"/>
              </w:rPr>
              <w:t>Operational</w:t>
            </w:r>
            <w:r w:rsidRPr="00713A59">
              <w:rPr>
                <w:i/>
                <w:sz w:val="22"/>
                <w:szCs w:val="22"/>
              </w:rPr>
              <w:t xml:space="preserve"> </w:t>
            </w:r>
          </w:p>
        </w:tc>
        <w:tc>
          <w:tcPr>
            <w:tcW w:w="1543" w:type="pct"/>
          </w:tcPr>
          <w:p w14:paraId="6F937D37" w14:textId="5AE08FD0" w:rsidR="005E6F08" w:rsidRPr="00713A59" w:rsidRDefault="00443CAF" w:rsidP="005E6F08">
            <w:pPr>
              <w:pStyle w:val="ListParagraph"/>
              <w:numPr>
                <w:ilvl w:val="0"/>
                <w:numId w:val="14"/>
              </w:numPr>
              <w:ind w:left="317" w:hanging="317"/>
              <w:rPr>
                <w:sz w:val="22"/>
                <w:szCs w:val="22"/>
              </w:rPr>
            </w:pPr>
            <w:r w:rsidRPr="00713A59">
              <w:rPr>
                <w:sz w:val="22"/>
                <w:szCs w:val="22"/>
              </w:rPr>
              <w:t>prevention of costs</w:t>
            </w:r>
          </w:p>
          <w:p w14:paraId="08378D09" w14:textId="1020A46B" w:rsidR="005E6F08" w:rsidRPr="00713A59" w:rsidRDefault="00713A59" w:rsidP="005E6F08">
            <w:pPr>
              <w:pStyle w:val="ListParagraph"/>
              <w:numPr>
                <w:ilvl w:val="0"/>
                <w:numId w:val="14"/>
              </w:numPr>
              <w:ind w:left="317" w:hanging="317"/>
              <w:rPr>
                <w:sz w:val="22"/>
                <w:szCs w:val="22"/>
              </w:rPr>
            </w:pPr>
            <w:r>
              <w:rPr>
                <w:sz w:val="22"/>
                <w:szCs w:val="22"/>
              </w:rPr>
              <w:t>t</w:t>
            </w:r>
            <w:r w:rsidR="005E6F08" w:rsidRPr="00713A59">
              <w:rPr>
                <w:sz w:val="22"/>
                <w:szCs w:val="22"/>
              </w:rPr>
              <w:t>ime savings</w:t>
            </w:r>
          </w:p>
        </w:tc>
        <w:tc>
          <w:tcPr>
            <w:tcW w:w="2423" w:type="pct"/>
          </w:tcPr>
          <w:p w14:paraId="5F04B525" w14:textId="77777777" w:rsidR="005E6F08" w:rsidRPr="00713A59" w:rsidRDefault="00443CAF" w:rsidP="00713A59">
            <w:pPr>
              <w:pStyle w:val="ListParagraph"/>
              <w:numPr>
                <w:ilvl w:val="0"/>
                <w:numId w:val="14"/>
              </w:numPr>
              <w:ind w:left="317" w:hanging="317"/>
              <w:rPr>
                <w:sz w:val="22"/>
                <w:szCs w:val="22"/>
              </w:rPr>
            </w:pPr>
            <w:r w:rsidRPr="00713A59">
              <w:rPr>
                <w:sz w:val="22"/>
                <w:szCs w:val="22"/>
              </w:rPr>
              <w:t>higher acceptance of proposed development proposals and fewer conflicts</w:t>
            </w:r>
          </w:p>
          <w:p w14:paraId="310CE7AD" w14:textId="6664BB8E" w:rsidR="00AB247F" w:rsidRPr="00713A59" w:rsidRDefault="005652CD" w:rsidP="00713A59">
            <w:pPr>
              <w:pStyle w:val="ListParagraph"/>
              <w:numPr>
                <w:ilvl w:val="0"/>
                <w:numId w:val="14"/>
              </w:numPr>
              <w:ind w:left="317" w:hanging="317"/>
              <w:rPr>
                <w:sz w:val="22"/>
                <w:szCs w:val="22"/>
              </w:rPr>
            </w:pPr>
            <w:r w:rsidRPr="00631B44">
              <w:rPr>
                <w:sz w:val="22"/>
                <w:szCs w:val="22"/>
              </w:rPr>
              <w:t xml:space="preserve">delivery of </w:t>
            </w:r>
            <w:r w:rsidR="00AB247F" w:rsidRPr="00713A59">
              <w:rPr>
                <w:sz w:val="22"/>
                <w:szCs w:val="22"/>
              </w:rPr>
              <w:t>sustainable development</w:t>
            </w:r>
          </w:p>
        </w:tc>
      </w:tr>
      <w:tr w:rsidR="005E6F08" w:rsidRPr="00713A59" w14:paraId="73632768" w14:textId="77777777" w:rsidTr="00713A59">
        <w:tc>
          <w:tcPr>
            <w:tcW w:w="1034" w:type="pct"/>
          </w:tcPr>
          <w:p w14:paraId="1CBAB9B3" w14:textId="77777777" w:rsidR="005E6F08" w:rsidRPr="00713A59" w:rsidRDefault="005E6F08" w:rsidP="005E6F08">
            <w:pPr>
              <w:rPr>
                <w:i/>
                <w:sz w:val="22"/>
                <w:szCs w:val="22"/>
              </w:rPr>
            </w:pPr>
            <w:r w:rsidRPr="00713A59">
              <w:rPr>
                <w:i/>
                <w:sz w:val="22"/>
                <w:szCs w:val="22"/>
              </w:rPr>
              <w:t>Managerial</w:t>
            </w:r>
          </w:p>
        </w:tc>
        <w:tc>
          <w:tcPr>
            <w:tcW w:w="1543" w:type="pct"/>
          </w:tcPr>
          <w:p w14:paraId="4272B7E8" w14:textId="53761913" w:rsidR="005E6F08" w:rsidRPr="00713A59" w:rsidRDefault="005E6F08" w:rsidP="00443CAF">
            <w:pPr>
              <w:pStyle w:val="ListParagraph"/>
              <w:ind w:left="317"/>
              <w:rPr>
                <w:sz w:val="22"/>
                <w:szCs w:val="22"/>
              </w:rPr>
            </w:pPr>
          </w:p>
        </w:tc>
        <w:tc>
          <w:tcPr>
            <w:tcW w:w="2423" w:type="pct"/>
          </w:tcPr>
          <w:p w14:paraId="46061BBE" w14:textId="578B57E4" w:rsidR="005E6F08" w:rsidRPr="00713A59" w:rsidRDefault="00443CAF" w:rsidP="00713A59">
            <w:pPr>
              <w:pStyle w:val="ListParagraph"/>
              <w:numPr>
                <w:ilvl w:val="0"/>
                <w:numId w:val="14"/>
              </w:numPr>
              <w:ind w:left="317" w:hanging="317"/>
              <w:rPr>
                <w:sz w:val="22"/>
                <w:szCs w:val="22"/>
              </w:rPr>
            </w:pPr>
            <w:r w:rsidRPr="00713A59">
              <w:rPr>
                <w:sz w:val="22"/>
                <w:szCs w:val="22"/>
              </w:rPr>
              <w:t>involving new and beneficial stakeholders</w:t>
            </w:r>
          </w:p>
        </w:tc>
      </w:tr>
      <w:tr w:rsidR="005E6F08" w:rsidRPr="00713A59" w14:paraId="0381206F" w14:textId="77777777" w:rsidTr="00713A59">
        <w:tc>
          <w:tcPr>
            <w:tcW w:w="1034" w:type="pct"/>
          </w:tcPr>
          <w:p w14:paraId="3DEBA363" w14:textId="77777777" w:rsidR="005E6F08" w:rsidRPr="00713A59" w:rsidRDefault="005E6F08" w:rsidP="005E6F08">
            <w:pPr>
              <w:rPr>
                <w:i/>
                <w:sz w:val="22"/>
                <w:szCs w:val="22"/>
              </w:rPr>
            </w:pPr>
            <w:r w:rsidRPr="00713A59">
              <w:rPr>
                <w:i/>
                <w:sz w:val="22"/>
                <w:szCs w:val="22"/>
              </w:rPr>
              <w:t>Strategic</w:t>
            </w:r>
          </w:p>
        </w:tc>
        <w:tc>
          <w:tcPr>
            <w:tcW w:w="1543" w:type="pct"/>
          </w:tcPr>
          <w:p w14:paraId="13E7E84E" w14:textId="7BFA7C0E" w:rsidR="005E6F08" w:rsidRPr="00713A59" w:rsidRDefault="005E6F08" w:rsidP="00443CAF">
            <w:pPr>
              <w:pStyle w:val="ListParagraph"/>
              <w:ind w:left="317"/>
              <w:rPr>
                <w:sz w:val="22"/>
                <w:szCs w:val="22"/>
              </w:rPr>
            </w:pPr>
          </w:p>
        </w:tc>
        <w:tc>
          <w:tcPr>
            <w:tcW w:w="2423" w:type="pct"/>
          </w:tcPr>
          <w:p w14:paraId="564B2C8E" w14:textId="77777777" w:rsidR="005E6F08" w:rsidRPr="00713A59" w:rsidRDefault="00443CAF" w:rsidP="00713A59">
            <w:pPr>
              <w:pStyle w:val="ListParagraph"/>
              <w:numPr>
                <w:ilvl w:val="0"/>
                <w:numId w:val="14"/>
              </w:numPr>
              <w:ind w:left="317" w:hanging="317"/>
              <w:rPr>
                <w:sz w:val="22"/>
                <w:szCs w:val="22"/>
              </w:rPr>
            </w:pPr>
            <w:r w:rsidRPr="00713A59">
              <w:rPr>
                <w:sz w:val="22"/>
                <w:szCs w:val="22"/>
              </w:rPr>
              <w:t>stimulating environmental education</w:t>
            </w:r>
          </w:p>
          <w:p w14:paraId="5859CE36" w14:textId="77777777" w:rsidR="00443CAF" w:rsidRPr="00713A59" w:rsidRDefault="00443CAF" w:rsidP="00713A59">
            <w:pPr>
              <w:pStyle w:val="ListParagraph"/>
              <w:numPr>
                <w:ilvl w:val="0"/>
                <w:numId w:val="14"/>
              </w:numPr>
              <w:ind w:left="317" w:hanging="317"/>
              <w:rPr>
                <w:sz w:val="22"/>
                <w:szCs w:val="22"/>
              </w:rPr>
            </w:pPr>
            <w:r w:rsidRPr="00713A59">
              <w:rPr>
                <w:sz w:val="22"/>
                <w:szCs w:val="22"/>
              </w:rPr>
              <w:t>improvements in the environmental profile of proponents</w:t>
            </w:r>
          </w:p>
          <w:p w14:paraId="42C7BBEC" w14:textId="0848DA58" w:rsidR="00443CAF" w:rsidRPr="00713A59" w:rsidRDefault="00443CAF" w:rsidP="00713A59">
            <w:pPr>
              <w:pStyle w:val="ListParagraph"/>
              <w:numPr>
                <w:ilvl w:val="0"/>
                <w:numId w:val="14"/>
              </w:numPr>
              <w:ind w:left="317" w:hanging="317"/>
              <w:rPr>
                <w:sz w:val="22"/>
                <w:szCs w:val="22"/>
              </w:rPr>
            </w:pPr>
            <w:r w:rsidRPr="00713A59">
              <w:rPr>
                <w:sz w:val="22"/>
                <w:szCs w:val="22"/>
              </w:rPr>
              <w:t>encouraging the development of enhanced predictive and evaluative models</w:t>
            </w:r>
          </w:p>
        </w:tc>
      </w:tr>
      <w:tr w:rsidR="005E6F08" w:rsidRPr="00713A59" w14:paraId="37A4F574" w14:textId="77777777" w:rsidTr="00713A59">
        <w:tc>
          <w:tcPr>
            <w:tcW w:w="1034" w:type="pct"/>
          </w:tcPr>
          <w:p w14:paraId="0BC5F1AF" w14:textId="77777777" w:rsidR="005E6F08" w:rsidRPr="00713A59" w:rsidRDefault="005E6F08" w:rsidP="005E6F08">
            <w:pPr>
              <w:rPr>
                <w:sz w:val="22"/>
                <w:szCs w:val="22"/>
              </w:rPr>
            </w:pPr>
            <w:r w:rsidRPr="00713A59">
              <w:rPr>
                <w:i/>
                <w:sz w:val="22"/>
                <w:szCs w:val="22"/>
              </w:rPr>
              <w:t>Organizational</w:t>
            </w:r>
            <w:r w:rsidRPr="00713A59">
              <w:rPr>
                <w:sz w:val="22"/>
                <w:szCs w:val="22"/>
              </w:rPr>
              <w:t xml:space="preserve"> </w:t>
            </w:r>
          </w:p>
        </w:tc>
        <w:tc>
          <w:tcPr>
            <w:tcW w:w="1543" w:type="pct"/>
          </w:tcPr>
          <w:p w14:paraId="43D57242" w14:textId="6DED0495" w:rsidR="005E6F08" w:rsidRPr="00713A59" w:rsidRDefault="005E6F08" w:rsidP="00443CAF">
            <w:pPr>
              <w:pStyle w:val="ListParagraph"/>
              <w:ind w:left="317"/>
              <w:rPr>
                <w:sz w:val="22"/>
                <w:szCs w:val="22"/>
              </w:rPr>
            </w:pPr>
          </w:p>
        </w:tc>
        <w:tc>
          <w:tcPr>
            <w:tcW w:w="2423" w:type="pct"/>
          </w:tcPr>
          <w:p w14:paraId="6E8D23D8" w14:textId="41D6C8A0" w:rsidR="005E6F08" w:rsidRPr="00713A59" w:rsidRDefault="00AB247F" w:rsidP="00713A59">
            <w:pPr>
              <w:pStyle w:val="ListParagraph"/>
              <w:numPr>
                <w:ilvl w:val="0"/>
                <w:numId w:val="14"/>
              </w:numPr>
              <w:ind w:left="317" w:hanging="317"/>
              <w:rPr>
                <w:sz w:val="22"/>
                <w:szCs w:val="22"/>
              </w:rPr>
            </w:pPr>
            <w:r w:rsidRPr="00713A59">
              <w:rPr>
                <w:sz w:val="22"/>
                <w:szCs w:val="22"/>
              </w:rPr>
              <w:t>Institutional and other benefits</w:t>
            </w:r>
          </w:p>
        </w:tc>
      </w:tr>
    </w:tbl>
    <w:p w14:paraId="0AFDA322" w14:textId="77777777" w:rsidR="00496163" w:rsidRDefault="00496163"/>
    <w:p w14:paraId="4F506387" w14:textId="77777777" w:rsidR="00713A59" w:rsidRDefault="00713A59"/>
    <w:p w14:paraId="533BD629" w14:textId="070CDB2B" w:rsidR="00496163" w:rsidRPr="00E531E3" w:rsidRDefault="007C580B">
      <w:pPr>
        <w:rPr>
          <w:b/>
        </w:rPr>
      </w:pPr>
      <w:r>
        <w:rPr>
          <w:b/>
        </w:rPr>
        <w:t>6</w:t>
      </w:r>
      <w:r w:rsidR="00496163" w:rsidRPr="00E531E3">
        <w:rPr>
          <w:b/>
        </w:rPr>
        <w:t xml:space="preserve">. </w:t>
      </w:r>
      <w:r w:rsidR="00713A59">
        <w:rPr>
          <w:b/>
        </w:rPr>
        <w:t>Discussion</w:t>
      </w:r>
      <w:r w:rsidR="00900216">
        <w:rPr>
          <w:b/>
        </w:rPr>
        <w:t xml:space="preserve"> and </w:t>
      </w:r>
      <w:r w:rsidR="00496163" w:rsidRPr="00E531E3">
        <w:rPr>
          <w:b/>
        </w:rPr>
        <w:t>Conclusions</w:t>
      </w:r>
    </w:p>
    <w:p w14:paraId="2F45AB53" w14:textId="77777777" w:rsidR="00284FE4" w:rsidRDefault="00284FE4">
      <w:pPr>
        <w:rPr>
          <w:szCs w:val="24"/>
        </w:rPr>
      </w:pPr>
    </w:p>
    <w:p w14:paraId="60209C98" w14:textId="52EEDE97" w:rsidR="00900216" w:rsidRPr="00713A59" w:rsidRDefault="00713A59" w:rsidP="00900216">
      <w:r>
        <w:t>So far</w:t>
      </w:r>
      <w:r w:rsidR="00900216" w:rsidRPr="00713A59">
        <w:t xml:space="preserve"> we have classified benefits drawing on the business and management literature and have made initial attempts to classify the benefits already assessed in the </w:t>
      </w:r>
      <w:r>
        <w:t>impact assessment</w:t>
      </w:r>
      <w:r w:rsidR="00900216" w:rsidRPr="00713A59">
        <w:t xml:space="preserve"> literature. </w:t>
      </w:r>
      <w:r w:rsidR="0082571D" w:rsidRPr="008B25FB">
        <w:t>Th</w:t>
      </w:r>
      <w:r w:rsidR="00900216" w:rsidRPr="0082571D">
        <w:t>ere are gaps,</w:t>
      </w:r>
      <w:r w:rsidR="00900216" w:rsidRPr="00713A59">
        <w:t xml:space="preserve"> largely related to </w:t>
      </w:r>
      <w:r w:rsidR="00900216" w:rsidRPr="008B25FB">
        <w:t>tangible</w:t>
      </w:r>
      <w:r w:rsidR="00900216" w:rsidRPr="00713A59">
        <w:t xml:space="preserve"> benefits</w:t>
      </w:r>
      <w:r w:rsidR="00945C3D">
        <w:t xml:space="preserve"> </w:t>
      </w:r>
      <w:r w:rsidR="00945C3D" w:rsidRPr="008B25FB">
        <w:t xml:space="preserve">where it may be that some obvious and measurable benefits are not being investigated. Table 2 is also striking in terms of the large number of intangible benefits which we can see, but can’t currently measure. However, </w:t>
      </w:r>
      <w:r w:rsidR="00900216" w:rsidRPr="00713A59">
        <w:t xml:space="preserve">the </w:t>
      </w:r>
      <w:r w:rsidR="007A3A04">
        <w:t xml:space="preserve">business and management </w:t>
      </w:r>
      <w:r w:rsidR="00900216" w:rsidRPr="00713A59">
        <w:t>literature provide</w:t>
      </w:r>
      <w:r w:rsidR="007A3A04">
        <w:t>s</w:t>
      </w:r>
      <w:r w:rsidR="00900216" w:rsidRPr="00713A59">
        <w:t xml:space="preserve"> some methods for measuring the intangible benefits.</w:t>
      </w:r>
    </w:p>
    <w:p w14:paraId="32F4BB61" w14:textId="77777777" w:rsidR="00900216" w:rsidRPr="00713A59" w:rsidRDefault="00900216" w:rsidP="00900216"/>
    <w:p w14:paraId="311E26AD" w14:textId="5E245599" w:rsidR="00900216" w:rsidRDefault="00900216" w:rsidP="00900216">
      <w:proofErr w:type="spellStart"/>
      <w:r w:rsidRPr="00713A59">
        <w:t>Tallon</w:t>
      </w:r>
      <w:proofErr w:type="spellEnd"/>
      <w:r w:rsidRPr="00713A59">
        <w:t xml:space="preserve"> (et al 2000) used executives' perceptions as proxy measures for payoffs relating to</w:t>
      </w:r>
      <w:r>
        <w:t xml:space="preserve"> information systems investment by companies, based on an assumption that perceptual measures of firm performance correlate strongly with more traditional objective measures; as has been demonstrated in earlier studies (e.g. Boyd et al, 1993; Starbuck and </w:t>
      </w:r>
      <w:proofErr w:type="spellStart"/>
      <w:r>
        <w:t>Mezias</w:t>
      </w:r>
      <w:proofErr w:type="spellEnd"/>
      <w:r>
        <w:t xml:space="preserve">, 1996). The impact assessment studies of Macintosh (2010) and Annandale and </w:t>
      </w:r>
      <w:proofErr w:type="spellStart"/>
      <w:r>
        <w:t>Taplin</w:t>
      </w:r>
      <w:proofErr w:type="spellEnd"/>
      <w:r>
        <w:t xml:space="preserve"> (2003) were founded on surveys or interviews with proponents. In subsequent work, firstly Annandale </w:t>
      </w:r>
      <w:r w:rsidRPr="001F2281">
        <w:t xml:space="preserve">et al </w:t>
      </w:r>
      <w:r>
        <w:t xml:space="preserve">(2004) used the perceptions of managers of companies as </w:t>
      </w:r>
      <w:r w:rsidRPr="007A3A04">
        <w:t xml:space="preserve">a </w:t>
      </w:r>
      <w:r>
        <w:t xml:space="preserve">basis for determining the performance outcomes of voluntary environmental protection instruments (specifically corporate environmental reporting and environmental management systems), and secondly Annandale </w:t>
      </w:r>
      <w:r w:rsidRPr="001F2281">
        <w:t xml:space="preserve">et al </w:t>
      </w:r>
      <w:r>
        <w:t xml:space="preserve">(2007) performed a follow-up analysis of the same companies using printed documents and other archival material. In doing so, they verified the earlier findings in the business and management literature that perceptual measures of company executives are an accurate source of performance related information. The methods employed by Annandale </w:t>
      </w:r>
      <w:r w:rsidRPr="001F2281">
        <w:t xml:space="preserve">et al </w:t>
      </w:r>
      <w:r>
        <w:t>(2004) and Annandale (2007) could be applied to impact assessment as a means of documenting benefits as perceived by proponents (and also other stakeholders in the process) but the issue of quantification still remains.</w:t>
      </w:r>
    </w:p>
    <w:p w14:paraId="6CBE7FC7" w14:textId="77777777" w:rsidR="00900216" w:rsidRDefault="00900216" w:rsidP="00900216"/>
    <w:p w14:paraId="6338F9B0" w14:textId="4C2E2E42" w:rsidR="00900216" w:rsidRPr="00B51511" w:rsidRDefault="00900216" w:rsidP="00900216">
      <w:pPr>
        <w:rPr>
          <w:color w:val="0000FF"/>
          <w:highlight w:val="yellow"/>
        </w:rPr>
      </w:pPr>
      <w:r w:rsidRPr="007433A2">
        <w:t xml:space="preserve">Murphy and Simon (2002) noted in their review that for businesses investing in information services, many such projects deliver benefits that cannot easily be quantified. </w:t>
      </w:r>
      <w:proofErr w:type="spellStart"/>
      <w:r>
        <w:t>Remenyi</w:t>
      </w:r>
      <w:proofErr w:type="spellEnd"/>
      <w:r>
        <w:t xml:space="preserve"> (et al, 2007) make the same point stating that: "</w:t>
      </w:r>
      <w:r w:rsidRPr="00092CE8">
        <w:t>Intangibles are, almost by definition, hard to measure" (p109)</w:t>
      </w:r>
      <w:r>
        <w:t xml:space="preserve">, although they remain convinced that: "intangible benefits can </w:t>
      </w:r>
      <w:r w:rsidR="008B25FB" w:rsidRPr="008B25FB">
        <w:t>mak</w:t>
      </w:r>
      <w:r w:rsidRPr="008B25FB">
        <w:t>e</w:t>
      </w:r>
      <w:r>
        <w:t xml:space="preserve"> a critical contribution to the success of an organisation" (p29). Similarly, while the majority of sources identified by </w:t>
      </w:r>
      <w:proofErr w:type="spellStart"/>
      <w:r>
        <w:t>Oosterhuis</w:t>
      </w:r>
      <w:proofErr w:type="spellEnd"/>
      <w:r>
        <w:t xml:space="preserve"> (2007) pointed towards net benefits of impact assessment, such conclusions were "usually based on a qualitative assessment rather than on a formal analysis of costs and benefits" (p19).</w:t>
      </w:r>
      <w:r w:rsidR="00B06189">
        <w:rPr>
          <w:color w:val="0000FF"/>
        </w:rPr>
        <w:t xml:space="preserve"> </w:t>
      </w:r>
    </w:p>
    <w:p w14:paraId="1BCFD3A5" w14:textId="77777777" w:rsidR="00900216" w:rsidRDefault="00900216" w:rsidP="00900216"/>
    <w:p w14:paraId="0EF71A57" w14:textId="77777777" w:rsidR="00900216" w:rsidRDefault="00900216" w:rsidP="009002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t xml:space="preserve">On the basis that companies are motivated in the main by financial performance, it would be desirable to quantify benefits and express them in financial terms so that they can be truly realised alongside the costs. Here methodological considerations for determining and assessing benefits become paramount. </w:t>
      </w:r>
      <w:proofErr w:type="spellStart"/>
      <w:r>
        <w:t>Remenyi</w:t>
      </w:r>
      <w:proofErr w:type="spellEnd"/>
      <w:r>
        <w:t xml:space="preserve"> (et al, 2007) noted that:</w:t>
      </w:r>
    </w:p>
    <w:p w14:paraId="38BA3454" w14:textId="77777777" w:rsidR="00900216" w:rsidRPr="007433A2" w:rsidRDefault="00900216" w:rsidP="00900216">
      <w:pPr>
        <w:widowControl w:val="0"/>
        <w:autoSpaceDE w:val="0"/>
        <w:autoSpaceDN w:val="0"/>
        <w:adjustRightInd w:val="0"/>
        <w:ind w:left="720"/>
        <w:rPr>
          <w:sz w:val="22"/>
          <w:szCs w:val="22"/>
        </w:rPr>
      </w:pPr>
      <w:r w:rsidRPr="007433A2">
        <w:rPr>
          <w:sz w:val="22"/>
          <w:szCs w:val="22"/>
        </w:rPr>
        <w:t>Intangible benefits may often be quantified by using measuring instruments such as questionnaires, but it is quite difficult to make a creditable connection between what can be measured with such devices and the impact on the corporate financial results. This whole area of intangible benefits is one of the major problems that make benefit measurement and management hard (</w:t>
      </w:r>
      <w:proofErr w:type="spellStart"/>
      <w:r w:rsidRPr="007433A2">
        <w:rPr>
          <w:sz w:val="22"/>
          <w:szCs w:val="22"/>
        </w:rPr>
        <w:t>Remenyi</w:t>
      </w:r>
      <w:proofErr w:type="spellEnd"/>
      <w:r w:rsidRPr="007433A2">
        <w:rPr>
          <w:sz w:val="22"/>
          <w:szCs w:val="22"/>
        </w:rPr>
        <w:t xml:space="preserve"> et al, 2007, p29).</w:t>
      </w:r>
    </w:p>
    <w:p w14:paraId="5A76413F" w14:textId="77777777" w:rsidR="00900216" w:rsidRPr="00083AE1" w:rsidRDefault="00900216" w:rsidP="00900216">
      <w:r>
        <w:t xml:space="preserve">Despite these inherent challenges, </w:t>
      </w:r>
      <w:proofErr w:type="spellStart"/>
      <w:r>
        <w:t>Remenyi</w:t>
      </w:r>
      <w:proofErr w:type="spellEnd"/>
      <w:r>
        <w:t xml:space="preserve"> (et al, 2007) outline a methodology for helping to assess benefits of information systems investments for business planning purposes. We have cast this methodology into the context of impact assessment by a proponent, and with the intention of such an</w:t>
      </w:r>
      <w:r w:rsidRPr="00083AE1">
        <w:t xml:space="preserve"> investigation being carried out as a post-audit or follow-up to impact assessment, as follows:</w:t>
      </w:r>
    </w:p>
    <w:p w14:paraId="05B1F9B6" w14:textId="05C53872" w:rsidR="00900216" w:rsidRPr="00083AE1" w:rsidRDefault="00900216" w:rsidP="00900216">
      <w:pPr>
        <w:pStyle w:val="ListParagraph"/>
        <w:numPr>
          <w:ilvl w:val="0"/>
          <w:numId w:val="11"/>
        </w:numPr>
      </w:pPr>
      <w:r w:rsidRPr="00083AE1">
        <w:t>Step 1 – conceptualize the chain of cause-and-effect benefits arising from engagement in impact assessment (i.e. during design, pre-approval decision assessment activity and implementation of development</w:t>
      </w:r>
      <w:r w:rsidR="00F87BCB">
        <w:t>)</w:t>
      </w:r>
      <w:r w:rsidRPr="00083AE1">
        <w:t xml:space="preserve">. [Note: this step could either map out </w:t>
      </w:r>
      <w:r w:rsidRPr="00083AE1">
        <w:rPr>
          <w:i/>
        </w:rPr>
        <w:t>all</w:t>
      </w:r>
      <w:r w:rsidRPr="00083AE1">
        <w:t xml:space="preserve"> impact assessment benefits, or focus solely on benefi</w:t>
      </w:r>
      <w:r w:rsidR="00F87BCB">
        <w:t>ts specifically for proponents]</w:t>
      </w:r>
      <w:r w:rsidRPr="00083AE1">
        <w:t>;</w:t>
      </w:r>
    </w:p>
    <w:p w14:paraId="17C57D35" w14:textId="77777777" w:rsidR="00900216" w:rsidRPr="00083AE1" w:rsidRDefault="00900216" w:rsidP="00900216">
      <w:pPr>
        <w:pStyle w:val="ListParagraph"/>
        <w:numPr>
          <w:ilvl w:val="0"/>
          <w:numId w:val="11"/>
        </w:numPr>
      </w:pPr>
      <w:r w:rsidRPr="00083AE1">
        <w:t>Step 2 – Identify how it will be possible to establish the changes likely to occur as a result of application of impact assessment to a given development scenario, with a focus on the direction of the changes (e.g. will the change represent a cost or benefit to the proponent?);</w:t>
      </w:r>
    </w:p>
    <w:p w14:paraId="0E6115AD" w14:textId="77777777" w:rsidR="00900216" w:rsidRPr="00083AE1" w:rsidRDefault="00900216" w:rsidP="00900216">
      <w:pPr>
        <w:pStyle w:val="ListParagraph"/>
        <w:numPr>
          <w:ilvl w:val="0"/>
          <w:numId w:val="11"/>
        </w:numPr>
      </w:pPr>
      <w:r w:rsidRPr="00083AE1">
        <w:t>Step 3 – Consider how the size of the change may be measured;</w:t>
      </w:r>
    </w:p>
    <w:p w14:paraId="3D8942E6" w14:textId="77777777" w:rsidR="00900216" w:rsidRPr="00083AE1" w:rsidRDefault="00900216" w:rsidP="00900216">
      <w:pPr>
        <w:pStyle w:val="ListParagraph"/>
        <w:numPr>
          <w:ilvl w:val="0"/>
          <w:numId w:val="11"/>
        </w:numPr>
      </w:pPr>
      <w:r w:rsidRPr="00083AE1">
        <w:t>Step 4 – Measure the size of the change (i.e. through a combination of perceptual and archival sources); and</w:t>
      </w:r>
    </w:p>
    <w:p w14:paraId="55D83C1B" w14:textId="77777777" w:rsidR="00900216" w:rsidRDefault="00900216" w:rsidP="00900216">
      <w:pPr>
        <w:pStyle w:val="ListParagraph"/>
        <w:numPr>
          <w:ilvl w:val="0"/>
          <w:numId w:val="11"/>
        </w:numPr>
      </w:pPr>
      <w:r w:rsidRPr="00083AE1">
        <w:t>Step 5 – Put a financial val</w:t>
      </w:r>
      <w:r>
        <w:t>ue on the changes that have been observed.</w:t>
      </w:r>
    </w:p>
    <w:p w14:paraId="6386CDBE" w14:textId="61988E22" w:rsidR="00900216" w:rsidRPr="00541147" w:rsidRDefault="00900216" w:rsidP="00900216">
      <w:pPr>
        <w:rPr>
          <w:color w:val="0000FF"/>
        </w:rPr>
      </w:pPr>
      <w:r>
        <w:t xml:space="preserve">This five step approach could also be applied to other stakeholders in impact assessment, such as regulators or community groups, taking into account that different purposes or outcomes </w:t>
      </w:r>
      <w:r w:rsidRPr="00083AE1">
        <w:t xml:space="preserve">of impact assessment may become the focus as well as different ways of measuring their </w:t>
      </w:r>
      <w:r w:rsidRPr="005B47F8">
        <w:t xml:space="preserve">value. </w:t>
      </w:r>
      <w:r w:rsidR="00215B8F" w:rsidRPr="005B47F8">
        <w:t>Following the example</w:t>
      </w:r>
      <w:r w:rsidR="002C51A4" w:rsidRPr="005B47F8">
        <w:t>s</w:t>
      </w:r>
      <w:r w:rsidR="00215B8F" w:rsidRPr="005B47F8">
        <w:t xml:space="preserve"> of </w:t>
      </w:r>
      <w:proofErr w:type="spellStart"/>
      <w:r w:rsidR="002C51A4" w:rsidRPr="005B47F8">
        <w:t>Tallon</w:t>
      </w:r>
      <w:proofErr w:type="spellEnd"/>
      <w:r w:rsidR="002C51A4" w:rsidRPr="005B47F8">
        <w:t xml:space="preserve"> (et al 2000) and Anna</w:t>
      </w:r>
      <w:r w:rsidR="00F87BCB">
        <w:t>n</w:t>
      </w:r>
      <w:r w:rsidR="002C51A4" w:rsidRPr="005B47F8">
        <w:t>dale (et al 2004) previously</w:t>
      </w:r>
      <w:r w:rsidR="00F87BCB">
        <w:t>,</w:t>
      </w:r>
      <w:r w:rsidR="002C51A4" w:rsidRPr="005B47F8">
        <w:t xml:space="preserve"> Step 4 will require researchers to engage with </w:t>
      </w:r>
      <w:r w:rsidR="00BC5733" w:rsidRPr="005B47F8">
        <w:t>proponent</w:t>
      </w:r>
      <w:r w:rsidR="002C51A4" w:rsidRPr="005B47F8">
        <w:t xml:space="preserve"> managers and documentation</w:t>
      </w:r>
      <w:r w:rsidR="00BC5733" w:rsidRPr="005B47F8">
        <w:t xml:space="preserve"> in the main along with other relevant stakeholders to determine the extent of impact assessment benefits. </w:t>
      </w:r>
      <w:r w:rsidRPr="00083AE1">
        <w:t>Regarding Step 5, there are numerous well established techniques already existing within the cost-benefit analysis literature for putting financial values on natural and social phenomena that impact assessment researchers and practitioners have utilised (e.g.</w:t>
      </w:r>
      <w:r w:rsidRPr="00083AE1">
        <w:rPr>
          <w:rFonts w:ascii="Cambria" w:hAnsi="Cambria"/>
          <w:noProof/>
        </w:rPr>
        <w:t xml:space="preserve"> Ziller and </w:t>
      </w:r>
      <w:r w:rsidR="00F95134">
        <w:rPr>
          <w:rFonts w:ascii="Cambria" w:hAnsi="Cambria"/>
          <w:noProof/>
        </w:rPr>
        <w:t>Phibbs, 2003; Vaughan et al, 200</w:t>
      </w:r>
      <w:r w:rsidRPr="00083AE1">
        <w:rPr>
          <w:rFonts w:ascii="Cambria" w:hAnsi="Cambria"/>
          <w:noProof/>
        </w:rPr>
        <w:t>0</w:t>
      </w:r>
      <w:r w:rsidR="00541147">
        <w:rPr>
          <w:rFonts w:ascii="Cambria" w:hAnsi="Cambria"/>
          <w:noProof/>
        </w:rPr>
        <w:t>; Hardisty, 2010</w:t>
      </w:r>
      <w:r w:rsidRPr="00083AE1">
        <w:rPr>
          <w:rFonts w:ascii="Cambria" w:hAnsi="Cambria"/>
          <w:noProof/>
        </w:rPr>
        <w:t>; Vega</w:t>
      </w:r>
      <w:r w:rsidRPr="00083AE1">
        <w:rPr>
          <w:noProof/>
        </w:rPr>
        <w:t xml:space="preserve"> and </w:t>
      </w:r>
      <w:r w:rsidRPr="00083AE1">
        <w:rPr>
          <w:rFonts w:ascii="Cambria" w:hAnsi="Cambria"/>
          <w:noProof/>
        </w:rPr>
        <w:t>Alpízar, 2011</w:t>
      </w:r>
      <w:r w:rsidR="00F87BCB">
        <w:rPr>
          <w:rFonts w:ascii="Cambria" w:hAnsi="Cambria"/>
          <w:noProof/>
        </w:rPr>
        <w:t>)</w:t>
      </w:r>
      <w:r w:rsidRPr="00083AE1">
        <w:t>.</w:t>
      </w:r>
      <w:r w:rsidR="00541147">
        <w:rPr>
          <w:color w:val="0000FF"/>
        </w:rPr>
        <w:t xml:space="preserve"> </w:t>
      </w:r>
    </w:p>
    <w:p w14:paraId="458FEE7B" w14:textId="77777777" w:rsidR="00900216" w:rsidRPr="00083AE1" w:rsidRDefault="00900216">
      <w:pPr>
        <w:rPr>
          <w:szCs w:val="24"/>
        </w:rPr>
      </w:pPr>
    </w:p>
    <w:p w14:paraId="16CF21B4" w14:textId="6F2000AC" w:rsidR="00E531E3" w:rsidRPr="00083AE1" w:rsidRDefault="00E531E3">
      <w:pPr>
        <w:rPr>
          <w:szCs w:val="24"/>
        </w:rPr>
      </w:pPr>
      <w:r w:rsidRPr="00083AE1">
        <w:rPr>
          <w:szCs w:val="24"/>
        </w:rPr>
        <w:t xml:space="preserve">In </w:t>
      </w:r>
      <w:r w:rsidR="00083AE1" w:rsidRPr="00083AE1">
        <w:rPr>
          <w:szCs w:val="24"/>
        </w:rPr>
        <w:t xml:space="preserve">conclusion, </w:t>
      </w:r>
      <w:r w:rsidRPr="00083AE1">
        <w:rPr>
          <w:szCs w:val="24"/>
        </w:rPr>
        <w:t xml:space="preserve">our agenda </w:t>
      </w:r>
      <w:r w:rsidR="00083AE1" w:rsidRPr="00083AE1">
        <w:rPr>
          <w:szCs w:val="24"/>
        </w:rPr>
        <w:t xml:space="preserve">in this paper </w:t>
      </w:r>
      <w:r w:rsidRPr="00083AE1">
        <w:rPr>
          <w:szCs w:val="24"/>
        </w:rPr>
        <w:t xml:space="preserve">is to call for more studies that explicitly demonstrate the benefits of impact assessment to proponents. </w:t>
      </w:r>
      <w:r w:rsidR="00363560" w:rsidRPr="00083AE1">
        <w:rPr>
          <w:szCs w:val="24"/>
        </w:rPr>
        <w:t>We have shown that while the community of impact assessment practitioners generally believe th</w:t>
      </w:r>
      <w:r w:rsidR="00122CDA">
        <w:rPr>
          <w:szCs w:val="24"/>
        </w:rPr>
        <w:t>at</w:t>
      </w:r>
      <w:r w:rsidR="00363560" w:rsidRPr="00083AE1">
        <w:rPr>
          <w:szCs w:val="24"/>
        </w:rPr>
        <w:t xml:space="preserve"> impact assessment is beneficial (to all stakeholders), this message has not often been empirically demonstrated and nor is it obvious to </w:t>
      </w:r>
      <w:r w:rsidR="00083AE1">
        <w:rPr>
          <w:szCs w:val="24"/>
        </w:rPr>
        <w:t>those outside of the impact assessment community</w:t>
      </w:r>
      <w:r w:rsidR="00363560" w:rsidRPr="00083AE1">
        <w:rPr>
          <w:szCs w:val="24"/>
        </w:rPr>
        <w:t xml:space="preserve">. </w:t>
      </w:r>
      <w:r w:rsidR="00537BCA" w:rsidRPr="00083AE1">
        <w:rPr>
          <w:szCs w:val="24"/>
        </w:rPr>
        <w:t xml:space="preserve">While many of the benefits of impact assessment are intangible, learning from the business and management literature suggests that they can usefully be measured. We </w:t>
      </w:r>
      <w:r w:rsidR="00083AE1">
        <w:rPr>
          <w:szCs w:val="24"/>
        </w:rPr>
        <w:t xml:space="preserve">have </w:t>
      </w:r>
      <w:r w:rsidR="00537BCA" w:rsidRPr="00083AE1">
        <w:rPr>
          <w:szCs w:val="24"/>
        </w:rPr>
        <w:t>presented a five step methodology for accomplishing this based upon perceptions of managers within proponent agencies</w:t>
      </w:r>
      <w:r w:rsidR="00284FE4" w:rsidRPr="00083AE1">
        <w:rPr>
          <w:szCs w:val="24"/>
        </w:rPr>
        <w:t xml:space="preserve"> in tandem with archival material</w:t>
      </w:r>
      <w:r w:rsidR="00537BCA" w:rsidRPr="00083AE1">
        <w:rPr>
          <w:szCs w:val="24"/>
        </w:rPr>
        <w:t xml:space="preserve">. Further we </w:t>
      </w:r>
      <w:r w:rsidR="00083AE1">
        <w:rPr>
          <w:szCs w:val="24"/>
        </w:rPr>
        <w:t xml:space="preserve">have </w:t>
      </w:r>
      <w:r w:rsidR="00537BCA" w:rsidRPr="00083AE1">
        <w:rPr>
          <w:szCs w:val="24"/>
        </w:rPr>
        <w:t>articulated the nature of impact assessment benefits, and their relative tangibility</w:t>
      </w:r>
      <w:r w:rsidR="00083AE1">
        <w:rPr>
          <w:szCs w:val="24"/>
        </w:rPr>
        <w:t xml:space="preserve"> in a simple framework</w:t>
      </w:r>
      <w:r w:rsidR="00537BCA" w:rsidRPr="00083AE1">
        <w:rPr>
          <w:szCs w:val="24"/>
        </w:rPr>
        <w:t>. We now call upon impact assessment researcher</w:t>
      </w:r>
      <w:r w:rsidR="00083AE1">
        <w:rPr>
          <w:szCs w:val="24"/>
        </w:rPr>
        <w:t>s</w:t>
      </w:r>
      <w:r w:rsidR="00537BCA" w:rsidRPr="00083AE1">
        <w:rPr>
          <w:szCs w:val="24"/>
        </w:rPr>
        <w:t xml:space="preserve"> and practitioners alike to pursue investigations from practice that will build an empirical database on the small body of existing foundational work, especially that of Annandale and </w:t>
      </w:r>
      <w:proofErr w:type="spellStart"/>
      <w:r w:rsidR="00537BCA" w:rsidRPr="00083AE1">
        <w:rPr>
          <w:szCs w:val="24"/>
        </w:rPr>
        <w:t>Taplin</w:t>
      </w:r>
      <w:proofErr w:type="spellEnd"/>
      <w:r w:rsidR="00537BCA" w:rsidRPr="00083AE1">
        <w:rPr>
          <w:szCs w:val="24"/>
        </w:rPr>
        <w:t xml:space="preserve"> (2003)</w:t>
      </w:r>
      <w:r w:rsidR="00915307">
        <w:rPr>
          <w:szCs w:val="24"/>
        </w:rPr>
        <w:t>,</w:t>
      </w:r>
      <w:r w:rsidR="00537BCA" w:rsidRPr="00083AE1">
        <w:rPr>
          <w:szCs w:val="24"/>
        </w:rPr>
        <w:t xml:space="preserve"> for demonstrating the benefits of impact assessment to proponents. </w:t>
      </w:r>
    </w:p>
    <w:p w14:paraId="0735B081" w14:textId="77777777" w:rsidR="00553B60" w:rsidRPr="00496163" w:rsidRDefault="00553B60">
      <w:pPr>
        <w:rPr>
          <w:color w:val="FF6600"/>
        </w:rPr>
      </w:pPr>
    </w:p>
    <w:p w14:paraId="14601503" w14:textId="77777777" w:rsidR="00144134" w:rsidRDefault="00144134"/>
    <w:p w14:paraId="474247F6" w14:textId="398C085D" w:rsidR="0034301E" w:rsidRPr="0034301E" w:rsidRDefault="0034301E">
      <w:pPr>
        <w:rPr>
          <w:b/>
        </w:rPr>
      </w:pPr>
      <w:r>
        <w:rPr>
          <w:b/>
        </w:rPr>
        <w:t>References</w:t>
      </w:r>
    </w:p>
    <w:p w14:paraId="281F5482" w14:textId="77777777" w:rsidR="00D5746F" w:rsidRPr="007B5037" w:rsidRDefault="00D5746F" w:rsidP="00D23837">
      <w:pPr>
        <w:ind w:left="567" w:hanging="567"/>
        <w:rPr>
          <w:sz w:val="22"/>
          <w:szCs w:val="22"/>
        </w:rPr>
      </w:pPr>
    </w:p>
    <w:p w14:paraId="2503EEAA" w14:textId="7D0DDAB7" w:rsidR="00C91535" w:rsidRPr="00DF4A10" w:rsidRDefault="0092797C" w:rsidP="00FC6306">
      <w:pPr>
        <w:ind w:left="567" w:hanging="567"/>
        <w:rPr>
          <w:sz w:val="22"/>
          <w:szCs w:val="22"/>
        </w:rPr>
      </w:pPr>
      <w:r w:rsidRPr="00DF4A10">
        <w:rPr>
          <w:sz w:val="22"/>
          <w:szCs w:val="22"/>
        </w:rPr>
        <w:t xml:space="preserve">Annandale D, </w:t>
      </w:r>
      <w:r w:rsidR="00C91535" w:rsidRPr="00DF4A10">
        <w:rPr>
          <w:sz w:val="22"/>
          <w:szCs w:val="22"/>
        </w:rPr>
        <w:t>Morrison-Saunders</w:t>
      </w:r>
      <w:r w:rsidRPr="00DF4A10">
        <w:rPr>
          <w:sz w:val="22"/>
          <w:szCs w:val="22"/>
        </w:rPr>
        <w:t xml:space="preserve"> A, </w:t>
      </w:r>
      <w:proofErr w:type="spellStart"/>
      <w:r w:rsidR="00C91535" w:rsidRPr="00DF4A10">
        <w:rPr>
          <w:sz w:val="22"/>
          <w:szCs w:val="22"/>
        </w:rPr>
        <w:t>Bouma</w:t>
      </w:r>
      <w:proofErr w:type="spellEnd"/>
      <w:r w:rsidRPr="00DF4A10">
        <w:rPr>
          <w:sz w:val="22"/>
          <w:szCs w:val="22"/>
        </w:rPr>
        <w:t xml:space="preserve"> G</w:t>
      </w:r>
      <w:r w:rsidR="00075D2B" w:rsidRPr="00DF4A10">
        <w:rPr>
          <w:sz w:val="22"/>
          <w:szCs w:val="22"/>
        </w:rPr>
        <w:t>.</w:t>
      </w:r>
      <w:r w:rsidRPr="00DF4A10">
        <w:rPr>
          <w:sz w:val="22"/>
          <w:szCs w:val="22"/>
        </w:rPr>
        <w:t xml:space="preserve"> 2004</w:t>
      </w:r>
      <w:r w:rsidR="00C91535" w:rsidRPr="00DF4A10">
        <w:rPr>
          <w:sz w:val="22"/>
          <w:szCs w:val="22"/>
        </w:rPr>
        <w:t>. The Impact of Voluntary Environmental Protection Instruments on Company Environmental Performance. Business Strategy and the Environment</w:t>
      </w:r>
      <w:r w:rsidRPr="00DF4A10">
        <w:rPr>
          <w:sz w:val="22"/>
          <w:szCs w:val="22"/>
        </w:rPr>
        <w:t>.</w:t>
      </w:r>
      <w:r w:rsidR="00C91535" w:rsidRPr="00DF4A10">
        <w:rPr>
          <w:sz w:val="22"/>
          <w:szCs w:val="22"/>
        </w:rPr>
        <w:t xml:space="preserve"> 13(1):1-12</w:t>
      </w:r>
      <w:r w:rsidRPr="00DF4A10">
        <w:rPr>
          <w:sz w:val="22"/>
          <w:szCs w:val="22"/>
        </w:rPr>
        <w:t>.</w:t>
      </w:r>
    </w:p>
    <w:p w14:paraId="2B77C7D0" w14:textId="57CD60F7" w:rsidR="00C91535" w:rsidRPr="00DF4A10" w:rsidRDefault="0092797C" w:rsidP="00FC6306">
      <w:pPr>
        <w:ind w:left="567" w:hanging="567"/>
        <w:rPr>
          <w:sz w:val="22"/>
          <w:szCs w:val="22"/>
        </w:rPr>
      </w:pPr>
      <w:r w:rsidRPr="00DF4A10">
        <w:rPr>
          <w:sz w:val="22"/>
          <w:szCs w:val="22"/>
        </w:rPr>
        <w:t xml:space="preserve">Annandale D, </w:t>
      </w:r>
      <w:r w:rsidR="00C91535" w:rsidRPr="00DF4A10">
        <w:rPr>
          <w:sz w:val="22"/>
          <w:szCs w:val="22"/>
        </w:rPr>
        <w:t>Morrison-Saunders</w:t>
      </w:r>
      <w:r w:rsidRPr="00DF4A10">
        <w:rPr>
          <w:sz w:val="22"/>
          <w:szCs w:val="22"/>
        </w:rPr>
        <w:t xml:space="preserve"> A, </w:t>
      </w:r>
      <w:r w:rsidR="00C91535" w:rsidRPr="00DF4A10">
        <w:rPr>
          <w:sz w:val="22"/>
          <w:szCs w:val="22"/>
        </w:rPr>
        <w:t>Hughes</w:t>
      </w:r>
      <w:r w:rsidRPr="00DF4A10">
        <w:rPr>
          <w:sz w:val="22"/>
          <w:szCs w:val="22"/>
        </w:rPr>
        <w:t xml:space="preserve"> M</w:t>
      </w:r>
      <w:r w:rsidR="00075D2B" w:rsidRPr="00DF4A10">
        <w:rPr>
          <w:sz w:val="22"/>
          <w:szCs w:val="22"/>
        </w:rPr>
        <w:t>.</w:t>
      </w:r>
      <w:r w:rsidRPr="00DF4A10">
        <w:rPr>
          <w:sz w:val="22"/>
          <w:szCs w:val="22"/>
        </w:rPr>
        <w:t xml:space="preserve"> 2007</w:t>
      </w:r>
      <w:r w:rsidR="00C91535" w:rsidRPr="00DF4A10">
        <w:rPr>
          <w:sz w:val="22"/>
          <w:szCs w:val="22"/>
        </w:rPr>
        <w:t>. Measuring the Impact of Voluntary Environmental Protection Instruments: Per</w:t>
      </w:r>
      <w:r w:rsidRPr="00DF4A10">
        <w:rPr>
          <w:sz w:val="22"/>
          <w:szCs w:val="22"/>
        </w:rPr>
        <w:t>ceptual vs. Archival Techniques.</w:t>
      </w:r>
      <w:r w:rsidR="00C91535" w:rsidRPr="00DF4A10">
        <w:rPr>
          <w:sz w:val="22"/>
          <w:szCs w:val="22"/>
        </w:rPr>
        <w:t xml:space="preserve"> International Journal of Environment, Workplace and Employment</w:t>
      </w:r>
      <w:r w:rsidRPr="00DF4A10">
        <w:rPr>
          <w:sz w:val="22"/>
          <w:szCs w:val="22"/>
        </w:rPr>
        <w:t>.</w:t>
      </w:r>
      <w:r w:rsidR="00C91535" w:rsidRPr="00DF4A10">
        <w:rPr>
          <w:sz w:val="22"/>
          <w:szCs w:val="22"/>
        </w:rPr>
        <w:t xml:space="preserve"> 3(1): 1-14</w:t>
      </w:r>
      <w:r w:rsidRPr="00DF4A10">
        <w:rPr>
          <w:sz w:val="22"/>
          <w:szCs w:val="22"/>
        </w:rPr>
        <w:t>.</w:t>
      </w:r>
    </w:p>
    <w:p w14:paraId="32F90642" w14:textId="639EA283" w:rsidR="00D5746F" w:rsidRPr="00DF4A10" w:rsidRDefault="00D5746F" w:rsidP="00FC6306">
      <w:pPr>
        <w:ind w:left="567" w:hanging="567"/>
        <w:rPr>
          <w:sz w:val="22"/>
          <w:szCs w:val="22"/>
        </w:rPr>
      </w:pPr>
      <w:r w:rsidRPr="00DF4A10">
        <w:rPr>
          <w:sz w:val="22"/>
          <w:szCs w:val="22"/>
        </w:rPr>
        <w:t xml:space="preserve">Annandale D, </w:t>
      </w:r>
      <w:proofErr w:type="spellStart"/>
      <w:r w:rsidR="0092797C" w:rsidRPr="00DF4A10">
        <w:rPr>
          <w:sz w:val="22"/>
          <w:szCs w:val="22"/>
        </w:rPr>
        <w:t>Taplin</w:t>
      </w:r>
      <w:proofErr w:type="spellEnd"/>
      <w:r w:rsidR="0092797C" w:rsidRPr="00DF4A10">
        <w:rPr>
          <w:sz w:val="22"/>
          <w:szCs w:val="22"/>
        </w:rPr>
        <w:t xml:space="preserve"> R</w:t>
      </w:r>
      <w:r w:rsidR="00075D2B" w:rsidRPr="00DF4A10">
        <w:rPr>
          <w:sz w:val="22"/>
          <w:szCs w:val="22"/>
        </w:rPr>
        <w:t>.</w:t>
      </w:r>
      <w:r w:rsidR="0092797C" w:rsidRPr="00DF4A10">
        <w:rPr>
          <w:sz w:val="22"/>
          <w:szCs w:val="22"/>
        </w:rPr>
        <w:t xml:space="preserve"> 2003.</w:t>
      </w:r>
      <w:r w:rsidRPr="00DF4A10">
        <w:rPr>
          <w:sz w:val="22"/>
          <w:szCs w:val="22"/>
        </w:rPr>
        <w:t xml:space="preserve"> Is environmental impact assessment regulati</w:t>
      </w:r>
      <w:r w:rsidR="0092797C" w:rsidRPr="00DF4A10">
        <w:rPr>
          <w:sz w:val="22"/>
          <w:szCs w:val="22"/>
        </w:rPr>
        <w:t>on a ‘burden’ to private firms?</w:t>
      </w:r>
      <w:r w:rsidRPr="00DF4A10">
        <w:rPr>
          <w:sz w:val="22"/>
          <w:szCs w:val="22"/>
        </w:rPr>
        <w:t xml:space="preserve"> </w:t>
      </w:r>
      <w:r w:rsidRPr="00DF4A10">
        <w:rPr>
          <w:iCs/>
          <w:sz w:val="22"/>
          <w:szCs w:val="22"/>
        </w:rPr>
        <w:t>Environmental Impact Assessment Review</w:t>
      </w:r>
      <w:r w:rsidR="0092797C" w:rsidRPr="00DF4A10">
        <w:rPr>
          <w:iCs/>
          <w:sz w:val="22"/>
          <w:szCs w:val="22"/>
        </w:rPr>
        <w:t>.</w:t>
      </w:r>
      <w:r w:rsidRPr="00DF4A10">
        <w:rPr>
          <w:iCs/>
          <w:sz w:val="22"/>
          <w:szCs w:val="22"/>
        </w:rPr>
        <w:t xml:space="preserve"> </w:t>
      </w:r>
      <w:r w:rsidR="0092797C" w:rsidRPr="00DF4A10">
        <w:rPr>
          <w:sz w:val="22"/>
          <w:szCs w:val="22"/>
        </w:rPr>
        <w:t>23</w:t>
      </w:r>
      <w:r w:rsidRPr="00DF4A10">
        <w:rPr>
          <w:sz w:val="22"/>
          <w:szCs w:val="22"/>
        </w:rPr>
        <w:t>(3): 383-397</w:t>
      </w:r>
      <w:r w:rsidR="0092797C" w:rsidRPr="00DF4A10">
        <w:rPr>
          <w:sz w:val="22"/>
          <w:szCs w:val="22"/>
        </w:rPr>
        <w:t>.</w:t>
      </w:r>
    </w:p>
    <w:p w14:paraId="254F148F" w14:textId="11040E20" w:rsidR="00A3324B" w:rsidRPr="00DF4A10" w:rsidRDefault="0092797C" w:rsidP="00FC6306">
      <w:pPr>
        <w:widowControl w:val="0"/>
        <w:autoSpaceDE w:val="0"/>
        <w:autoSpaceDN w:val="0"/>
        <w:adjustRightInd w:val="0"/>
        <w:ind w:left="567" w:right="-720" w:hanging="567"/>
        <w:rPr>
          <w:rFonts w:cs="Helvetica"/>
          <w:sz w:val="22"/>
          <w:szCs w:val="22"/>
          <w:lang w:val="en-US"/>
        </w:rPr>
      </w:pPr>
      <w:r w:rsidRPr="00DF4A10">
        <w:rPr>
          <w:rFonts w:cs="Helvetica"/>
          <w:sz w:val="22"/>
          <w:szCs w:val="22"/>
          <w:lang w:val="en-US"/>
        </w:rPr>
        <w:t>Barker S</w:t>
      </w:r>
      <w:r w:rsidR="00075D2B" w:rsidRPr="00DF4A10">
        <w:rPr>
          <w:rFonts w:cs="Helvetica"/>
          <w:sz w:val="22"/>
          <w:szCs w:val="22"/>
          <w:lang w:val="en-US"/>
        </w:rPr>
        <w:t>.</w:t>
      </w:r>
      <w:r w:rsidRPr="00DF4A10">
        <w:rPr>
          <w:rFonts w:cs="Helvetica"/>
          <w:sz w:val="22"/>
          <w:szCs w:val="22"/>
          <w:lang w:val="en-US"/>
        </w:rPr>
        <w:t xml:space="preserve"> 1999. </w:t>
      </w:r>
      <w:r w:rsidR="00A3324B" w:rsidRPr="00DF4A10">
        <w:rPr>
          <w:rFonts w:cs="Helvetica"/>
          <w:sz w:val="22"/>
          <w:szCs w:val="22"/>
          <w:lang w:val="en-US"/>
        </w:rPr>
        <w:t>Counterfactuals, probabilistic counterfactuals and</w:t>
      </w:r>
      <w:r w:rsidRPr="00DF4A10">
        <w:rPr>
          <w:rFonts w:cs="Helvetica"/>
          <w:sz w:val="22"/>
          <w:szCs w:val="22"/>
          <w:lang w:val="en-US"/>
        </w:rPr>
        <w:t xml:space="preserve"> causation.</w:t>
      </w:r>
      <w:r w:rsidR="00A3324B" w:rsidRPr="00DF4A10">
        <w:rPr>
          <w:rFonts w:cs="Helvetica"/>
          <w:sz w:val="22"/>
          <w:szCs w:val="22"/>
          <w:lang w:val="en-US"/>
        </w:rPr>
        <w:t xml:space="preserve"> Mind</w:t>
      </w:r>
      <w:r w:rsidRPr="00DF4A10">
        <w:rPr>
          <w:rFonts w:cs="Helvetica"/>
          <w:sz w:val="22"/>
          <w:szCs w:val="22"/>
          <w:lang w:val="en-US"/>
        </w:rPr>
        <w:t>.</w:t>
      </w:r>
      <w:r w:rsidR="00A3324B" w:rsidRPr="00DF4A10">
        <w:rPr>
          <w:rFonts w:cs="Helvetica"/>
          <w:sz w:val="22"/>
          <w:szCs w:val="22"/>
          <w:lang w:val="en-US"/>
        </w:rPr>
        <w:t xml:space="preserve"> </w:t>
      </w:r>
      <w:r w:rsidR="00A3324B" w:rsidRPr="00DF4A10">
        <w:rPr>
          <w:rFonts w:cs="Helvetica"/>
          <w:bCs/>
          <w:sz w:val="22"/>
          <w:szCs w:val="22"/>
          <w:lang w:val="en-US"/>
        </w:rPr>
        <w:t>108</w:t>
      </w:r>
      <w:r w:rsidRPr="00DF4A10">
        <w:rPr>
          <w:rFonts w:cs="Helvetica"/>
          <w:sz w:val="22"/>
          <w:szCs w:val="22"/>
          <w:lang w:val="en-US"/>
        </w:rPr>
        <w:t>(431):</w:t>
      </w:r>
      <w:r w:rsidR="00A3324B" w:rsidRPr="00DF4A10">
        <w:rPr>
          <w:rFonts w:cs="Helvetica"/>
          <w:sz w:val="22"/>
          <w:szCs w:val="22"/>
          <w:lang w:val="en-US"/>
        </w:rPr>
        <w:t>427-469.</w:t>
      </w:r>
    </w:p>
    <w:p w14:paraId="4FC679DA" w14:textId="282E3DC2" w:rsidR="00D81ED2" w:rsidRPr="00DF4A10" w:rsidRDefault="0092797C" w:rsidP="00D81ED2">
      <w:pPr>
        <w:widowControl w:val="0"/>
        <w:autoSpaceDE w:val="0"/>
        <w:autoSpaceDN w:val="0"/>
        <w:adjustRightInd w:val="0"/>
        <w:ind w:left="720" w:right="-720" w:hanging="720"/>
        <w:rPr>
          <w:rFonts w:cs="Helvetica"/>
          <w:sz w:val="22"/>
          <w:szCs w:val="22"/>
          <w:lang w:val="en-US"/>
        </w:rPr>
      </w:pPr>
      <w:r w:rsidRPr="00DF4A10">
        <w:rPr>
          <w:rFonts w:cs="Helvetica"/>
          <w:sz w:val="22"/>
          <w:szCs w:val="22"/>
          <w:lang w:val="en-US"/>
        </w:rPr>
        <w:t xml:space="preserve">Bartlett R, </w:t>
      </w:r>
      <w:r w:rsidR="00D81ED2" w:rsidRPr="00DF4A10">
        <w:rPr>
          <w:rFonts w:cs="Helvetica"/>
          <w:sz w:val="22"/>
          <w:szCs w:val="22"/>
          <w:lang w:val="en-US"/>
        </w:rPr>
        <w:t>Kurian</w:t>
      </w:r>
      <w:r w:rsidRPr="00DF4A10">
        <w:rPr>
          <w:rFonts w:cs="Helvetica"/>
          <w:sz w:val="22"/>
          <w:szCs w:val="22"/>
          <w:lang w:val="en-US"/>
        </w:rPr>
        <w:t xml:space="preserve"> P</w:t>
      </w:r>
      <w:r w:rsidR="00075D2B" w:rsidRPr="00DF4A10">
        <w:rPr>
          <w:rFonts w:cs="Helvetica"/>
          <w:sz w:val="22"/>
          <w:szCs w:val="22"/>
          <w:lang w:val="en-US"/>
        </w:rPr>
        <w:t>.</w:t>
      </w:r>
      <w:r w:rsidRPr="00DF4A10">
        <w:rPr>
          <w:rFonts w:cs="Helvetica"/>
          <w:sz w:val="22"/>
          <w:szCs w:val="22"/>
          <w:lang w:val="en-US"/>
        </w:rPr>
        <w:t xml:space="preserve"> 1999. </w:t>
      </w:r>
      <w:r w:rsidR="00D81ED2" w:rsidRPr="00DF4A10">
        <w:rPr>
          <w:rFonts w:cs="Helvetica"/>
          <w:sz w:val="22"/>
          <w:szCs w:val="22"/>
          <w:lang w:val="en-US"/>
        </w:rPr>
        <w:t>The Theory of Environmental Impact Assessment: Im</w:t>
      </w:r>
      <w:r w:rsidRPr="00DF4A10">
        <w:rPr>
          <w:rFonts w:cs="Helvetica"/>
          <w:sz w:val="22"/>
          <w:szCs w:val="22"/>
          <w:lang w:val="en-US"/>
        </w:rPr>
        <w:t>plicit models of policy making. Policy &amp; Politics.</w:t>
      </w:r>
      <w:r w:rsidR="00D81ED2" w:rsidRPr="00DF4A10">
        <w:rPr>
          <w:rFonts w:cs="Helvetica"/>
          <w:sz w:val="22"/>
          <w:szCs w:val="22"/>
          <w:lang w:val="en-US"/>
        </w:rPr>
        <w:t xml:space="preserve"> </w:t>
      </w:r>
      <w:r w:rsidR="00D81ED2" w:rsidRPr="00DF4A10">
        <w:rPr>
          <w:rFonts w:cs="Helvetica"/>
          <w:bCs/>
          <w:sz w:val="22"/>
          <w:szCs w:val="22"/>
          <w:lang w:val="en-US"/>
        </w:rPr>
        <w:t>27</w:t>
      </w:r>
      <w:r w:rsidRPr="00DF4A10">
        <w:rPr>
          <w:rFonts w:cs="Helvetica"/>
          <w:sz w:val="22"/>
          <w:szCs w:val="22"/>
          <w:lang w:val="en-US"/>
        </w:rPr>
        <w:t>(4):</w:t>
      </w:r>
      <w:r w:rsidR="00D81ED2" w:rsidRPr="00DF4A10">
        <w:rPr>
          <w:rFonts w:cs="Helvetica"/>
          <w:sz w:val="22"/>
          <w:szCs w:val="22"/>
          <w:lang w:val="en-US"/>
        </w:rPr>
        <w:t>415-433.</w:t>
      </w:r>
    </w:p>
    <w:p w14:paraId="4D5D9A59" w14:textId="2FE2BB0A" w:rsidR="00091A29" w:rsidRPr="00DF4A10" w:rsidRDefault="0092797C" w:rsidP="00FC6306">
      <w:pPr>
        <w:widowControl w:val="0"/>
        <w:autoSpaceDE w:val="0"/>
        <w:autoSpaceDN w:val="0"/>
        <w:adjustRightInd w:val="0"/>
        <w:ind w:left="567" w:right="-720" w:hanging="567"/>
        <w:rPr>
          <w:rFonts w:cs="Helvetica"/>
          <w:sz w:val="22"/>
          <w:szCs w:val="22"/>
          <w:lang w:val="en-US"/>
        </w:rPr>
      </w:pPr>
      <w:proofErr w:type="spellStart"/>
      <w:r w:rsidRPr="00DF4A10">
        <w:rPr>
          <w:rFonts w:cs="Helvetica"/>
          <w:sz w:val="22"/>
          <w:szCs w:val="22"/>
          <w:lang w:val="en-US"/>
        </w:rPr>
        <w:t>Beike</w:t>
      </w:r>
      <w:proofErr w:type="spellEnd"/>
      <w:r w:rsidRPr="00DF4A10">
        <w:rPr>
          <w:rFonts w:cs="Helvetica"/>
          <w:sz w:val="22"/>
          <w:szCs w:val="22"/>
          <w:lang w:val="en-US"/>
        </w:rPr>
        <w:t xml:space="preserve"> D, </w:t>
      </w:r>
      <w:r w:rsidR="00091A29" w:rsidRPr="00DF4A10">
        <w:rPr>
          <w:rFonts w:cs="Helvetica"/>
          <w:sz w:val="22"/>
          <w:szCs w:val="22"/>
          <w:lang w:val="en-US"/>
        </w:rPr>
        <w:t>Sherman</w:t>
      </w:r>
      <w:r w:rsidRPr="00DF4A10">
        <w:rPr>
          <w:rFonts w:cs="Helvetica"/>
          <w:sz w:val="22"/>
          <w:szCs w:val="22"/>
          <w:lang w:val="en-US"/>
        </w:rPr>
        <w:t xml:space="preserve"> S</w:t>
      </w:r>
      <w:r w:rsidR="00075D2B" w:rsidRPr="00DF4A10">
        <w:rPr>
          <w:rFonts w:cs="Helvetica"/>
          <w:sz w:val="22"/>
          <w:szCs w:val="22"/>
          <w:lang w:val="en-US"/>
        </w:rPr>
        <w:t>.</w:t>
      </w:r>
      <w:r w:rsidRPr="00DF4A10">
        <w:rPr>
          <w:rFonts w:cs="Helvetica"/>
          <w:sz w:val="22"/>
          <w:szCs w:val="22"/>
          <w:lang w:val="en-US"/>
        </w:rPr>
        <w:t xml:space="preserve"> 1998. </w:t>
      </w:r>
      <w:r w:rsidR="00091A29" w:rsidRPr="00DF4A10">
        <w:rPr>
          <w:rFonts w:cs="Helvetica"/>
          <w:sz w:val="22"/>
          <w:szCs w:val="22"/>
          <w:lang w:val="en-US"/>
        </w:rPr>
        <w:t>Framing of comparison</w:t>
      </w:r>
      <w:r w:rsidRPr="00DF4A10">
        <w:rPr>
          <w:rFonts w:cs="Helvetica"/>
          <w:sz w:val="22"/>
          <w:szCs w:val="22"/>
          <w:lang w:val="en-US"/>
        </w:rPr>
        <w:t>s in research and practice.</w:t>
      </w:r>
      <w:r w:rsidR="00091A29" w:rsidRPr="00DF4A10">
        <w:rPr>
          <w:rFonts w:cs="Helvetica"/>
          <w:sz w:val="22"/>
          <w:szCs w:val="22"/>
          <w:lang w:val="en-US"/>
        </w:rPr>
        <w:t xml:space="preserve"> Ap</w:t>
      </w:r>
      <w:r w:rsidRPr="00DF4A10">
        <w:rPr>
          <w:rFonts w:cs="Helvetica"/>
          <w:sz w:val="22"/>
          <w:szCs w:val="22"/>
          <w:lang w:val="en-US"/>
        </w:rPr>
        <w:t>plied and Preventive Psychology.</w:t>
      </w:r>
      <w:r w:rsidR="00091A29" w:rsidRPr="00DF4A10">
        <w:rPr>
          <w:rFonts w:cs="Helvetica"/>
          <w:sz w:val="22"/>
          <w:szCs w:val="22"/>
          <w:lang w:val="en-US"/>
        </w:rPr>
        <w:t xml:space="preserve"> </w:t>
      </w:r>
      <w:r w:rsidR="00091A29" w:rsidRPr="00DF4A10">
        <w:rPr>
          <w:rFonts w:cs="Helvetica"/>
          <w:bCs/>
          <w:sz w:val="22"/>
          <w:szCs w:val="22"/>
          <w:lang w:val="en-US"/>
        </w:rPr>
        <w:t>7</w:t>
      </w:r>
      <w:r w:rsidRPr="00DF4A10">
        <w:rPr>
          <w:rFonts w:cs="Helvetica"/>
          <w:sz w:val="22"/>
          <w:szCs w:val="22"/>
          <w:lang w:val="en-US"/>
        </w:rPr>
        <w:t>(3):</w:t>
      </w:r>
      <w:r w:rsidR="00091A29" w:rsidRPr="00DF4A10">
        <w:rPr>
          <w:rFonts w:cs="Helvetica"/>
          <w:sz w:val="22"/>
          <w:szCs w:val="22"/>
          <w:lang w:val="en-US"/>
        </w:rPr>
        <w:t>161-180.</w:t>
      </w:r>
    </w:p>
    <w:p w14:paraId="3A0FE774" w14:textId="5F5A8D11" w:rsidR="000875D0" w:rsidRPr="00DF4A10" w:rsidRDefault="0092797C" w:rsidP="00FC6306">
      <w:pPr>
        <w:ind w:left="567" w:hanging="567"/>
        <w:rPr>
          <w:sz w:val="22"/>
          <w:szCs w:val="22"/>
        </w:rPr>
      </w:pPr>
      <w:r w:rsidRPr="00DF4A10">
        <w:rPr>
          <w:sz w:val="22"/>
          <w:szCs w:val="22"/>
        </w:rPr>
        <w:t xml:space="preserve">Bond A, Pope J, </w:t>
      </w:r>
      <w:r w:rsidR="000875D0" w:rsidRPr="00DF4A10">
        <w:rPr>
          <w:sz w:val="22"/>
          <w:szCs w:val="22"/>
        </w:rPr>
        <w:t>Morrison-Saunders</w:t>
      </w:r>
      <w:r w:rsidRPr="00DF4A10">
        <w:rPr>
          <w:sz w:val="22"/>
          <w:szCs w:val="22"/>
        </w:rPr>
        <w:t xml:space="preserve"> A, </w:t>
      </w:r>
      <w:r w:rsidR="000875D0" w:rsidRPr="00DF4A10">
        <w:rPr>
          <w:sz w:val="22"/>
          <w:szCs w:val="22"/>
        </w:rPr>
        <w:t>Retief</w:t>
      </w:r>
      <w:r w:rsidRPr="00DF4A10">
        <w:rPr>
          <w:sz w:val="22"/>
          <w:szCs w:val="22"/>
        </w:rPr>
        <w:t xml:space="preserve"> F, </w:t>
      </w:r>
      <w:r w:rsidR="000875D0" w:rsidRPr="00DF4A10">
        <w:rPr>
          <w:sz w:val="22"/>
          <w:szCs w:val="22"/>
        </w:rPr>
        <w:t xml:space="preserve">Gunn </w:t>
      </w:r>
      <w:r w:rsidRPr="00DF4A10">
        <w:rPr>
          <w:sz w:val="22"/>
          <w:szCs w:val="22"/>
        </w:rPr>
        <w:t>J</w:t>
      </w:r>
      <w:r w:rsidR="00075D2B" w:rsidRPr="00DF4A10">
        <w:rPr>
          <w:sz w:val="22"/>
          <w:szCs w:val="22"/>
        </w:rPr>
        <w:t>.</w:t>
      </w:r>
      <w:r w:rsidRPr="00DF4A10">
        <w:rPr>
          <w:sz w:val="22"/>
          <w:szCs w:val="22"/>
        </w:rPr>
        <w:t xml:space="preserve"> 2014.</w:t>
      </w:r>
      <w:r w:rsidR="000875D0" w:rsidRPr="00DF4A10">
        <w:rPr>
          <w:sz w:val="22"/>
          <w:szCs w:val="22"/>
        </w:rPr>
        <w:t xml:space="preserve"> Impact assessment: Eroding benefits through streamlining? Environmental Impact Assessment Review</w:t>
      </w:r>
      <w:r w:rsidRPr="00DF4A10">
        <w:rPr>
          <w:sz w:val="22"/>
          <w:szCs w:val="22"/>
        </w:rPr>
        <w:t>.</w:t>
      </w:r>
      <w:r w:rsidR="000875D0" w:rsidRPr="00DF4A10">
        <w:rPr>
          <w:sz w:val="22"/>
          <w:szCs w:val="22"/>
        </w:rPr>
        <w:t xml:space="preserve"> 45</w:t>
      </w:r>
      <w:r w:rsidRPr="00DF4A10">
        <w:rPr>
          <w:sz w:val="22"/>
          <w:szCs w:val="22"/>
        </w:rPr>
        <w:t>:46–53</w:t>
      </w:r>
    </w:p>
    <w:p w14:paraId="650E1A98" w14:textId="1E312B65" w:rsidR="0050305A" w:rsidRPr="00DF4A10" w:rsidRDefault="0092797C" w:rsidP="00FC6306">
      <w:pPr>
        <w:ind w:left="567" w:hanging="567"/>
        <w:rPr>
          <w:sz w:val="22"/>
          <w:szCs w:val="22"/>
          <w:lang w:val="en-GB"/>
        </w:rPr>
      </w:pPr>
      <w:bookmarkStart w:id="1" w:name="_ENREF_8"/>
      <w:r w:rsidRPr="00DF4A10">
        <w:rPr>
          <w:rFonts w:cs="Helvetica"/>
          <w:noProof/>
          <w:sz w:val="22"/>
          <w:szCs w:val="22"/>
        </w:rPr>
        <w:t xml:space="preserve">Bond A, </w:t>
      </w:r>
      <w:r w:rsidR="0050305A" w:rsidRPr="00DF4A10">
        <w:rPr>
          <w:rFonts w:cs="Helvetica"/>
          <w:noProof/>
          <w:sz w:val="22"/>
          <w:szCs w:val="22"/>
        </w:rPr>
        <w:t>Morri</w:t>
      </w:r>
      <w:r w:rsidR="007F7B6F" w:rsidRPr="00DF4A10">
        <w:rPr>
          <w:rFonts w:cs="Helvetica"/>
          <w:noProof/>
          <w:sz w:val="22"/>
          <w:szCs w:val="22"/>
        </w:rPr>
        <w:t xml:space="preserve">son-Saunders </w:t>
      </w:r>
      <w:r w:rsidRPr="00DF4A10">
        <w:rPr>
          <w:rFonts w:cs="Helvetica"/>
          <w:noProof/>
          <w:sz w:val="22"/>
          <w:szCs w:val="22"/>
        </w:rPr>
        <w:t xml:space="preserve">A, </w:t>
      </w:r>
      <w:r w:rsidR="007F7B6F" w:rsidRPr="00DF4A10">
        <w:rPr>
          <w:rFonts w:cs="Helvetica"/>
          <w:noProof/>
          <w:sz w:val="22"/>
          <w:szCs w:val="22"/>
        </w:rPr>
        <w:t>Howitt</w:t>
      </w:r>
      <w:r w:rsidRPr="00DF4A10">
        <w:rPr>
          <w:rFonts w:cs="Helvetica"/>
          <w:noProof/>
          <w:sz w:val="22"/>
          <w:szCs w:val="22"/>
        </w:rPr>
        <w:t xml:space="preserve"> R</w:t>
      </w:r>
      <w:r w:rsidR="00075D2B" w:rsidRPr="00DF4A10">
        <w:rPr>
          <w:rFonts w:cs="Helvetica"/>
          <w:noProof/>
          <w:sz w:val="22"/>
          <w:szCs w:val="22"/>
        </w:rPr>
        <w:t>.</w:t>
      </w:r>
      <w:r w:rsidRPr="00DF4A10">
        <w:rPr>
          <w:rFonts w:cs="Helvetica"/>
          <w:noProof/>
          <w:sz w:val="22"/>
          <w:szCs w:val="22"/>
        </w:rPr>
        <w:t xml:space="preserve"> </w:t>
      </w:r>
      <w:r w:rsidR="007F7B6F" w:rsidRPr="00DF4A10">
        <w:rPr>
          <w:rFonts w:cs="Helvetica"/>
          <w:noProof/>
          <w:sz w:val="22"/>
          <w:szCs w:val="22"/>
        </w:rPr>
        <w:t>2013</w:t>
      </w:r>
      <w:r w:rsidRPr="00DF4A10">
        <w:rPr>
          <w:rFonts w:cs="Helvetica"/>
          <w:noProof/>
          <w:sz w:val="22"/>
          <w:szCs w:val="22"/>
        </w:rPr>
        <w:t xml:space="preserve">. </w:t>
      </w:r>
      <w:r w:rsidR="0050305A" w:rsidRPr="00DF4A10">
        <w:rPr>
          <w:rFonts w:cs="Helvetica"/>
          <w:noProof/>
          <w:sz w:val="22"/>
          <w:szCs w:val="22"/>
        </w:rPr>
        <w:t>Chapter 8: Framework for comparing and evaluating sustai</w:t>
      </w:r>
      <w:r w:rsidRPr="00DF4A10">
        <w:rPr>
          <w:rFonts w:cs="Helvetica"/>
          <w:noProof/>
          <w:sz w:val="22"/>
          <w:szCs w:val="22"/>
        </w:rPr>
        <w:t>nability assessment practice. I</w:t>
      </w:r>
      <w:r w:rsidR="0050305A" w:rsidRPr="00DF4A10">
        <w:rPr>
          <w:rFonts w:cs="Helvetica"/>
          <w:noProof/>
          <w:sz w:val="22"/>
          <w:szCs w:val="22"/>
        </w:rPr>
        <w:t>n</w:t>
      </w:r>
      <w:r w:rsidRPr="00DF4A10">
        <w:rPr>
          <w:rFonts w:cs="Helvetica"/>
          <w:noProof/>
          <w:sz w:val="22"/>
          <w:szCs w:val="22"/>
        </w:rPr>
        <w:t xml:space="preserve">: </w:t>
      </w:r>
      <w:r w:rsidR="0050305A" w:rsidRPr="00DF4A10">
        <w:rPr>
          <w:rFonts w:cs="Helvetica"/>
          <w:noProof/>
          <w:sz w:val="22"/>
          <w:szCs w:val="22"/>
        </w:rPr>
        <w:t>Bond</w:t>
      </w:r>
      <w:r w:rsidRPr="00DF4A10">
        <w:rPr>
          <w:rFonts w:cs="Helvetica"/>
          <w:noProof/>
          <w:sz w:val="22"/>
          <w:szCs w:val="22"/>
        </w:rPr>
        <w:t xml:space="preserve"> A, </w:t>
      </w:r>
      <w:r w:rsidR="0050305A" w:rsidRPr="00DF4A10">
        <w:rPr>
          <w:rFonts w:cs="Helvetica"/>
          <w:noProof/>
          <w:sz w:val="22"/>
          <w:szCs w:val="22"/>
        </w:rPr>
        <w:t>Morrison-Saunders</w:t>
      </w:r>
      <w:r w:rsidRPr="00DF4A10">
        <w:rPr>
          <w:rFonts w:cs="Helvetica"/>
          <w:noProof/>
          <w:sz w:val="22"/>
          <w:szCs w:val="22"/>
        </w:rPr>
        <w:t xml:space="preserve"> A, </w:t>
      </w:r>
      <w:r w:rsidR="0050305A" w:rsidRPr="00DF4A10">
        <w:rPr>
          <w:rFonts w:cs="Helvetica"/>
          <w:noProof/>
          <w:sz w:val="22"/>
          <w:szCs w:val="22"/>
        </w:rPr>
        <w:t xml:space="preserve">Howitt </w:t>
      </w:r>
      <w:r w:rsidRPr="00DF4A10">
        <w:rPr>
          <w:rFonts w:cs="Helvetica"/>
          <w:noProof/>
          <w:sz w:val="22"/>
          <w:szCs w:val="22"/>
        </w:rPr>
        <w:t>R, editors.</w:t>
      </w:r>
      <w:r w:rsidR="0050305A" w:rsidRPr="00DF4A10">
        <w:rPr>
          <w:rFonts w:cs="Helvetica"/>
          <w:noProof/>
          <w:sz w:val="22"/>
          <w:szCs w:val="22"/>
        </w:rPr>
        <w:t xml:space="preserve"> Sustainability Assessment: Pluralism, Practice and Progress</w:t>
      </w:r>
      <w:r w:rsidRPr="00DF4A10">
        <w:rPr>
          <w:rFonts w:cs="Helvetica"/>
          <w:noProof/>
          <w:sz w:val="22"/>
          <w:szCs w:val="22"/>
        </w:rPr>
        <w:t>.</w:t>
      </w:r>
      <w:r w:rsidR="0050305A" w:rsidRPr="00DF4A10">
        <w:rPr>
          <w:rFonts w:cs="Helvetica"/>
          <w:noProof/>
          <w:sz w:val="22"/>
          <w:szCs w:val="22"/>
        </w:rPr>
        <w:t xml:space="preserve"> </w:t>
      </w:r>
      <w:bookmarkEnd w:id="1"/>
      <w:r w:rsidRPr="00DF4A10">
        <w:rPr>
          <w:sz w:val="22"/>
          <w:szCs w:val="22"/>
        </w:rPr>
        <w:t>London: Routledge:</w:t>
      </w:r>
      <w:r w:rsidR="003D2112" w:rsidRPr="00DF4A10">
        <w:rPr>
          <w:rFonts w:cs="Helvetica"/>
          <w:noProof/>
          <w:sz w:val="22"/>
          <w:szCs w:val="22"/>
        </w:rPr>
        <w:t xml:space="preserve"> </w:t>
      </w:r>
      <w:r w:rsidR="003D2112" w:rsidRPr="00DF4A10">
        <w:rPr>
          <w:sz w:val="22"/>
          <w:szCs w:val="22"/>
          <w:lang w:val="en-GB"/>
        </w:rPr>
        <w:t>117-131</w:t>
      </w:r>
      <w:r w:rsidRPr="00DF4A10">
        <w:rPr>
          <w:sz w:val="22"/>
          <w:szCs w:val="22"/>
          <w:lang w:val="en-GB"/>
        </w:rPr>
        <w:t>.</w:t>
      </w:r>
    </w:p>
    <w:p w14:paraId="7DEBC1A1" w14:textId="0A34947D" w:rsidR="00CB43F9" w:rsidRPr="00DF4A10" w:rsidRDefault="0092797C" w:rsidP="00FC6306">
      <w:pPr>
        <w:ind w:left="567" w:hanging="567"/>
        <w:rPr>
          <w:sz w:val="22"/>
          <w:szCs w:val="22"/>
        </w:rPr>
      </w:pPr>
      <w:r w:rsidRPr="00DF4A10">
        <w:rPr>
          <w:sz w:val="22"/>
          <w:szCs w:val="22"/>
        </w:rPr>
        <w:t xml:space="preserve">Boyd B, </w:t>
      </w:r>
      <w:proofErr w:type="spellStart"/>
      <w:r w:rsidRPr="00DF4A10">
        <w:rPr>
          <w:sz w:val="22"/>
          <w:szCs w:val="22"/>
        </w:rPr>
        <w:t>Dess</w:t>
      </w:r>
      <w:proofErr w:type="spellEnd"/>
      <w:r w:rsidRPr="00DF4A10">
        <w:rPr>
          <w:sz w:val="22"/>
          <w:szCs w:val="22"/>
        </w:rPr>
        <w:t xml:space="preserve"> G, Rasheed A</w:t>
      </w:r>
      <w:r w:rsidR="00075D2B" w:rsidRPr="00DF4A10">
        <w:rPr>
          <w:sz w:val="22"/>
          <w:szCs w:val="22"/>
        </w:rPr>
        <w:t>.</w:t>
      </w:r>
      <w:r w:rsidR="00CB43F9" w:rsidRPr="00DF4A10">
        <w:rPr>
          <w:sz w:val="22"/>
          <w:szCs w:val="22"/>
        </w:rPr>
        <w:t xml:space="preserve"> 1993. Divergence between archival and perceptual measures of the environment: causes and consequences. Academy of Management Review</w:t>
      </w:r>
      <w:r w:rsidRPr="00DF4A10">
        <w:rPr>
          <w:sz w:val="22"/>
          <w:szCs w:val="22"/>
        </w:rPr>
        <w:t>.</w:t>
      </w:r>
      <w:r w:rsidR="00CB43F9" w:rsidRPr="00DF4A10">
        <w:rPr>
          <w:sz w:val="22"/>
          <w:szCs w:val="22"/>
        </w:rPr>
        <w:t xml:space="preserve"> 18(2): 204–226.</w:t>
      </w:r>
    </w:p>
    <w:p w14:paraId="75171B50" w14:textId="73A4894F" w:rsidR="008461C6" w:rsidRPr="00DF4A10" w:rsidRDefault="008461C6" w:rsidP="00FC6306">
      <w:pPr>
        <w:ind w:left="567" w:hanging="567"/>
        <w:rPr>
          <w:sz w:val="22"/>
          <w:szCs w:val="22"/>
        </w:rPr>
      </w:pPr>
      <w:r w:rsidRPr="00DF4A10">
        <w:rPr>
          <w:sz w:val="22"/>
          <w:szCs w:val="22"/>
        </w:rPr>
        <w:t>Brown</w:t>
      </w:r>
      <w:r w:rsidR="0092797C" w:rsidRPr="00DF4A10">
        <w:rPr>
          <w:sz w:val="22"/>
          <w:szCs w:val="22"/>
        </w:rPr>
        <w:t xml:space="preserve"> A, McDonald G</w:t>
      </w:r>
      <w:r w:rsidR="00075D2B" w:rsidRPr="00DF4A10">
        <w:rPr>
          <w:sz w:val="22"/>
          <w:szCs w:val="22"/>
        </w:rPr>
        <w:t>.</w:t>
      </w:r>
      <w:r w:rsidR="00F95134" w:rsidRPr="00DF4A10">
        <w:rPr>
          <w:sz w:val="22"/>
          <w:szCs w:val="22"/>
        </w:rPr>
        <w:t xml:space="preserve"> 1995</w:t>
      </w:r>
      <w:r w:rsidR="0092797C" w:rsidRPr="00DF4A10">
        <w:rPr>
          <w:sz w:val="22"/>
          <w:szCs w:val="22"/>
        </w:rPr>
        <w:t>.</w:t>
      </w:r>
      <w:r w:rsidRPr="00DF4A10">
        <w:rPr>
          <w:sz w:val="22"/>
          <w:szCs w:val="22"/>
        </w:rPr>
        <w:t xml:space="preserve"> From Environmental Impact Assessment to environmental design and planning. Australian Journal of Environmental Management</w:t>
      </w:r>
      <w:r w:rsidR="0092797C" w:rsidRPr="00DF4A10">
        <w:rPr>
          <w:sz w:val="22"/>
          <w:szCs w:val="22"/>
        </w:rPr>
        <w:t>.</w:t>
      </w:r>
      <w:r w:rsidRPr="00DF4A10">
        <w:rPr>
          <w:sz w:val="22"/>
          <w:szCs w:val="22"/>
        </w:rPr>
        <w:t xml:space="preserve"> 2</w:t>
      </w:r>
      <w:r w:rsidR="0092797C" w:rsidRPr="00DF4A10">
        <w:rPr>
          <w:sz w:val="22"/>
          <w:szCs w:val="22"/>
        </w:rPr>
        <w:t>(2):</w:t>
      </w:r>
      <w:r w:rsidRPr="00DF4A10">
        <w:rPr>
          <w:sz w:val="22"/>
          <w:szCs w:val="22"/>
        </w:rPr>
        <w:t>65-77</w:t>
      </w:r>
      <w:r w:rsidR="0092797C" w:rsidRPr="00DF4A10">
        <w:rPr>
          <w:sz w:val="22"/>
          <w:szCs w:val="22"/>
        </w:rPr>
        <w:t>.</w:t>
      </w:r>
    </w:p>
    <w:p w14:paraId="6E35969B" w14:textId="0580160E" w:rsidR="00B56712" w:rsidRPr="00DF4A10" w:rsidRDefault="00B56712" w:rsidP="00FC6306">
      <w:pPr>
        <w:ind w:left="567" w:hanging="567"/>
        <w:rPr>
          <w:sz w:val="22"/>
          <w:szCs w:val="22"/>
        </w:rPr>
      </w:pPr>
      <w:r w:rsidRPr="00DF4A10">
        <w:rPr>
          <w:sz w:val="22"/>
          <w:szCs w:val="22"/>
        </w:rPr>
        <w:t xml:space="preserve">Cashmore M, </w:t>
      </w:r>
      <w:proofErr w:type="spellStart"/>
      <w:r w:rsidRPr="00DF4A10">
        <w:rPr>
          <w:sz w:val="22"/>
          <w:szCs w:val="22"/>
        </w:rPr>
        <w:t>Gwilliam</w:t>
      </w:r>
      <w:proofErr w:type="spellEnd"/>
      <w:r w:rsidRPr="00DF4A10">
        <w:rPr>
          <w:sz w:val="22"/>
          <w:szCs w:val="22"/>
        </w:rPr>
        <w:t xml:space="preserve"> R, Morgan R, Cobb D, Bond A. </w:t>
      </w:r>
      <w:r w:rsidR="00F95134" w:rsidRPr="00DF4A10">
        <w:rPr>
          <w:sz w:val="22"/>
          <w:szCs w:val="22"/>
        </w:rPr>
        <w:t>2004</w:t>
      </w:r>
      <w:r w:rsidR="00075D2B" w:rsidRPr="00DF4A10">
        <w:rPr>
          <w:sz w:val="22"/>
          <w:szCs w:val="22"/>
        </w:rPr>
        <w:t>.</w:t>
      </w:r>
      <w:r w:rsidR="00F95134" w:rsidRPr="00DF4A10">
        <w:rPr>
          <w:sz w:val="22"/>
          <w:szCs w:val="22"/>
        </w:rPr>
        <w:t xml:space="preserve"> </w:t>
      </w:r>
      <w:r w:rsidRPr="00DF4A10">
        <w:rPr>
          <w:sz w:val="22"/>
          <w:szCs w:val="22"/>
        </w:rPr>
        <w:t>The interminable issue of effectiveness:  substantive purposes, outcomes and research challenges in the advancement of environmental impact assessment theory. Impact Assess</w:t>
      </w:r>
      <w:r w:rsidR="00755C5C" w:rsidRPr="00DF4A10">
        <w:rPr>
          <w:sz w:val="22"/>
          <w:szCs w:val="22"/>
        </w:rPr>
        <w:t>ment and</w:t>
      </w:r>
      <w:r w:rsidRPr="00DF4A10">
        <w:rPr>
          <w:sz w:val="22"/>
          <w:szCs w:val="22"/>
        </w:rPr>
        <w:t xml:space="preserve"> Proj</w:t>
      </w:r>
      <w:r w:rsidR="00755C5C" w:rsidRPr="00DF4A10">
        <w:rPr>
          <w:sz w:val="22"/>
          <w:szCs w:val="22"/>
        </w:rPr>
        <w:t>ect</w:t>
      </w:r>
      <w:r w:rsidRPr="00DF4A10">
        <w:rPr>
          <w:sz w:val="22"/>
          <w:szCs w:val="22"/>
        </w:rPr>
        <w:t xml:space="preserve"> Apprais</w:t>
      </w:r>
      <w:r w:rsidR="00755C5C" w:rsidRPr="00DF4A10">
        <w:rPr>
          <w:sz w:val="22"/>
          <w:szCs w:val="22"/>
        </w:rPr>
        <w:t>al</w:t>
      </w:r>
      <w:r w:rsidR="00075D2B" w:rsidRPr="00DF4A10">
        <w:rPr>
          <w:sz w:val="22"/>
          <w:szCs w:val="22"/>
        </w:rPr>
        <w:t>.</w:t>
      </w:r>
      <w:r w:rsidR="00F95134" w:rsidRPr="00DF4A10">
        <w:rPr>
          <w:sz w:val="22"/>
          <w:szCs w:val="22"/>
        </w:rPr>
        <w:t xml:space="preserve"> </w:t>
      </w:r>
      <w:r w:rsidRPr="00DF4A10">
        <w:rPr>
          <w:sz w:val="22"/>
          <w:szCs w:val="22"/>
        </w:rPr>
        <w:t>22:295–310.</w:t>
      </w:r>
    </w:p>
    <w:p w14:paraId="13934ACA" w14:textId="78268B92" w:rsidR="0050305A" w:rsidRPr="00DF4A10" w:rsidRDefault="00075D2B" w:rsidP="00FC6306">
      <w:pPr>
        <w:ind w:left="567" w:hanging="567"/>
        <w:rPr>
          <w:rFonts w:cs="Helvetica"/>
          <w:noProof/>
          <w:sz w:val="22"/>
          <w:szCs w:val="22"/>
        </w:rPr>
      </w:pPr>
      <w:r w:rsidRPr="00DF4A10">
        <w:rPr>
          <w:rFonts w:cs="Helvetica"/>
          <w:noProof/>
          <w:sz w:val="22"/>
          <w:szCs w:val="22"/>
        </w:rPr>
        <w:t xml:space="preserve">Chanchitpricha C, </w:t>
      </w:r>
      <w:r w:rsidR="0050305A" w:rsidRPr="00DF4A10">
        <w:rPr>
          <w:rFonts w:cs="Helvetica"/>
          <w:noProof/>
          <w:sz w:val="22"/>
          <w:szCs w:val="22"/>
        </w:rPr>
        <w:t xml:space="preserve">Bond </w:t>
      </w:r>
      <w:r w:rsidRPr="00DF4A10">
        <w:rPr>
          <w:rFonts w:cs="Helvetica"/>
          <w:noProof/>
          <w:sz w:val="22"/>
          <w:szCs w:val="22"/>
        </w:rPr>
        <w:t xml:space="preserve">A. 2013. </w:t>
      </w:r>
      <w:r w:rsidR="0050305A" w:rsidRPr="00DF4A10">
        <w:rPr>
          <w:rFonts w:cs="Helvetica"/>
          <w:noProof/>
          <w:sz w:val="22"/>
          <w:szCs w:val="22"/>
        </w:rPr>
        <w:t xml:space="preserve">Conceptualising the effectiveness </w:t>
      </w:r>
      <w:r w:rsidRPr="00DF4A10">
        <w:rPr>
          <w:rFonts w:cs="Helvetica"/>
          <w:noProof/>
          <w:sz w:val="22"/>
          <w:szCs w:val="22"/>
        </w:rPr>
        <w:t>of impact assessment processes.</w:t>
      </w:r>
      <w:r w:rsidR="0050305A" w:rsidRPr="00DF4A10">
        <w:rPr>
          <w:rFonts w:cs="Helvetica"/>
          <w:noProof/>
          <w:sz w:val="22"/>
          <w:szCs w:val="22"/>
        </w:rPr>
        <w:t xml:space="preserve"> Environmental Impact Assessment Review</w:t>
      </w:r>
      <w:r w:rsidRPr="00DF4A10">
        <w:rPr>
          <w:rFonts w:cs="Helvetica"/>
          <w:noProof/>
          <w:sz w:val="22"/>
          <w:szCs w:val="22"/>
        </w:rPr>
        <w:t>.</w:t>
      </w:r>
      <w:r w:rsidR="0050305A" w:rsidRPr="00DF4A10">
        <w:rPr>
          <w:rFonts w:cs="Helvetica"/>
          <w:noProof/>
          <w:sz w:val="22"/>
          <w:szCs w:val="22"/>
        </w:rPr>
        <w:t xml:space="preserve"> 43</w:t>
      </w:r>
      <w:r w:rsidRPr="00DF4A10">
        <w:rPr>
          <w:rFonts w:cs="Helvetica"/>
          <w:noProof/>
          <w:sz w:val="22"/>
          <w:szCs w:val="22"/>
        </w:rPr>
        <w:t>:</w:t>
      </w:r>
      <w:r w:rsidR="0050305A" w:rsidRPr="00DF4A10">
        <w:rPr>
          <w:rFonts w:cs="Helvetica"/>
          <w:noProof/>
          <w:sz w:val="22"/>
          <w:szCs w:val="22"/>
        </w:rPr>
        <w:t>65-72</w:t>
      </w:r>
      <w:r w:rsidRPr="00DF4A10">
        <w:rPr>
          <w:rFonts w:cs="Helvetica"/>
          <w:noProof/>
          <w:sz w:val="22"/>
          <w:szCs w:val="22"/>
        </w:rPr>
        <w:t>.</w:t>
      </w:r>
    </w:p>
    <w:p w14:paraId="74A47DD9" w14:textId="22B3D1DF" w:rsidR="0006376E" w:rsidRPr="00DF4A10" w:rsidRDefault="00075D2B" w:rsidP="00FC6306">
      <w:pPr>
        <w:ind w:left="567" w:hanging="567"/>
        <w:rPr>
          <w:rFonts w:cs="Helvetica"/>
          <w:noProof/>
          <w:sz w:val="22"/>
          <w:szCs w:val="22"/>
        </w:rPr>
      </w:pPr>
      <w:r w:rsidRPr="00DF4A10">
        <w:rPr>
          <w:rFonts w:cs="Helvetica"/>
          <w:noProof/>
          <w:sz w:val="22"/>
          <w:szCs w:val="22"/>
        </w:rPr>
        <w:t xml:space="preserve">Cooper T, </w:t>
      </w:r>
      <w:r w:rsidR="0006376E" w:rsidRPr="00DF4A10">
        <w:rPr>
          <w:rFonts w:cs="Helvetica"/>
          <w:noProof/>
          <w:sz w:val="22"/>
          <w:szCs w:val="22"/>
        </w:rPr>
        <w:t>Canter</w:t>
      </w:r>
      <w:r w:rsidRPr="00DF4A10">
        <w:rPr>
          <w:rFonts w:cs="Helvetica"/>
          <w:noProof/>
          <w:sz w:val="22"/>
          <w:szCs w:val="22"/>
        </w:rPr>
        <w:t xml:space="preserve"> L. 1997. </w:t>
      </w:r>
      <w:r w:rsidR="0006376E" w:rsidRPr="00DF4A10">
        <w:rPr>
          <w:rFonts w:cs="Helvetica"/>
          <w:noProof/>
          <w:sz w:val="22"/>
          <w:szCs w:val="22"/>
        </w:rPr>
        <w:t>Substantive issues in cumulative impact assessme</w:t>
      </w:r>
      <w:r w:rsidRPr="00DF4A10">
        <w:rPr>
          <w:rFonts w:cs="Helvetica"/>
          <w:noProof/>
          <w:sz w:val="22"/>
          <w:szCs w:val="22"/>
        </w:rPr>
        <w:t>nt: a state-of-practice survey. Impact Assessment. 15(1):</w:t>
      </w:r>
      <w:r w:rsidR="0006376E" w:rsidRPr="00DF4A10">
        <w:rPr>
          <w:rFonts w:cs="Helvetica"/>
          <w:noProof/>
          <w:sz w:val="22"/>
          <w:szCs w:val="22"/>
        </w:rPr>
        <w:t>15-31</w:t>
      </w:r>
      <w:r w:rsidRPr="00DF4A10">
        <w:rPr>
          <w:rFonts w:cs="Helvetica"/>
          <w:noProof/>
          <w:sz w:val="22"/>
          <w:szCs w:val="22"/>
        </w:rPr>
        <w:t>.</w:t>
      </w:r>
    </w:p>
    <w:p w14:paraId="2E9C3C97" w14:textId="5105575E" w:rsidR="00FD4B16" w:rsidRPr="00DF4A10" w:rsidRDefault="00075D2B" w:rsidP="00FC6306">
      <w:pPr>
        <w:ind w:left="567" w:hanging="567"/>
        <w:rPr>
          <w:rFonts w:cs="Helvetica"/>
          <w:noProof/>
          <w:sz w:val="22"/>
          <w:szCs w:val="22"/>
        </w:rPr>
      </w:pPr>
      <w:proofErr w:type="spellStart"/>
      <w:r w:rsidRPr="00DF4A10">
        <w:rPr>
          <w:sz w:val="22"/>
          <w:szCs w:val="22"/>
        </w:rPr>
        <w:t>Elling</w:t>
      </w:r>
      <w:proofErr w:type="spellEnd"/>
      <w:r w:rsidRPr="00DF4A10">
        <w:rPr>
          <w:sz w:val="22"/>
          <w:szCs w:val="22"/>
        </w:rPr>
        <w:t xml:space="preserve"> B.</w:t>
      </w:r>
      <w:r w:rsidR="00600F08" w:rsidRPr="00DF4A10">
        <w:rPr>
          <w:sz w:val="22"/>
          <w:szCs w:val="22"/>
        </w:rPr>
        <w:t xml:space="preserve"> 2009. Rationality and effectiveness: does EIA/SEA treat them as synonyms? Impact A</w:t>
      </w:r>
      <w:r w:rsidRPr="00DF4A10">
        <w:rPr>
          <w:sz w:val="22"/>
          <w:szCs w:val="22"/>
        </w:rPr>
        <w:t>ssessment and Project Appraisal. 27(2):</w:t>
      </w:r>
      <w:r w:rsidR="00600F08" w:rsidRPr="00DF4A10">
        <w:rPr>
          <w:sz w:val="22"/>
          <w:szCs w:val="22"/>
        </w:rPr>
        <w:t>121–131.</w:t>
      </w:r>
    </w:p>
    <w:p w14:paraId="4AFAB90D" w14:textId="49C90B89" w:rsidR="0030012F" w:rsidRPr="00DF4A10" w:rsidRDefault="0030012F" w:rsidP="00FC6306">
      <w:pPr>
        <w:ind w:left="567" w:hanging="567"/>
        <w:rPr>
          <w:rFonts w:cs="Helvetica"/>
          <w:noProof/>
          <w:sz w:val="22"/>
          <w:szCs w:val="22"/>
        </w:rPr>
      </w:pPr>
      <w:r w:rsidRPr="00DF4A10">
        <w:rPr>
          <w:rFonts w:cs="Helvetica"/>
          <w:noProof/>
          <w:sz w:val="22"/>
          <w:szCs w:val="22"/>
        </w:rPr>
        <w:t>European Parliament</w:t>
      </w:r>
      <w:r w:rsidR="00AE6FE7" w:rsidRPr="00DF4A10">
        <w:rPr>
          <w:rFonts w:cs="Helvetica"/>
          <w:noProof/>
          <w:sz w:val="22"/>
          <w:szCs w:val="22"/>
        </w:rPr>
        <w:t xml:space="preserve">, </w:t>
      </w:r>
      <w:r w:rsidRPr="00DF4A10">
        <w:rPr>
          <w:rFonts w:cs="Helvetica"/>
          <w:noProof/>
          <w:sz w:val="22"/>
          <w:szCs w:val="22"/>
        </w:rPr>
        <w:t>Council of the European Union</w:t>
      </w:r>
      <w:r w:rsidR="00075D2B" w:rsidRPr="00DF4A10">
        <w:rPr>
          <w:rFonts w:cs="Helvetica"/>
          <w:noProof/>
          <w:sz w:val="22"/>
          <w:szCs w:val="22"/>
        </w:rPr>
        <w:t xml:space="preserve">. 2014. </w:t>
      </w:r>
      <w:r w:rsidRPr="00DF4A10">
        <w:rPr>
          <w:rFonts w:cs="Helvetica"/>
          <w:noProof/>
          <w:sz w:val="22"/>
          <w:szCs w:val="22"/>
        </w:rPr>
        <w:t>Directive 2014/52/EU of the European Parliament and of the Council of 16 April 2014 amending Directive 2011/92/EU on the assessment of the effects of certain public and private projects on the environ</w:t>
      </w:r>
      <w:r w:rsidR="00075D2B" w:rsidRPr="00DF4A10">
        <w:rPr>
          <w:rFonts w:cs="Helvetica"/>
          <w:noProof/>
          <w:sz w:val="22"/>
          <w:szCs w:val="22"/>
        </w:rPr>
        <w:t>ment.</w:t>
      </w:r>
      <w:r w:rsidRPr="00DF4A10">
        <w:rPr>
          <w:rFonts w:cs="Helvetica"/>
          <w:noProof/>
          <w:sz w:val="22"/>
          <w:szCs w:val="22"/>
        </w:rPr>
        <w:t xml:space="preserve"> Official Jour</w:t>
      </w:r>
      <w:r w:rsidR="00075D2B" w:rsidRPr="00DF4A10">
        <w:rPr>
          <w:rFonts w:cs="Helvetica"/>
          <w:noProof/>
          <w:sz w:val="22"/>
          <w:szCs w:val="22"/>
        </w:rPr>
        <w:t>nal of the European Communities. L124:</w:t>
      </w:r>
      <w:r w:rsidRPr="00DF4A10">
        <w:rPr>
          <w:rFonts w:cs="Helvetica"/>
          <w:noProof/>
          <w:sz w:val="22"/>
          <w:szCs w:val="22"/>
        </w:rPr>
        <w:t>1-18</w:t>
      </w:r>
      <w:r w:rsidR="00075D2B" w:rsidRPr="00DF4A10">
        <w:rPr>
          <w:rFonts w:cs="Helvetica"/>
          <w:noProof/>
          <w:sz w:val="22"/>
          <w:szCs w:val="22"/>
        </w:rPr>
        <w:t>.</w:t>
      </w:r>
    </w:p>
    <w:p w14:paraId="1819A585" w14:textId="2611F5E5" w:rsidR="00C67B67" w:rsidRPr="00DF4A10" w:rsidRDefault="00075D2B" w:rsidP="00FC6306">
      <w:pPr>
        <w:widowControl w:val="0"/>
        <w:autoSpaceDE w:val="0"/>
        <w:autoSpaceDN w:val="0"/>
        <w:adjustRightInd w:val="0"/>
        <w:ind w:left="567" w:right="-720" w:hanging="567"/>
        <w:rPr>
          <w:rFonts w:cs="Helvetica"/>
          <w:sz w:val="22"/>
          <w:szCs w:val="22"/>
          <w:lang w:val="en-US"/>
        </w:rPr>
      </w:pPr>
      <w:r w:rsidRPr="00DF4A10">
        <w:rPr>
          <w:rFonts w:cs="Helvetica"/>
          <w:sz w:val="22"/>
          <w:szCs w:val="22"/>
          <w:lang w:val="en-US"/>
        </w:rPr>
        <w:t xml:space="preserve">Fuller K. 1999. </w:t>
      </w:r>
      <w:r w:rsidR="00C67B67" w:rsidRPr="00DF4A10">
        <w:rPr>
          <w:rFonts w:cs="Helvetica"/>
          <w:sz w:val="22"/>
          <w:szCs w:val="22"/>
          <w:lang w:val="en-US"/>
        </w:rPr>
        <w:t>Quality and Quality Control in E</w:t>
      </w:r>
      <w:r w:rsidRPr="00DF4A10">
        <w:rPr>
          <w:rFonts w:cs="Helvetica"/>
          <w:sz w:val="22"/>
          <w:szCs w:val="22"/>
          <w:lang w:val="en-US"/>
        </w:rPr>
        <w:t xml:space="preserve">nvironmental Impact Assessment. In </w:t>
      </w:r>
      <w:proofErr w:type="spellStart"/>
      <w:r w:rsidRPr="00DF4A10">
        <w:rPr>
          <w:rFonts w:cs="Helvetica"/>
          <w:sz w:val="22"/>
          <w:szCs w:val="22"/>
          <w:lang w:val="en-US"/>
        </w:rPr>
        <w:t>Petts</w:t>
      </w:r>
      <w:proofErr w:type="spellEnd"/>
      <w:r w:rsidRPr="00DF4A10">
        <w:rPr>
          <w:rFonts w:cs="Helvetica"/>
          <w:sz w:val="22"/>
          <w:szCs w:val="22"/>
          <w:lang w:val="en-US"/>
        </w:rPr>
        <w:t xml:space="preserve"> J. editor.</w:t>
      </w:r>
      <w:r w:rsidR="00C67B67" w:rsidRPr="00DF4A10">
        <w:rPr>
          <w:rFonts w:cs="Helvetica"/>
          <w:sz w:val="22"/>
          <w:szCs w:val="22"/>
          <w:lang w:val="en-US"/>
        </w:rPr>
        <w:t xml:space="preserve"> </w:t>
      </w:r>
      <w:r w:rsidR="00C67B67" w:rsidRPr="00DF4A10">
        <w:rPr>
          <w:rFonts w:cs="Helvetica"/>
          <w:iCs/>
          <w:sz w:val="22"/>
          <w:szCs w:val="22"/>
          <w:lang w:val="en-US"/>
        </w:rPr>
        <w:t>Handbook of Environmental Impact Assessment. Volume 2 - Environmental Impact Assessment in Practice: Impact and Limitations</w:t>
      </w:r>
      <w:r w:rsidRPr="00DF4A10">
        <w:rPr>
          <w:rFonts w:cs="Helvetica"/>
          <w:sz w:val="22"/>
          <w:szCs w:val="22"/>
          <w:lang w:val="en-US"/>
        </w:rPr>
        <w:t xml:space="preserve">. Oxford: Blackwell Science: </w:t>
      </w:r>
      <w:r w:rsidR="00C67B67" w:rsidRPr="00DF4A10">
        <w:rPr>
          <w:rFonts w:cs="Helvetica"/>
          <w:sz w:val="22"/>
          <w:szCs w:val="22"/>
          <w:lang w:val="en-US"/>
        </w:rPr>
        <w:t>55-82.</w:t>
      </w:r>
    </w:p>
    <w:p w14:paraId="49D18FF9" w14:textId="0DA4F1DF" w:rsidR="00B546E9" w:rsidRPr="00DF4A10" w:rsidRDefault="00B546E9" w:rsidP="00FC6306">
      <w:pPr>
        <w:ind w:left="567" w:hanging="567"/>
        <w:rPr>
          <w:sz w:val="22"/>
          <w:szCs w:val="22"/>
          <w:lang w:val="en-US"/>
        </w:rPr>
      </w:pPr>
      <w:r w:rsidRPr="00DF4A10">
        <w:rPr>
          <w:sz w:val="22"/>
          <w:szCs w:val="22"/>
          <w:lang w:val="en-US"/>
        </w:rPr>
        <w:t>Gibson R</w:t>
      </w:r>
      <w:r w:rsidR="00075D2B" w:rsidRPr="00DF4A10">
        <w:rPr>
          <w:sz w:val="22"/>
          <w:szCs w:val="22"/>
          <w:lang w:val="en-US"/>
        </w:rPr>
        <w:t>.</w:t>
      </w:r>
      <w:r w:rsidRPr="00DF4A10">
        <w:rPr>
          <w:sz w:val="22"/>
          <w:szCs w:val="22"/>
          <w:lang w:val="en-US"/>
        </w:rPr>
        <w:t xml:space="preserve"> 2006</w:t>
      </w:r>
      <w:r w:rsidR="00075D2B" w:rsidRPr="00DF4A10">
        <w:rPr>
          <w:sz w:val="22"/>
          <w:szCs w:val="22"/>
          <w:lang w:val="en-US"/>
        </w:rPr>
        <w:t>.</w:t>
      </w:r>
      <w:r w:rsidRPr="00DF4A10">
        <w:rPr>
          <w:sz w:val="22"/>
          <w:szCs w:val="22"/>
          <w:lang w:val="en-US"/>
        </w:rPr>
        <w:t xml:space="preserve"> Sustainability assessment: basic com</w:t>
      </w:r>
      <w:r w:rsidR="00BA446D" w:rsidRPr="00DF4A10">
        <w:rPr>
          <w:sz w:val="22"/>
          <w:szCs w:val="22"/>
          <w:lang w:val="en-US"/>
        </w:rPr>
        <w:t>ponents of a practical approach.</w:t>
      </w:r>
      <w:r w:rsidRPr="00DF4A10">
        <w:rPr>
          <w:sz w:val="22"/>
          <w:szCs w:val="22"/>
          <w:lang w:val="en-US"/>
        </w:rPr>
        <w:t xml:space="preserve"> </w:t>
      </w:r>
      <w:r w:rsidR="00BA446D" w:rsidRPr="00DF4A10">
        <w:rPr>
          <w:iCs/>
          <w:sz w:val="22"/>
          <w:szCs w:val="22"/>
        </w:rPr>
        <w:t>Impact Assessment and Project Appraisal</w:t>
      </w:r>
      <w:r w:rsidR="00BA446D" w:rsidRPr="00DF4A10">
        <w:rPr>
          <w:sz w:val="22"/>
          <w:szCs w:val="22"/>
          <w:lang w:val="en-US"/>
        </w:rPr>
        <w:t>.</w:t>
      </w:r>
      <w:r w:rsidRPr="00DF4A10">
        <w:rPr>
          <w:sz w:val="22"/>
          <w:szCs w:val="22"/>
          <w:lang w:val="en-US"/>
        </w:rPr>
        <w:t xml:space="preserve"> </w:t>
      </w:r>
      <w:r w:rsidRPr="00DF4A10">
        <w:rPr>
          <w:bCs/>
          <w:sz w:val="22"/>
          <w:szCs w:val="22"/>
          <w:lang w:val="en-US"/>
        </w:rPr>
        <w:t>24</w:t>
      </w:r>
      <w:r w:rsidRPr="00DF4A10">
        <w:rPr>
          <w:sz w:val="22"/>
          <w:szCs w:val="22"/>
          <w:lang w:val="en-US"/>
        </w:rPr>
        <w:t>(3): 170-182</w:t>
      </w:r>
      <w:r w:rsidR="00BA446D" w:rsidRPr="00DF4A10">
        <w:rPr>
          <w:sz w:val="22"/>
          <w:szCs w:val="22"/>
          <w:lang w:val="en-US"/>
        </w:rPr>
        <w:t>.</w:t>
      </w:r>
      <w:r w:rsidRPr="00DF4A10">
        <w:rPr>
          <w:sz w:val="22"/>
          <w:szCs w:val="22"/>
          <w:lang w:val="en-US"/>
        </w:rPr>
        <w:t xml:space="preserve"> </w:t>
      </w:r>
    </w:p>
    <w:p w14:paraId="3DECEFFF" w14:textId="670CF68B" w:rsidR="00036F23" w:rsidRPr="00DF4A10" w:rsidRDefault="007F7B6F" w:rsidP="00FC6306">
      <w:pPr>
        <w:ind w:left="567" w:hanging="567"/>
        <w:rPr>
          <w:sz w:val="22"/>
          <w:szCs w:val="22"/>
        </w:rPr>
      </w:pPr>
      <w:r w:rsidRPr="00DF4A10">
        <w:rPr>
          <w:sz w:val="22"/>
          <w:szCs w:val="22"/>
          <w:lang w:val="en-US"/>
        </w:rPr>
        <w:t>Gibson</w:t>
      </w:r>
      <w:r w:rsidR="00036F23" w:rsidRPr="00DF4A10">
        <w:rPr>
          <w:sz w:val="22"/>
          <w:szCs w:val="22"/>
          <w:lang w:val="en-US"/>
        </w:rPr>
        <w:t xml:space="preserve"> R</w:t>
      </w:r>
      <w:r w:rsidR="00BA446D" w:rsidRPr="00DF4A10">
        <w:rPr>
          <w:sz w:val="22"/>
          <w:szCs w:val="22"/>
          <w:lang w:val="en-US"/>
        </w:rPr>
        <w:t>.</w:t>
      </w:r>
      <w:r w:rsidR="00036F23" w:rsidRPr="00DF4A10">
        <w:rPr>
          <w:sz w:val="22"/>
          <w:szCs w:val="22"/>
          <w:lang w:val="en-US"/>
        </w:rPr>
        <w:t xml:space="preserve"> 2011</w:t>
      </w:r>
      <w:r w:rsidR="00BA446D" w:rsidRPr="00DF4A10">
        <w:rPr>
          <w:sz w:val="22"/>
          <w:szCs w:val="22"/>
          <w:lang w:val="en-US"/>
        </w:rPr>
        <w:t>.</w:t>
      </w:r>
      <w:r w:rsidR="00036F23" w:rsidRPr="00DF4A10">
        <w:rPr>
          <w:sz w:val="22"/>
          <w:szCs w:val="22"/>
          <w:lang w:val="en-US"/>
        </w:rPr>
        <w:t xml:space="preserve"> Application of a contribution to sustainability test by the Joint Review Panel for the</w:t>
      </w:r>
      <w:r w:rsidR="00BA446D" w:rsidRPr="00DF4A10">
        <w:rPr>
          <w:sz w:val="22"/>
          <w:szCs w:val="22"/>
          <w:lang w:val="en-US"/>
        </w:rPr>
        <w:t xml:space="preserve"> Canadian Mackenzie Gas Project. </w:t>
      </w:r>
      <w:r w:rsidR="00BA446D" w:rsidRPr="00DF4A10">
        <w:rPr>
          <w:iCs/>
          <w:sz w:val="22"/>
          <w:szCs w:val="22"/>
        </w:rPr>
        <w:t>Impact Assessment and Project Appraisal</w:t>
      </w:r>
      <w:r w:rsidR="00BA446D" w:rsidRPr="00DF4A10">
        <w:rPr>
          <w:sz w:val="22"/>
          <w:szCs w:val="22"/>
          <w:lang w:val="en-US"/>
        </w:rPr>
        <w:t xml:space="preserve">. </w:t>
      </w:r>
      <w:r w:rsidR="00036F23" w:rsidRPr="00DF4A10">
        <w:rPr>
          <w:bCs/>
          <w:sz w:val="22"/>
          <w:szCs w:val="22"/>
          <w:lang w:val="en-US"/>
        </w:rPr>
        <w:t>29</w:t>
      </w:r>
      <w:r w:rsidR="00036F23" w:rsidRPr="00DF4A10">
        <w:rPr>
          <w:sz w:val="22"/>
          <w:szCs w:val="22"/>
          <w:lang w:val="en-US"/>
        </w:rPr>
        <w:t>(3): 231-244</w:t>
      </w:r>
      <w:r w:rsidR="00BA446D" w:rsidRPr="00DF4A10">
        <w:rPr>
          <w:sz w:val="22"/>
          <w:szCs w:val="22"/>
          <w:lang w:val="en-US"/>
        </w:rPr>
        <w:t>.</w:t>
      </w:r>
      <w:r w:rsidR="00036F23" w:rsidRPr="00DF4A10">
        <w:rPr>
          <w:sz w:val="22"/>
          <w:szCs w:val="22"/>
        </w:rPr>
        <w:t xml:space="preserve"> </w:t>
      </w:r>
    </w:p>
    <w:p w14:paraId="60CE59E6" w14:textId="0A8FB274" w:rsidR="00036F23" w:rsidRPr="00DF4A10" w:rsidRDefault="00036F23" w:rsidP="00FC6306">
      <w:pPr>
        <w:ind w:left="567" w:hanging="567"/>
        <w:rPr>
          <w:sz w:val="22"/>
          <w:szCs w:val="22"/>
        </w:rPr>
      </w:pPr>
      <w:r w:rsidRPr="00DF4A10">
        <w:rPr>
          <w:sz w:val="22"/>
          <w:szCs w:val="22"/>
          <w:lang w:val="en-US"/>
        </w:rPr>
        <w:t>Gibson R</w:t>
      </w:r>
      <w:r w:rsidR="00BA446D" w:rsidRPr="00DF4A10">
        <w:rPr>
          <w:sz w:val="22"/>
          <w:szCs w:val="22"/>
          <w:lang w:val="en-US"/>
        </w:rPr>
        <w:t>. 2013. Why Sustainability Assessment? I</w:t>
      </w:r>
      <w:r w:rsidRPr="00DF4A10">
        <w:rPr>
          <w:sz w:val="22"/>
          <w:szCs w:val="22"/>
          <w:lang w:val="en-US"/>
        </w:rPr>
        <w:t xml:space="preserve">n </w:t>
      </w:r>
      <w:r w:rsidR="00BA446D" w:rsidRPr="00DF4A10">
        <w:rPr>
          <w:sz w:val="22"/>
          <w:szCs w:val="22"/>
          <w:lang w:val="en-GB"/>
        </w:rPr>
        <w:t xml:space="preserve">Bond </w:t>
      </w:r>
      <w:proofErr w:type="gramStart"/>
      <w:r w:rsidR="00BA446D" w:rsidRPr="00DF4A10">
        <w:rPr>
          <w:sz w:val="22"/>
          <w:szCs w:val="22"/>
          <w:lang w:val="en-GB"/>
        </w:rPr>
        <w:t>A</w:t>
      </w:r>
      <w:proofErr w:type="gramEnd"/>
      <w:r w:rsidR="00BA446D" w:rsidRPr="00DF4A10">
        <w:rPr>
          <w:sz w:val="22"/>
          <w:szCs w:val="22"/>
          <w:lang w:val="en-GB"/>
        </w:rPr>
        <w:t xml:space="preserve">, </w:t>
      </w:r>
      <w:r w:rsidRPr="00DF4A10">
        <w:rPr>
          <w:sz w:val="22"/>
          <w:szCs w:val="22"/>
          <w:lang w:val="en-GB"/>
        </w:rPr>
        <w:t>Morrison-Saunders</w:t>
      </w:r>
      <w:r w:rsidR="00BA446D" w:rsidRPr="00DF4A10">
        <w:rPr>
          <w:sz w:val="22"/>
          <w:szCs w:val="22"/>
          <w:lang w:val="en-GB"/>
        </w:rPr>
        <w:t xml:space="preserve"> A, </w:t>
      </w:r>
      <w:r w:rsidRPr="00DF4A10">
        <w:rPr>
          <w:sz w:val="22"/>
          <w:szCs w:val="22"/>
          <w:lang w:val="en-GB"/>
        </w:rPr>
        <w:t xml:space="preserve">Howitt </w:t>
      </w:r>
      <w:r w:rsidR="00BA446D" w:rsidRPr="00DF4A10">
        <w:rPr>
          <w:sz w:val="22"/>
          <w:szCs w:val="22"/>
          <w:lang w:val="en-GB"/>
        </w:rPr>
        <w:t xml:space="preserve">R. </w:t>
      </w:r>
      <w:r w:rsidRPr="00DF4A10">
        <w:rPr>
          <w:sz w:val="22"/>
          <w:szCs w:val="22"/>
          <w:lang w:val="en-GB"/>
        </w:rPr>
        <w:t>ed</w:t>
      </w:r>
      <w:r w:rsidR="00BA446D" w:rsidRPr="00DF4A10">
        <w:rPr>
          <w:sz w:val="22"/>
          <w:szCs w:val="22"/>
          <w:lang w:val="en-GB"/>
        </w:rPr>
        <w:t>itor</w:t>
      </w:r>
      <w:r w:rsidRPr="00DF4A10">
        <w:rPr>
          <w:sz w:val="22"/>
          <w:szCs w:val="22"/>
          <w:lang w:val="en-GB"/>
        </w:rPr>
        <w:t>s</w:t>
      </w:r>
      <w:r w:rsidR="00BA446D" w:rsidRPr="00DF4A10">
        <w:rPr>
          <w:sz w:val="22"/>
          <w:szCs w:val="22"/>
          <w:lang w:val="en-GB"/>
        </w:rPr>
        <w:t>.</w:t>
      </w:r>
      <w:r w:rsidRPr="00DF4A10">
        <w:rPr>
          <w:sz w:val="22"/>
          <w:szCs w:val="22"/>
          <w:lang w:val="en-GB"/>
        </w:rPr>
        <w:t xml:space="preserve"> </w:t>
      </w:r>
      <w:r w:rsidRPr="00DF4A10">
        <w:rPr>
          <w:iCs/>
          <w:sz w:val="22"/>
          <w:szCs w:val="22"/>
          <w:lang w:val="en-GB"/>
        </w:rPr>
        <w:t>Sustainability Assessment Pluralism, Practice and Progress</w:t>
      </w:r>
      <w:r w:rsidR="00D00BA9" w:rsidRPr="00DF4A10">
        <w:rPr>
          <w:sz w:val="22"/>
          <w:szCs w:val="22"/>
          <w:lang w:val="en-GB"/>
        </w:rPr>
        <w:t xml:space="preserve">. </w:t>
      </w:r>
      <w:r w:rsidR="00D00BA9" w:rsidRPr="00DF4A10">
        <w:rPr>
          <w:sz w:val="22"/>
          <w:szCs w:val="22"/>
        </w:rPr>
        <w:t xml:space="preserve">London: </w:t>
      </w:r>
      <w:r w:rsidR="00BA446D" w:rsidRPr="00DF4A10">
        <w:rPr>
          <w:sz w:val="22"/>
          <w:szCs w:val="22"/>
          <w:lang w:val="en-US"/>
        </w:rPr>
        <w:t xml:space="preserve">Routledge: </w:t>
      </w:r>
      <w:r w:rsidRPr="00DF4A10">
        <w:rPr>
          <w:sz w:val="22"/>
          <w:szCs w:val="22"/>
          <w:lang w:val="en-US"/>
        </w:rPr>
        <w:t>3-17</w:t>
      </w:r>
      <w:r w:rsidR="00BA446D" w:rsidRPr="00DF4A10">
        <w:rPr>
          <w:sz w:val="22"/>
          <w:szCs w:val="22"/>
          <w:lang w:val="en-GB"/>
        </w:rPr>
        <w:t>.</w:t>
      </w:r>
    </w:p>
    <w:p w14:paraId="65B9B60F" w14:textId="47AFC946" w:rsidR="00582192" w:rsidRPr="00DF4A10" w:rsidRDefault="00582192" w:rsidP="00FC6306">
      <w:pPr>
        <w:ind w:left="567" w:hanging="567"/>
        <w:rPr>
          <w:sz w:val="22"/>
          <w:szCs w:val="22"/>
        </w:rPr>
      </w:pPr>
      <w:proofErr w:type="spellStart"/>
      <w:r w:rsidRPr="00DF4A10">
        <w:rPr>
          <w:sz w:val="22"/>
          <w:szCs w:val="22"/>
          <w:lang w:val="en-US"/>
        </w:rPr>
        <w:t>Hardisty</w:t>
      </w:r>
      <w:proofErr w:type="spellEnd"/>
      <w:r w:rsidRPr="00DF4A10">
        <w:rPr>
          <w:sz w:val="22"/>
          <w:szCs w:val="22"/>
          <w:lang w:val="en-US"/>
        </w:rPr>
        <w:t xml:space="preserve"> P</w:t>
      </w:r>
      <w:r w:rsidR="00D00BA9" w:rsidRPr="00DF4A10">
        <w:rPr>
          <w:sz w:val="22"/>
          <w:szCs w:val="22"/>
          <w:lang w:val="en-US"/>
        </w:rPr>
        <w:t>.</w:t>
      </w:r>
      <w:r w:rsidRPr="00DF4A10">
        <w:rPr>
          <w:sz w:val="22"/>
          <w:szCs w:val="22"/>
          <w:lang w:val="en-US"/>
        </w:rPr>
        <w:t xml:space="preserve"> 2010</w:t>
      </w:r>
      <w:r w:rsidR="00AE6FE7" w:rsidRPr="00DF4A10">
        <w:rPr>
          <w:sz w:val="22"/>
          <w:szCs w:val="22"/>
          <w:lang w:val="en-US"/>
        </w:rPr>
        <w:t>.</w:t>
      </w:r>
      <w:r w:rsidRPr="00DF4A10">
        <w:rPr>
          <w:sz w:val="22"/>
          <w:szCs w:val="22"/>
          <w:lang w:val="en-US"/>
        </w:rPr>
        <w:t xml:space="preserve"> </w:t>
      </w:r>
      <w:r w:rsidRPr="00DF4A10">
        <w:rPr>
          <w:iCs/>
          <w:sz w:val="22"/>
          <w:szCs w:val="22"/>
          <w:lang w:val="en-US"/>
        </w:rPr>
        <w:t>Environmental and Economic Sustainability</w:t>
      </w:r>
      <w:r w:rsidR="00AE6FE7" w:rsidRPr="00DF4A10">
        <w:rPr>
          <w:sz w:val="22"/>
          <w:szCs w:val="22"/>
          <w:lang w:val="en-US"/>
        </w:rPr>
        <w:t>. New York:</w:t>
      </w:r>
      <w:r w:rsidRPr="00DF4A10">
        <w:rPr>
          <w:sz w:val="22"/>
          <w:szCs w:val="22"/>
          <w:lang w:val="en-US"/>
        </w:rPr>
        <w:t xml:space="preserve"> CRC Press </w:t>
      </w:r>
      <w:r w:rsidR="00AE6FE7" w:rsidRPr="00DF4A10">
        <w:rPr>
          <w:sz w:val="22"/>
          <w:szCs w:val="22"/>
          <w:lang w:val="en-US"/>
        </w:rPr>
        <w:t>Taylor &amp; Francis Group.</w:t>
      </w:r>
    </w:p>
    <w:p w14:paraId="427722D2" w14:textId="594486A7" w:rsidR="00A3324B" w:rsidRPr="00DF4A10" w:rsidRDefault="00AE6FE7" w:rsidP="00FC6306">
      <w:pPr>
        <w:widowControl w:val="0"/>
        <w:autoSpaceDE w:val="0"/>
        <w:autoSpaceDN w:val="0"/>
        <w:adjustRightInd w:val="0"/>
        <w:ind w:left="567" w:right="-7" w:hanging="567"/>
        <w:rPr>
          <w:rFonts w:cs="Helvetica"/>
          <w:sz w:val="22"/>
          <w:szCs w:val="22"/>
          <w:lang w:val="en-US"/>
        </w:rPr>
      </w:pPr>
      <w:r w:rsidRPr="00DF4A10">
        <w:rPr>
          <w:rFonts w:cs="Helvetica"/>
          <w:sz w:val="22"/>
          <w:szCs w:val="22"/>
          <w:lang w:val="en-US"/>
        </w:rPr>
        <w:t>Hillier J. 2003. Agon</w:t>
      </w:r>
      <w:r w:rsidR="00A3324B" w:rsidRPr="00DF4A10">
        <w:rPr>
          <w:rFonts w:cs="Helvetica"/>
          <w:sz w:val="22"/>
          <w:szCs w:val="22"/>
          <w:lang w:val="en-US"/>
        </w:rPr>
        <w:t xml:space="preserve">izing Over Consensus: Why </w:t>
      </w:r>
      <w:proofErr w:type="spellStart"/>
      <w:r w:rsidR="00A3324B" w:rsidRPr="00DF4A10">
        <w:rPr>
          <w:rFonts w:cs="Helvetica"/>
          <w:sz w:val="22"/>
          <w:szCs w:val="22"/>
          <w:lang w:val="en-US"/>
        </w:rPr>
        <w:t>Habe</w:t>
      </w:r>
      <w:r w:rsidRPr="00DF4A10">
        <w:rPr>
          <w:rFonts w:cs="Helvetica"/>
          <w:sz w:val="22"/>
          <w:szCs w:val="22"/>
          <w:lang w:val="en-US"/>
        </w:rPr>
        <w:t>rmasian</w:t>
      </w:r>
      <w:proofErr w:type="spellEnd"/>
      <w:r w:rsidRPr="00DF4A10">
        <w:rPr>
          <w:rFonts w:cs="Helvetica"/>
          <w:sz w:val="22"/>
          <w:szCs w:val="22"/>
          <w:lang w:val="en-US"/>
        </w:rPr>
        <w:t xml:space="preserve"> Ideals cannot be 'Real'. Planning Theory.</w:t>
      </w:r>
      <w:r w:rsidR="00A3324B" w:rsidRPr="00DF4A10">
        <w:rPr>
          <w:rFonts w:cs="Helvetica"/>
          <w:sz w:val="22"/>
          <w:szCs w:val="22"/>
          <w:lang w:val="en-US"/>
        </w:rPr>
        <w:t xml:space="preserve"> </w:t>
      </w:r>
      <w:r w:rsidR="00A3324B" w:rsidRPr="00DF4A10">
        <w:rPr>
          <w:rFonts w:cs="Helvetica"/>
          <w:bCs/>
          <w:sz w:val="22"/>
          <w:szCs w:val="22"/>
          <w:lang w:val="en-US"/>
        </w:rPr>
        <w:t>2</w:t>
      </w:r>
      <w:r w:rsidRPr="00DF4A10">
        <w:rPr>
          <w:rFonts w:cs="Helvetica"/>
          <w:sz w:val="22"/>
          <w:szCs w:val="22"/>
          <w:lang w:val="en-US"/>
        </w:rPr>
        <w:t>(1):</w:t>
      </w:r>
      <w:r w:rsidR="00A3324B" w:rsidRPr="00DF4A10">
        <w:rPr>
          <w:rFonts w:cs="Helvetica"/>
          <w:sz w:val="22"/>
          <w:szCs w:val="22"/>
          <w:lang w:val="en-US"/>
        </w:rPr>
        <w:t>37-59.</w:t>
      </w:r>
    </w:p>
    <w:p w14:paraId="05ED04D4" w14:textId="1B0B0C75" w:rsidR="00AA6B04" w:rsidRPr="00DF4A10" w:rsidRDefault="00AA6B04" w:rsidP="00FC6306">
      <w:pPr>
        <w:ind w:left="567" w:hanging="567"/>
        <w:rPr>
          <w:sz w:val="22"/>
          <w:szCs w:val="22"/>
        </w:rPr>
      </w:pPr>
      <w:r w:rsidRPr="00DF4A10">
        <w:rPr>
          <w:rFonts w:cs="Times New Roman"/>
          <w:sz w:val="22"/>
          <w:szCs w:val="22"/>
          <w:lang w:val="en-US"/>
        </w:rPr>
        <w:t>International Association for Impact Assessment, Institute of Environmental Assessment.</w:t>
      </w:r>
      <w:r w:rsidR="00AE6FE7" w:rsidRPr="00DF4A10">
        <w:rPr>
          <w:rFonts w:cs="Times New Roman"/>
          <w:sz w:val="22"/>
          <w:szCs w:val="22"/>
          <w:lang w:val="en-US"/>
        </w:rPr>
        <w:t xml:space="preserve"> 1999.</w:t>
      </w:r>
      <w:r w:rsidRPr="00DF4A10">
        <w:rPr>
          <w:rFonts w:cs="Times New Roman"/>
          <w:sz w:val="22"/>
          <w:szCs w:val="22"/>
          <w:lang w:val="en-US"/>
        </w:rPr>
        <w:t xml:space="preserve">  Principles of environmental impact assessment best practice. Retrieved 16 January 2013. http://iaia.org/publicdocuments/special-publication</w:t>
      </w:r>
      <w:r w:rsidR="00AE6FE7" w:rsidRPr="00DF4A10">
        <w:rPr>
          <w:rFonts w:cs="Times New Roman"/>
          <w:sz w:val="22"/>
          <w:szCs w:val="22"/>
          <w:lang w:val="en-US"/>
        </w:rPr>
        <w:t>s/PrinciplesofIA_web.pdf.</w:t>
      </w:r>
    </w:p>
    <w:p w14:paraId="45B79A3C" w14:textId="54B63BE9" w:rsidR="00CF7D7F" w:rsidRPr="00DF4A10" w:rsidRDefault="00CF7D7F" w:rsidP="00FC6306">
      <w:pPr>
        <w:ind w:left="567" w:hanging="567"/>
        <w:rPr>
          <w:sz w:val="22"/>
          <w:szCs w:val="22"/>
        </w:rPr>
      </w:pPr>
      <w:proofErr w:type="spellStart"/>
      <w:r w:rsidRPr="00DF4A10">
        <w:rPr>
          <w:sz w:val="22"/>
          <w:szCs w:val="22"/>
        </w:rPr>
        <w:t>Irani</w:t>
      </w:r>
      <w:proofErr w:type="spellEnd"/>
      <w:r w:rsidRPr="00DF4A10">
        <w:rPr>
          <w:sz w:val="22"/>
          <w:szCs w:val="22"/>
        </w:rPr>
        <w:t xml:space="preserve"> Z</w:t>
      </w:r>
      <w:r w:rsidR="00AE6FE7" w:rsidRPr="00DF4A10">
        <w:rPr>
          <w:sz w:val="22"/>
          <w:szCs w:val="22"/>
        </w:rPr>
        <w:t xml:space="preserve">, </w:t>
      </w:r>
      <w:r w:rsidRPr="00DF4A10">
        <w:rPr>
          <w:sz w:val="22"/>
          <w:szCs w:val="22"/>
        </w:rPr>
        <w:t xml:space="preserve">Love </w:t>
      </w:r>
      <w:r w:rsidR="00AE6FE7" w:rsidRPr="00DF4A10">
        <w:rPr>
          <w:sz w:val="22"/>
          <w:szCs w:val="22"/>
        </w:rPr>
        <w:t xml:space="preserve">P. </w:t>
      </w:r>
      <w:r w:rsidRPr="00DF4A10">
        <w:rPr>
          <w:sz w:val="22"/>
          <w:szCs w:val="22"/>
        </w:rPr>
        <w:t>2</w:t>
      </w:r>
      <w:r w:rsidR="00AE6FE7" w:rsidRPr="00DF4A10">
        <w:rPr>
          <w:sz w:val="22"/>
          <w:szCs w:val="22"/>
        </w:rPr>
        <w:t>001.</w:t>
      </w:r>
      <w:r w:rsidRPr="00DF4A10">
        <w:rPr>
          <w:sz w:val="22"/>
          <w:szCs w:val="22"/>
        </w:rPr>
        <w:t xml:space="preserve"> The Propagation of Technology Management Taxonomies for Evaluating Inv</w:t>
      </w:r>
      <w:r w:rsidR="00AE6FE7" w:rsidRPr="00DF4A10">
        <w:rPr>
          <w:sz w:val="22"/>
          <w:szCs w:val="22"/>
        </w:rPr>
        <w:t>estments in Information Systems.</w:t>
      </w:r>
      <w:r w:rsidRPr="00DF4A10">
        <w:rPr>
          <w:sz w:val="22"/>
          <w:szCs w:val="22"/>
        </w:rPr>
        <w:t xml:space="preserve"> Journal of Management Information Systems</w:t>
      </w:r>
      <w:r w:rsidR="00AE6FE7" w:rsidRPr="00DF4A10">
        <w:rPr>
          <w:sz w:val="22"/>
          <w:szCs w:val="22"/>
        </w:rPr>
        <w:t>. Winter 2000-2001.</w:t>
      </w:r>
      <w:r w:rsidRPr="00DF4A10">
        <w:rPr>
          <w:sz w:val="22"/>
          <w:szCs w:val="22"/>
        </w:rPr>
        <w:t xml:space="preserve"> 17(3): 161-177</w:t>
      </w:r>
      <w:r w:rsidR="00AE6FE7" w:rsidRPr="00DF4A10">
        <w:rPr>
          <w:sz w:val="22"/>
          <w:szCs w:val="22"/>
        </w:rPr>
        <w:t>.</w:t>
      </w:r>
    </w:p>
    <w:p w14:paraId="70DEF52E" w14:textId="1E403E66" w:rsidR="00AA6B04" w:rsidRPr="00DF4A10" w:rsidRDefault="00AE6FE7" w:rsidP="00FC6306">
      <w:pPr>
        <w:ind w:left="567" w:hanging="567"/>
        <w:rPr>
          <w:sz w:val="22"/>
          <w:szCs w:val="22"/>
        </w:rPr>
      </w:pPr>
      <w:proofErr w:type="spellStart"/>
      <w:r w:rsidRPr="00DF4A10">
        <w:rPr>
          <w:sz w:val="22"/>
          <w:szCs w:val="22"/>
        </w:rPr>
        <w:t>João</w:t>
      </w:r>
      <w:proofErr w:type="spellEnd"/>
      <w:r w:rsidRPr="00DF4A10">
        <w:rPr>
          <w:sz w:val="22"/>
          <w:szCs w:val="22"/>
        </w:rPr>
        <w:t xml:space="preserve"> E, </w:t>
      </w:r>
      <w:proofErr w:type="spellStart"/>
      <w:r w:rsidR="002D4214" w:rsidRPr="00DF4A10">
        <w:rPr>
          <w:sz w:val="22"/>
          <w:szCs w:val="22"/>
        </w:rPr>
        <w:t>Vanclay</w:t>
      </w:r>
      <w:proofErr w:type="spellEnd"/>
      <w:r w:rsidRPr="00DF4A10">
        <w:rPr>
          <w:sz w:val="22"/>
          <w:szCs w:val="22"/>
        </w:rPr>
        <w:t xml:space="preserve"> F, </w:t>
      </w:r>
      <w:r w:rsidR="002D4214" w:rsidRPr="00DF4A10">
        <w:rPr>
          <w:sz w:val="22"/>
          <w:szCs w:val="22"/>
        </w:rPr>
        <w:t xml:space="preserve">den </w:t>
      </w:r>
      <w:proofErr w:type="spellStart"/>
      <w:r w:rsidR="002D4214" w:rsidRPr="00DF4A10">
        <w:rPr>
          <w:sz w:val="22"/>
          <w:szCs w:val="22"/>
        </w:rPr>
        <w:t>Broeder</w:t>
      </w:r>
      <w:proofErr w:type="spellEnd"/>
      <w:r w:rsidRPr="00DF4A10">
        <w:rPr>
          <w:sz w:val="22"/>
          <w:szCs w:val="22"/>
        </w:rPr>
        <w:t xml:space="preserve"> L. 2011</w:t>
      </w:r>
      <w:r w:rsidR="002D4214" w:rsidRPr="00DF4A10">
        <w:rPr>
          <w:sz w:val="22"/>
          <w:szCs w:val="22"/>
        </w:rPr>
        <w:t xml:space="preserve"> Emphasising enhancement in all forms of impact assessment: </w:t>
      </w:r>
      <w:r w:rsidRPr="00DF4A10">
        <w:rPr>
          <w:sz w:val="22"/>
          <w:szCs w:val="22"/>
        </w:rPr>
        <w:t>introduction to a special issue.</w:t>
      </w:r>
      <w:r w:rsidR="002D4214" w:rsidRPr="00DF4A10">
        <w:rPr>
          <w:sz w:val="22"/>
          <w:szCs w:val="22"/>
        </w:rPr>
        <w:t xml:space="preserve"> Impact Assessment and Project Appraisal</w:t>
      </w:r>
      <w:r w:rsidRPr="00DF4A10">
        <w:rPr>
          <w:sz w:val="22"/>
          <w:szCs w:val="22"/>
        </w:rPr>
        <w:t>.</w:t>
      </w:r>
      <w:r w:rsidR="002D4214" w:rsidRPr="00DF4A10">
        <w:rPr>
          <w:sz w:val="22"/>
          <w:szCs w:val="22"/>
        </w:rPr>
        <w:t xml:space="preserve"> 29(3):</w:t>
      </w:r>
      <w:r w:rsidRPr="00DF4A10">
        <w:rPr>
          <w:sz w:val="22"/>
          <w:szCs w:val="22"/>
        </w:rPr>
        <w:t xml:space="preserve"> </w:t>
      </w:r>
      <w:r w:rsidR="002D4214" w:rsidRPr="00DF4A10">
        <w:rPr>
          <w:sz w:val="22"/>
          <w:szCs w:val="22"/>
        </w:rPr>
        <w:t>170–180</w:t>
      </w:r>
      <w:r w:rsidRPr="00DF4A10">
        <w:rPr>
          <w:sz w:val="22"/>
          <w:szCs w:val="22"/>
        </w:rPr>
        <w:t>.</w:t>
      </w:r>
      <w:r w:rsidR="00AA6B04" w:rsidRPr="00DF4A10">
        <w:rPr>
          <w:sz w:val="22"/>
          <w:szCs w:val="22"/>
        </w:rPr>
        <w:t xml:space="preserve"> </w:t>
      </w:r>
    </w:p>
    <w:p w14:paraId="11AA6C44" w14:textId="1260FEE1" w:rsidR="00A3324B" w:rsidRPr="00DF4A10" w:rsidRDefault="00283353" w:rsidP="00FC6306">
      <w:pPr>
        <w:widowControl w:val="0"/>
        <w:autoSpaceDE w:val="0"/>
        <w:autoSpaceDN w:val="0"/>
        <w:adjustRightInd w:val="0"/>
        <w:ind w:left="567" w:right="-7" w:hanging="567"/>
        <w:rPr>
          <w:rFonts w:cs="Helvetica"/>
          <w:sz w:val="22"/>
          <w:szCs w:val="22"/>
          <w:lang w:val="en-US"/>
        </w:rPr>
      </w:pPr>
      <w:proofErr w:type="spellStart"/>
      <w:r w:rsidRPr="00DF4A10">
        <w:rPr>
          <w:rFonts w:cs="Helvetica"/>
          <w:sz w:val="22"/>
          <w:szCs w:val="22"/>
          <w:lang w:val="en-US"/>
        </w:rPr>
        <w:t>Lenihan</w:t>
      </w:r>
      <w:proofErr w:type="spellEnd"/>
      <w:r w:rsidRPr="00DF4A10">
        <w:rPr>
          <w:rFonts w:cs="Helvetica"/>
          <w:sz w:val="22"/>
          <w:szCs w:val="22"/>
          <w:lang w:val="en-US"/>
        </w:rPr>
        <w:t xml:space="preserve"> H, </w:t>
      </w:r>
      <w:r w:rsidR="00A3324B" w:rsidRPr="00DF4A10">
        <w:rPr>
          <w:rFonts w:cs="Helvetica"/>
          <w:sz w:val="22"/>
          <w:szCs w:val="22"/>
          <w:lang w:val="en-US"/>
        </w:rPr>
        <w:t xml:space="preserve">Hart </w:t>
      </w:r>
      <w:r w:rsidRPr="00DF4A10">
        <w:rPr>
          <w:rFonts w:cs="Helvetica"/>
          <w:sz w:val="22"/>
          <w:szCs w:val="22"/>
          <w:lang w:val="en-US"/>
        </w:rPr>
        <w:t xml:space="preserve">M. 2004. </w:t>
      </w:r>
      <w:r w:rsidR="00A3324B" w:rsidRPr="00DF4A10">
        <w:rPr>
          <w:rFonts w:cs="Helvetica"/>
          <w:sz w:val="22"/>
          <w:szCs w:val="22"/>
          <w:lang w:val="en-US"/>
        </w:rPr>
        <w:t>The use of counterfactual scenarios as a means to assess policy deadweight: An Irish cas</w:t>
      </w:r>
      <w:r w:rsidR="00700382" w:rsidRPr="00DF4A10">
        <w:rPr>
          <w:rFonts w:cs="Helvetica"/>
          <w:sz w:val="22"/>
          <w:szCs w:val="22"/>
          <w:lang w:val="en-US"/>
        </w:rPr>
        <w:t>e study.</w:t>
      </w:r>
      <w:r w:rsidR="00A3324B" w:rsidRPr="00DF4A10">
        <w:rPr>
          <w:rFonts w:cs="Helvetica"/>
          <w:sz w:val="22"/>
          <w:szCs w:val="22"/>
          <w:lang w:val="en-US"/>
        </w:rPr>
        <w:t xml:space="preserve"> Environment and Pl</w:t>
      </w:r>
      <w:r w:rsidR="00700382" w:rsidRPr="00DF4A10">
        <w:rPr>
          <w:rFonts w:cs="Helvetica"/>
          <w:sz w:val="22"/>
          <w:szCs w:val="22"/>
          <w:lang w:val="en-US"/>
        </w:rPr>
        <w:t>anning C: Government and Policy.</w:t>
      </w:r>
      <w:r w:rsidR="00A3324B" w:rsidRPr="00DF4A10">
        <w:rPr>
          <w:rFonts w:cs="Helvetica"/>
          <w:sz w:val="22"/>
          <w:szCs w:val="22"/>
          <w:lang w:val="en-US"/>
        </w:rPr>
        <w:t xml:space="preserve"> </w:t>
      </w:r>
      <w:r w:rsidR="00A3324B" w:rsidRPr="00DF4A10">
        <w:rPr>
          <w:rFonts w:cs="Helvetica"/>
          <w:bCs/>
          <w:sz w:val="22"/>
          <w:szCs w:val="22"/>
          <w:lang w:val="en-US"/>
        </w:rPr>
        <w:t>22</w:t>
      </w:r>
      <w:r w:rsidR="00700382" w:rsidRPr="00DF4A10">
        <w:rPr>
          <w:rFonts w:cs="Helvetica"/>
          <w:sz w:val="22"/>
          <w:szCs w:val="22"/>
          <w:lang w:val="en-US"/>
        </w:rPr>
        <w:t xml:space="preserve">(6): </w:t>
      </w:r>
      <w:r w:rsidR="00A3324B" w:rsidRPr="00DF4A10">
        <w:rPr>
          <w:rFonts w:cs="Helvetica"/>
          <w:sz w:val="22"/>
          <w:szCs w:val="22"/>
          <w:lang w:val="en-US"/>
        </w:rPr>
        <w:t>817-839.</w:t>
      </w:r>
    </w:p>
    <w:p w14:paraId="69FD78CD" w14:textId="2FA57B9E" w:rsidR="00383501" w:rsidRPr="00DF4A10" w:rsidRDefault="00700382" w:rsidP="00FC6306">
      <w:pPr>
        <w:ind w:left="567" w:hanging="567"/>
        <w:rPr>
          <w:sz w:val="22"/>
          <w:szCs w:val="22"/>
        </w:rPr>
      </w:pPr>
      <w:r w:rsidRPr="00DF4A10">
        <w:rPr>
          <w:sz w:val="22"/>
          <w:szCs w:val="22"/>
        </w:rPr>
        <w:t xml:space="preserve">Lev B, </w:t>
      </w:r>
      <w:proofErr w:type="spellStart"/>
      <w:r w:rsidR="00383501" w:rsidRPr="00DF4A10">
        <w:rPr>
          <w:sz w:val="22"/>
          <w:szCs w:val="22"/>
        </w:rPr>
        <w:t>Zarowin</w:t>
      </w:r>
      <w:proofErr w:type="spellEnd"/>
      <w:r w:rsidR="00383501" w:rsidRPr="00DF4A10">
        <w:rPr>
          <w:sz w:val="22"/>
          <w:szCs w:val="22"/>
        </w:rPr>
        <w:t xml:space="preserve"> </w:t>
      </w:r>
      <w:r w:rsidRPr="00DF4A10">
        <w:rPr>
          <w:sz w:val="22"/>
          <w:szCs w:val="22"/>
        </w:rPr>
        <w:t xml:space="preserve">P. </w:t>
      </w:r>
      <w:r w:rsidR="00383501" w:rsidRPr="00DF4A10">
        <w:rPr>
          <w:sz w:val="22"/>
          <w:szCs w:val="22"/>
        </w:rPr>
        <w:t>1999</w:t>
      </w:r>
      <w:r w:rsidRPr="00DF4A10">
        <w:rPr>
          <w:sz w:val="22"/>
          <w:szCs w:val="22"/>
        </w:rPr>
        <w:t>.</w:t>
      </w:r>
      <w:r w:rsidR="00383501" w:rsidRPr="00DF4A10">
        <w:rPr>
          <w:sz w:val="22"/>
          <w:szCs w:val="22"/>
        </w:rPr>
        <w:t xml:space="preserve"> The Boundaries of Financial R</w:t>
      </w:r>
      <w:r w:rsidRPr="00DF4A10">
        <w:rPr>
          <w:sz w:val="22"/>
          <w:szCs w:val="22"/>
        </w:rPr>
        <w:t>eporting and How to Extend Them.</w:t>
      </w:r>
      <w:r w:rsidR="00383501" w:rsidRPr="00DF4A10">
        <w:rPr>
          <w:sz w:val="22"/>
          <w:szCs w:val="22"/>
        </w:rPr>
        <w:t xml:space="preserve"> Journal of Accounting Research</w:t>
      </w:r>
      <w:r w:rsidRPr="00DF4A10">
        <w:rPr>
          <w:sz w:val="22"/>
          <w:szCs w:val="22"/>
        </w:rPr>
        <w:t>.</w:t>
      </w:r>
      <w:r w:rsidR="00383501" w:rsidRPr="00DF4A10">
        <w:rPr>
          <w:sz w:val="22"/>
          <w:szCs w:val="22"/>
        </w:rPr>
        <w:t xml:space="preserve"> 37</w:t>
      </w:r>
      <w:r w:rsidRPr="00DF4A10">
        <w:rPr>
          <w:sz w:val="22"/>
          <w:szCs w:val="22"/>
        </w:rPr>
        <w:t xml:space="preserve">(2): </w:t>
      </w:r>
      <w:r w:rsidR="00383501" w:rsidRPr="00DF4A10">
        <w:rPr>
          <w:sz w:val="22"/>
          <w:szCs w:val="22"/>
        </w:rPr>
        <w:t>353-385</w:t>
      </w:r>
      <w:r w:rsidRPr="00DF4A10">
        <w:rPr>
          <w:sz w:val="22"/>
          <w:szCs w:val="22"/>
        </w:rPr>
        <w:t>.</w:t>
      </w:r>
    </w:p>
    <w:p w14:paraId="658C041A" w14:textId="5FAC3DD1" w:rsidR="00F466BD" w:rsidRPr="00DF4A10" w:rsidRDefault="00F466BD" w:rsidP="00F466BD">
      <w:pPr>
        <w:ind w:left="567" w:hanging="567"/>
        <w:rPr>
          <w:sz w:val="22"/>
          <w:szCs w:val="22"/>
          <w:lang w:val="en-US"/>
        </w:rPr>
      </w:pPr>
      <w:r w:rsidRPr="00DF4A10">
        <w:rPr>
          <w:sz w:val="22"/>
          <w:szCs w:val="22"/>
        </w:rPr>
        <w:t>Macintosh A</w:t>
      </w:r>
      <w:r w:rsidR="00700382" w:rsidRPr="00DF4A10">
        <w:rPr>
          <w:sz w:val="22"/>
          <w:szCs w:val="22"/>
        </w:rPr>
        <w:t>.</w:t>
      </w:r>
      <w:r w:rsidRPr="00DF4A10">
        <w:rPr>
          <w:sz w:val="22"/>
          <w:szCs w:val="22"/>
        </w:rPr>
        <w:t xml:space="preserve"> 2010</w:t>
      </w:r>
      <w:r w:rsidR="00700382" w:rsidRPr="00DF4A10">
        <w:rPr>
          <w:sz w:val="22"/>
          <w:szCs w:val="22"/>
        </w:rPr>
        <w:t>.</w:t>
      </w:r>
      <w:r w:rsidR="00DB0978" w:rsidRPr="00DF4A10">
        <w:rPr>
          <w:sz w:val="22"/>
          <w:szCs w:val="22"/>
        </w:rPr>
        <w:t xml:space="preserve"> </w:t>
      </w:r>
      <w:r w:rsidR="00DB0978" w:rsidRPr="00DF4A10">
        <w:rPr>
          <w:sz w:val="22"/>
          <w:szCs w:val="22"/>
          <w:lang w:val="en-US"/>
        </w:rPr>
        <w:t>The Australian Government’s environmental</w:t>
      </w:r>
      <w:r w:rsidRPr="00DF4A10">
        <w:rPr>
          <w:sz w:val="22"/>
          <w:szCs w:val="22"/>
          <w:lang w:val="en-US"/>
        </w:rPr>
        <w:t xml:space="preserve"> </w:t>
      </w:r>
      <w:r w:rsidR="00DB0978" w:rsidRPr="00DF4A10">
        <w:rPr>
          <w:sz w:val="22"/>
          <w:szCs w:val="22"/>
          <w:lang w:val="en-US"/>
        </w:rPr>
        <w:t>impact assessment (EIA) regime: using surveys</w:t>
      </w:r>
      <w:r w:rsidRPr="00DF4A10">
        <w:rPr>
          <w:sz w:val="22"/>
          <w:szCs w:val="22"/>
          <w:lang w:val="en-US"/>
        </w:rPr>
        <w:t xml:space="preserve"> </w:t>
      </w:r>
      <w:r w:rsidR="00DB0978" w:rsidRPr="00DF4A10">
        <w:rPr>
          <w:sz w:val="22"/>
          <w:szCs w:val="22"/>
          <w:lang w:val="en-US"/>
        </w:rPr>
        <w:t>to identify proponent views on cost-effectiveness</w:t>
      </w:r>
      <w:r w:rsidR="00700382" w:rsidRPr="00DF4A10">
        <w:rPr>
          <w:sz w:val="22"/>
          <w:szCs w:val="22"/>
          <w:lang w:val="en-US"/>
        </w:rPr>
        <w:t>.</w:t>
      </w:r>
      <w:r w:rsidRPr="00DF4A10">
        <w:rPr>
          <w:sz w:val="22"/>
          <w:szCs w:val="22"/>
          <w:lang w:val="en-US"/>
        </w:rPr>
        <w:t xml:space="preserve"> Impact A</w:t>
      </w:r>
      <w:r w:rsidR="00700382" w:rsidRPr="00DF4A10">
        <w:rPr>
          <w:sz w:val="22"/>
          <w:szCs w:val="22"/>
          <w:lang w:val="en-US"/>
        </w:rPr>
        <w:t>ssessment and Project Appraisal.</w:t>
      </w:r>
      <w:r w:rsidRPr="00DF4A10">
        <w:rPr>
          <w:sz w:val="22"/>
          <w:szCs w:val="22"/>
          <w:lang w:val="en-US"/>
        </w:rPr>
        <w:t xml:space="preserve"> 28</w:t>
      </w:r>
      <w:r w:rsidR="00700382" w:rsidRPr="00DF4A10">
        <w:rPr>
          <w:sz w:val="22"/>
          <w:szCs w:val="22"/>
          <w:lang w:val="en-US"/>
        </w:rPr>
        <w:t>(3):</w:t>
      </w:r>
      <w:r w:rsidRPr="00DF4A10">
        <w:rPr>
          <w:sz w:val="22"/>
          <w:szCs w:val="22"/>
          <w:lang w:val="en-US"/>
        </w:rPr>
        <w:t xml:space="preserve"> 175–188</w:t>
      </w:r>
      <w:r w:rsidR="00700382" w:rsidRPr="00DF4A10">
        <w:rPr>
          <w:sz w:val="22"/>
          <w:szCs w:val="22"/>
          <w:lang w:val="en-US"/>
        </w:rPr>
        <w:t>.</w:t>
      </w:r>
    </w:p>
    <w:p w14:paraId="52EFA790" w14:textId="42B493A5" w:rsidR="00FA73C0" w:rsidRPr="00DF4A10" w:rsidRDefault="00700382" w:rsidP="00FC6306">
      <w:pPr>
        <w:widowControl w:val="0"/>
        <w:autoSpaceDE w:val="0"/>
        <w:autoSpaceDN w:val="0"/>
        <w:adjustRightInd w:val="0"/>
        <w:ind w:left="567" w:right="-720" w:hanging="567"/>
        <w:rPr>
          <w:rFonts w:cs="Helvetica"/>
          <w:sz w:val="22"/>
          <w:szCs w:val="22"/>
          <w:lang w:val="en-US"/>
        </w:rPr>
      </w:pPr>
      <w:proofErr w:type="spellStart"/>
      <w:r w:rsidRPr="00DF4A10">
        <w:rPr>
          <w:rFonts w:cs="Helvetica"/>
          <w:sz w:val="22"/>
          <w:szCs w:val="22"/>
          <w:lang w:val="en-US"/>
        </w:rPr>
        <w:t>Macve</w:t>
      </w:r>
      <w:proofErr w:type="spellEnd"/>
      <w:r w:rsidRPr="00DF4A10">
        <w:rPr>
          <w:rFonts w:cs="Helvetica"/>
          <w:sz w:val="22"/>
          <w:szCs w:val="22"/>
          <w:lang w:val="en-US"/>
        </w:rPr>
        <w:t xml:space="preserve"> R, </w:t>
      </w:r>
      <w:r w:rsidR="00FA73C0" w:rsidRPr="00DF4A10">
        <w:rPr>
          <w:rFonts w:cs="Helvetica"/>
          <w:sz w:val="22"/>
          <w:szCs w:val="22"/>
          <w:lang w:val="en-US"/>
        </w:rPr>
        <w:t>Chen</w:t>
      </w:r>
      <w:r w:rsidRPr="00DF4A10">
        <w:rPr>
          <w:rFonts w:cs="Helvetica"/>
          <w:sz w:val="22"/>
          <w:szCs w:val="22"/>
          <w:lang w:val="en-US"/>
        </w:rPr>
        <w:t xml:space="preserve"> X. 2010. </w:t>
      </w:r>
      <w:r w:rsidR="00FA73C0" w:rsidRPr="00DF4A10">
        <w:rPr>
          <w:rFonts w:cs="Helvetica"/>
          <w:sz w:val="22"/>
          <w:szCs w:val="22"/>
          <w:lang w:val="en-US"/>
        </w:rPr>
        <w:t>The “equator principles”: a success for voluntary codes? Accounting, Au</w:t>
      </w:r>
      <w:r w:rsidRPr="00DF4A10">
        <w:rPr>
          <w:rFonts w:cs="Helvetica"/>
          <w:sz w:val="22"/>
          <w:szCs w:val="22"/>
          <w:lang w:val="en-US"/>
        </w:rPr>
        <w:t>diting &amp; Accountability Journal.</w:t>
      </w:r>
      <w:r w:rsidR="00FA73C0" w:rsidRPr="00DF4A10">
        <w:rPr>
          <w:rFonts w:cs="Helvetica"/>
          <w:sz w:val="22"/>
          <w:szCs w:val="22"/>
          <w:lang w:val="en-US"/>
        </w:rPr>
        <w:t xml:space="preserve"> </w:t>
      </w:r>
      <w:r w:rsidR="00FA73C0" w:rsidRPr="00DF4A10">
        <w:rPr>
          <w:rFonts w:cs="Helvetica"/>
          <w:bCs/>
          <w:sz w:val="22"/>
          <w:szCs w:val="22"/>
          <w:lang w:val="en-US"/>
        </w:rPr>
        <w:t>23</w:t>
      </w:r>
      <w:r w:rsidRPr="00DF4A10">
        <w:rPr>
          <w:rFonts w:cs="Helvetica"/>
          <w:sz w:val="22"/>
          <w:szCs w:val="22"/>
          <w:lang w:val="en-US"/>
        </w:rPr>
        <w:t xml:space="preserve">(7): </w:t>
      </w:r>
      <w:r w:rsidR="00FA73C0" w:rsidRPr="00DF4A10">
        <w:rPr>
          <w:rFonts w:cs="Helvetica"/>
          <w:sz w:val="22"/>
          <w:szCs w:val="22"/>
          <w:lang w:val="en-US"/>
        </w:rPr>
        <w:t>890-919.</w:t>
      </w:r>
    </w:p>
    <w:p w14:paraId="091569B2" w14:textId="6C9ED87E" w:rsidR="00DD7B2E" w:rsidRPr="00DF4A10" w:rsidRDefault="00700382" w:rsidP="00DD7B2E">
      <w:pPr>
        <w:autoSpaceDE w:val="0"/>
        <w:autoSpaceDN w:val="0"/>
        <w:adjustRightInd w:val="0"/>
        <w:ind w:left="720" w:hanging="720"/>
        <w:rPr>
          <w:rFonts w:cs="Helvetica"/>
          <w:sz w:val="22"/>
          <w:szCs w:val="22"/>
          <w:lang w:val="en-US"/>
        </w:rPr>
      </w:pPr>
      <w:r w:rsidRPr="00DF4A10">
        <w:rPr>
          <w:rFonts w:cs="Helvetica"/>
          <w:sz w:val="22"/>
          <w:szCs w:val="22"/>
          <w:lang w:val="en-US"/>
        </w:rPr>
        <w:t>Marshall R, Arts</w:t>
      </w:r>
      <w:r w:rsidR="00DD7B2E" w:rsidRPr="00DF4A10">
        <w:rPr>
          <w:rFonts w:cs="Helvetica"/>
          <w:sz w:val="22"/>
          <w:szCs w:val="22"/>
          <w:lang w:val="en-US"/>
        </w:rPr>
        <w:t xml:space="preserve"> J</w:t>
      </w:r>
      <w:r w:rsidRPr="00DF4A10">
        <w:rPr>
          <w:rFonts w:cs="Helvetica"/>
          <w:sz w:val="22"/>
          <w:szCs w:val="22"/>
          <w:lang w:val="en-US"/>
        </w:rPr>
        <w:t>,</w:t>
      </w:r>
      <w:r w:rsidR="00DD7B2E" w:rsidRPr="00DF4A10">
        <w:rPr>
          <w:rFonts w:cs="Helvetica"/>
          <w:sz w:val="22"/>
          <w:szCs w:val="22"/>
          <w:lang w:val="en-US"/>
        </w:rPr>
        <w:t xml:space="preserve"> Morrison-Saunders A</w:t>
      </w:r>
      <w:r w:rsidRPr="00DF4A10">
        <w:rPr>
          <w:rFonts w:cs="Helvetica"/>
          <w:sz w:val="22"/>
          <w:szCs w:val="22"/>
          <w:lang w:val="en-US"/>
        </w:rPr>
        <w:t>. 2005. Principles for EIA follow-up.</w:t>
      </w:r>
      <w:r w:rsidR="00DD7B2E" w:rsidRPr="00DF4A10">
        <w:rPr>
          <w:rFonts w:cs="Helvetica"/>
          <w:sz w:val="22"/>
          <w:szCs w:val="22"/>
          <w:lang w:val="en-US"/>
        </w:rPr>
        <w:t xml:space="preserve"> Impact Assessment and Project Appraisal</w:t>
      </w:r>
      <w:r w:rsidRPr="00DF4A10">
        <w:rPr>
          <w:rFonts w:cs="Helvetica"/>
          <w:sz w:val="22"/>
          <w:szCs w:val="22"/>
          <w:lang w:val="en-US"/>
        </w:rPr>
        <w:t>.</w:t>
      </w:r>
      <w:r w:rsidR="00DD7B2E" w:rsidRPr="00DF4A10">
        <w:rPr>
          <w:rFonts w:cs="Helvetica"/>
          <w:sz w:val="22"/>
          <w:szCs w:val="22"/>
          <w:lang w:val="en-US"/>
        </w:rPr>
        <w:t xml:space="preserve"> 23</w:t>
      </w:r>
      <w:r w:rsidRPr="00DF4A10">
        <w:rPr>
          <w:rFonts w:cs="Helvetica"/>
          <w:sz w:val="22"/>
          <w:szCs w:val="22"/>
          <w:lang w:val="en-US"/>
        </w:rPr>
        <w:t xml:space="preserve">(3): </w:t>
      </w:r>
      <w:r w:rsidR="00DD7B2E" w:rsidRPr="00DF4A10">
        <w:rPr>
          <w:rFonts w:cs="Helvetica"/>
          <w:sz w:val="22"/>
          <w:szCs w:val="22"/>
          <w:lang w:val="en-US"/>
        </w:rPr>
        <w:t>175-181</w:t>
      </w:r>
      <w:r w:rsidRPr="00DF4A10">
        <w:rPr>
          <w:rFonts w:cs="Helvetica"/>
          <w:sz w:val="22"/>
          <w:szCs w:val="22"/>
          <w:lang w:val="en-US"/>
        </w:rPr>
        <w:t>.</w:t>
      </w:r>
    </w:p>
    <w:p w14:paraId="062DBFDD" w14:textId="501F43A4" w:rsidR="000875D0" w:rsidRPr="00DF4A10" w:rsidRDefault="00700382" w:rsidP="00FC6306">
      <w:pPr>
        <w:ind w:left="567" w:hanging="567"/>
        <w:rPr>
          <w:sz w:val="22"/>
          <w:szCs w:val="22"/>
        </w:rPr>
      </w:pPr>
      <w:r w:rsidRPr="00DF4A10">
        <w:rPr>
          <w:sz w:val="22"/>
          <w:szCs w:val="22"/>
        </w:rPr>
        <w:t xml:space="preserve">McDonald G, Brown A. 1995. </w:t>
      </w:r>
      <w:r w:rsidR="000875D0" w:rsidRPr="00DF4A10">
        <w:rPr>
          <w:sz w:val="22"/>
          <w:szCs w:val="22"/>
        </w:rPr>
        <w:t xml:space="preserve">Going beyond EIA: Environmental input to planning and design. </w:t>
      </w:r>
      <w:r w:rsidR="001F39D3" w:rsidRPr="00DF4A10">
        <w:rPr>
          <w:sz w:val="22"/>
          <w:szCs w:val="22"/>
        </w:rPr>
        <w:t>Environmental Impact Assessment Review</w:t>
      </w:r>
      <w:r w:rsidRPr="00DF4A10">
        <w:rPr>
          <w:sz w:val="22"/>
          <w:szCs w:val="22"/>
        </w:rPr>
        <w:t>.</w:t>
      </w:r>
      <w:r w:rsidR="000875D0" w:rsidRPr="00DF4A10">
        <w:rPr>
          <w:sz w:val="22"/>
          <w:szCs w:val="22"/>
        </w:rPr>
        <w:t xml:space="preserve"> 15</w:t>
      </w:r>
      <w:r w:rsidRPr="00DF4A10">
        <w:rPr>
          <w:sz w:val="22"/>
          <w:szCs w:val="22"/>
        </w:rPr>
        <w:t>(6):</w:t>
      </w:r>
      <w:r w:rsidR="000875D0" w:rsidRPr="00DF4A10">
        <w:rPr>
          <w:sz w:val="22"/>
          <w:szCs w:val="22"/>
        </w:rPr>
        <w:t>483-495</w:t>
      </w:r>
      <w:r w:rsidRPr="00DF4A10">
        <w:rPr>
          <w:sz w:val="22"/>
          <w:szCs w:val="22"/>
        </w:rPr>
        <w:t>.</w:t>
      </w:r>
    </w:p>
    <w:p w14:paraId="77B2314A" w14:textId="5A72DC05" w:rsidR="00FE4F41" w:rsidRPr="00DF4A10" w:rsidRDefault="00FE4F41" w:rsidP="00FC6306">
      <w:pPr>
        <w:ind w:left="567" w:hanging="567"/>
        <w:rPr>
          <w:sz w:val="22"/>
          <w:szCs w:val="22"/>
        </w:rPr>
      </w:pPr>
      <w:r w:rsidRPr="00DF4A10">
        <w:rPr>
          <w:sz w:val="22"/>
          <w:szCs w:val="22"/>
        </w:rPr>
        <w:t xml:space="preserve">Middle G, Clarke B, Franks D, Brown L, </w:t>
      </w:r>
      <w:proofErr w:type="spellStart"/>
      <w:r w:rsidRPr="00DF4A10">
        <w:rPr>
          <w:sz w:val="22"/>
          <w:szCs w:val="22"/>
        </w:rPr>
        <w:t>Kellett</w:t>
      </w:r>
      <w:proofErr w:type="spellEnd"/>
      <w:r w:rsidRPr="00DF4A10">
        <w:rPr>
          <w:sz w:val="22"/>
          <w:szCs w:val="22"/>
        </w:rPr>
        <w:t xml:space="preserve"> J, </w:t>
      </w:r>
      <w:proofErr w:type="spellStart"/>
      <w:r w:rsidRPr="00DF4A10">
        <w:rPr>
          <w:sz w:val="22"/>
          <w:szCs w:val="22"/>
        </w:rPr>
        <w:t>Lockie</w:t>
      </w:r>
      <w:proofErr w:type="spellEnd"/>
      <w:r w:rsidRPr="00DF4A10">
        <w:rPr>
          <w:sz w:val="22"/>
          <w:szCs w:val="22"/>
        </w:rPr>
        <w:t xml:space="preserve"> S,  Morrison-Saunders A, Pope J, Glasson J, Harris E, Harris- </w:t>
      </w:r>
      <w:proofErr w:type="spellStart"/>
      <w:r w:rsidRPr="00DF4A10">
        <w:rPr>
          <w:sz w:val="22"/>
          <w:szCs w:val="22"/>
        </w:rPr>
        <w:t>Roxas</w:t>
      </w:r>
      <w:proofErr w:type="spellEnd"/>
      <w:r w:rsidRPr="00DF4A10">
        <w:rPr>
          <w:sz w:val="22"/>
          <w:szCs w:val="22"/>
        </w:rPr>
        <w:t xml:space="preserve"> B. 2013. Reducing green tape or rolling back IA in Australia: what are four jurisdictions up to</w:t>
      </w:r>
      <w:proofErr w:type="gramStart"/>
      <w:r w:rsidRPr="00DF4A10">
        <w:rPr>
          <w:sz w:val="22"/>
          <w:szCs w:val="22"/>
        </w:rPr>
        <w:t>?.</w:t>
      </w:r>
      <w:proofErr w:type="gramEnd"/>
      <w:r w:rsidRPr="00DF4A10">
        <w:rPr>
          <w:sz w:val="22"/>
          <w:szCs w:val="22"/>
        </w:rPr>
        <w:t xml:space="preserve"> Paper presented at: Impact Assessment the Next Generation. 33rd Annual Meeting of the International Association for Impact Assessment; 2013 May 13–16. Calgary, Canada: IAIA</w:t>
      </w:r>
      <w:r w:rsidR="00700382" w:rsidRPr="00DF4A10">
        <w:rPr>
          <w:sz w:val="22"/>
          <w:szCs w:val="22"/>
        </w:rPr>
        <w:t>.</w:t>
      </w:r>
    </w:p>
    <w:p w14:paraId="4C2EE09C" w14:textId="56564D03" w:rsidR="00A16E9B" w:rsidRPr="00DF4A10" w:rsidRDefault="00A16E9B" w:rsidP="00FC6306">
      <w:pPr>
        <w:ind w:left="567" w:hanging="567"/>
        <w:rPr>
          <w:rFonts w:eastAsia="Times New Roman"/>
          <w:sz w:val="22"/>
          <w:szCs w:val="22"/>
          <w:shd w:val="clear" w:color="auto" w:fill="FFFFFF"/>
          <w:lang w:val="en-GB"/>
        </w:rPr>
      </w:pPr>
      <w:r w:rsidRPr="00DF4A10">
        <w:rPr>
          <w:sz w:val="22"/>
          <w:szCs w:val="22"/>
        </w:rPr>
        <w:t xml:space="preserve">Morgan </w:t>
      </w:r>
      <w:r w:rsidR="00700382" w:rsidRPr="00DF4A10">
        <w:rPr>
          <w:sz w:val="22"/>
          <w:szCs w:val="22"/>
        </w:rPr>
        <w:t>R. 2012.</w:t>
      </w:r>
      <w:r w:rsidRPr="00DF4A10">
        <w:rPr>
          <w:sz w:val="22"/>
          <w:szCs w:val="22"/>
        </w:rPr>
        <w:t xml:space="preserve"> Environmental impact a</w:t>
      </w:r>
      <w:r w:rsidR="00700382" w:rsidRPr="00DF4A10">
        <w:rPr>
          <w:sz w:val="22"/>
          <w:szCs w:val="22"/>
        </w:rPr>
        <w:t>ssessment: the state of the art.</w:t>
      </w:r>
      <w:r w:rsidRPr="00DF4A10">
        <w:rPr>
          <w:sz w:val="22"/>
          <w:szCs w:val="22"/>
        </w:rPr>
        <w:t xml:space="preserve"> Impact Assessment and Project A</w:t>
      </w:r>
      <w:r w:rsidR="00700382" w:rsidRPr="00DF4A10">
        <w:rPr>
          <w:sz w:val="22"/>
          <w:szCs w:val="22"/>
        </w:rPr>
        <w:t xml:space="preserve">ppraisal. 30(1): </w:t>
      </w:r>
      <w:r w:rsidRPr="00DF4A10">
        <w:rPr>
          <w:sz w:val="22"/>
          <w:szCs w:val="22"/>
        </w:rPr>
        <w:t>5-14</w:t>
      </w:r>
      <w:r w:rsidR="00700382" w:rsidRPr="00DF4A10">
        <w:rPr>
          <w:sz w:val="22"/>
          <w:szCs w:val="22"/>
        </w:rPr>
        <w:t>.</w:t>
      </w:r>
    </w:p>
    <w:p w14:paraId="12EC4752" w14:textId="4A8A170F" w:rsidR="003276B4" w:rsidRPr="00DF4A10" w:rsidRDefault="00700382" w:rsidP="00FC6306">
      <w:pPr>
        <w:ind w:left="567" w:hanging="567"/>
        <w:rPr>
          <w:sz w:val="22"/>
          <w:szCs w:val="22"/>
        </w:rPr>
      </w:pPr>
      <w:r w:rsidRPr="00DF4A10">
        <w:rPr>
          <w:sz w:val="22"/>
          <w:szCs w:val="22"/>
        </w:rPr>
        <w:t>Morrison-Saunders A, Pope</w:t>
      </w:r>
      <w:r w:rsidR="0034301E" w:rsidRPr="00DF4A10">
        <w:rPr>
          <w:sz w:val="22"/>
          <w:szCs w:val="22"/>
        </w:rPr>
        <w:t xml:space="preserve"> J</w:t>
      </w:r>
      <w:r w:rsidRPr="00DF4A10">
        <w:rPr>
          <w:sz w:val="22"/>
          <w:szCs w:val="22"/>
        </w:rPr>
        <w:t>,</w:t>
      </w:r>
      <w:r w:rsidR="0034301E" w:rsidRPr="00DF4A10">
        <w:rPr>
          <w:sz w:val="22"/>
          <w:szCs w:val="22"/>
        </w:rPr>
        <w:t xml:space="preserve"> Gunn</w:t>
      </w:r>
      <w:r w:rsidRPr="00DF4A10">
        <w:rPr>
          <w:sz w:val="22"/>
          <w:szCs w:val="22"/>
        </w:rPr>
        <w:t xml:space="preserve"> J, </w:t>
      </w:r>
      <w:r w:rsidR="0034301E" w:rsidRPr="00DF4A10">
        <w:rPr>
          <w:sz w:val="22"/>
          <w:szCs w:val="22"/>
        </w:rPr>
        <w:t>Bond</w:t>
      </w:r>
      <w:r w:rsidRPr="00DF4A10">
        <w:rPr>
          <w:sz w:val="22"/>
          <w:szCs w:val="22"/>
        </w:rPr>
        <w:t xml:space="preserve"> A, </w:t>
      </w:r>
      <w:r w:rsidR="0034301E" w:rsidRPr="00DF4A10">
        <w:rPr>
          <w:sz w:val="22"/>
          <w:szCs w:val="22"/>
        </w:rPr>
        <w:t>Retief</w:t>
      </w:r>
      <w:r w:rsidRPr="00DF4A10">
        <w:rPr>
          <w:sz w:val="22"/>
          <w:szCs w:val="22"/>
        </w:rPr>
        <w:t xml:space="preserve"> F. 2014.</w:t>
      </w:r>
      <w:r w:rsidR="0034301E" w:rsidRPr="00DF4A10">
        <w:rPr>
          <w:sz w:val="22"/>
          <w:szCs w:val="22"/>
        </w:rPr>
        <w:t xml:space="preserve"> Strengthening impact assessment: a</w:t>
      </w:r>
      <w:r w:rsidRPr="00DF4A10">
        <w:rPr>
          <w:sz w:val="22"/>
          <w:szCs w:val="22"/>
        </w:rPr>
        <w:t xml:space="preserve"> call for integration and focus.</w:t>
      </w:r>
      <w:r w:rsidR="0034301E" w:rsidRPr="00DF4A10">
        <w:rPr>
          <w:sz w:val="22"/>
          <w:szCs w:val="22"/>
        </w:rPr>
        <w:t xml:space="preserve"> Impact Assessment and Project Appraisal</w:t>
      </w:r>
      <w:r w:rsidRPr="00DF4A10">
        <w:rPr>
          <w:sz w:val="22"/>
          <w:szCs w:val="22"/>
        </w:rPr>
        <w:t>.</w:t>
      </w:r>
      <w:r w:rsidR="0034301E" w:rsidRPr="00DF4A10">
        <w:rPr>
          <w:sz w:val="22"/>
          <w:szCs w:val="22"/>
        </w:rPr>
        <w:t xml:space="preserve"> 32</w:t>
      </w:r>
      <w:r w:rsidRPr="00DF4A10">
        <w:rPr>
          <w:sz w:val="22"/>
          <w:szCs w:val="22"/>
        </w:rPr>
        <w:t>(1): 2-8.</w:t>
      </w:r>
      <w:r w:rsidR="0034301E" w:rsidRPr="00DF4A10">
        <w:rPr>
          <w:sz w:val="22"/>
          <w:szCs w:val="22"/>
        </w:rPr>
        <w:t xml:space="preserve"> </w:t>
      </w:r>
    </w:p>
    <w:p w14:paraId="0A9CDE32" w14:textId="4F4BB0D1" w:rsidR="0006376E" w:rsidRPr="00DF4A10" w:rsidRDefault="00AB28FE" w:rsidP="00FC6306">
      <w:pPr>
        <w:ind w:left="567" w:hanging="567"/>
        <w:rPr>
          <w:noProof/>
          <w:sz w:val="22"/>
          <w:szCs w:val="22"/>
        </w:rPr>
      </w:pPr>
      <w:r w:rsidRPr="00DF4A10">
        <w:rPr>
          <w:noProof/>
          <w:sz w:val="22"/>
          <w:szCs w:val="22"/>
        </w:rPr>
        <w:t xml:space="preserve">Murphy K, </w:t>
      </w:r>
      <w:r w:rsidR="0006376E" w:rsidRPr="00DF4A10">
        <w:rPr>
          <w:noProof/>
          <w:sz w:val="22"/>
          <w:szCs w:val="22"/>
        </w:rPr>
        <w:t xml:space="preserve">Simon </w:t>
      </w:r>
      <w:r w:rsidRPr="00DF4A10">
        <w:rPr>
          <w:noProof/>
          <w:sz w:val="22"/>
          <w:szCs w:val="22"/>
        </w:rPr>
        <w:t xml:space="preserve">S. 2002. </w:t>
      </w:r>
      <w:r w:rsidR="0006376E" w:rsidRPr="00DF4A10">
        <w:rPr>
          <w:noProof/>
          <w:sz w:val="22"/>
          <w:szCs w:val="22"/>
        </w:rPr>
        <w:t>Intangible ben</w:t>
      </w:r>
      <w:r w:rsidRPr="00DF4A10">
        <w:rPr>
          <w:noProof/>
          <w:sz w:val="22"/>
          <w:szCs w:val="22"/>
        </w:rPr>
        <w:t>efits valuation in ERP projects.</w:t>
      </w:r>
      <w:r w:rsidR="0006376E" w:rsidRPr="00DF4A10">
        <w:rPr>
          <w:noProof/>
          <w:sz w:val="22"/>
          <w:szCs w:val="22"/>
        </w:rPr>
        <w:t xml:space="preserve"> Information Systems Journal</w:t>
      </w:r>
      <w:r w:rsidRPr="00DF4A10">
        <w:rPr>
          <w:noProof/>
          <w:sz w:val="22"/>
          <w:szCs w:val="22"/>
        </w:rPr>
        <w:t>.</w:t>
      </w:r>
      <w:r w:rsidR="0006376E" w:rsidRPr="00DF4A10">
        <w:rPr>
          <w:noProof/>
          <w:sz w:val="22"/>
          <w:szCs w:val="22"/>
        </w:rPr>
        <w:t xml:space="preserve"> 12(4)</w:t>
      </w:r>
      <w:r w:rsidRPr="00DF4A10">
        <w:rPr>
          <w:noProof/>
          <w:sz w:val="22"/>
          <w:szCs w:val="22"/>
        </w:rPr>
        <w:t xml:space="preserve">: </w:t>
      </w:r>
      <w:r w:rsidR="0006376E" w:rsidRPr="00DF4A10">
        <w:rPr>
          <w:noProof/>
          <w:sz w:val="22"/>
          <w:szCs w:val="22"/>
        </w:rPr>
        <w:t>301-320</w:t>
      </w:r>
      <w:r w:rsidRPr="00DF4A10">
        <w:rPr>
          <w:noProof/>
          <w:sz w:val="22"/>
          <w:szCs w:val="22"/>
        </w:rPr>
        <w:t>.</w:t>
      </w:r>
    </w:p>
    <w:p w14:paraId="4F517F99" w14:textId="12279214" w:rsidR="009979E4" w:rsidRPr="00DF4A10" w:rsidRDefault="009979E4" w:rsidP="00FC6306">
      <w:pPr>
        <w:ind w:left="567" w:hanging="567"/>
        <w:rPr>
          <w:noProof/>
          <w:sz w:val="22"/>
          <w:szCs w:val="22"/>
        </w:rPr>
      </w:pPr>
      <w:r w:rsidRPr="00DF4A10">
        <w:rPr>
          <w:noProof/>
          <w:sz w:val="22"/>
          <w:szCs w:val="22"/>
          <w:lang w:val="en-GB"/>
        </w:rPr>
        <w:t>Noble B</w:t>
      </w:r>
      <w:r w:rsidR="00AB28FE" w:rsidRPr="00DF4A10">
        <w:rPr>
          <w:noProof/>
          <w:sz w:val="22"/>
          <w:szCs w:val="22"/>
          <w:lang w:val="en-GB"/>
        </w:rPr>
        <w:t>.</w:t>
      </w:r>
      <w:r w:rsidRPr="00DF4A10">
        <w:rPr>
          <w:noProof/>
          <w:sz w:val="22"/>
          <w:szCs w:val="22"/>
          <w:lang w:val="en-GB"/>
        </w:rPr>
        <w:t xml:space="preserve"> 2000</w:t>
      </w:r>
      <w:r w:rsidR="00AB28FE" w:rsidRPr="00DF4A10">
        <w:rPr>
          <w:noProof/>
          <w:sz w:val="22"/>
          <w:szCs w:val="22"/>
          <w:lang w:val="en-GB"/>
        </w:rPr>
        <w:t>.</w:t>
      </w:r>
      <w:r w:rsidRPr="00DF4A10">
        <w:rPr>
          <w:noProof/>
          <w:sz w:val="22"/>
          <w:szCs w:val="22"/>
          <w:lang w:val="en-GB"/>
        </w:rPr>
        <w:t xml:space="preserve"> Strategic Environmental Assessment: What Is I</w:t>
      </w:r>
      <w:r w:rsidR="00AB28FE" w:rsidRPr="00DF4A10">
        <w:rPr>
          <w:noProof/>
          <w:sz w:val="22"/>
          <w:szCs w:val="22"/>
          <w:lang w:val="en-GB"/>
        </w:rPr>
        <w:t>t? and What Makes It Strategic?</w:t>
      </w:r>
      <w:r w:rsidRPr="00DF4A10">
        <w:rPr>
          <w:noProof/>
          <w:sz w:val="22"/>
          <w:szCs w:val="22"/>
          <w:lang w:val="en-GB"/>
        </w:rPr>
        <w:t xml:space="preserve"> </w:t>
      </w:r>
      <w:r w:rsidRPr="00DF4A10">
        <w:rPr>
          <w:iCs/>
          <w:noProof/>
          <w:sz w:val="22"/>
          <w:szCs w:val="22"/>
          <w:lang w:val="en-GB"/>
        </w:rPr>
        <w:t>Journal of Environmental Assessment Policy and Management</w:t>
      </w:r>
      <w:r w:rsidR="00AB28FE" w:rsidRPr="00DF4A10">
        <w:rPr>
          <w:noProof/>
          <w:sz w:val="22"/>
          <w:szCs w:val="22"/>
          <w:lang w:val="en-GB"/>
        </w:rPr>
        <w:t>.</w:t>
      </w:r>
      <w:r w:rsidRPr="00DF4A10">
        <w:rPr>
          <w:noProof/>
          <w:sz w:val="22"/>
          <w:szCs w:val="22"/>
          <w:lang w:val="en-GB"/>
        </w:rPr>
        <w:t xml:space="preserve"> </w:t>
      </w:r>
      <w:r w:rsidRPr="00DF4A10">
        <w:rPr>
          <w:bCs/>
          <w:noProof/>
          <w:sz w:val="22"/>
          <w:szCs w:val="22"/>
          <w:lang w:val="en-GB"/>
        </w:rPr>
        <w:t>2</w:t>
      </w:r>
      <w:r w:rsidRPr="00DF4A10">
        <w:rPr>
          <w:noProof/>
          <w:sz w:val="22"/>
          <w:szCs w:val="22"/>
          <w:lang w:val="en-GB"/>
        </w:rPr>
        <w:t>(2): 203-224</w:t>
      </w:r>
      <w:r w:rsidR="00AB28FE" w:rsidRPr="00DF4A10">
        <w:rPr>
          <w:noProof/>
          <w:sz w:val="22"/>
          <w:szCs w:val="22"/>
          <w:lang w:val="en-GB"/>
        </w:rPr>
        <w:t>.</w:t>
      </w:r>
    </w:p>
    <w:p w14:paraId="006DAD68" w14:textId="6D8E9D00" w:rsidR="006B46BE" w:rsidRPr="00DF4A10" w:rsidRDefault="00AB28FE" w:rsidP="00FC6306">
      <w:pPr>
        <w:ind w:left="567" w:hanging="567"/>
        <w:rPr>
          <w:noProof/>
          <w:sz w:val="22"/>
          <w:szCs w:val="22"/>
        </w:rPr>
      </w:pPr>
      <w:r w:rsidRPr="00DF4A10">
        <w:rPr>
          <w:noProof/>
          <w:sz w:val="22"/>
          <w:szCs w:val="22"/>
        </w:rPr>
        <w:t xml:space="preserve">Oosterhuis F. 2007. </w:t>
      </w:r>
      <w:r w:rsidR="006B46BE" w:rsidRPr="00DF4A10">
        <w:rPr>
          <w:noProof/>
          <w:sz w:val="22"/>
          <w:szCs w:val="22"/>
        </w:rPr>
        <w:t>Costs an</w:t>
      </w:r>
      <w:r w:rsidRPr="00DF4A10">
        <w:rPr>
          <w:noProof/>
          <w:sz w:val="22"/>
          <w:szCs w:val="22"/>
        </w:rPr>
        <w:t>d benefits of the EIA Directive.</w:t>
      </w:r>
      <w:r w:rsidR="006B46BE" w:rsidRPr="00DF4A10">
        <w:rPr>
          <w:noProof/>
          <w:sz w:val="22"/>
          <w:szCs w:val="22"/>
        </w:rPr>
        <w:t xml:space="preserve"> </w:t>
      </w:r>
      <w:r w:rsidRPr="00DF4A10">
        <w:rPr>
          <w:noProof/>
          <w:sz w:val="22"/>
          <w:szCs w:val="22"/>
        </w:rPr>
        <w:t xml:space="preserve">accessed 13 October 2014. </w:t>
      </w:r>
      <w:r w:rsidR="00F95134" w:rsidRPr="00DF4A10">
        <w:rPr>
          <w:noProof/>
          <w:sz w:val="22"/>
          <w:szCs w:val="22"/>
        </w:rPr>
        <w:t xml:space="preserve">http://ec.europa.eu/environment/eia/pdf/Costs and benefits of the EIA Directive.pdf </w:t>
      </w:r>
      <w:r w:rsidR="006B46BE" w:rsidRPr="00DF4A10">
        <w:rPr>
          <w:noProof/>
          <w:sz w:val="22"/>
          <w:szCs w:val="22"/>
        </w:rPr>
        <w:t xml:space="preserve">&lt; last </w:t>
      </w:r>
    </w:p>
    <w:p w14:paraId="78511F4E" w14:textId="796E819D" w:rsidR="000C79EA" w:rsidRPr="00DF4A10" w:rsidRDefault="000C79EA" w:rsidP="00FC6306">
      <w:pPr>
        <w:ind w:left="567" w:hanging="567"/>
        <w:rPr>
          <w:sz w:val="22"/>
          <w:szCs w:val="22"/>
        </w:rPr>
      </w:pPr>
      <w:proofErr w:type="spellStart"/>
      <w:r w:rsidRPr="00DF4A10">
        <w:rPr>
          <w:sz w:val="22"/>
          <w:szCs w:val="22"/>
        </w:rPr>
        <w:t>Ortolano</w:t>
      </w:r>
      <w:proofErr w:type="spellEnd"/>
      <w:r w:rsidRPr="00DF4A10">
        <w:rPr>
          <w:sz w:val="22"/>
          <w:szCs w:val="22"/>
        </w:rPr>
        <w:t xml:space="preserve"> L</w:t>
      </w:r>
      <w:r w:rsidR="00AB28FE" w:rsidRPr="00DF4A10">
        <w:rPr>
          <w:sz w:val="22"/>
          <w:szCs w:val="22"/>
        </w:rPr>
        <w:t>, Shepherd A. 1995.</w:t>
      </w:r>
      <w:r w:rsidRPr="00DF4A10">
        <w:rPr>
          <w:sz w:val="22"/>
          <w:szCs w:val="22"/>
        </w:rPr>
        <w:t xml:space="preserve"> Environmental Impact Assessmen</w:t>
      </w:r>
      <w:r w:rsidR="00AB28FE" w:rsidRPr="00DF4A10">
        <w:rPr>
          <w:sz w:val="22"/>
          <w:szCs w:val="22"/>
        </w:rPr>
        <w:t>t: Challenges and Opportunities.</w:t>
      </w:r>
      <w:r w:rsidRPr="00DF4A10">
        <w:rPr>
          <w:sz w:val="22"/>
          <w:szCs w:val="22"/>
        </w:rPr>
        <w:t xml:space="preserve"> Impact Assessment</w:t>
      </w:r>
      <w:r w:rsidR="00AB28FE" w:rsidRPr="00DF4A10">
        <w:rPr>
          <w:sz w:val="22"/>
          <w:szCs w:val="22"/>
        </w:rPr>
        <w:t>.</w:t>
      </w:r>
      <w:r w:rsidRPr="00DF4A10">
        <w:rPr>
          <w:sz w:val="22"/>
          <w:szCs w:val="22"/>
        </w:rPr>
        <w:t xml:space="preserve"> 12(1): 3-30.</w:t>
      </w:r>
    </w:p>
    <w:p w14:paraId="63E27D28" w14:textId="3B4B98D4" w:rsidR="0034301E" w:rsidRPr="00DF4A10" w:rsidRDefault="00AB28FE" w:rsidP="00FC6306">
      <w:pPr>
        <w:ind w:left="567" w:hanging="567"/>
        <w:rPr>
          <w:sz w:val="22"/>
          <w:szCs w:val="22"/>
        </w:rPr>
      </w:pPr>
      <w:r w:rsidRPr="00DF4A10">
        <w:rPr>
          <w:sz w:val="22"/>
          <w:szCs w:val="22"/>
        </w:rPr>
        <w:t xml:space="preserve">Pope J, </w:t>
      </w:r>
      <w:r w:rsidR="00650E86" w:rsidRPr="00DF4A10">
        <w:rPr>
          <w:sz w:val="22"/>
          <w:szCs w:val="22"/>
        </w:rPr>
        <w:t>Bond</w:t>
      </w:r>
      <w:r w:rsidRPr="00DF4A10">
        <w:rPr>
          <w:sz w:val="22"/>
          <w:szCs w:val="22"/>
        </w:rPr>
        <w:t xml:space="preserve"> A,</w:t>
      </w:r>
      <w:r w:rsidR="00650E86" w:rsidRPr="00DF4A10">
        <w:rPr>
          <w:sz w:val="22"/>
          <w:szCs w:val="22"/>
        </w:rPr>
        <w:t xml:space="preserve"> Morrison-Saunders</w:t>
      </w:r>
      <w:r w:rsidRPr="00DF4A10">
        <w:rPr>
          <w:sz w:val="22"/>
          <w:szCs w:val="22"/>
        </w:rPr>
        <w:t xml:space="preserve"> A, </w:t>
      </w:r>
      <w:r w:rsidR="00650E86" w:rsidRPr="00DF4A10">
        <w:rPr>
          <w:sz w:val="22"/>
          <w:szCs w:val="22"/>
        </w:rPr>
        <w:t xml:space="preserve">Retief </w:t>
      </w:r>
      <w:r w:rsidRPr="00DF4A10">
        <w:rPr>
          <w:sz w:val="22"/>
          <w:szCs w:val="22"/>
        </w:rPr>
        <w:t>F. 2013.</w:t>
      </w:r>
      <w:r w:rsidR="00650E86" w:rsidRPr="00DF4A10">
        <w:rPr>
          <w:sz w:val="22"/>
          <w:szCs w:val="22"/>
        </w:rPr>
        <w:t xml:space="preserve"> Advancing the theory and practice of impact assessme</w:t>
      </w:r>
      <w:r w:rsidRPr="00DF4A10">
        <w:rPr>
          <w:sz w:val="22"/>
          <w:szCs w:val="22"/>
        </w:rPr>
        <w:t>nt: Setting the research agenda.</w:t>
      </w:r>
      <w:r w:rsidR="00650E86" w:rsidRPr="00DF4A10">
        <w:rPr>
          <w:sz w:val="22"/>
          <w:szCs w:val="22"/>
        </w:rPr>
        <w:t xml:space="preserve"> Environmental Impact Assessment Review</w:t>
      </w:r>
      <w:r w:rsidRPr="00DF4A10">
        <w:rPr>
          <w:sz w:val="22"/>
          <w:szCs w:val="22"/>
        </w:rPr>
        <w:t>.</w:t>
      </w:r>
      <w:r w:rsidR="00650E86" w:rsidRPr="00DF4A10">
        <w:rPr>
          <w:sz w:val="22"/>
          <w:szCs w:val="22"/>
        </w:rPr>
        <w:t xml:space="preserve"> 41</w:t>
      </w:r>
      <w:r w:rsidRPr="00DF4A10">
        <w:rPr>
          <w:sz w:val="22"/>
          <w:szCs w:val="22"/>
        </w:rPr>
        <w:t>: 1–9.</w:t>
      </w:r>
    </w:p>
    <w:p w14:paraId="18CD2A25" w14:textId="5B56BDED" w:rsidR="000018AF" w:rsidRPr="00DF4A10" w:rsidRDefault="000625D3" w:rsidP="00FC6306">
      <w:pPr>
        <w:ind w:left="567" w:hanging="567"/>
        <w:rPr>
          <w:noProof/>
          <w:sz w:val="22"/>
          <w:szCs w:val="22"/>
        </w:rPr>
      </w:pPr>
      <w:r w:rsidRPr="00DF4A10">
        <w:rPr>
          <w:noProof/>
          <w:sz w:val="22"/>
          <w:szCs w:val="22"/>
        </w:rPr>
        <w:t xml:space="preserve">Remenyi D, </w:t>
      </w:r>
      <w:r w:rsidR="000018AF" w:rsidRPr="00DF4A10">
        <w:rPr>
          <w:noProof/>
          <w:sz w:val="22"/>
          <w:szCs w:val="22"/>
        </w:rPr>
        <w:t>Bannister</w:t>
      </w:r>
      <w:r w:rsidRPr="00DF4A10">
        <w:rPr>
          <w:noProof/>
          <w:sz w:val="22"/>
          <w:szCs w:val="22"/>
        </w:rPr>
        <w:t xml:space="preserve"> F, </w:t>
      </w:r>
      <w:r w:rsidR="000018AF" w:rsidRPr="00DF4A10">
        <w:rPr>
          <w:noProof/>
          <w:sz w:val="22"/>
          <w:szCs w:val="22"/>
        </w:rPr>
        <w:t xml:space="preserve">Money </w:t>
      </w:r>
      <w:r w:rsidRPr="00DF4A10">
        <w:rPr>
          <w:noProof/>
          <w:sz w:val="22"/>
          <w:szCs w:val="22"/>
        </w:rPr>
        <w:t>A. 2007.</w:t>
      </w:r>
      <w:r w:rsidR="000018AF" w:rsidRPr="00DF4A10">
        <w:rPr>
          <w:noProof/>
          <w:sz w:val="22"/>
          <w:szCs w:val="22"/>
        </w:rPr>
        <w:t xml:space="preserve"> The Effective Measurement and Management of ICT Costs &amp; Benefit</w:t>
      </w:r>
      <w:r w:rsidRPr="00DF4A10">
        <w:rPr>
          <w:noProof/>
          <w:sz w:val="22"/>
          <w:szCs w:val="22"/>
        </w:rPr>
        <w:t>s.</w:t>
      </w:r>
      <w:r w:rsidR="000018AF" w:rsidRPr="00DF4A10">
        <w:rPr>
          <w:noProof/>
          <w:sz w:val="22"/>
          <w:szCs w:val="22"/>
        </w:rPr>
        <w:t xml:space="preserve"> Third e</w:t>
      </w:r>
      <w:r w:rsidRPr="00DF4A10">
        <w:rPr>
          <w:noProof/>
          <w:sz w:val="22"/>
          <w:szCs w:val="22"/>
        </w:rPr>
        <w:t>dition, Oxford: CiMA Publishing.</w:t>
      </w:r>
      <w:r w:rsidR="000018AF" w:rsidRPr="00DF4A10">
        <w:rPr>
          <w:noProof/>
          <w:sz w:val="22"/>
          <w:szCs w:val="22"/>
        </w:rPr>
        <w:t xml:space="preserve"> 379pp.</w:t>
      </w:r>
    </w:p>
    <w:p w14:paraId="5A31C46F" w14:textId="71DD5F92" w:rsidR="00C95F97" w:rsidRPr="00DF4A10" w:rsidRDefault="000625D3" w:rsidP="00FC6306">
      <w:pPr>
        <w:ind w:left="567" w:hanging="567"/>
        <w:rPr>
          <w:noProof/>
          <w:sz w:val="22"/>
          <w:szCs w:val="22"/>
        </w:rPr>
      </w:pPr>
      <w:r w:rsidRPr="00DF4A10">
        <w:rPr>
          <w:rFonts w:cs="Arial"/>
          <w:sz w:val="22"/>
          <w:szCs w:val="22"/>
        </w:rPr>
        <w:t xml:space="preserve">Retief F, </w:t>
      </w:r>
      <w:proofErr w:type="spellStart"/>
      <w:r w:rsidR="00C41B15" w:rsidRPr="00DF4A10">
        <w:rPr>
          <w:rFonts w:cs="Arial"/>
          <w:sz w:val="22"/>
          <w:szCs w:val="22"/>
        </w:rPr>
        <w:t>Chabalala</w:t>
      </w:r>
      <w:proofErr w:type="spellEnd"/>
      <w:r w:rsidR="00263C18" w:rsidRPr="00DF4A10">
        <w:rPr>
          <w:rFonts w:cs="Arial"/>
          <w:sz w:val="22"/>
          <w:szCs w:val="22"/>
        </w:rPr>
        <w:t xml:space="preserve"> </w:t>
      </w:r>
      <w:r w:rsidRPr="00DF4A10">
        <w:rPr>
          <w:rFonts w:cs="Arial"/>
          <w:sz w:val="22"/>
          <w:szCs w:val="22"/>
        </w:rPr>
        <w:t xml:space="preserve">B. 2009. </w:t>
      </w:r>
      <w:r w:rsidR="00C95F97" w:rsidRPr="00DF4A10">
        <w:rPr>
          <w:rFonts w:cs="Arial"/>
          <w:sz w:val="22"/>
          <w:szCs w:val="22"/>
        </w:rPr>
        <w:t>The cost of environmental impact assessme</w:t>
      </w:r>
      <w:r w:rsidRPr="00DF4A10">
        <w:rPr>
          <w:rFonts w:cs="Arial"/>
          <w:sz w:val="22"/>
          <w:szCs w:val="22"/>
        </w:rPr>
        <w:t>nt (EIA) in South Africa.</w:t>
      </w:r>
      <w:r w:rsidR="00C95F97" w:rsidRPr="00DF4A10">
        <w:rPr>
          <w:rFonts w:cs="Arial"/>
          <w:sz w:val="22"/>
          <w:szCs w:val="22"/>
        </w:rPr>
        <w:t xml:space="preserve"> Journal of Environmental Assessment, Policy and Management</w:t>
      </w:r>
      <w:r w:rsidRPr="00DF4A10">
        <w:rPr>
          <w:rFonts w:cs="Arial"/>
          <w:sz w:val="22"/>
          <w:szCs w:val="22"/>
        </w:rPr>
        <w:t>.</w:t>
      </w:r>
      <w:r w:rsidR="00C95F97" w:rsidRPr="00DF4A10">
        <w:rPr>
          <w:rFonts w:cs="Arial"/>
          <w:sz w:val="22"/>
          <w:szCs w:val="22"/>
        </w:rPr>
        <w:t xml:space="preserve"> </w:t>
      </w:r>
      <w:r w:rsidR="00C95F97" w:rsidRPr="00DF4A10">
        <w:rPr>
          <w:rFonts w:cs="Arial"/>
          <w:sz w:val="22"/>
          <w:szCs w:val="22"/>
          <w:lang w:val="en-GB"/>
        </w:rPr>
        <w:t>11</w:t>
      </w:r>
      <w:r w:rsidRPr="00DF4A10">
        <w:rPr>
          <w:rFonts w:cs="Arial"/>
          <w:sz w:val="22"/>
          <w:szCs w:val="22"/>
          <w:lang w:val="en-GB"/>
        </w:rPr>
        <w:t xml:space="preserve">: </w:t>
      </w:r>
      <w:r w:rsidR="00C95F97" w:rsidRPr="00DF4A10">
        <w:rPr>
          <w:rFonts w:cs="Arial"/>
          <w:sz w:val="22"/>
          <w:szCs w:val="22"/>
          <w:lang w:val="en-GB"/>
        </w:rPr>
        <w:t>51-68</w:t>
      </w:r>
      <w:r w:rsidRPr="00DF4A10">
        <w:rPr>
          <w:rFonts w:cs="Arial"/>
          <w:sz w:val="22"/>
          <w:szCs w:val="22"/>
          <w:lang w:val="en-GB"/>
        </w:rPr>
        <w:t>.</w:t>
      </w:r>
    </w:p>
    <w:p w14:paraId="3AFB7383" w14:textId="15F99501" w:rsidR="0006376E" w:rsidRPr="00DF4A10" w:rsidRDefault="0006376E" w:rsidP="00FC6306">
      <w:pPr>
        <w:ind w:left="567" w:hanging="567"/>
        <w:rPr>
          <w:sz w:val="22"/>
          <w:szCs w:val="22"/>
        </w:rPr>
      </w:pPr>
      <w:r w:rsidRPr="00DF4A10">
        <w:rPr>
          <w:noProof/>
          <w:sz w:val="22"/>
          <w:szCs w:val="22"/>
        </w:rPr>
        <w:t>Roz</w:t>
      </w:r>
      <w:r w:rsidR="000625D3" w:rsidRPr="00DF4A10">
        <w:rPr>
          <w:noProof/>
          <w:sz w:val="22"/>
          <w:szCs w:val="22"/>
        </w:rPr>
        <w:t>ema J, Bond A,</w:t>
      </w:r>
      <w:r w:rsidRPr="00DF4A10">
        <w:rPr>
          <w:noProof/>
          <w:sz w:val="22"/>
          <w:szCs w:val="22"/>
        </w:rPr>
        <w:t>C</w:t>
      </w:r>
      <w:r w:rsidR="000625D3" w:rsidRPr="00DF4A10">
        <w:rPr>
          <w:noProof/>
          <w:sz w:val="22"/>
          <w:szCs w:val="22"/>
        </w:rPr>
        <w:t xml:space="preserve">ashmore M, Chilvers J. 2012. </w:t>
      </w:r>
      <w:r w:rsidRPr="00DF4A10">
        <w:rPr>
          <w:noProof/>
          <w:sz w:val="22"/>
          <w:szCs w:val="22"/>
        </w:rPr>
        <w:t>An investigation of environmental and sustainability discourses associated with the substantive purpos</w:t>
      </w:r>
      <w:r w:rsidR="000625D3" w:rsidRPr="00DF4A10">
        <w:rPr>
          <w:noProof/>
          <w:sz w:val="22"/>
          <w:szCs w:val="22"/>
        </w:rPr>
        <w:t>es of environmental assessment.</w:t>
      </w:r>
      <w:r w:rsidRPr="00DF4A10">
        <w:rPr>
          <w:noProof/>
          <w:sz w:val="22"/>
          <w:szCs w:val="22"/>
        </w:rPr>
        <w:t xml:space="preserve"> Environmental Impact Assessment Review</w:t>
      </w:r>
      <w:r w:rsidR="000625D3" w:rsidRPr="00DF4A10">
        <w:rPr>
          <w:noProof/>
          <w:sz w:val="22"/>
          <w:szCs w:val="22"/>
        </w:rPr>
        <w:t>.</w:t>
      </w:r>
      <w:r w:rsidRPr="00DF4A10">
        <w:rPr>
          <w:noProof/>
          <w:sz w:val="22"/>
          <w:szCs w:val="22"/>
        </w:rPr>
        <w:t xml:space="preserve"> 33(1)</w:t>
      </w:r>
      <w:r w:rsidR="000625D3" w:rsidRPr="00DF4A10">
        <w:rPr>
          <w:noProof/>
          <w:sz w:val="22"/>
          <w:szCs w:val="22"/>
        </w:rPr>
        <w:t xml:space="preserve">: </w:t>
      </w:r>
      <w:r w:rsidRPr="00DF4A10">
        <w:rPr>
          <w:noProof/>
          <w:sz w:val="22"/>
          <w:szCs w:val="22"/>
        </w:rPr>
        <w:t>80-90</w:t>
      </w:r>
      <w:r w:rsidR="000625D3" w:rsidRPr="00DF4A10">
        <w:rPr>
          <w:noProof/>
          <w:sz w:val="22"/>
          <w:szCs w:val="22"/>
        </w:rPr>
        <w:t>.</w:t>
      </w:r>
    </w:p>
    <w:p w14:paraId="0E696E75" w14:textId="600D33FC" w:rsidR="0006376E" w:rsidRPr="00DF4A10" w:rsidRDefault="000625D3" w:rsidP="00FC6306">
      <w:pPr>
        <w:ind w:left="567" w:hanging="567"/>
        <w:rPr>
          <w:noProof/>
          <w:sz w:val="22"/>
          <w:szCs w:val="22"/>
        </w:rPr>
      </w:pPr>
      <w:r w:rsidRPr="00DF4A10">
        <w:rPr>
          <w:noProof/>
          <w:sz w:val="22"/>
          <w:szCs w:val="22"/>
        </w:rPr>
        <w:t>Shang</w:t>
      </w:r>
      <w:r w:rsidR="0006376E" w:rsidRPr="00DF4A10">
        <w:rPr>
          <w:noProof/>
          <w:sz w:val="22"/>
          <w:szCs w:val="22"/>
        </w:rPr>
        <w:t xml:space="preserve"> S</w:t>
      </w:r>
      <w:r w:rsidRPr="00DF4A10">
        <w:rPr>
          <w:noProof/>
          <w:sz w:val="22"/>
          <w:szCs w:val="22"/>
        </w:rPr>
        <w:t xml:space="preserve">, </w:t>
      </w:r>
      <w:r w:rsidR="0006376E" w:rsidRPr="00DF4A10">
        <w:rPr>
          <w:noProof/>
          <w:sz w:val="22"/>
          <w:szCs w:val="22"/>
        </w:rPr>
        <w:t xml:space="preserve">Seddon </w:t>
      </w:r>
      <w:r w:rsidRPr="00DF4A10">
        <w:rPr>
          <w:noProof/>
          <w:sz w:val="22"/>
          <w:szCs w:val="22"/>
        </w:rPr>
        <w:t xml:space="preserve">P. 2002. </w:t>
      </w:r>
      <w:r w:rsidR="0006376E" w:rsidRPr="00DF4A10">
        <w:rPr>
          <w:noProof/>
          <w:sz w:val="22"/>
          <w:szCs w:val="22"/>
        </w:rPr>
        <w:t xml:space="preserve">Assessing and managing the benefits of enterprise systems: The </w:t>
      </w:r>
      <w:r w:rsidRPr="00DF4A10">
        <w:rPr>
          <w:noProof/>
          <w:sz w:val="22"/>
          <w:szCs w:val="22"/>
        </w:rPr>
        <w:t>business manager's perspective.</w:t>
      </w:r>
      <w:r w:rsidR="0006376E" w:rsidRPr="00DF4A10">
        <w:rPr>
          <w:noProof/>
          <w:sz w:val="22"/>
          <w:szCs w:val="22"/>
        </w:rPr>
        <w:t xml:space="preserve"> Information Systems Journal</w:t>
      </w:r>
      <w:r w:rsidRPr="00DF4A10">
        <w:rPr>
          <w:noProof/>
          <w:sz w:val="22"/>
          <w:szCs w:val="22"/>
        </w:rPr>
        <w:t>.</w:t>
      </w:r>
      <w:r w:rsidR="0006376E" w:rsidRPr="00DF4A10">
        <w:rPr>
          <w:noProof/>
          <w:sz w:val="22"/>
          <w:szCs w:val="22"/>
        </w:rPr>
        <w:t xml:space="preserve"> 12(4)</w:t>
      </w:r>
      <w:r w:rsidRPr="00DF4A10">
        <w:rPr>
          <w:noProof/>
          <w:sz w:val="22"/>
          <w:szCs w:val="22"/>
        </w:rPr>
        <w:t xml:space="preserve">: </w:t>
      </w:r>
      <w:r w:rsidR="0006376E" w:rsidRPr="00DF4A10">
        <w:rPr>
          <w:noProof/>
          <w:sz w:val="22"/>
          <w:szCs w:val="22"/>
        </w:rPr>
        <w:t>271-299</w:t>
      </w:r>
      <w:r w:rsidRPr="00DF4A10">
        <w:rPr>
          <w:noProof/>
          <w:sz w:val="22"/>
          <w:szCs w:val="22"/>
        </w:rPr>
        <w:t>.</w:t>
      </w:r>
    </w:p>
    <w:p w14:paraId="1D09F738" w14:textId="575F2444" w:rsidR="002A0A5D" w:rsidRPr="00DF4A10" w:rsidRDefault="00080F76" w:rsidP="00FC6306">
      <w:pPr>
        <w:ind w:left="567" w:hanging="567"/>
        <w:rPr>
          <w:noProof/>
          <w:sz w:val="22"/>
          <w:szCs w:val="22"/>
        </w:rPr>
      </w:pPr>
      <w:r w:rsidRPr="00DF4A10">
        <w:rPr>
          <w:noProof/>
          <w:sz w:val="22"/>
          <w:szCs w:val="22"/>
        </w:rPr>
        <w:t>Starbuck W, Mezias J</w:t>
      </w:r>
      <w:r w:rsidR="002A0A5D" w:rsidRPr="00DF4A10">
        <w:rPr>
          <w:noProof/>
          <w:sz w:val="22"/>
          <w:szCs w:val="22"/>
        </w:rPr>
        <w:t>. 1996. Opening Pandora’s box: studying the accuracy of managers’ perceptions. Journal of Organizational Behavior</w:t>
      </w:r>
      <w:r w:rsidRPr="00DF4A10">
        <w:rPr>
          <w:noProof/>
          <w:sz w:val="22"/>
          <w:szCs w:val="22"/>
        </w:rPr>
        <w:t>.</w:t>
      </w:r>
      <w:r w:rsidR="002A0A5D" w:rsidRPr="00DF4A10">
        <w:rPr>
          <w:noProof/>
          <w:sz w:val="22"/>
          <w:szCs w:val="22"/>
        </w:rPr>
        <w:t xml:space="preserve"> 17: 99–117.</w:t>
      </w:r>
    </w:p>
    <w:p w14:paraId="4A943A81" w14:textId="5DB50517" w:rsidR="00CB43F9" w:rsidRPr="00DF4A10" w:rsidRDefault="00080F76" w:rsidP="00FC6306">
      <w:pPr>
        <w:ind w:left="567" w:hanging="567"/>
        <w:rPr>
          <w:noProof/>
          <w:sz w:val="22"/>
          <w:szCs w:val="22"/>
        </w:rPr>
      </w:pPr>
      <w:r w:rsidRPr="00DF4A10">
        <w:rPr>
          <w:noProof/>
          <w:sz w:val="22"/>
          <w:szCs w:val="22"/>
        </w:rPr>
        <w:t>Tallon P</w:t>
      </w:r>
      <w:r w:rsidR="00CB43F9" w:rsidRPr="00DF4A10">
        <w:rPr>
          <w:noProof/>
          <w:sz w:val="22"/>
          <w:szCs w:val="22"/>
        </w:rPr>
        <w:t>, Krae</w:t>
      </w:r>
      <w:r w:rsidRPr="00DF4A10">
        <w:rPr>
          <w:noProof/>
          <w:sz w:val="22"/>
          <w:szCs w:val="22"/>
        </w:rPr>
        <w:t>mer K, Gurbaxani V. 2000.</w:t>
      </w:r>
      <w:r w:rsidR="00CB43F9" w:rsidRPr="00DF4A10">
        <w:rPr>
          <w:noProof/>
          <w:sz w:val="22"/>
          <w:szCs w:val="22"/>
        </w:rPr>
        <w:t xml:space="preserve"> Executives’ perceptions of the business value of information technology: a process-oriented approach. Journal of Management Information Systems</w:t>
      </w:r>
      <w:r w:rsidR="002A1E21" w:rsidRPr="00DF4A10">
        <w:rPr>
          <w:noProof/>
          <w:sz w:val="22"/>
          <w:szCs w:val="22"/>
        </w:rPr>
        <w:t xml:space="preserve">. </w:t>
      </w:r>
      <w:r w:rsidR="00CB43F9" w:rsidRPr="00DF4A10">
        <w:rPr>
          <w:noProof/>
          <w:sz w:val="22"/>
          <w:szCs w:val="22"/>
        </w:rPr>
        <w:t>16</w:t>
      </w:r>
      <w:r w:rsidR="002A0A5D" w:rsidRPr="00DF4A10">
        <w:rPr>
          <w:noProof/>
          <w:sz w:val="22"/>
          <w:szCs w:val="22"/>
        </w:rPr>
        <w:t>:</w:t>
      </w:r>
      <w:r w:rsidR="00CB43F9" w:rsidRPr="00DF4A10">
        <w:rPr>
          <w:noProof/>
          <w:sz w:val="22"/>
          <w:szCs w:val="22"/>
        </w:rPr>
        <w:t xml:space="preserve"> 145–173</w:t>
      </w:r>
      <w:r w:rsidR="002A1E21" w:rsidRPr="00DF4A10">
        <w:rPr>
          <w:noProof/>
          <w:sz w:val="22"/>
          <w:szCs w:val="22"/>
        </w:rPr>
        <w:t>.</w:t>
      </w:r>
    </w:p>
    <w:p w14:paraId="269D6F06" w14:textId="7428663F" w:rsidR="0006376E" w:rsidRPr="00DF4A10" w:rsidRDefault="009E3310" w:rsidP="00FC6306">
      <w:pPr>
        <w:ind w:left="567" w:hanging="567"/>
        <w:rPr>
          <w:noProof/>
          <w:sz w:val="22"/>
          <w:szCs w:val="22"/>
        </w:rPr>
      </w:pPr>
      <w:r w:rsidRPr="00DF4A10">
        <w:rPr>
          <w:noProof/>
          <w:sz w:val="22"/>
          <w:szCs w:val="22"/>
        </w:rPr>
        <w:t xml:space="preserve">van Doren D, </w:t>
      </w:r>
      <w:r w:rsidR="0006376E" w:rsidRPr="00DF4A10">
        <w:rPr>
          <w:noProof/>
          <w:sz w:val="22"/>
          <w:szCs w:val="22"/>
        </w:rPr>
        <w:t>Driessen</w:t>
      </w:r>
      <w:r w:rsidRPr="00DF4A10">
        <w:rPr>
          <w:noProof/>
          <w:sz w:val="22"/>
          <w:szCs w:val="22"/>
        </w:rPr>
        <w:t xml:space="preserve"> P, </w:t>
      </w:r>
      <w:r w:rsidR="0006376E" w:rsidRPr="00DF4A10">
        <w:rPr>
          <w:noProof/>
          <w:sz w:val="22"/>
          <w:szCs w:val="22"/>
        </w:rPr>
        <w:t xml:space="preserve">Schijf </w:t>
      </w:r>
      <w:r w:rsidRPr="00DF4A10">
        <w:rPr>
          <w:noProof/>
          <w:sz w:val="22"/>
          <w:szCs w:val="22"/>
        </w:rPr>
        <w:t xml:space="preserve">B, Runhaar H. 2013. </w:t>
      </w:r>
      <w:r w:rsidR="0006376E" w:rsidRPr="00DF4A10">
        <w:rPr>
          <w:noProof/>
          <w:sz w:val="22"/>
          <w:szCs w:val="22"/>
        </w:rPr>
        <w:t xml:space="preserve">Evaluating the substantive effectiveness of SEA: </w:t>
      </w:r>
      <w:r w:rsidRPr="00DF4A10">
        <w:rPr>
          <w:noProof/>
          <w:sz w:val="22"/>
          <w:szCs w:val="22"/>
        </w:rPr>
        <w:t>Towards a better understanding.</w:t>
      </w:r>
      <w:r w:rsidR="0006376E" w:rsidRPr="00DF4A10">
        <w:rPr>
          <w:noProof/>
          <w:sz w:val="22"/>
          <w:szCs w:val="22"/>
        </w:rPr>
        <w:t xml:space="preserve"> Environmental Impact Assessment Review</w:t>
      </w:r>
      <w:r w:rsidRPr="00DF4A10">
        <w:rPr>
          <w:noProof/>
          <w:sz w:val="22"/>
          <w:szCs w:val="22"/>
        </w:rPr>
        <w:t>.</w:t>
      </w:r>
      <w:r w:rsidR="0006376E" w:rsidRPr="00DF4A10">
        <w:rPr>
          <w:noProof/>
          <w:sz w:val="22"/>
          <w:szCs w:val="22"/>
        </w:rPr>
        <w:t xml:space="preserve"> 38</w:t>
      </w:r>
      <w:r w:rsidRPr="00DF4A10">
        <w:rPr>
          <w:noProof/>
          <w:sz w:val="22"/>
          <w:szCs w:val="22"/>
        </w:rPr>
        <w:t>:</w:t>
      </w:r>
      <w:r w:rsidR="0006376E" w:rsidRPr="00DF4A10">
        <w:rPr>
          <w:noProof/>
          <w:sz w:val="22"/>
          <w:szCs w:val="22"/>
        </w:rPr>
        <w:t xml:space="preserve"> 120-130</w:t>
      </w:r>
      <w:r w:rsidRPr="00DF4A10">
        <w:rPr>
          <w:noProof/>
          <w:sz w:val="22"/>
          <w:szCs w:val="22"/>
        </w:rPr>
        <w:t>.</w:t>
      </w:r>
    </w:p>
    <w:p w14:paraId="4A8F66F1" w14:textId="693593B6" w:rsidR="00FC6306" w:rsidRPr="00DF4A10" w:rsidRDefault="009E3310" w:rsidP="00FC6306">
      <w:pPr>
        <w:pStyle w:val="EndNoteBibliography"/>
        <w:ind w:left="567" w:hanging="567"/>
        <w:rPr>
          <w:rFonts w:asciiTheme="minorHAnsi" w:hAnsiTheme="minorHAnsi"/>
          <w:noProof/>
          <w:sz w:val="22"/>
          <w:szCs w:val="22"/>
        </w:rPr>
      </w:pPr>
      <w:r w:rsidRPr="00DF4A10">
        <w:rPr>
          <w:rFonts w:asciiTheme="minorHAnsi" w:hAnsiTheme="minorHAnsi"/>
          <w:noProof/>
          <w:sz w:val="22"/>
          <w:szCs w:val="22"/>
        </w:rPr>
        <w:t xml:space="preserve">Vaughan W, </w:t>
      </w:r>
      <w:r w:rsidR="00FC6306" w:rsidRPr="00DF4A10">
        <w:rPr>
          <w:rFonts w:asciiTheme="minorHAnsi" w:hAnsiTheme="minorHAnsi"/>
          <w:noProof/>
          <w:sz w:val="22"/>
          <w:szCs w:val="22"/>
        </w:rPr>
        <w:t>Russell</w:t>
      </w:r>
      <w:r w:rsidRPr="00DF4A10">
        <w:rPr>
          <w:rFonts w:asciiTheme="minorHAnsi" w:hAnsiTheme="minorHAnsi"/>
          <w:noProof/>
          <w:sz w:val="22"/>
          <w:szCs w:val="22"/>
        </w:rPr>
        <w:t xml:space="preserve"> C, </w:t>
      </w:r>
      <w:r w:rsidR="00FC6306" w:rsidRPr="00DF4A10">
        <w:rPr>
          <w:rFonts w:asciiTheme="minorHAnsi" w:hAnsiTheme="minorHAnsi"/>
          <w:noProof/>
          <w:sz w:val="22"/>
          <w:szCs w:val="22"/>
        </w:rPr>
        <w:t>Rodriguez</w:t>
      </w:r>
      <w:r w:rsidRPr="00DF4A10">
        <w:rPr>
          <w:rFonts w:asciiTheme="minorHAnsi" w:hAnsiTheme="minorHAnsi"/>
          <w:noProof/>
          <w:sz w:val="22"/>
          <w:szCs w:val="22"/>
        </w:rPr>
        <w:t xml:space="preserve"> D, </w:t>
      </w:r>
      <w:r w:rsidR="00FC6306" w:rsidRPr="00DF4A10">
        <w:rPr>
          <w:rFonts w:asciiTheme="minorHAnsi" w:hAnsiTheme="minorHAnsi"/>
          <w:noProof/>
          <w:sz w:val="22"/>
          <w:szCs w:val="22"/>
        </w:rPr>
        <w:t xml:space="preserve">Darling </w:t>
      </w:r>
      <w:r w:rsidRPr="00DF4A10">
        <w:rPr>
          <w:rFonts w:asciiTheme="minorHAnsi" w:hAnsiTheme="minorHAnsi"/>
          <w:noProof/>
          <w:sz w:val="22"/>
          <w:szCs w:val="22"/>
        </w:rPr>
        <w:t>A. 2000.</w:t>
      </w:r>
      <w:r w:rsidR="00FC6306" w:rsidRPr="00DF4A10">
        <w:rPr>
          <w:rFonts w:asciiTheme="minorHAnsi" w:hAnsiTheme="minorHAnsi"/>
          <w:noProof/>
          <w:sz w:val="22"/>
          <w:szCs w:val="22"/>
        </w:rPr>
        <w:t xml:space="preserve"> Uncertainty in cost-benefit analysis based on </w:t>
      </w:r>
      <w:r w:rsidRPr="00DF4A10">
        <w:rPr>
          <w:rFonts w:asciiTheme="minorHAnsi" w:hAnsiTheme="minorHAnsi"/>
          <w:noProof/>
          <w:sz w:val="22"/>
          <w:szCs w:val="22"/>
        </w:rPr>
        <w:t>referendum contingent valuation.</w:t>
      </w:r>
      <w:r w:rsidR="00FC6306" w:rsidRPr="00DF4A10">
        <w:rPr>
          <w:rFonts w:asciiTheme="minorHAnsi" w:hAnsiTheme="minorHAnsi"/>
          <w:noProof/>
          <w:sz w:val="22"/>
          <w:szCs w:val="22"/>
        </w:rPr>
        <w:t xml:space="preserve"> Impact Assessment and Pro</w:t>
      </w:r>
      <w:r w:rsidRPr="00DF4A10">
        <w:rPr>
          <w:rFonts w:asciiTheme="minorHAnsi" w:hAnsiTheme="minorHAnsi"/>
          <w:noProof/>
          <w:sz w:val="22"/>
          <w:szCs w:val="22"/>
        </w:rPr>
        <w:t>ject Appraisal. 18:2:</w:t>
      </w:r>
      <w:r w:rsidR="00F95134" w:rsidRPr="00DF4A10">
        <w:rPr>
          <w:rFonts w:asciiTheme="minorHAnsi" w:hAnsiTheme="minorHAnsi"/>
          <w:noProof/>
          <w:sz w:val="22"/>
          <w:szCs w:val="22"/>
        </w:rPr>
        <w:t xml:space="preserve"> 125-137</w:t>
      </w:r>
      <w:r w:rsidRPr="00DF4A10">
        <w:rPr>
          <w:rFonts w:asciiTheme="minorHAnsi" w:hAnsiTheme="minorHAnsi"/>
          <w:noProof/>
          <w:sz w:val="22"/>
          <w:szCs w:val="22"/>
        </w:rPr>
        <w:t>.</w:t>
      </w:r>
    </w:p>
    <w:p w14:paraId="62935E24" w14:textId="07BCE7FF" w:rsidR="00FC6306" w:rsidRPr="00DF4A10" w:rsidRDefault="00FC6306" w:rsidP="00FC6306">
      <w:pPr>
        <w:pStyle w:val="EndNoteBibliography"/>
        <w:ind w:left="567" w:hanging="567"/>
        <w:rPr>
          <w:rFonts w:asciiTheme="minorHAnsi" w:hAnsiTheme="minorHAnsi"/>
          <w:noProof/>
          <w:sz w:val="22"/>
          <w:szCs w:val="22"/>
        </w:rPr>
      </w:pPr>
      <w:r w:rsidRPr="00DF4A10">
        <w:rPr>
          <w:rFonts w:asciiTheme="minorHAnsi" w:hAnsiTheme="minorHAnsi"/>
          <w:noProof/>
          <w:sz w:val="22"/>
          <w:szCs w:val="22"/>
        </w:rPr>
        <w:t>Vega D</w:t>
      </w:r>
      <w:r w:rsidR="009E3310" w:rsidRPr="00DF4A10">
        <w:rPr>
          <w:rFonts w:asciiTheme="minorHAnsi" w:hAnsiTheme="minorHAnsi"/>
          <w:noProof/>
          <w:sz w:val="22"/>
          <w:szCs w:val="22"/>
        </w:rPr>
        <w:t>,</w:t>
      </w:r>
      <w:r w:rsidRPr="00DF4A10">
        <w:rPr>
          <w:rFonts w:asciiTheme="minorHAnsi" w:hAnsiTheme="minorHAnsi"/>
          <w:noProof/>
          <w:sz w:val="22"/>
          <w:szCs w:val="22"/>
        </w:rPr>
        <w:t xml:space="preserve"> Alpízar</w:t>
      </w:r>
      <w:r w:rsidR="009E3310" w:rsidRPr="00DF4A10">
        <w:rPr>
          <w:rFonts w:asciiTheme="minorHAnsi" w:hAnsiTheme="minorHAnsi"/>
          <w:noProof/>
          <w:sz w:val="22"/>
          <w:szCs w:val="22"/>
        </w:rPr>
        <w:t xml:space="preserve"> F. 2011.</w:t>
      </w:r>
      <w:r w:rsidRPr="00DF4A10">
        <w:rPr>
          <w:rFonts w:asciiTheme="minorHAnsi" w:hAnsiTheme="minorHAnsi"/>
          <w:noProof/>
          <w:sz w:val="22"/>
          <w:szCs w:val="22"/>
        </w:rPr>
        <w:t xml:space="preserve"> Choice experiments in environmental impact assessment:  the case of the Toro 3 hydroelectric project and the Recreo Ver</w:t>
      </w:r>
      <w:r w:rsidR="009E3310" w:rsidRPr="00DF4A10">
        <w:rPr>
          <w:rFonts w:asciiTheme="minorHAnsi" w:hAnsiTheme="minorHAnsi"/>
          <w:noProof/>
          <w:sz w:val="22"/>
          <w:szCs w:val="22"/>
        </w:rPr>
        <w:t>de tourist center in Costa Rica.</w:t>
      </w:r>
      <w:r w:rsidRPr="00DF4A10">
        <w:rPr>
          <w:rFonts w:asciiTheme="minorHAnsi" w:hAnsiTheme="minorHAnsi"/>
          <w:noProof/>
          <w:sz w:val="22"/>
          <w:szCs w:val="22"/>
        </w:rPr>
        <w:t xml:space="preserve"> Impact Assessm</w:t>
      </w:r>
      <w:r w:rsidR="009E3310" w:rsidRPr="00DF4A10">
        <w:rPr>
          <w:rFonts w:asciiTheme="minorHAnsi" w:hAnsiTheme="minorHAnsi"/>
          <w:noProof/>
          <w:sz w:val="22"/>
          <w:szCs w:val="22"/>
        </w:rPr>
        <w:t>ent and Project Appraisal. 29(4):</w:t>
      </w:r>
      <w:r w:rsidRPr="00DF4A10">
        <w:rPr>
          <w:rFonts w:asciiTheme="minorHAnsi" w:hAnsiTheme="minorHAnsi"/>
          <w:noProof/>
          <w:sz w:val="22"/>
          <w:szCs w:val="22"/>
        </w:rPr>
        <w:t xml:space="preserve"> 252-262</w:t>
      </w:r>
      <w:r w:rsidR="009E3310" w:rsidRPr="00DF4A10">
        <w:rPr>
          <w:rFonts w:asciiTheme="minorHAnsi" w:hAnsiTheme="minorHAnsi"/>
          <w:noProof/>
          <w:sz w:val="22"/>
          <w:szCs w:val="22"/>
        </w:rPr>
        <w:t>.</w:t>
      </w:r>
    </w:p>
    <w:p w14:paraId="02E86377" w14:textId="50485E43" w:rsidR="0034301E" w:rsidRPr="00DF4A10" w:rsidRDefault="001F39D3" w:rsidP="00FC6306">
      <w:pPr>
        <w:ind w:left="567" w:hanging="567"/>
        <w:rPr>
          <w:sz w:val="22"/>
          <w:szCs w:val="22"/>
        </w:rPr>
      </w:pPr>
      <w:r w:rsidRPr="00DF4A10">
        <w:rPr>
          <w:sz w:val="22"/>
          <w:szCs w:val="22"/>
        </w:rPr>
        <w:t>Western Australian Government Gazette</w:t>
      </w:r>
      <w:r w:rsidR="009E3310" w:rsidRPr="00DF4A10">
        <w:rPr>
          <w:sz w:val="22"/>
          <w:szCs w:val="22"/>
        </w:rPr>
        <w:t>. 2012</w:t>
      </w:r>
      <w:r w:rsidRPr="00DF4A10">
        <w:rPr>
          <w:sz w:val="22"/>
          <w:szCs w:val="22"/>
        </w:rPr>
        <w:t xml:space="preserve"> </w:t>
      </w:r>
      <w:r w:rsidRPr="00DF4A10">
        <w:rPr>
          <w:sz w:val="22"/>
          <w:szCs w:val="22"/>
          <w:lang w:val="en-US"/>
        </w:rPr>
        <w:t xml:space="preserve">Environmental Protection Act 1986 </w:t>
      </w:r>
      <w:r w:rsidRPr="00DF4A10">
        <w:rPr>
          <w:sz w:val="22"/>
          <w:szCs w:val="22"/>
        </w:rPr>
        <w:t xml:space="preserve">Environmental Impact Assessment </w:t>
      </w:r>
      <w:r w:rsidRPr="00DF4A10">
        <w:rPr>
          <w:sz w:val="22"/>
          <w:szCs w:val="22"/>
          <w:lang w:val="en-US"/>
        </w:rPr>
        <w:t xml:space="preserve">(Part IV Divisions 1 and 2) </w:t>
      </w:r>
      <w:r w:rsidRPr="00DF4A10">
        <w:rPr>
          <w:sz w:val="22"/>
          <w:szCs w:val="22"/>
        </w:rPr>
        <w:t>Administrative Procedures 2012</w:t>
      </w:r>
      <w:r w:rsidR="009E3310" w:rsidRPr="00DF4A10">
        <w:rPr>
          <w:sz w:val="22"/>
          <w:szCs w:val="22"/>
        </w:rPr>
        <w:t>.</w:t>
      </w:r>
      <w:r w:rsidRPr="00DF4A10">
        <w:rPr>
          <w:sz w:val="22"/>
          <w:szCs w:val="22"/>
        </w:rPr>
        <w:t xml:space="preserve"> Wester</w:t>
      </w:r>
      <w:r w:rsidR="009E3310" w:rsidRPr="00DF4A10">
        <w:rPr>
          <w:sz w:val="22"/>
          <w:szCs w:val="22"/>
        </w:rPr>
        <w:t>n Australian Government Gazette.</w:t>
      </w:r>
      <w:r w:rsidRPr="00DF4A10">
        <w:rPr>
          <w:sz w:val="22"/>
          <w:szCs w:val="22"/>
        </w:rPr>
        <w:t xml:space="preserve"> 7 December 2012, No. 223: 5939-5959</w:t>
      </w:r>
      <w:r w:rsidR="009E3310" w:rsidRPr="00DF4A10">
        <w:rPr>
          <w:sz w:val="22"/>
          <w:szCs w:val="22"/>
        </w:rPr>
        <w:t>.</w:t>
      </w:r>
    </w:p>
    <w:p w14:paraId="6B846453" w14:textId="038B60CB" w:rsidR="00FC6306" w:rsidRPr="00DF4A10" w:rsidRDefault="00FC6306" w:rsidP="00FC6306">
      <w:pPr>
        <w:pStyle w:val="EndNoteBibliography"/>
        <w:ind w:left="567" w:hanging="567"/>
        <w:rPr>
          <w:rFonts w:asciiTheme="minorHAnsi" w:hAnsiTheme="minorHAnsi"/>
          <w:noProof/>
          <w:sz w:val="22"/>
          <w:szCs w:val="22"/>
        </w:rPr>
      </w:pPr>
      <w:r w:rsidRPr="00DF4A10">
        <w:rPr>
          <w:rFonts w:asciiTheme="minorHAnsi" w:hAnsiTheme="minorHAnsi"/>
          <w:noProof/>
          <w:sz w:val="22"/>
          <w:szCs w:val="22"/>
        </w:rPr>
        <w:t>Ziller A</w:t>
      </w:r>
      <w:r w:rsidR="009E3310" w:rsidRPr="00DF4A10">
        <w:rPr>
          <w:rFonts w:asciiTheme="minorHAnsi" w:hAnsiTheme="minorHAnsi"/>
          <w:noProof/>
          <w:sz w:val="22"/>
          <w:szCs w:val="22"/>
        </w:rPr>
        <w:t>, Phibbs P. 2003.</w:t>
      </w:r>
      <w:r w:rsidRPr="00DF4A10">
        <w:rPr>
          <w:rFonts w:asciiTheme="minorHAnsi" w:hAnsiTheme="minorHAnsi"/>
          <w:noProof/>
          <w:sz w:val="22"/>
          <w:szCs w:val="22"/>
        </w:rPr>
        <w:t xml:space="preserve"> Integrating social impacts into cost-benefit analysis: a participative method: case study:</w:t>
      </w:r>
      <w:r w:rsidR="009E3310" w:rsidRPr="00DF4A10">
        <w:rPr>
          <w:rFonts w:asciiTheme="minorHAnsi" w:hAnsiTheme="minorHAnsi"/>
          <w:noProof/>
          <w:sz w:val="22"/>
          <w:szCs w:val="22"/>
        </w:rPr>
        <w:t xml:space="preserve"> the NSW area assistance scheme.</w:t>
      </w:r>
      <w:r w:rsidRPr="00DF4A10">
        <w:rPr>
          <w:rFonts w:asciiTheme="minorHAnsi" w:hAnsiTheme="minorHAnsi"/>
          <w:noProof/>
          <w:sz w:val="22"/>
          <w:szCs w:val="22"/>
        </w:rPr>
        <w:t xml:space="preserve"> Impact Assessment and Pr</w:t>
      </w:r>
      <w:r w:rsidR="009E3310" w:rsidRPr="00DF4A10">
        <w:rPr>
          <w:rFonts w:asciiTheme="minorHAnsi" w:hAnsiTheme="minorHAnsi"/>
          <w:noProof/>
          <w:sz w:val="22"/>
          <w:szCs w:val="22"/>
        </w:rPr>
        <w:t>oject Appraisal. 21(2): 141-146.</w:t>
      </w:r>
    </w:p>
    <w:p w14:paraId="5109C58E" w14:textId="77777777" w:rsidR="00FC6306" w:rsidRPr="007B5037" w:rsidRDefault="00FC6306" w:rsidP="00FC6306">
      <w:pPr>
        <w:widowControl w:val="0"/>
        <w:autoSpaceDE w:val="0"/>
        <w:autoSpaceDN w:val="0"/>
        <w:adjustRightInd w:val="0"/>
        <w:ind w:left="567" w:hanging="567"/>
        <w:rPr>
          <w:noProof/>
          <w:sz w:val="22"/>
          <w:szCs w:val="22"/>
        </w:rPr>
      </w:pPr>
    </w:p>
    <w:p w14:paraId="7A0CCC43" w14:textId="494FB2FC" w:rsidR="003F47E5" w:rsidRPr="007B5037" w:rsidRDefault="00523686" w:rsidP="0006376E">
      <w:pPr>
        <w:rPr>
          <w:sz w:val="22"/>
          <w:szCs w:val="22"/>
        </w:rPr>
      </w:pPr>
      <w:r>
        <w:rPr>
          <w:sz w:val="22"/>
          <w:szCs w:val="22"/>
        </w:rPr>
        <w:fldChar w:fldCharType="begin"/>
      </w:r>
      <w:r>
        <w:rPr>
          <w:sz w:val="22"/>
          <w:szCs w:val="22"/>
        </w:rPr>
        <w:instrText xml:space="preserve"> ADDIN EN.REFLIST </w:instrText>
      </w:r>
      <w:r>
        <w:rPr>
          <w:sz w:val="22"/>
          <w:szCs w:val="22"/>
        </w:rPr>
        <w:fldChar w:fldCharType="end"/>
      </w:r>
    </w:p>
    <w:sectPr w:rsidR="003F47E5" w:rsidRPr="007B5037" w:rsidSect="00060472">
      <w:pgSz w:w="11901" w:h="16840"/>
      <w:pgMar w:top="1134" w:right="1134" w:bottom="1134" w:left="1134" w:header="567" w:footer="567"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Lucida Grande">
    <w:altName w:val="Arial"/>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BF06E8"/>
    <w:multiLevelType w:val="hybridMultilevel"/>
    <w:tmpl w:val="66A65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9701B2"/>
    <w:multiLevelType w:val="hybridMultilevel"/>
    <w:tmpl w:val="5C8A7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540F8C"/>
    <w:multiLevelType w:val="hybridMultilevel"/>
    <w:tmpl w:val="3FB8D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05E78B4"/>
    <w:multiLevelType w:val="hybridMultilevel"/>
    <w:tmpl w:val="E20C88C0"/>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4">
    <w:nsid w:val="2B307E08"/>
    <w:multiLevelType w:val="hybridMultilevel"/>
    <w:tmpl w:val="758A9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D5F40AC"/>
    <w:multiLevelType w:val="hybridMultilevel"/>
    <w:tmpl w:val="8FEE1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F20209F"/>
    <w:multiLevelType w:val="hybridMultilevel"/>
    <w:tmpl w:val="572EF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2977773"/>
    <w:multiLevelType w:val="hybridMultilevel"/>
    <w:tmpl w:val="A8BEE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C9F37D8"/>
    <w:multiLevelType w:val="hybridMultilevel"/>
    <w:tmpl w:val="105E6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35E05E9"/>
    <w:multiLevelType w:val="hybridMultilevel"/>
    <w:tmpl w:val="C7A48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7DA6B17"/>
    <w:multiLevelType w:val="hybridMultilevel"/>
    <w:tmpl w:val="407C4412"/>
    <w:lvl w:ilvl="0" w:tplc="04090001">
      <w:start w:val="1"/>
      <w:numFmt w:val="bullet"/>
      <w:lvlText w:val=""/>
      <w:lvlJc w:val="left"/>
      <w:pPr>
        <w:ind w:left="1178" w:hanging="360"/>
      </w:pPr>
      <w:rPr>
        <w:rFonts w:ascii="Symbol" w:hAnsi="Symbol" w:hint="default"/>
      </w:rPr>
    </w:lvl>
    <w:lvl w:ilvl="1" w:tplc="04090003" w:tentative="1">
      <w:start w:val="1"/>
      <w:numFmt w:val="bullet"/>
      <w:lvlText w:val="o"/>
      <w:lvlJc w:val="left"/>
      <w:pPr>
        <w:ind w:left="1898" w:hanging="360"/>
      </w:pPr>
      <w:rPr>
        <w:rFonts w:ascii="Courier New" w:hAnsi="Courier New" w:hint="default"/>
      </w:rPr>
    </w:lvl>
    <w:lvl w:ilvl="2" w:tplc="04090005" w:tentative="1">
      <w:start w:val="1"/>
      <w:numFmt w:val="bullet"/>
      <w:lvlText w:val=""/>
      <w:lvlJc w:val="left"/>
      <w:pPr>
        <w:ind w:left="2618" w:hanging="360"/>
      </w:pPr>
      <w:rPr>
        <w:rFonts w:ascii="Wingdings" w:hAnsi="Wingdings" w:hint="default"/>
      </w:rPr>
    </w:lvl>
    <w:lvl w:ilvl="3" w:tplc="04090001" w:tentative="1">
      <w:start w:val="1"/>
      <w:numFmt w:val="bullet"/>
      <w:lvlText w:val=""/>
      <w:lvlJc w:val="left"/>
      <w:pPr>
        <w:ind w:left="3338" w:hanging="360"/>
      </w:pPr>
      <w:rPr>
        <w:rFonts w:ascii="Symbol" w:hAnsi="Symbol" w:hint="default"/>
      </w:rPr>
    </w:lvl>
    <w:lvl w:ilvl="4" w:tplc="04090003" w:tentative="1">
      <w:start w:val="1"/>
      <w:numFmt w:val="bullet"/>
      <w:lvlText w:val="o"/>
      <w:lvlJc w:val="left"/>
      <w:pPr>
        <w:ind w:left="4058" w:hanging="360"/>
      </w:pPr>
      <w:rPr>
        <w:rFonts w:ascii="Courier New" w:hAnsi="Courier New" w:hint="default"/>
      </w:rPr>
    </w:lvl>
    <w:lvl w:ilvl="5" w:tplc="04090005" w:tentative="1">
      <w:start w:val="1"/>
      <w:numFmt w:val="bullet"/>
      <w:lvlText w:val=""/>
      <w:lvlJc w:val="left"/>
      <w:pPr>
        <w:ind w:left="4778" w:hanging="360"/>
      </w:pPr>
      <w:rPr>
        <w:rFonts w:ascii="Wingdings" w:hAnsi="Wingdings" w:hint="default"/>
      </w:rPr>
    </w:lvl>
    <w:lvl w:ilvl="6" w:tplc="04090001" w:tentative="1">
      <w:start w:val="1"/>
      <w:numFmt w:val="bullet"/>
      <w:lvlText w:val=""/>
      <w:lvlJc w:val="left"/>
      <w:pPr>
        <w:ind w:left="5498" w:hanging="360"/>
      </w:pPr>
      <w:rPr>
        <w:rFonts w:ascii="Symbol" w:hAnsi="Symbol" w:hint="default"/>
      </w:rPr>
    </w:lvl>
    <w:lvl w:ilvl="7" w:tplc="04090003" w:tentative="1">
      <w:start w:val="1"/>
      <w:numFmt w:val="bullet"/>
      <w:lvlText w:val="o"/>
      <w:lvlJc w:val="left"/>
      <w:pPr>
        <w:ind w:left="6218" w:hanging="360"/>
      </w:pPr>
      <w:rPr>
        <w:rFonts w:ascii="Courier New" w:hAnsi="Courier New" w:hint="default"/>
      </w:rPr>
    </w:lvl>
    <w:lvl w:ilvl="8" w:tplc="04090005" w:tentative="1">
      <w:start w:val="1"/>
      <w:numFmt w:val="bullet"/>
      <w:lvlText w:val=""/>
      <w:lvlJc w:val="left"/>
      <w:pPr>
        <w:ind w:left="6938" w:hanging="360"/>
      </w:pPr>
      <w:rPr>
        <w:rFonts w:ascii="Wingdings" w:hAnsi="Wingdings" w:hint="default"/>
      </w:rPr>
    </w:lvl>
  </w:abstractNum>
  <w:abstractNum w:abstractNumId="11">
    <w:nsid w:val="699B3FBD"/>
    <w:multiLevelType w:val="hybridMultilevel"/>
    <w:tmpl w:val="E2660C1A"/>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2">
    <w:nsid w:val="6B81054C"/>
    <w:multiLevelType w:val="hybridMultilevel"/>
    <w:tmpl w:val="E78C7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DD13E48"/>
    <w:multiLevelType w:val="hybridMultilevel"/>
    <w:tmpl w:val="20E8B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5C96EC1"/>
    <w:multiLevelType w:val="hybridMultilevel"/>
    <w:tmpl w:val="81E22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1"/>
  </w:num>
  <w:num w:numId="3">
    <w:abstractNumId w:val="5"/>
  </w:num>
  <w:num w:numId="4">
    <w:abstractNumId w:val="6"/>
  </w:num>
  <w:num w:numId="5">
    <w:abstractNumId w:val="13"/>
  </w:num>
  <w:num w:numId="6">
    <w:abstractNumId w:val="0"/>
  </w:num>
  <w:num w:numId="7">
    <w:abstractNumId w:val="9"/>
  </w:num>
  <w:num w:numId="8">
    <w:abstractNumId w:val="2"/>
  </w:num>
  <w:num w:numId="9">
    <w:abstractNumId w:val="1"/>
  </w:num>
  <w:num w:numId="10">
    <w:abstractNumId w:val="14"/>
  </w:num>
  <w:num w:numId="11">
    <w:abstractNumId w:val="8"/>
  </w:num>
  <w:num w:numId="12">
    <w:abstractNumId w:val="4"/>
  </w:num>
  <w:num w:numId="13">
    <w:abstractNumId w:val="7"/>
  </w:num>
  <w:num w:numId="14">
    <w:abstractNumId w:val="12"/>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PA 6th Curtin X6&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Layout&gt;"/>
    <w:docVar w:name="EN.Libraries" w:val="&lt;Libraries&gt;&lt;/Libraries&gt;"/>
  </w:docVars>
  <w:rsids>
    <w:rsidRoot w:val="003276B4"/>
    <w:rsid w:val="000018AF"/>
    <w:rsid w:val="00004C5B"/>
    <w:rsid w:val="00005B9C"/>
    <w:rsid w:val="00006873"/>
    <w:rsid w:val="0001139D"/>
    <w:rsid w:val="00011F2D"/>
    <w:rsid w:val="000131BF"/>
    <w:rsid w:val="00015B6D"/>
    <w:rsid w:val="0002139E"/>
    <w:rsid w:val="00021E7F"/>
    <w:rsid w:val="0002293A"/>
    <w:rsid w:val="00022EBC"/>
    <w:rsid w:val="00030B01"/>
    <w:rsid w:val="00032AB9"/>
    <w:rsid w:val="000357CD"/>
    <w:rsid w:val="0003620A"/>
    <w:rsid w:val="00036F23"/>
    <w:rsid w:val="00037BD1"/>
    <w:rsid w:val="00054EBA"/>
    <w:rsid w:val="00060472"/>
    <w:rsid w:val="000625D3"/>
    <w:rsid w:val="0006376E"/>
    <w:rsid w:val="000650AB"/>
    <w:rsid w:val="00066FCD"/>
    <w:rsid w:val="0006792C"/>
    <w:rsid w:val="00073874"/>
    <w:rsid w:val="000748B2"/>
    <w:rsid w:val="00075D2B"/>
    <w:rsid w:val="00080F76"/>
    <w:rsid w:val="00083AE1"/>
    <w:rsid w:val="000875D0"/>
    <w:rsid w:val="00091A29"/>
    <w:rsid w:val="00092CE8"/>
    <w:rsid w:val="000940E6"/>
    <w:rsid w:val="000A19AD"/>
    <w:rsid w:val="000A1AEE"/>
    <w:rsid w:val="000A4C34"/>
    <w:rsid w:val="000A5FDD"/>
    <w:rsid w:val="000B7478"/>
    <w:rsid w:val="000C3D06"/>
    <w:rsid w:val="000C79EA"/>
    <w:rsid w:val="000E502B"/>
    <w:rsid w:val="000E74A7"/>
    <w:rsid w:val="000F6C10"/>
    <w:rsid w:val="0010098C"/>
    <w:rsid w:val="00100D84"/>
    <w:rsid w:val="001051B7"/>
    <w:rsid w:val="0011582F"/>
    <w:rsid w:val="00117291"/>
    <w:rsid w:val="00122CDA"/>
    <w:rsid w:val="00126C56"/>
    <w:rsid w:val="00133C2C"/>
    <w:rsid w:val="00142600"/>
    <w:rsid w:val="0014408E"/>
    <w:rsid w:val="00144134"/>
    <w:rsid w:val="00164685"/>
    <w:rsid w:val="00164739"/>
    <w:rsid w:val="001722F9"/>
    <w:rsid w:val="001924B6"/>
    <w:rsid w:val="0019392E"/>
    <w:rsid w:val="00193C2F"/>
    <w:rsid w:val="001A24DF"/>
    <w:rsid w:val="001B4443"/>
    <w:rsid w:val="001B5926"/>
    <w:rsid w:val="001C2AD2"/>
    <w:rsid w:val="001D18C7"/>
    <w:rsid w:val="001D385C"/>
    <w:rsid w:val="001F2281"/>
    <w:rsid w:val="001F3254"/>
    <w:rsid w:val="001F39D3"/>
    <w:rsid w:val="00201B4B"/>
    <w:rsid w:val="00211233"/>
    <w:rsid w:val="00213E58"/>
    <w:rsid w:val="0021500B"/>
    <w:rsid w:val="00215B8F"/>
    <w:rsid w:val="00235A72"/>
    <w:rsid w:val="00244C81"/>
    <w:rsid w:val="0024564F"/>
    <w:rsid w:val="00262D24"/>
    <w:rsid w:val="00263C18"/>
    <w:rsid w:val="0026688E"/>
    <w:rsid w:val="00273E6C"/>
    <w:rsid w:val="00283353"/>
    <w:rsid w:val="00284FE4"/>
    <w:rsid w:val="00285147"/>
    <w:rsid w:val="00292B5D"/>
    <w:rsid w:val="002976CD"/>
    <w:rsid w:val="002A0A5D"/>
    <w:rsid w:val="002A1E21"/>
    <w:rsid w:val="002A1F4C"/>
    <w:rsid w:val="002A5FC3"/>
    <w:rsid w:val="002B54A4"/>
    <w:rsid w:val="002C16CF"/>
    <w:rsid w:val="002C3F1A"/>
    <w:rsid w:val="002C51A4"/>
    <w:rsid w:val="002C5E4E"/>
    <w:rsid w:val="002C5ED0"/>
    <w:rsid w:val="002C626A"/>
    <w:rsid w:val="002D4214"/>
    <w:rsid w:val="0030012F"/>
    <w:rsid w:val="003007B4"/>
    <w:rsid w:val="00311D9C"/>
    <w:rsid w:val="0032266B"/>
    <w:rsid w:val="003229C2"/>
    <w:rsid w:val="00323B0A"/>
    <w:rsid w:val="003276B4"/>
    <w:rsid w:val="00334118"/>
    <w:rsid w:val="0033653E"/>
    <w:rsid w:val="003401BD"/>
    <w:rsid w:val="003413FC"/>
    <w:rsid w:val="00342BC2"/>
    <w:rsid w:val="0034301E"/>
    <w:rsid w:val="00347598"/>
    <w:rsid w:val="00352AF6"/>
    <w:rsid w:val="00353C03"/>
    <w:rsid w:val="0036251E"/>
    <w:rsid w:val="00363560"/>
    <w:rsid w:val="003671D4"/>
    <w:rsid w:val="00383501"/>
    <w:rsid w:val="0038425C"/>
    <w:rsid w:val="00384854"/>
    <w:rsid w:val="00391FA3"/>
    <w:rsid w:val="00396CA3"/>
    <w:rsid w:val="0039785F"/>
    <w:rsid w:val="003B1D1B"/>
    <w:rsid w:val="003B417C"/>
    <w:rsid w:val="003C0828"/>
    <w:rsid w:val="003C126A"/>
    <w:rsid w:val="003C2D9C"/>
    <w:rsid w:val="003D1557"/>
    <w:rsid w:val="003D2112"/>
    <w:rsid w:val="003D6874"/>
    <w:rsid w:val="003E1F9D"/>
    <w:rsid w:val="003E58F4"/>
    <w:rsid w:val="003F1E56"/>
    <w:rsid w:val="003F47E5"/>
    <w:rsid w:val="003F561D"/>
    <w:rsid w:val="003F658B"/>
    <w:rsid w:val="0040542D"/>
    <w:rsid w:val="00411B7E"/>
    <w:rsid w:val="00412F6E"/>
    <w:rsid w:val="00415B5D"/>
    <w:rsid w:val="00416F0C"/>
    <w:rsid w:val="00427B4A"/>
    <w:rsid w:val="00432D70"/>
    <w:rsid w:val="00432DB5"/>
    <w:rsid w:val="00440D4C"/>
    <w:rsid w:val="004425F9"/>
    <w:rsid w:val="00443CAF"/>
    <w:rsid w:val="00443D93"/>
    <w:rsid w:val="00466CA8"/>
    <w:rsid w:val="00470329"/>
    <w:rsid w:val="00473E81"/>
    <w:rsid w:val="00476923"/>
    <w:rsid w:val="0048379F"/>
    <w:rsid w:val="00483CCF"/>
    <w:rsid w:val="00491951"/>
    <w:rsid w:val="00491E2F"/>
    <w:rsid w:val="00492CF7"/>
    <w:rsid w:val="00496163"/>
    <w:rsid w:val="004A2C90"/>
    <w:rsid w:val="004A4494"/>
    <w:rsid w:val="004A55C9"/>
    <w:rsid w:val="004A7D1F"/>
    <w:rsid w:val="004A7E7E"/>
    <w:rsid w:val="004B4952"/>
    <w:rsid w:val="004B596D"/>
    <w:rsid w:val="004C2036"/>
    <w:rsid w:val="004C2C34"/>
    <w:rsid w:val="004D1976"/>
    <w:rsid w:val="004D3649"/>
    <w:rsid w:val="004E3A23"/>
    <w:rsid w:val="004F3A49"/>
    <w:rsid w:val="004F7B74"/>
    <w:rsid w:val="0050305A"/>
    <w:rsid w:val="00513BA4"/>
    <w:rsid w:val="005142ED"/>
    <w:rsid w:val="00523686"/>
    <w:rsid w:val="00526D57"/>
    <w:rsid w:val="00527986"/>
    <w:rsid w:val="00535138"/>
    <w:rsid w:val="005357E9"/>
    <w:rsid w:val="00537141"/>
    <w:rsid w:val="00537BCA"/>
    <w:rsid w:val="00541147"/>
    <w:rsid w:val="00541C8F"/>
    <w:rsid w:val="00542357"/>
    <w:rsid w:val="005443CE"/>
    <w:rsid w:val="00545E59"/>
    <w:rsid w:val="00553B60"/>
    <w:rsid w:val="005554B1"/>
    <w:rsid w:val="00563609"/>
    <w:rsid w:val="00565098"/>
    <w:rsid w:val="005652CD"/>
    <w:rsid w:val="005671F1"/>
    <w:rsid w:val="00567931"/>
    <w:rsid w:val="005704FA"/>
    <w:rsid w:val="00581B13"/>
    <w:rsid w:val="00582192"/>
    <w:rsid w:val="00587713"/>
    <w:rsid w:val="00595439"/>
    <w:rsid w:val="005A27FA"/>
    <w:rsid w:val="005A5C77"/>
    <w:rsid w:val="005B0811"/>
    <w:rsid w:val="005B4788"/>
    <w:rsid w:val="005B47F8"/>
    <w:rsid w:val="005B7BF6"/>
    <w:rsid w:val="005C71F7"/>
    <w:rsid w:val="005E63CD"/>
    <w:rsid w:val="005E6F08"/>
    <w:rsid w:val="005F0608"/>
    <w:rsid w:val="005F162B"/>
    <w:rsid w:val="00600F08"/>
    <w:rsid w:val="006028C3"/>
    <w:rsid w:val="00616410"/>
    <w:rsid w:val="006214E4"/>
    <w:rsid w:val="00626F44"/>
    <w:rsid w:val="00631B44"/>
    <w:rsid w:val="00631C0C"/>
    <w:rsid w:val="00634063"/>
    <w:rsid w:val="006366E7"/>
    <w:rsid w:val="006505AA"/>
    <w:rsid w:val="006509FF"/>
    <w:rsid w:val="00650E86"/>
    <w:rsid w:val="00652E57"/>
    <w:rsid w:val="00657A4E"/>
    <w:rsid w:val="00660A90"/>
    <w:rsid w:val="00663710"/>
    <w:rsid w:val="00664D0D"/>
    <w:rsid w:val="006669EC"/>
    <w:rsid w:val="00673E55"/>
    <w:rsid w:val="00687E32"/>
    <w:rsid w:val="00690D07"/>
    <w:rsid w:val="006924EF"/>
    <w:rsid w:val="00695EA0"/>
    <w:rsid w:val="006A048F"/>
    <w:rsid w:val="006B0E3B"/>
    <w:rsid w:val="006B46BE"/>
    <w:rsid w:val="006B6DD8"/>
    <w:rsid w:val="006C2F37"/>
    <w:rsid w:val="006D45E2"/>
    <w:rsid w:val="006E108D"/>
    <w:rsid w:val="006E675D"/>
    <w:rsid w:val="006E68AF"/>
    <w:rsid w:val="006F0650"/>
    <w:rsid w:val="00700382"/>
    <w:rsid w:val="007112E3"/>
    <w:rsid w:val="00713A59"/>
    <w:rsid w:val="0072513B"/>
    <w:rsid w:val="0072773C"/>
    <w:rsid w:val="00734E91"/>
    <w:rsid w:val="007433A2"/>
    <w:rsid w:val="00745CD5"/>
    <w:rsid w:val="00755C5C"/>
    <w:rsid w:val="00764429"/>
    <w:rsid w:val="007700F7"/>
    <w:rsid w:val="00772926"/>
    <w:rsid w:val="00772E2E"/>
    <w:rsid w:val="0077616E"/>
    <w:rsid w:val="00776685"/>
    <w:rsid w:val="00776DDD"/>
    <w:rsid w:val="00791372"/>
    <w:rsid w:val="007A3A04"/>
    <w:rsid w:val="007A3A96"/>
    <w:rsid w:val="007B3E46"/>
    <w:rsid w:val="007B42F9"/>
    <w:rsid w:val="007B5037"/>
    <w:rsid w:val="007B5F7C"/>
    <w:rsid w:val="007C580B"/>
    <w:rsid w:val="007C5899"/>
    <w:rsid w:val="007D71A5"/>
    <w:rsid w:val="007E3795"/>
    <w:rsid w:val="007E6A86"/>
    <w:rsid w:val="007E72AB"/>
    <w:rsid w:val="007F7B6F"/>
    <w:rsid w:val="0082571D"/>
    <w:rsid w:val="0083234F"/>
    <w:rsid w:val="0083282C"/>
    <w:rsid w:val="00844E83"/>
    <w:rsid w:val="008461C6"/>
    <w:rsid w:val="00852F87"/>
    <w:rsid w:val="008607B0"/>
    <w:rsid w:val="00875024"/>
    <w:rsid w:val="0088229D"/>
    <w:rsid w:val="00884568"/>
    <w:rsid w:val="00891B8E"/>
    <w:rsid w:val="008977B0"/>
    <w:rsid w:val="008A0A90"/>
    <w:rsid w:val="008B0D29"/>
    <w:rsid w:val="008B25FB"/>
    <w:rsid w:val="008C0A05"/>
    <w:rsid w:val="008C3D1D"/>
    <w:rsid w:val="008C5217"/>
    <w:rsid w:val="008C5FB4"/>
    <w:rsid w:val="008C5FBF"/>
    <w:rsid w:val="008D1AC8"/>
    <w:rsid w:val="00900216"/>
    <w:rsid w:val="0090341C"/>
    <w:rsid w:val="00905B0C"/>
    <w:rsid w:val="00915307"/>
    <w:rsid w:val="00920639"/>
    <w:rsid w:val="009243F4"/>
    <w:rsid w:val="009264DA"/>
    <w:rsid w:val="0092797C"/>
    <w:rsid w:val="009303A2"/>
    <w:rsid w:val="00930904"/>
    <w:rsid w:val="00943D08"/>
    <w:rsid w:val="00945C3D"/>
    <w:rsid w:val="00956099"/>
    <w:rsid w:val="00964142"/>
    <w:rsid w:val="00965993"/>
    <w:rsid w:val="00977826"/>
    <w:rsid w:val="00983A60"/>
    <w:rsid w:val="00994617"/>
    <w:rsid w:val="00997782"/>
    <w:rsid w:val="009979E4"/>
    <w:rsid w:val="009A1B8A"/>
    <w:rsid w:val="009A1BF3"/>
    <w:rsid w:val="009B5D26"/>
    <w:rsid w:val="009C1FDE"/>
    <w:rsid w:val="009C5C91"/>
    <w:rsid w:val="009D1D69"/>
    <w:rsid w:val="009D3FCF"/>
    <w:rsid w:val="009D4F22"/>
    <w:rsid w:val="009D52B6"/>
    <w:rsid w:val="009E2AE3"/>
    <w:rsid w:val="009E3310"/>
    <w:rsid w:val="009E3E81"/>
    <w:rsid w:val="009F3565"/>
    <w:rsid w:val="009F5343"/>
    <w:rsid w:val="00A023C9"/>
    <w:rsid w:val="00A06BA8"/>
    <w:rsid w:val="00A07048"/>
    <w:rsid w:val="00A116FF"/>
    <w:rsid w:val="00A11EE9"/>
    <w:rsid w:val="00A15D74"/>
    <w:rsid w:val="00A16BDC"/>
    <w:rsid w:val="00A16E9B"/>
    <w:rsid w:val="00A17573"/>
    <w:rsid w:val="00A212B7"/>
    <w:rsid w:val="00A3324B"/>
    <w:rsid w:val="00A37A0B"/>
    <w:rsid w:val="00A52E69"/>
    <w:rsid w:val="00A5545F"/>
    <w:rsid w:val="00A57955"/>
    <w:rsid w:val="00A726C4"/>
    <w:rsid w:val="00A90CD8"/>
    <w:rsid w:val="00AA1EE6"/>
    <w:rsid w:val="00AA6B04"/>
    <w:rsid w:val="00AB0A48"/>
    <w:rsid w:val="00AB0CAC"/>
    <w:rsid w:val="00AB247F"/>
    <w:rsid w:val="00AB28FE"/>
    <w:rsid w:val="00AC00DE"/>
    <w:rsid w:val="00AC2B0B"/>
    <w:rsid w:val="00AC6D80"/>
    <w:rsid w:val="00AE4567"/>
    <w:rsid w:val="00AE6FE7"/>
    <w:rsid w:val="00AF3523"/>
    <w:rsid w:val="00AF549F"/>
    <w:rsid w:val="00B05102"/>
    <w:rsid w:val="00B06189"/>
    <w:rsid w:val="00B348B3"/>
    <w:rsid w:val="00B37910"/>
    <w:rsid w:val="00B42532"/>
    <w:rsid w:val="00B468D5"/>
    <w:rsid w:val="00B4696A"/>
    <w:rsid w:val="00B4736D"/>
    <w:rsid w:val="00B47C4C"/>
    <w:rsid w:val="00B51511"/>
    <w:rsid w:val="00B546E9"/>
    <w:rsid w:val="00B56712"/>
    <w:rsid w:val="00B64C28"/>
    <w:rsid w:val="00B718E4"/>
    <w:rsid w:val="00B72D4F"/>
    <w:rsid w:val="00B73224"/>
    <w:rsid w:val="00B76E62"/>
    <w:rsid w:val="00B8067E"/>
    <w:rsid w:val="00B86FAE"/>
    <w:rsid w:val="00B92C5F"/>
    <w:rsid w:val="00B93193"/>
    <w:rsid w:val="00B931C2"/>
    <w:rsid w:val="00B95D50"/>
    <w:rsid w:val="00BA3C3F"/>
    <w:rsid w:val="00BA446D"/>
    <w:rsid w:val="00BA6124"/>
    <w:rsid w:val="00BA6DEF"/>
    <w:rsid w:val="00BA7455"/>
    <w:rsid w:val="00BB2BAE"/>
    <w:rsid w:val="00BB3280"/>
    <w:rsid w:val="00BB792F"/>
    <w:rsid w:val="00BC36F6"/>
    <w:rsid w:val="00BC5733"/>
    <w:rsid w:val="00BC78EF"/>
    <w:rsid w:val="00BD22F8"/>
    <w:rsid w:val="00BD78BF"/>
    <w:rsid w:val="00BF77EC"/>
    <w:rsid w:val="00C0071F"/>
    <w:rsid w:val="00C10E35"/>
    <w:rsid w:val="00C1479A"/>
    <w:rsid w:val="00C27D0A"/>
    <w:rsid w:val="00C30A0A"/>
    <w:rsid w:val="00C35BDF"/>
    <w:rsid w:val="00C37E86"/>
    <w:rsid w:val="00C400FC"/>
    <w:rsid w:val="00C41B15"/>
    <w:rsid w:val="00C440C9"/>
    <w:rsid w:val="00C57216"/>
    <w:rsid w:val="00C57DB5"/>
    <w:rsid w:val="00C64CA3"/>
    <w:rsid w:val="00C6556D"/>
    <w:rsid w:val="00C67439"/>
    <w:rsid w:val="00C67B67"/>
    <w:rsid w:val="00C7341D"/>
    <w:rsid w:val="00C91535"/>
    <w:rsid w:val="00C93EF4"/>
    <w:rsid w:val="00C94AE4"/>
    <w:rsid w:val="00C95F97"/>
    <w:rsid w:val="00CB329F"/>
    <w:rsid w:val="00CB43F9"/>
    <w:rsid w:val="00CC19B3"/>
    <w:rsid w:val="00CE5AF0"/>
    <w:rsid w:val="00CF2A02"/>
    <w:rsid w:val="00CF7D7F"/>
    <w:rsid w:val="00D0011F"/>
    <w:rsid w:val="00D00BA9"/>
    <w:rsid w:val="00D01B16"/>
    <w:rsid w:val="00D01C03"/>
    <w:rsid w:val="00D04313"/>
    <w:rsid w:val="00D05F3D"/>
    <w:rsid w:val="00D11FD4"/>
    <w:rsid w:val="00D1732D"/>
    <w:rsid w:val="00D176FA"/>
    <w:rsid w:val="00D23837"/>
    <w:rsid w:val="00D23E33"/>
    <w:rsid w:val="00D257EE"/>
    <w:rsid w:val="00D269E6"/>
    <w:rsid w:val="00D327AE"/>
    <w:rsid w:val="00D358DC"/>
    <w:rsid w:val="00D3605D"/>
    <w:rsid w:val="00D44816"/>
    <w:rsid w:val="00D50EF7"/>
    <w:rsid w:val="00D52630"/>
    <w:rsid w:val="00D5746F"/>
    <w:rsid w:val="00D635A8"/>
    <w:rsid w:val="00D64A83"/>
    <w:rsid w:val="00D675C6"/>
    <w:rsid w:val="00D67829"/>
    <w:rsid w:val="00D81ED2"/>
    <w:rsid w:val="00D8356F"/>
    <w:rsid w:val="00D907CD"/>
    <w:rsid w:val="00D913E5"/>
    <w:rsid w:val="00D9399E"/>
    <w:rsid w:val="00DB0515"/>
    <w:rsid w:val="00DB0978"/>
    <w:rsid w:val="00DB0B0A"/>
    <w:rsid w:val="00DB6635"/>
    <w:rsid w:val="00DB70B9"/>
    <w:rsid w:val="00DC4486"/>
    <w:rsid w:val="00DC4FF8"/>
    <w:rsid w:val="00DD1EF0"/>
    <w:rsid w:val="00DD7B2E"/>
    <w:rsid w:val="00DE7D1A"/>
    <w:rsid w:val="00DF4A10"/>
    <w:rsid w:val="00DF6017"/>
    <w:rsid w:val="00E05D1E"/>
    <w:rsid w:val="00E14C7D"/>
    <w:rsid w:val="00E22CFF"/>
    <w:rsid w:val="00E25868"/>
    <w:rsid w:val="00E435DE"/>
    <w:rsid w:val="00E4367D"/>
    <w:rsid w:val="00E531E3"/>
    <w:rsid w:val="00E54BDD"/>
    <w:rsid w:val="00E641BB"/>
    <w:rsid w:val="00E75781"/>
    <w:rsid w:val="00E84E12"/>
    <w:rsid w:val="00E84F2B"/>
    <w:rsid w:val="00E964BE"/>
    <w:rsid w:val="00E9728D"/>
    <w:rsid w:val="00EA17F0"/>
    <w:rsid w:val="00EA66E3"/>
    <w:rsid w:val="00EB26AA"/>
    <w:rsid w:val="00EC09DE"/>
    <w:rsid w:val="00EC1BF5"/>
    <w:rsid w:val="00EC2F4F"/>
    <w:rsid w:val="00EE12D9"/>
    <w:rsid w:val="00EE527A"/>
    <w:rsid w:val="00EF17B7"/>
    <w:rsid w:val="00EF64CD"/>
    <w:rsid w:val="00F04A0F"/>
    <w:rsid w:val="00F173A0"/>
    <w:rsid w:val="00F2499D"/>
    <w:rsid w:val="00F3554C"/>
    <w:rsid w:val="00F35B4F"/>
    <w:rsid w:val="00F41CAF"/>
    <w:rsid w:val="00F466BD"/>
    <w:rsid w:val="00F5118E"/>
    <w:rsid w:val="00F534B1"/>
    <w:rsid w:val="00F57904"/>
    <w:rsid w:val="00F60BAB"/>
    <w:rsid w:val="00F624DF"/>
    <w:rsid w:val="00F70B53"/>
    <w:rsid w:val="00F84E38"/>
    <w:rsid w:val="00F87BCB"/>
    <w:rsid w:val="00F910E4"/>
    <w:rsid w:val="00F94557"/>
    <w:rsid w:val="00F95134"/>
    <w:rsid w:val="00F96B86"/>
    <w:rsid w:val="00FA3205"/>
    <w:rsid w:val="00FA73C0"/>
    <w:rsid w:val="00FA7D83"/>
    <w:rsid w:val="00FB3DC8"/>
    <w:rsid w:val="00FB59C1"/>
    <w:rsid w:val="00FC3B38"/>
    <w:rsid w:val="00FC6306"/>
    <w:rsid w:val="00FD4B16"/>
    <w:rsid w:val="00FE39A6"/>
    <w:rsid w:val="00FE4F41"/>
    <w:rsid w:val="00FF294D"/>
  </w:rsids>
  <m:mathPr>
    <m:mathFont m:val="Cambria Math"/>
    <m:brkBin m:val="before"/>
    <m:brkBinSub m:val="--"/>
    <m:smallFrac/>
    <m:dispDef/>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6E48A321"/>
  <w15:docId w15:val="{FBE6A786-B9BE-436E-B5C5-8775C70C8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AU"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7B2E"/>
    <w:rPr>
      <w:sz w:val="24"/>
    </w:rPr>
  </w:style>
  <w:style w:type="paragraph" w:styleId="Heading1">
    <w:name w:val="heading 1"/>
    <w:basedOn w:val="Normal"/>
    <w:link w:val="Heading1Char"/>
    <w:uiPriority w:val="9"/>
    <w:qFormat/>
    <w:rsid w:val="00AB0A48"/>
    <w:pPr>
      <w:spacing w:before="100" w:beforeAutospacing="1" w:after="100" w:afterAutospacing="1"/>
      <w:outlineLvl w:val="0"/>
    </w:pPr>
    <w:rPr>
      <w:rFonts w:ascii="Times" w:hAnsi="Times"/>
      <w:b/>
      <w:bCs/>
      <w:kern w:val="36"/>
      <w:sz w:val="48"/>
      <w:szCs w:val="4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5B0C"/>
    <w:pPr>
      <w:ind w:left="720"/>
      <w:contextualSpacing/>
    </w:pPr>
  </w:style>
  <w:style w:type="character" w:customStyle="1" w:styleId="Heading1Char">
    <w:name w:val="Heading 1 Char"/>
    <w:basedOn w:val="DefaultParagraphFont"/>
    <w:link w:val="Heading1"/>
    <w:uiPriority w:val="9"/>
    <w:rsid w:val="00AB0A48"/>
    <w:rPr>
      <w:rFonts w:ascii="Times" w:hAnsi="Times"/>
      <w:b/>
      <w:bCs/>
      <w:kern w:val="36"/>
      <w:sz w:val="48"/>
      <w:szCs w:val="48"/>
      <w:lang w:eastAsia="en-US"/>
    </w:rPr>
  </w:style>
  <w:style w:type="paragraph" w:styleId="NormalWeb">
    <w:name w:val="Normal (Web)"/>
    <w:basedOn w:val="Normal"/>
    <w:uiPriority w:val="99"/>
    <w:semiHidden/>
    <w:unhideWhenUsed/>
    <w:rsid w:val="00AB0A48"/>
    <w:pPr>
      <w:spacing w:before="100" w:beforeAutospacing="1" w:after="100" w:afterAutospacing="1"/>
    </w:pPr>
    <w:rPr>
      <w:rFonts w:ascii="Times" w:hAnsi="Times" w:cs="Times New Roman"/>
      <w:sz w:val="20"/>
      <w:lang w:eastAsia="en-US"/>
    </w:rPr>
  </w:style>
  <w:style w:type="paragraph" w:customStyle="1" w:styleId="EndNoteBibliographyTitle">
    <w:name w:val="EndNote Bibliography Title"/>
    <w:basedOn w:val="Normal"/>
    <w:rsid w:val="003F47E5"/>
    <w:pPr>
      <w:jc w:val="center"/>
    </w:pPr>
    <w:rPr>
      <w:rFonts w:ascii="Cambria" w:hAnsi="Cambria"/>
    </w:rPr>
  </w:style>
  <w:style w:type="paragraph" w:customStyle="1" w:styleId="EndNoteBibliography">
    <w:name w:val="EndNote Bibliography"/>
    <w:basedOn w:val="Normal"/>
    <w:rsid w:val="003F47E5"/>
    <w:rPr>
      <w:rFonts w:ascii="Cambria" w:hAnsi="Cambria"/>
    </w:rPr>
  </w:style>
  <w:style w:type="character" w:styleId="Hyperlink">
    <w:name w:val="Hyperlink"/>
    <w:basedOn w:val="DefaultParagraphFont"/>
    <w:uiPriority w:val="99"/>
    <w:unhideWhenUsed/>
    <w:rsid w:val="00634063"/>
    <w:rPr>
      <w:color w:val="0000FF" w:themeColor="hyperlink"/>
      <w:u w:val="single"/>
    </w:rPr>
  </w:style>
  <w:style w:type="table" w:styleId="TableGrid">
    <w:name w:val="Table Grid"/>
    <w:basedOn w:val="TableNormal"/>
    <w:uiPriority w:val="59"/>
    <w:rsid w:val="009641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6556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6556D"/>
    <w:rPr>
      <w:rFonts w:ascii="Lucida Grande" w:hAnsi="Lucida Grande" w:cs="Lucida Grande"/>
      <w:sz w:val="18"/>
      <w:szCs w:val="18"/>
    </w:rPr>
  </w:style>
  <w:style w:type="paragraph" w:customStyle="1" w:styleId="Default">
    <w:name w:val="Default"/>
    <w:rsid w:val="00626F44"/>
    <w:pPr>
      <w:autoSpaceDE w:val="0"/>
      <w:autoSpaceDN w:val="0"/>
      <w:adjustRightInd w:val="0"/>
    </w:pPr>
    <w:rPr>
      <w:rFonts w:ascii="Times New Roman" w:eastAsiaTheme="minorHAnsi" w:hAnsi="Times New Roman" w:cs="Times New Roman"/>
      <w:color w:val="000000"/>
      <w:sz w:val="24"/>
      <w:szCs w:val="24"/>
      <w:lang w:val="en-CA" w:eastAsia="en-US"/>
    </w:rPr>
  </w:style>
  <w:style w:type="character" w:styleId="FollowedHyperlink">
    <w:name w:val="FollowedHyperlink"/>
    <w:basedOn w:val="DefaultParagraphFont"/>
    <w:uiPriority w:val="99"/>
    <w:semiHidden/>
    <w:unhideWhenUsed/>
    <w:rsid w:val="00F95134"/>
    <w:rPr>
      <w:color w:val="800080" w:themeColor="followedHyperlink"/>
      <w:u w:val="single"/>
    </w:rPr>
  </w:style>
  <w:style w:type="character" w:styleId="CommentReference">
    <w:name w:val="annotation reference"/>
    <w:basedOn w:val="DefaultParagraphFont"/>
    <w:uiPriority w:val="99"/>
    <w:semiHidden/>
    <w:unhideWhenUsed/>
    <w:rsid w:val="00E25868"/>
    <w:rPr>
      <w:sz w:val="16"/>
      <w:szCs w:val="16"/>
    </w:rPr>
  </w:style>
  <w:style w:type="paragraph" w:styleId="CommentText">
    <w:name w:val="annotation text"/>
    <w:basedOn w:val="Normal"/>
    <w:link w:val="CommentTextChar"/>
    <w:uiPriority w:val="99"/>
    <w:semiHidden/>
    <w:unhideWhenUsed/>
    <w:rsid w:val="00E25868"/>
    <w:rPr>
      <w:sz w:val="20"/>
    </w:rPr>
  </w:style>
  <w:style w:type="character" w:customStyle="1" w:styleId="CommentTextChar">
    <w:name w:val="Comment Text Char"/>
    <w:basedOn w:val="DefaultParagraphFont"/>
    <w:link w:val="CommentText"/>
    <w:uiPriority w:val="99"/>
    <w:semiHidden/>
    <w:rsid w:val="00E25868"/>
  </w:style>
  <w:style w:type="paragraph" w:styleId="CommentSubject">
    <w:name w:val="annotation subject"/>
    <w:basedOn w:val="CommentText"/>
    <w:next w:val="CommentText"/>
    <w:link w:val="CommentSubjectChar"/>
    <w:uiPriority w:val="99"/>
    <w:semiHidden/>
    <w:unhideWhenUsed/>
    <w:rsid w:val="00E25868"/>
    <w:rPr>
      <w:b/>
      <w:bCs/>
    </w:rPr>
  </w:style>
  <w:style w:type="character" w:customStyle="1" w:styleId="CommentSubjectChar">
    <w:name w:val="Comment Subject Char"/>
    <w:basedOn w:val="CommentTextChar"/>
    <w:link w:val="CommentSubject"/>
    <w:uiPriority w:val="99"/>
    <w:semiHidden/>
    <w:rsid w:val="00E25868"/>
    <w:rPr>
      <w:b/>
      <w:bCs/>
    </w:rPr>
  </w:style>
  <w:style w:type="paragraph" w:customStyle="1" w:styleId="MediumGrid21">
    <w:name w:val="Medium Grid 21"/>
    <w:uiPriority w:val="1"/>
    <w:qFormat/>
    <w:rsid w:val="00FF294D"/>
    <w:rPr>
      <w:rFonts w:ascii="Calibri" w:eastAsia="Calibri" w:hAnsi="Calibri" w:cs="Times New Roman"/>
      <w:sz w:val="22"/>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51298">
      <w:bodyDiv w:val="1"/>
      <w:marLeft w:val="0"/>
      <w:marRight w:val="0"/>
      <w:marTop w:val="0"/>
      <w:marBottom w:val="0"/>
      <w:divBdr>
        <w:top w:val="none" w:sz="0" w:space="0" w:color="auto"/>
        <w:left w:val="none" w:sz="0" w:space="0" w:color="auto"/>
        <w:bottom w:val="none" w:sz="0" w:space="0" w:color="auto"/>
        <w:right w:val="none" w:sz="0" w:space="0" w:color="auto"/>
      </w:divBdr>
      <w:divsChild>
        <w:div w:id="722874438">
          <w:marLeft w:val="0"/>
          <w:marRight w:val="0"/>
          <w:marTop w:val="0"/>
          <w:marBottom w:val="0"/>
          <w:divBdr>
            <w:top w:val="none" w:sz="0" w:space="0" w:color="auto"/>
            <w:left w:val="none" w:sz="0" w:space="0" w:color="auto"/>
            <w:bottom w:val="none" w:sz="0" w:space="0" w:color="auto"/>
            <w:right w:val="none" w:sz="0" w:space="0" w:color="auto"/>
          </w:divBdr>
          <w:divsChild>
            <w:div w:id="202060454">
              <w:marLeft w:val="0"/>
              <w:marRight w:val="0"/>
              <w:marTop w:val="0"/>
              <w:marBottom w:val="0"/>
              <w:divBdr>
                <w:top w:val="none" w:sz="0" w:space="0" w:color="auto"/>
                <w:left w:val="none" w:sz="0" w:space="0" w:color="auto"/>
                <w:bottom w:val="none" w:sz="0" w:space="0" w:color="auto"/>
                <w:right w:val="none" w:sz="0" w:space="0" w:color="auto"/>
              </w:divBdr>
              <w:divsChild>
                <w:div w:id="1035544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806082">
      <w:bodyDiv w:val="1"/>
      <w:marLeft w:val="0"/>
      <w:marRight w:val="0"/>
      <w:marTop w:val="0"/>
      <w:marBottom w:val="0"/>
      <w:divBdr>
        <w:top w:val="none" w:sz="0" w:space="0" w:color="auto"/>
        <w:left w:val="none" w:sz="0" w:space="0" w:color="auto"/>
        <w:bottom w:val="none" w:sz="0" w:space="0" w:color="auto"/>
        <w:right w:val="none" w:sz="0" w:space="0" w:color="auto"/>
      </w:divBdr>
      <w:divsChild>
        <w:div w:id="1632974228">
          <w:marLeft w:val="0"/>
          <w:marRight w:val="0"/>
          <w:marTop w:val="0"/>
          <w:marBottom w:val="0"/>
          <w:divBdr>
            <w:top w:val="none" w:sz="0" w:space="0" w:color="auto"/>
            <w:left w:val="none" w:sz="0" w:space="0" w:color="auto"/>
            <w:bottom w:val="none" w:sz="0" w:space="0" w:color="auto"/>
            <w:right w:val="none" w:sz="0" w:space="0" w:color="auto"/>
          </w:divBdr>
          <w:divsChild>
            <w:div w:id="917835166">
              <w:marLeft w:val="0"/>
              <w:marRight w:val="0"/>
              <w:marTop w:val="0"/>
              <w:marBottom w:val="0"/>
              <w:divBdr>
                <w:top w:val="none" w:sz="0" w:space="0" w:color="auto"/>
                <w:left w:val="none" w:sz="0" w:space="0" w:color="auto"/>
                <w:bottom w:val="none" w:sz="0" w:space="0" w:color="auto"/>
                <w:right w:val="none" w:sz="0" w:space="0" w:color="auto"/>
              </w:divBdr>
              <w:divsChild>
                <w:div w:id="61521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2053858">
      <w:bodyDiv w:val="1"/>
      <w:marLeft w:val="0"/>
      <w:marRight w:val="0"/>
      <w:marTop w:val="0"/>
      <w:marBottom w:val="0"/>
      <w:divBdr>
        <w:top w:val="none" w:sz="0" w:space="0" w:color="auto"/>
        <w:left w:val="none" w:sz="0" w:space="0" w:color="auto"/>
        <w:bottom w:val="none" w:sz="0" w:space="0" w:color="auto"/>
        <w:right w:val="none" w:sz="0" w:space="0" w:color="auto"/>
      </w:divBdr>
      <w:divsChild>
        <w:div w:id="770584513">
          <w:marLeft w:val="0"/>
          <w:marRight w:val="0"/>
          <w:marTop w:val="0"/>
          <w:marBottom w:val="0"/>
          <w:divBdr>
            <w:top w:val="none" w:sz="0" w:space="0" w:color="auto"/>
            <w:left w:val="none" w:sz="0" w:space="0" w:color="auto"/>
            <w:bottom w:val="none" w:sz="0" w:space="0" w:color="auto"/>
            <w:right w:val="none" w:sz="0" w:space="0" w:color="auto"/>
          </w:divBdr>
          <w:divsChild>
            <w:div w:id="1843465979">
              <w:marLeft w:val="0"/>
              <w:marRight w:val="0"/>
              <w:marTop w:val="0"/>
              <w:marBottom w:val="0"/>
              <w:divBdr>
                <w:top w:val="none" w:sz="0" w:space="0" w:color="auto"/>
                <w:left w:val="none" w:sz="0" w:space="0" w:color="auto"/>
                <w:bottom w:val="none" w:sz="0" w:space="0" w:color="auto"/>
                <w:right w:val="none" w:sz="0" w:space="0" w:color="auto"/>
              </w:divBdr>
              <w:divsChild>
                <w:div w:id="319776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9835419">
      <w:bodyDiv w:val="1"/>
      <w:marLeft w:val="0"/>
      <w:marRight w:val="0"/>
      <w:marTop w:val="0"/>
      <w:marBottom w:val="0"/>
      <w:divBdr>
        <w:top w:val="none" w:sz="0" w:space="0" w:color="auto"/>
        <w:left w:val="none" w:sz="0" w:space="0" w:color="auto"/>
        <w:bottom w:val="none" w:sz="0" w:space="0" w:color="auto"/>
        <w:right w:val="none" w:sz="0" w:space="0" w:color="auto"/>
      </w:divBdr>
    </w:div>
    <w:div w:id="449934944">
      <w:bodyDiv w:val="1"/>
      <w:marLeft w:val="0"/>
      <w:marRight w:val="0"/>
      <w:marTop w:val="0"/>
      <w:marBottom w:val="0"/>
      <w:divBdr>
        <w:top w:val="none" w:sz="0" w:space="0" w:color="auto"/>
        <w:left w:val="none" w:sz="0" w:space="0" w:color="auto"/>
        <w:bottom w:val="none" w:sz="0" w:space="0" w:color="auto"/>
        <w:right w:val="none" w:sz="0" w:space="0" w:color="auto"/>
      </w:divBdr>
      <w:divsChild>
        <w:div w:id="1991134995">
          <w:marLeft w:val="0"/>
          <w:marRight w:val="0"/>
          <w:marTop w:val="0"/>
          <w:marBottom w:val="0"/>
          <w:divBdr>
            <w:top w:val="none" w:sz="0" w:space="0" w:color="auto"/>
            <w:left w:val="none" w:sz="0" w:space="0" w:color="auto"/>
            <w:bottom w:val="none" w:sz="0" w:space="0" w:color="auto"/>
            <w:right w:val="none" w:sz="0" w:space="0" w:color="auto"/>
          </w:divBdr>
          <w:divsChild>
            <w:div w:id="826627975">
              <w:marLeft w:val="0"/>
              <w:marRight w:val="0"/>
              <w:marTop w:val="0"/>
              <w:marBottom w:val="0"/>
              <w:divBdr>
                <w:top w:val="none" w:sz="0" w:space="0" w:color="auto"/>
                <w:left w:val="none" w:sz="0" w:space="0" w:color="auto"/>
                <w:bottom w:val="none" w:sz="0" w:space="0" w:color="auto"/>
                <w:right w:val="none" w:sz="0" w:space="0" w:color="auto"/>
              </w:divBdr>
              <w:divsChild>
                <w:div w:id="1814181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5684618">
      <w:bodyDiv w:val="1"/>
      <w:marLeft w:val="0"/>
      <w:marRight w:val="0"/>
      <w:marTop w:val="0"/>
      <w:marBottom w:val="0"/>
      <w:divBdr>
        <w:top w:val="none" w:sz="0" w:space="0" w:color="auto"/>
        <w:left w:val="none" w:sz="0" w:space="0" w:color="auto"/>
        <w:bottom w:val="none" w:sz="0" w:space="0" w:color="auto"/>
        <w:right w:val="none" w:sz="0" w:space="0" w:color="auto"/>
      </w:divBdr>
    </w:div>
    <w:div w:id="694232103">
      <w:bodyDiv w:val="1"/>
      <w:marLeft w:val="0"/>
      <w:marRight w:val="0"/>
      <w:marTop w:val="0"/>
      <w:marBottom w:val="0"/>
      <w:divBdr>
        <w:top w:val="none" w:sz="0" w:space="0" w:color="auto"/>
        <w:left w:val="none" w:sz="0" w:space="0" w:color="auto"/>
        <w:bottom w:val="none" w:sz="0" w:space="0" w:color="auto"/>
        <w:right w:val="none" w:sz="0" w:space="0" w:color="auto"/>
      </w:divBdr>
    </w:div>
    <w:div w:id="886911060">
      <w:bodyDiv w:val="1"/>
      <w:marLeft w:val="0"/>
      <w:marRight w:val="0"/>
      <w:marTop w:val="0"/>
      <w:marBottom w:val="0"/>
      <w:divBdr>
        <w:top w:val="none" w:sz="0" w:space="0" w:color="auto"/>
        <w:left w:val="none" w:sz="0" w:space="0" w:color="auto"/>
        <w:bottom w:val="none" w:sz="0" w:space="0" w:color="auto"/>
        <w:right w:val="none" w:sz="0" w:space="0" w:color="auto"/>
      </w:divBdr>
    </w:div>
    <w:div w:id="1005285678">
      <w:bodyDiv w:val="1"/>
      <w:marLeft w:val="0"/>
      <w:marRight w:val="0"/>
      <w:marTop w:val="0"/>
      <w:marBottom w:val="0"/>
      <w:divBdr>
        <w:top w:val="none" w:sz="0" w:space="0" w:color="auto"/>
        <w:left w:val="none" w:sz="0" w:space="0" w:color="auto"/>
        <w:bottom w:val="none" w:sz="0" w:space="0" w:color="auto"/>
        <w:right w:val="none" w:sz="0" w:space="0" w:color="auto"/>
      </w:divBdr>
    </w:div>
    <w:div w:id="1018040290">
      <w:bodyDiv w:val="1"/>
      <w:marLeft w:val="0"/>
      <w:marRight w:val="0"/>
      <w:marTop w:val="0"/>
      <w:marBottom w:val="0"/>
      <w:divBdr>
        <w:top w:val="none" w:sz="0" w:space="0" w:color="auto"/>
        <w:left w:val="none" w:sz="0" w:space="0" w:color="auto"/>
        <w:bottom w:val="none" w:sz="0" w:space="0" w:color="auto"/>
        <w:right w:val="none" w:sz="0" w:space="0" w:color="auto"/>
      </w:divBdr>
      <w:divsChild>
        <w:div w:id="382565793">
          <w:marLeft w:val="0"/>
          <w:marRight w:val="0"/>
          <w:marTop w:val="0"/>
          <w:marBottom w:val="0"/>
          <w:divBdr>
            <w:top w:val="none" w:sz="0" w:space="0" w:color="auto"/>
            <w:left w:val="none" w:sz="0" w:space="0" w:color="auto"/>
            <w:bottom w:val="none" w:sz="0" w:space="0" w:color="auto"/>
            <w:right w:val="none" w:sz="0" w:space="0" w:color="auto"/>
          </w:divBdr>
          <w:divsChild>
            <w:div w:id="1711805101">
              <w:marLeft w:val="0"/>
              <w:marRight w:val="0"/>
              <w:marTop w:val="0"/>
              <w:marBottom w:val="0"/>
              <w:divBdr>
                <w:top w:val="none" w:sz="0" w:space="0" w:color="auto"/>
                <w:left w:val="none" w:sz="0" w:space="0" w:color="auto"/>
                <w:bottom w:val="none" w:sz="0" w:space="0" w:color="auto"/>
                <w:right w:val="none" w:sz="0" w:space="0" w:color="auto"/>
              </w:divBdr>
              <w:divsChild>
                <w:div w:id="1691760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843027">
      <w:bodyDiv w:val="1"/>
      <w:marLeft w:val="0"/>
      <w:marRight w:val="0"/>
      <w:marTop w:val="0"/>
      <w:marBottom w:val="0"/>
      <w:divBdr>
        <w:top w:val="none" w:sz="0" w:space="0" w:color="auto"/>
        <w:left w:val="none" w:sz="0" w:space="0" w:color="auto"/>
        <w:bottom w:val="none" w:sz="0" w:space="0" w:color="auto"/>
        <w:right w:val="none" w:sz="0" w:space="0" w:color="auto"/>
      </w:divBdr>
      <w:divsChild>
        <w:div w:id="1201626287">
          <w:marLeft w:val="0"/>
          <w:marRight w:val="0"/>
          <w:marTop w:val="0"/>
          <w:marBottom w:val="0"/>
          <w:divBdr>
            <w:top w:val="none" w:sz="0" w:space="0" w:color="auto"/>
            <w:left w:val="none" w:sz="0" w:space="0" w:color="auto"/>
            <w:bottom w:val="none" w:sz="0" w:space="0" w:color="auto"/>
            <w:right w:val="none" w:sz="0" w:space="0" w:color="auto"/>
          </w:divBdr>
          <w:divsChild>
            <w:div w:id="1463382269">
              <w:marLeft w:val="0"/>
              <w:marRight w:val="0"/>
              <w:marTop w:val="0"/>
              <w:marBottom w:val="0"/>
              <w:divBdr>
                <w:top w:val="none" w:sz="0" w:space="0" w:color="auto"/>
                <w:left w:val="none" w:sz="0" w:space="0" w:color="auto"/>
                <w:bottom w:val="none" w:sz="0" w:space="0" w:color="auto"/>
                <w:right w:val="none" w:sz="0" w:space="0" w:color="auto"/>
              </w:divBdr>
              <w:divsChild>
                <w:div w:id="1693610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148240">
      <w:bodyDiv w:val="1"/>
      <w:marLeft w:val="0"/>
      <w:marRight w:val="0"/>
      <w:marTop w:val="0"/>
      <w:marBottom w:val="0"/>
      <w:divBdr>
        <w:top w:val="none" w:sz="0" w:space="0" w:color="auto"/>
        <w:left w:val="none" w:sz="0" w:space="0" w:color="auto"/>
        <w:bottom w:val="none" w:sz="0" w:space="0" w:color="auto"/>
        <w:right w:val="none" w:sz="0" w:space="0" w:color="auto"/>
      </w:divBdr>
      <w:divsChild>
        <w:div w:id="177086592">
          <w:marLeft w:val="0"/>
          <w:marRight w:val="0"/>
          <w:marTop w:val="0"/>
          <w:marBottom w:val="0"/>
          <w:divBdr>
            <w:top w:val="none" w:sz="0" w:space="0" w:color="auto"/>
            <w:left w:val="none" w:sz="0" w:space="0" w:color="auto"/>
            <w:bottom w:val="none" w:sz="0" w:space="0" w:color="auto"/>
            <w:right w:val="none" w:sz="0" w:space="0" w:color="auto"/>
          </w:divBdr>
        </w:div>
      </w:divsChild>
    </w:div>
    <w:div w:id="1798258491">
      <w:bodyDiv w:val="1"/>
      <w:marLeft w:val="0"/>
      <w:marRight w:val="0"/>
      <w:marTop w:val="0"/>
      <w:marBottom w:val="0"/>
      <w:divBdr>
        <w:top w:val="none" w:sz="0" w:space="0" w:color="auto"/>
        <w:left w:val="none" w:sz="0" w:space="0" w:color="auto"/>
        <w:bottom w:val="none" w:sz="0" w:space="0" w:color="auto"/>
        <w:right w:val="none" w:sz="0" w:space="0" w:color="auto"/>
      </w:divBdr>
      <w:divsChild>
        <w:div w:id="1166243417">
          <w:marLeft w:val="0"/>
          <w:marRight w:val="0"/>
          <w:marTop w:val="0"/>
          <w:marBottom w:val="0"/>
          <w:divBdr>
            <w:top w:val="none" w:sz="0" w:space="0" w:color="auto"/>
            <w:left w:val="none" w:sz="0" w:space="0" w:color="auto"/>
            <w:bottom w:val="none" w:sz="0" w:space="0" w:color="auto"/>
            <w:right w:val="none" w:sz="0" w:space="0" w:color="auto"/>
          </w:divBdr>
          <w:divsChild>
            <w:div w:id="363288410">
              <w:marLeft w:val="0"/>
              <w:marRight w:val="0"/>
              <w:marTop w:val="0"/>
              <w:marBottom w:val="0"/>
              <w:divBdr>
                <w:top w:val="none" w:sz="0" w:space="0" w:color="auto"/>
                <w:left w:val="none" w:sz="0" w:space="0" w:color="auto"/>
                <w:bottom w:val="none" w:sz="0" w:space="0" w:color="auto"/>
                <w:right w:val="none" w:sz="0" w:space="0" w:color="auto"/>
              </w:divBdr>
              <w:divsChild>
                <w:div w:id="496770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6832764">
      <w:bodyDiv w:val="1"/>
      <w:marLeft w:val="0"/>
      <w:marRight w:val="0"/>
      <w:marTop w:val="0"/>
      <w:marBottom w:val="0"/>
      <w:divBdr>
        <w:top w:val="none" w:sz="0" w:space="0" w:color="auto"/>
        <w:left w:val="none" w:sz="0" w:space="0" w:color="auto"/>
        <w:bottom w:val="none" w:sz="0" w:space="0" w:color="auto"/>
        <w:right w:val="none" w:sz="0" w:space="0" w:color="auto"/>
      </w:divBdr>
    </w:div>
    <w:div w:id="2102943210">
      <w:bodyDiv w:val="1"/>
      <w:marLeft w:val="0"/>
      <w:marRight w:val="0"/>
      <w:marTop w:val="0"/>
      <w:marBottom w:val="0"/>
      <w:divBdr>
        <w:top w:val="none" w:sz="0" w:space="0" w:color="auto"/>
        <w:left w:val="none" w:sz="0" w:space="0" w:color="auto"/>
        <w:bottom w:val="none" w:sz="0" w:space="0" w:color="auto"/>
        <w:right w:val="none" w:sz="0" w:space="0" w:color="auto"/>
      </w:divBdr>
      <w:divsChild>
        <w:div w:id="1580285122">
          <w:marLeft w:val="0"/>
          <w:marRight w:val="0"/>
          <w:marTop w:val="0"/>
          <w:marBottom w:val="0"/>
          <w:divBdr>
            <w:top w:val="none" w:sz="0" w:space="0" w:color="auto"/>
            <w:left w:val="none" w:sz="0" w:space="0" w:color="auto"/>
            <w:bottom w:val="none" w:sz="0" w:space="0" w:color="auto"/>
            <w:right w:val="none" w:sz="0" w:space="0" w:color="auto"/>
          </w:divBdr>
          <w:divsChild>
            <w:div w:id="952056448">
              <w:marLeft w:val="0"/>
              <w:marRight w:val="0"/>
              <w:marTop w:val="0"/>
              <w:marBottom w:val="0"/>
              <w:divBdr>
                <w:top w:val="none" w:sz="0" w:space="0" w:color="auto"/>
                <w:left w:val="none" w:sz="0" w:space="0" w:color="auto"/>
                <w:bottom w:val="none" w:sz="0" w:space="0" w:color="auto"/>
                <w:right w:val="none" w:sz="0" w:space="0" w:color="auto"/>
              </w:divBdr>
              <w:divsChild>
                <w:div w:id="1675263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dx.doi.org/10.1080/14615517.2014.981049"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314509F7</Template>
  <TotalTime>90</TotalTime>
  <Pages>14</Pages>
  <Words>7361</Words>
  <Characters>41959</Characters>
  <Application>Microsoft Office Word</Application>
  <DocSecurity>0</DocSecurity>
  <Lines>349</Lines>
  <Paragraphs>98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49222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Alan Bond (ENV)</cp:lastModifiedBy>
  <cp:revision>35</cp:revision>
  <dcterms:created xsi:type="dcterms:W3CDTF">2014-10-16T07:38:00Z</dcterms:created>
  <dcterms:modified xsi:type="dcterms:W3CDTF">2014-10-27T09:50:00Z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1637157521</vt:i4>
  </property>
  <property fmtid="{D5CDD505-2E9C-101B-9397-08002B2CF9AE}" pid="3" name="_NewReviewCycle">
    <vt:lpwstr/>
  </property>
  <property fmtid="{D5CDD505-2E9C-101B-9397-08002B2CF9AE}" pid="4" name="_EmailSubject">
    <vt:lpwstr>Alan and the final push Re: Reviewer comments - proponents benefits paper</vt:lpwstr>
  </property>
  <property fmtid="{D5CDD505-2E9C-101B-9397-08002B2CF9AE}" pid="5" name="_AuthorEmail">
    <vt:lpwstr>Alan.Bond@uea.ac.uk</vt:lpwstr>
  </property>
  <property fmtid="{D5CDD505-2E9C-101B-9397-08002B2CF9AE}" pid="6" name="_AuthorEmailDisplayName">
    <vt:lpwstr>Alan Bond (ENV)</vt:lpwstr>
  </property>
  <property fmtid="{D5CDD505-2E9C-101B-9397-08002B2CF9AE}" pid="7" name="_ReviewingToolsShownOnce">
    <vt:lpwstr/>
  </property>
</Properties>
</file>