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BEB" w:rsidRDefault="00E82BEB" w:rsidP="00E82BEB">
      <w:pPr>
        <w:pStyle w:val="Title"/>
        <w:ind w:firstLine="0"/>
      </w:pPr>
      <w:r w:rsidRPr="008E0F92">
        <w:t>A decade of learning about publics, participation &amp; climate change: institutionalising reflexivity</w:t>
      </w:r>
      <w:r>
        <w:t>?</w:t>
      </w:r>
    </w:p>
    <w:p w:rsidR="00E82BEB" w:rsidRDefault="00E82BEB" w:rsidP="00E82BEB">
      <w:r>
        <w:t xml:space="preserve">Manuscript submitted to the journal </w:t>
      </w:r>
      <w:r w:rsidRPr="004705BD">
        <w:rPr>
          <w:i/>
        </w:rPr>
        <w:t>Environment and Planning A</w:t>
      </w:r>
    </w:p>
    <w:p w:rsidR="00E82BEB" w:rsidRDefault="00E82BEB" w:rsidP="00E82BEB"/>
    <w:p w:rsidR="00E82BEB" w:rsidRPr="00E82BEB" w:rsidRDefault="00E82BEB" w:rsidP="00E82BEB">
      <w:pPr>
        <w:rPr>
          <w:b/>
        </w:rPr>
      </w:pPr>
      <w:r w:rsidRPr="00E82BEB">
        <w:rPr>
          <w:b/>
        </w:rPr>
        <w:t xml:space="preserve">Helen </w:t>
      </w:r>
      <w:proofErr w:type="spellStart"/>
      <w:r w:rsidRPr="00E82BEB">
        <w:rPr>
          <w:b/>
        </w:rPr>
        <w:t>Pallett</w:t>
      </w:r>
      <w:proofErr w:type="spellEnd"/>
      <w:r>
        <w:rPr>
          <w:b/>
        </w:rPr>
        <w:t xml:space="preserve"> </w:t>
      </w:r>
      <w:r w:rsidR="004705BD">
        <w:rPr>
          <w:b/>
        </w:rPr>
        <w:t>(first author)</w:t>
      </w:r>
    </w:p>
    <w:p w:rsidR="00260DA1" w:rsidRDefault="00E82BEB">
      <w:r>
        <w:t>Science, Society and Sustainability Group (3S)</w:t>
      </w:r>
    </w:p>
    <w:p w:rsidR="00E82BEB" w:rsidRDefault="00E82BEB">
      <w:r>
        <w:t>School of Environmental Sciences</w:t>
      </w:r>
    </w:p>
    <w:p w:rsidR="00E82BEB" w:rsidRDefault="00E82BEB">
      <w:r>
        <w:t>University of East Anglia</w:t>
      </w:r>
    </w:p>
    <w:p w:rsidR="00E82BEB" w:rsidRDefault="00E82BEB">
      <w:r>
        <w:t>Norwich Research Park</w:t>
      </w:r>
    </w:p>
    <w:p w:rsidR="00E82BEB" w:rsidRDefault="00E82BEB">
      <w:r>
        <w:t>Norwich</w:t>
      </w:r>
    </w:p>
    <w:p w:rsidR="00E82BEB" w:rsidRDefault="00E82BEB">
      <w:r>
        <w:t>NR4 7TJ</w:t>
      </w:r>
    </w:p>
    <w:p w:rsidR="00E82BEB" w:rsidRDefault="00E82BEB">
      <w:r>
        <w:t>UK</w:t>
      </w:r>
    </w:p>
    <w:p w:rsidR="00E82BEB" w:rsidRDefault="00E82BEB">
      <w:r>
        <w:t xml:space="preserve">Email: </w:t>
      </w:r>
      <w:hyperlink r:id="rId7" w:history="1">
        <w:r w:rsidRPr="00EA7303">
          <w:rPr>
            <w:rStyle w:val="Hyperlink"/>
          </w:rPr>
          <w:t>h.pallett@uea.ac.uk</w:t>
        </w:r>
      </w:hyperlink>
    </w:p>
    <w:p w:rsidR="00E82BEB" w:rsidRDefault="00E82BEB" w:rsidP="00E82BEB">
      <w:r>
        <w:t xml:space="preserve">Work telephone: </w:t>
      </w:r>
      <w:r w:rsidRPr="00E82BEB">
        <w:t>+44 (0)1603 591833</w:t>
      </w:r>
    </w:p>
    <w:p w:rsidR="00E82BEB" w:rsidRDefault="00E82BEB" w:rsidP="00E82BEB"/>
    <w:p w:rsidR="00E82BEB" w:rsidRDefault="00E82BEB" w:rsidP="00E82BEB">
      <w:pPr>
        <w:rPr>
          <w:b/>
        </w:rPr>
      </w:pPr>
      <w:r>
        <w:rPr>
          <w:b/>
        </w:rPr>
        <w:t>Dr Jason Chilvers</w:t>
      </w:r>
    </w:p>
    <w:p w:rsidR="00E82BEB" w:rsidRDefault="00E82BEB" w:rsidP="00E82BEB">
      <w:r>
        <w:t>Science, Society and Sustainability Group (3S)</w:t>
      </w:r>
    </w:p>
    <w:p w:rsidR="00E82BEB" w:rsidRDefault="00E82BEB" w:rsidP="00E82BEB">
      <w:r>
        <w:t>School of Environmental Sciences</w:t>
      </w:r>
    </w:p>
    <w:p w:rsidR="00E82BEB" w:rsidRDefault="00E82BEB" w:rsidP="00E82BEB">
      <w:r>
        <w:t>University of East Anglia</w:t>
      </w:r>
    </w:p>
    <w:p w:rsidR="00E82BEB" w:rsidRDefault="00E82BEB" w:rsidP="00E82BEB">
      <w:r>
        <w:t>Norwich Research Park</w:t>
      </w:r>
    </w:p>
    <w:p w:rsidR="00E82BEB" w:rsidRDefault="00E82BEB" w:rsidP="00E82BEB">
      <w:r>
        <w:t>Norwich</w:t>
      </w:r>
    </w:p>
    <w:p w:rsidR="00E82BEB" w:rsidRDefault="00E82BEB" w:rsidP="00E82BEB">
      <w:r>
        <w:t>NR4 7TJ</w:t>
      </w:r>
    </w:p>
    <w:p w:rsidR="00E82BEB" w:rsidRDefault="00E82BEB" w:rsidP="00E82BEB">
      <w:r>
        <w:t>UK</w:t>
      </w:r>
    </w:p>
    <w:p w:rsidR="00E82BEB" w:rsidRDefault="00E82BEB" w:rsidP="00E82BEB">
      <w:r>
        <w:t xml:space="preserve">Email: </w:t>
      </w:r>
      <w:hyperlink r:id="rId8" w:history="1">
        <w:r w:rsidRPr="00EA7303">
          <w:rPr>
            <w:rStyle w:val="Hyperlink"/>
          </w:rPr>
          <w:t>Jason.chilvers@uea.ac.uk</w:t>
        </w:r>
      </w:hyperlink>
      <w:r>
        <w:t xml:space="preserve"> </w:t>
      </w:r>
    </w:p>
    <w:p w:rsidR="00360869" w:rsidRDefault="00360869" w:rsidP="00E82BEB"/>
    <w:p w:rsidR="00360869" w:rsidRDefault="00606C68" w:rsidP="00E82BEB">
      <w:r>
        <w:t>Word count: 7989 (excluding tables)</w:t>
      </w:r>
    </w:p>
    <w:p w:rsidR="00360869" w:rsidRDefault="00360869">
      <w:pPr>
        <w:spacing w:after="200"/>
      </w:pPr>
      <w:r>
        <w:br w:type="page"/>
      </w:r>
    </w:p>
    <w:p w:rsidR="00360869" w:rsidRDefault="00360869" w:rsidP="00360869">
      <w:pPr>
        <w:pStyle w:val="Title"/>
        <w:ind w:firstLine="0"/>
      </w:pPr>
      <w:r w:rsidRPr="008E0F92">
        <w:lastRenderedPageBreak/>
        <w:t>A decade of learning about publics, participation &amp; climate change: institutionalising reflexivity</w:t>
      </w:r>
      <w:r>
        <w:t>?</w:t>
      </w:r>
    </w:p>
    <w:p w:rsidR="00360869" w:rsidRPr="00F65CCE" w:rsidRDefault="00360869" w:rsidP="00360869">
      <w:pPr>
        <w:rPr>
          <w:sz w:val="22"/>
        </w:rPr>
      </w:pPr>
      <w:r w:rsidRPr="00F65CCE">
        <w:rPr>
          <w:b/>
          <w:sz w:val="22"/>
        </w:rPr>
        <w:t xml:space="preserve">Abstract. </w:t>
      </w:r>
      <w:r w:rsidRPr="00F65CCE">
        <w:rPr>
          <w:sz w:val="22"/>
        </w:rPr>
        <w:t xml:space="preserve">Building on previous studies of participatory learning amongst individuals within discrete participation processes, this paper examines organisationally situated processes of learning related to public participation in science and environmental governance. Grounded theory analysis of documents and semi-structured interviews is used to explore frames of </w:t>
      </w:r>
      <w:r w:rsidRPr="00F65CCE">
        <w:rPr>
          <w:i/>
          <w:sz w:val="22"/>
        </w:rPr>
        <w:t>participation</w:t>
      </w:r>
      <w:r w:rsidRPr="00F65CCE">
        <w:rPr>
          <w:sz w:val="22"/>
        </w:rPr>
        <w:t xml:space="preserve">, </w:t>
      </w:r>
      <w:r w:rsidRPr="00F65CCE">
        <w:rPr>
          <w:i/>
          <w:sz w:val="22"/>
        </w:rPr>
        <w:t>publics</w:t>
      </w:r>
      <w:r w:rsidRPr="00F65CCE">
        <w:rPr>
          <w:sz w:val="22"/>
        </w:rPr>
        <w:t xml:space="preserve"> and the issue of </w:t>
      </w:r>
      <w:r w:rsidRPr="00F65CCE">
        <w:rPr>
          <w:i/>
          <w:sz w:val="22"/>
        </w:rPr>
        <w:t>climate change</w:t>
      </w:r>
      <w:r w:rsidRPr="00F65CCE">
        <w:rPr>
          <w:sz w:val="22"/>
        </w:rPr>
        <w:t xml:space="preserve">, both transforming and stagnant. This illuminates trends of learning and unlearning in the context of the organisational network around the UK Government-funded body Sciencewise </w:t>
      </w:r>
      <w:r>
        <w:rPr>
          <w:sz w:val="22"/>
        </w:rPr>
        <w:t>and related organisation</w:t>
      </w:r>
      <w:r w:rsidRPr="00F65CCE">
        <w:rPr>
          <w:sz w:val="22"/>
        </w:rPr>
        <w:t xml:space="preserve">s over the decade 2000-2010. It is argued that formal organisational learning mechanisms foster instrumental learning, precluding reflective and relational learning which could potentially transform organisational assumptions and routines around participation. However, informal social networks or assemblages have promoted transformative social learning and reflexivity at particular moments during the decade. </w:t>
      </w:r>
    </w:p>
    <w:p w:rsidR="00360869" w:rsidRDefault="00360869" w:rsidP="00360869">
      <w:pPr>
        <w:pStyle w:val="Heading1"/>
        <w:numPr>
          <w:ilvl w:val="0"/>
          <w:numId w:val="1"/>
        </w:numPr>
      </w:pPr>
      <w:r>
        <w:t>Introduction</w:t>
      </w:r>
    </w:p>
    <w:p w:rsidR="00360869" w:rsidRDefault="00360869" w:rsidP="00360869">
      <w:r>
        <w:t>In response to growing environmental policy pressures, an apparent ‘crisis of trust’ in scientific authority, inherent uncertainties of natural and social systems, and the demands of sustainable development, the rhetoric and practice of public participation in science and environmental governance has become widespread globally. Ideas, ideals and processes of learning lie right at the heart of these ‘new’ governance arrangements; acting as a central rationale for participation, a core design principle and desired outcome. The intention is often to promote reflexivity in response to the challenges faced by science-centred or modernist approaches to governing science and the environment in late modern society (Beck, 1992; Beck et al. 1994). The wealth of existing studies on relations between participation and learning have recognised that social (</w:t>
      </w:r>
      <w:proofErr w:type="spellStart"/>
      <w:r>
        <w:t>Webler</w:t>
      </w:r>
      <w:proofErr w:type="spellEnd"/>
      <w:r>
        <w:t xml:space="preserve"> </w:t>
      </w:r>
      <w:r w:rsidRPr="00DD4A96">
        <w:t>et al.</w:t>
      </w:r>
      <w:r>
        <w:t xml:space="preserve">, 1995) and experiential (Daniels and Walker, 1996) learning are significant within participatory experiments, and even years after the event (Bull </w:t>
      </w:r>
      <w:r w:rsidRPr="00DD4A96">
        <w:t>et al.,</w:t>
      </w:r>
      <w:r>
        <w:t xml:space="preserve"> 2008). Such work has tended to focus on participatory learning in relation to the design (</w:t>
      </w:r>
      <w:proofErr w:type="spellStart"/>
      <w:r>
        <w:t>Petts</w:t>
      </w:r>
      <w:proofErr w:type="spellEnd"/>
      <w:r>
        <w:t>, 2006) or analysis (</w:t>
      </w:r>
      <w:proofErr w:type="spellStart"/>
      <w:r>
        <w:t>Stagl</w:t>
      </w:r>
      <w:proofErr w:type="spellEnd"/>
      <w:r>
        <w:t>, 2006) of discrete participation events. Whilst the learning of participants (</w:t>
      </w:r>
      <w:proofErr w:type="spellStart"/>
      <w:r>
        <w:t>Webler</w:t>
      </w:r>
      <w:proofErr w:type="spellEnd"/>
      <w:r>
        <w:t xml:space="preserve"> </w:t>
      </w:r>
      <w:r w:rsidRPr="00DD4A96">
        <w:t>et al</w:t>
      </w:r>
      <w:r>
        <w:rPr>
          <w:i/>
        </w:rPr>
        <w:t xml:space="preserve">., </w:t>
      </w:r>
      <w:r>
        <w:t>1995) and practitioners (</w:t>
      </w:r>
      <w:proofErr w:type="spellStart"/>
      <w:r>
        <w:t>Petts</w:t>
      </w:r>
      <w:proofErr w:type="spellEnd"/>
      <w:r>
        <w:t xml:space="preserve">, 2007) involved in participatory experiments has been documented, the learning of a broader range of actors including commissioners, civil servants and organisations might also be considered. In this paper we move beyond these existing analyses by taking a longitudinal perspective on organisationally situated processes of learning. We do this through a detailed study of policy </w:t>
      </w:r>
      <w:r>
        <w:lastRenderedPageBreak/>
        <w:t>networks associated with the UK Government-funded body Sciencewise and related organisations over the decade 2000-2010.</w:t>
      </w:r>
    </w:p>
    <w:p w:rsidR="00360869" w:rsidRDefault="00360869" w:rsidP="00360869">
      <w:pPr>
        <w:ind w:firstLine="644"/>
      </w:pPr>
      <w:r>
        <w:t>A further distinctive contribution of this paper is that it develops a perspective on participatory learning that is grounded in, and contributes to, a more critical and reflexive mode of research on public engagement with science and the environment (Chilvers, 2009); where the ‘new’ scientific governance is viewed as an object of study in itself and the social construction of participation and ‘public talk’ is emphasised (Irwin, 2006). In this regard, we recognise that while critical social science interventions are one of many factors lying behind the well-documented shift from public understanding of science (PUS) to public engagement with science and ‘upstream’ engagement (</w:t>
      </w:r>
      <w:proofErr w:type="spellStart"/>
      <w:r>
        <w:t>Wilsdon</w:t>
      </w:r>
      <w:proofErr w:type="spellEnd"/>
      <w:r>
        <w:t xml:space="preserve"> and Willis 2004), these ideas have been primarily translated instrumentally, overlooking the transformative implications of the original interventions. Wynne (2006) has argued that genuine learning about public engagement and its publics is inhibited by a lack of institutional self-reflection within dominant science and policy organisations, linked to a policy culture which fosters instrumental change. Chilvers (2010) has also shown how institutional learning in relation to public dialogue in Britain remains instrumental only, thus closing down potentials for key policy and science organisations to learn reflectively or relationally. We explore these dynamics more deeply through an in-depth situated study of learning in relation to Sciencewise and related policy networks over time. In doing this we emphasise more reflexive meanings of learning that: highlight transformations in embedded assumptions, problem definitions and self-perceptions; and</w:t>
      </w:r>
      <w:r w:rsidRPr="008218EA">
        <w:t xml:space="preserve"> </w:t>
      </w:r>
      <w:r>
        <w:t>illuminate the role of power influencing learning, recognising the sometimes fragile and non-linear nature of such processes.</w:t>
      </w:r>
    </w:p>
    <w:p w:rsidR="00360869" w:rsidRDefault="00360869" w:rsidP="00360869">
      <w:pPr>
        <w:ind w:firstLine="644"/>
      </w:pPr>
      <w:r>
        <w:t xml:space="preserve">In this paper we study organisational learning from and about environmental public participation by tracing changing frames of </w:t>
      </w:r>
      <w:r w:rsidRPr="005E3537">
        <w:rPr>
          <w:i/>
        </w:rPr>
        <w:t>participation</w:t>
      </w:r>
      <w:r>
        <w:t xml:space="preserve">, </w:t>
      </w:r>
      <w:r w:rsidRPr="005E3537">
        <w:rPr>
          <w:i/>
        </w:rPr>
        <w:t>publics</w:t>
      </w:r>
      <w:r>
        <w:t xml:space="preserve"> and the issue of </w:t>
      </w:r>
      <w:r w:rsidRPr="005E3537">
        <w:rPr>
          <w:i/>
        </w:rPr>
        <w:t>climate change</w:t>
      </w:r>
      <w:r>
        <w:t xml:space="preserve"> through the Sciencewise organisational network, over a decade. These co-produced frames, at times stagnant and at times undergoing significant shifts, illuminate different qualities and mechanisms of learning and unlearning throughout the period. These can be linked to both internal and external social processes. In this sense we adopt a co-</w:t>
      </w:r>
      <w:proofErr w:type="spellStart"/>
      <w:r>
        <w:t>productionist</w:t>
      </w:r>
      <w:proofErr w:type="spellEnd"/>
      <w:r>
        <w:t xml:space="preserve"> approach (</w:t>
      </w:r>
      <w:proofErr w:type="spellStart"/>
      <w:r>
        <w:t>Jasanoff</w:t>
      </w:r>
      <w:proofErr w:type="spellEnd"/>
      <w:r>
        <w:t>, 2004) that emphasises the ways in which participatory practices and forms of mediation, the subjects (i.e. publics and participants) and the objects (i.e. methods and issue definitions) of participation are constantly shifting and mutually constituting.</w:t>
      </w:r>
    </w:p>
    <w:p w:rsidR="00360869" w:rsidRDefault="00360869" w:rsidP="00360869">
      <w:pPr>
        <w:ind w:firstLine="567"/>
      </w:pPr>
      <w:r>
        <w:t>Sciencewise is a body, attached to the UK Government Department for Business Innovation and Skills (BIS),</w:t>
      </w:r>
      <w:r w:rsidRPr="00DC00BE">
        <w:t xml:space="preserve"> </w:t>
      </w:r>
      <w:r>
        <w:t xml:space="preserve">working with other Government departments and research councils to encourage and support public dialogue around science </w:t>
      </w:r>
      <w:proofErr w:type="gramStart"/>
      <w:r>
        <w:t>policy.</w:t>
      </w:r>
      <w:proofErr w:type="gramEnd"/>
      <w:r>
        <w:t xml:space="preserve"> The organisation </w:t>
      </w:r>
      <w:r>
        <w:lastRenderedPageBreak/>
        <w:t xml:space="preserve">was set up to promote learning and knowledge-transfer across external organisations and networks, as well as stimulating internal learning processes. Sciencewise represents an important institutional experiment in the British context and is reflective of wider trends to build ‘organisations of participation’ and to institutionalise and professionalise public engagement with science in the UK (for example the ‘Beacons for Public Engagement’ in the higher education sector), Europe (such as the Danish Board of Technology in Denmark and the </w:t>
      </w:r>
      <w:proofErr w:type="spellStart"/>
      <w:r>
        <w:t>Rathenau</w:t>
      </w:r>
      <w:proofErr w:type="spellEnd"/>
      <w:r>
        <w:t xml:space="preserve"> Institute in the Netherlands), and internationally through networks such as the International Association for Public Participation (see Sciencewise, 2010). </w:t>
      </w:r>
    </w:p>
    <w:p w:rsidR="00360869" w:rsidRDefault="00360869" w:rsidP="00360869">
      <w:pPr>
        <w:ind w:firstLine="567"/>
      </w:pPr>
      <w:r>
        <w:t xml:space="preserve">We begin by critically examining relevant insights from the public engagement literature and elaborating our conceptual framework for exploring organisational learning in the context of the Sciencewise network. The key organisational and policy developments during the past decade are then described to provide the basis for an exploration of significant frames of </w:t>
      </w:r>
      <w:r w:rsidRPr="005E3537">
        <w:rPr>
          <w:i/>
        </w:rPr>
        <w:t>participation</w:t>
      </w:r>
      <w:r>
        <w:t xml:space="preserve">, </w:t>
      </w:r>
      <w:r w:rsidRPr="005E3537">
        <w:rPr>
          <w:i/>
        </w:rPr>
        <w:t>publics</w:t>
      </w:r>
      <w:r>
        <w:t xml:space="preserve"> and the issue of </w:t>
      </w:r>
      <w:r w:rsidRPr="005E3537">
        <w:rPr>
          <w:i/>
        </w:rPr>
        <w:t>climate change</w:t>
      </w:r>
      <w:r>
        <w:t xml:space="preserve"> and their transformations through time. We then lay out the mechanisms and qualities of learning within the Sciencewise policy network suggested by patterns of frames and other research findings, before finally discussing the broader relevance of our analysis for similar participation organisations of participation and the wider academic literature. </w:t>
      </w:r>
    </w:p>
    <w:p w:rsidR="00360869" w:rsidRDefault="00360869" w:rsidP="00360869">
      <w:pPr>
        <w:pStyle w:val="Heading1"/>
        <w:numPr>
          <w:ilvl w:val="0"/>
          <w:numId w:val="1"/>
        </w:numPr>
      </w:pPr>
      <w:r>
        <w:t>Participation, Learning and Institutions</w:t>
      </w:r>
    </w:p>
    <w:p w:rsidR="00360869" w:rsidRDefault="00360869" w:rsidP="00360869">
      <w:r>
        <w:t xml:space="preserve">Current approaches to studying participatory learning have drawn fruitfully on the learning theories of </w:t>
      </w:r>
      <w:proofErr w:type="spellStart"/>
      <w:r>
        <w:t>Mezirow</w:t>
      </w:r>
      <w:proofErr w:type="spellEnd"/>
      <w:r>
        <w:t xml:space="preserve"> (1997) and </w:t>
      </w:r>
      <w:proofErr w:type="spellStart"/>
      <w:r>
        <w:t>Bandura</w:t>
      </w:r>
      <w:proofErr w:type="spellEnd"/>
      <w:r>
        <w:t xml:space="preserve"> (1977) among others, yet the transformative implications of these theories have sometimes been underplayed; and instrumental learning (the acquiring of new information) is the default focus in theory and practice. Yet learning is not only about the ability to cognitively apply what one knows to what one encounters, but it also has normative and affective elements (</w:t>
      </w:r>
      <w:proofErr w:type="spellStart"/>
      <w:r>
        <w:t>Siebenhühner</w:t>
      </w:r>
      <w:proofErr w:type="spellEnd"/>
      <w:r>
        <w:t>, 2002). Transformative learning implies a change in a person’s frame of reference, leading to a greater awareness of the influences on one’s actions, such as the limitations frames place on expectations, perceptions, cognition and feelings (</w:t>
      </w:r>
      <w:proofErr w:type="spellStart"/>
      <w:r>
        <w:t>Mezirow</w:t>
      </w:r>
      <w:proofErr w:type="spellEnd"/>
      <w:r>
        <w:t>, 1997). Bandura (1977) emphasises the reciprocal relationship between external social processes and the cognitive ability of individuals to organise and transform within such constraints. Within organisations, a distinction is drawn between single-loop learning (the instrumental acquiring of new knowledge and understandings) and double-loop learning (implying changes in values and frames) (</w:t>
      </w:r>
      <w:proofErr w:type="spellStart"/>
      <w:r>
        <w:t>Argyris</w:t>
      </w:r>
      <w:proofErr w:type="spellEnd"/>
      <w:r>
        <w:t xml:space="preserve"> and </w:t>
      </w:r>
      <w:proofErr w:type="spellStart"/>
      <w:r>
        <w:t>Sch</w:t>
      </w:r>
      <w:r>
        <w:rPr>
          <w:rFonts w:cstheme="minorHAnsi"/>
        </w:rPr>
        <w:t>ӧ</w:t>
      </w:r>
      <w:r>
        <w:t>n</w:t>
      </w:r>
      <w:proofErr w:type="spellEnd"/>
      <w:r>
        <w:t xml:space="preserve">, 1996). Important aspects of this latter form of learning include the capacity for </w:t>
      </w:r>
      <w:r>
        <w:lastRenderedPageBreak/>
        <w:t xml:space="preserve">reflective learning, which can change one’s own assumptions, and relational learning, which learning about other actors (Felt and Wynne, 2007). Whilst longitudinal or ‘real-time’ studies of participation have been called for to extend understandings of participatory learning (Owens </w:t>
      </w:r>
      <w:r w:rsidRPr="004A3F1F">
        <w:t>et al.,</w:t>
      </w:r>
      <w:r>
        <w:t xml:space="preserve"> 2004; </w:t>
      </w:r>
      <w:proofErr w:type="spellStart"/>
      <w:r>
        <w:t>Petts</w:t>
      </w:r>
      <w:proofErr w:type="spellEnd"/>
      <w:r>
        <w:t>, 2007), this research gap remains underexplored.</w:t>
      </w:r>
    </w:p>
    <w:p w:rsidR="00360869" w:rsidRDefault="00360869" w:rsidP="00360869">
      <w:pPr>
        <w:ind w:firstLine="567"/>
      </w:pPr>
      <w:r>
        <w:t xml:space="preserve">The concept of reflexivity implies going beyond reflection, which would emphasise the breadth of </w:t>
      </w:r>
      <w:r w:rsidRPr="008B454D">
        <w:rPr>
          <w:i/>
        </w:rPr>
        <w:t>inputs</w:t>
      </w:r>
      <w:r>
        <w:t xml:space="preserve"> to a learning process, to attend to the openness of the </w:t>
      </w:r>
      <w:r w:rsidRPr="008B454D">
        <w:rPr>
          <w:i/>
        </w:rPr>
        <w:t>outputs</w:t>
      </w:r>
      <w:r>
        <w:t xml:space="preserve">, representing a concern to embrace multiple perspectives and </w:t>
      </w:r>
      <w:proofErr w:type="spellStart"/>
      <w:r>
        <w:t>knowledges</w:t>
      </w:r>
      <w:proofErr w:type="spellEnd"/>
      <w:r>
        <w:t xml:space="preserve"> (Smith and Stirling, 2007). Reflexivity entails internal reflection not only into one’s assumptions but also about one’s identity, and can uncover the underlying conditions and power relations affecting an individual or collective’s frames of reference (Stirling, 2006). </w:t>
      </w:r>
      <w:r w:rsidRPr="00624C88">
        <w:t xml:space="preserve">Whilst individuals are often capable of being reflexive within public engagement processes, institutions, by nature organised around routine knowledge production (Douglas, 1986), tend to be </w:t>
      </w:r>
      <w:r>
        <w:t xml:space="preserve">less </w:t>
      </w:r>
      <w:r w:rsidRPr="00624C88">
        <w:t xml:space="preserve">capable of reflective and relational </w:t>
      </w:r>
      <w:r>
        <w:t xml:space="preserve">forms of </w:t>
      </w:r>
      <w:r w:rsidRPr="00624C88">
        <w:t xml:space="preserve">learning. </w:t>
      </w:r>
      <w:r>
        <w:t>Institutions</w:t>
      </w:r>
      <w:r w:rsidRPr="00624C88">
        <w:t xml:space="preserve"> represent a durable set of practices and ideas around social activities, creating</w:t>
      </w:r>
      <w:r>
        <w:t xml:space="preserve"> (</w:t>
      </w:r>
      <w:proofErr w:type="spellStart"/>
      <w:r>
        <w:t>unreflexive</w:t>
      </w:r>
      <w:proofErr w:type="spellEnd"/>
      <w:r>
        <w:t xml:space="preserve">) </w:t>
      </w:r>
      <w:r w:rsidRPr="00624C88">
        <w:t>institutional routines</w:t>
      </w:r>
      <w:r>
        <w:t xml:space="preserve"> </w:t>
      </w:r>
      <w:r w:rsidRPr="00624C88">
        <w:t xml:space="preserve">(Bickerstaff </w:t>
      </w:r>
      <w:r w:rsidRPr="00C7568F">
        <w:rPr>
          <w:i/>
        </w:rPr>
        <w:t>et al</w:t>
      </w:r>
      <w:r>
        <w:t>.</w:t>
      </w:r>
      <w:r w:rsidRPr="00624C88">
        <w:t xml:space="preserve">, 2010). </w:t>
      </w:r>
    </w:p>
    <w:p w:rsidR="00360869" w:rsidRDefault="00360869" w:rsidP="00360869">
      <w:pPr>
        <w:ind w:firstLine="567"/>
      </w:pPr>
      <w:r>
        <w:t>Critiques of public participation theory and practice, recognising the tyranny of participation to exclude and oppress (Cooke and Kothari, 2001) and the desire for overly consensual processes (</w:t>
      </w:r>
      <w:proofErr w:type="spellStart"/>
      <w:r>
        <w:t>Tewdwr</w:t>
      </w:r>
      <w:proofErr w:type="spellEnd"/>
      <w:r>
        <w:t xml:space="preserve">-Jones and </w:t>
      </w:r>
      <w:proofErr w:type="spellStart"/>
      <w:r>
        <w:t>Allmendinger</w:t>
      </w:r>
      <w:proofErr w:type="spellEnd"/>
      <w:r>
        <w:t>, 1998) are now well-established. Yet the emerging strand of critical research on public engagement with science and the environment (see Chilvers, 2009) seeks to be more constructively critical, going beyond process evaluations to improve understanding of governmental technologies, such as participatory experiments (</w:t>
      </w:r>
      <w:proofErr w:type="spellStart"/>
      <w:r>
        <w:t>Lezaun</w:t>
      </w:r>
      <w:proofErr w:type="spellEnd"/>
      <w:r>
        <w:t xml:space="preserve"> and </w:t>
      </w:r>
      <w:proofErr w:type="spellStart"/>
      <w:r>
        <w:t>Soneryd</w:t>
      </w:r>
      <w:proofErr w:type="spellEnd"/>
      <w:r>
        <w:t>, 2007), their institutional contexts, and the social construction of participation and ‘public talk’ (Irwin, 2006). This critical perspective adopts the co-</w:t>
      </w:r>
      <w:proofErr w:type="spellStart"/>
      <w:r>
        <w:t>productionist</w:t>
      </w:r>
      <w:proofErr w:type="spellEnd"/>
      <w:r>
        <w:t xml:space="preserve"> idiom from work in science and technology studies (STS) (</w:t>
      </w:r>
      <w:proofErr w:type="spellStart"/>
      <w:r>
        <w:t>Jasanoff</w:t>
      </w:r>
      <w:proofErr w:type="spellEnd"/>
      <w:r>
        <w:t xml:space="preserve">, 2004) to highlight close relationships between governance and knowledge production and explore the ways in which techniques or technologies of participation, and associated forms of mediation, attempt to fix particular definitions of ‘the public’ and the issue in question. Thus these subjects and objects of participation are constantly shifting and mutually constituting. </w:t>
      </w:r>
    </w:p>
    <w:p w:rsidR="00360869" w:rsidRDefault="00360869" w:rsidP="00360869">
      <w:pPr>
        <w:ind w:firstLine="567"/>
      </w:pPr>
      <w:r>
        <w:t xml:space="preserve">In this way, the critical public engagement literature examines how different visions of publics and issue definitions are ‘brought into being’ through participatory experiments (e.g. </w:t>
      </w:r>
      <w:proofErr w:type="spellStart"/>
      <w:r>
        <w:t>Marres</w:t>
      </w:r>
      <w:proofErr w:type="spellEnd"/>
      <w:r>
        <w:t xml:space="preserve">, 2007). In particular, it has been noted in Western European case-studies that due to the broad influence of social surveying methods there is an increasing desire to seek out ‘innocent citizens’ (Irwin, 2001) or the ‘pure public’ (Braun and Schultz, 2010) for </w:t>
      </w:r>
      <w:r>
        <w:lastRenderedPageBreak/>
        <w:t>involvement in participatory experiments. This vision of publics is linked to definitions of issues like GMOs, nanotechnology or nuclear waste, framed as matters of objective or robust science, down-playing political, social, economic and moral dimensions of the issue which the ‘affected’ (Braun and Schultz, 2010) or biased (</w:t>
      </w:r>
      <w:proofErr w:type="spellStart"/>
      <w:r>
        <w:t>Lezaun</w:t>
      </w:r>
      <w:proofErr w:type="spellEnd"/>
      <w:r>
        <w:t xml:space="preserve"> and </w:t>
      </w:r>
      <w:proofErr w:type="spellStart"/>
      <w:r>
        <w:t>Soneryd</w:t>
      </w:r>
      <w:proofErr w:type="spellEnd"/>
      <w:r>
        <w:t xml:space="preserve">, 2007) public might emphasise. These visions are not neutral, rather they have the power to include and exclude certain actors, arguments and approaches from participatory experiments, and thus it is important to understand and unpack them. </w:t>
      </w:r>
    </w:p>
    <w:p w:rsidR="00360869" w:rsidRDefault="00360869" w:rsidP="00360869">
      <w:pPr>
        <w:pStyle w:val="Heading2"/>
        <w:ind w:firstLine="0"/>
      </w:pPr>
      <w:r>
        <w:t>Conceptual Framework</w:t>
      </w:r>
    </w:p>
    <w:p w:rsidR="00360869" w:rsidRDefault="00360869" w:rsidP="00360869">
      <w:r>
        <w:t>In the following analysis we explore learning through stagnant and transforming frames of participation, publics and the issue of climate change in relation to the policy network associated with the Government-funded body Sciencewise. Changing or fixed frames reflect certain kinds of learning, taking place at different times and in different contexts. The persistence of a particular frame would suggest that learning was instrumental or single-loop. Whereas greater transformation of the frames in question would provide evidence that double-loop reflective or relational learning had occurred.</w:t>
      </w:r>
      <w:r w:rsidRPr="00791387">
        <w:t xml:space="preserve"> </w:t>
      </w:r>
    </w:p>
    <w:p w:rsidR="00360869" w:rsidRDefault="00360869" w:rsidP="00360869">
      <w:pPr>
        <w:ind w:firstLine="567"/>
      </w:pPr>
      <w:r>
        <w:t xml:space="preserve">The current focus of participatory learning networks on best practice and capacity building </w:t>
      </w:r>
      <w:r>
        <w:rPr>
          <w:noProof/>
        </w:rPr>
        <w:t xml:space="preserve">(e.g. Reed, 2008) </w:t>
      </w:r>
      <w:r>
        <w:t>is instrumental</w:t>
      </w:r>
      <w:r>
        <w:rPr>
          <w:noProof/>
        </w:rPr>
        <w:t>, aiming solely to disseminate information about carrying out participation processes. This suggests</w:t>
      </w:r>
      <w:r>
        <w:t xml:space="preserve"> that frames of </w:t>
      </w:r>
      <w:r w:rsidRPr="00773E8D">
        <w:rPr>
          <w:i/>
        </w:rPr>
        <w:t>participation</w:t>
      </w:r>
      <w:r>
        <w:t xml:space="preserve"> might be consistent over the decade. For example, the frame of participation as consensual activity is strong in policy literatures (e.g. CST, 2005); yet this notion contradicts post-</w:t>
      </w:r>
      <w:proofErr w:type="spellStart"/>
      <w:r>
        <w:t>structuralist</w:t>
      </w:r>
      <w:proofErr w:type="spellEnd"/>
      <w:r>
        <w:t xml:space="preserve"> theories of power and has a strong focus on the process rather than outcomes of participation, masking the role played by mediators and planners in structuring such processes, contributing to a closing down of policy discourses </w:t>
      </w:r>
      <w:r>
        <w:rPr>
          <w:noProof/>
        </w:rPr>
        <w:t>(Stirling, 2008)</w:t>
      </w:r>
      <w:r>
        <w:t>. The persistence of such a frame around participation would be evidence of instrumental learning.</w:t>
      </w:r>
      <w:r w:rsidRPr="00EA2EEB">
        <w:t xml:space="preserve"> </w:t>
      </w:r>
      <w:r>
        <w:t xml:space="preserve">In contrast, reflection on the conditions that shape and frame particular visions of participation and opening up to consider new spaces </w:t>
      </w:r>
      <w:r>
        <w:rPr>
          <w:noProof/>
        </w:rPr>
        <w:t>(Kesby, 2007)</w:t>
      </w:r>
      <w:r>
        <w:t xml:space="preserve"> and forms </w:t>
      </w:r>
      <w:r>
        <w:rPr>
          <w:noProof/>
        </w:rPr>
        <w:t>(Chilvers, 2008a)</w:t>
      </w:r>
      <w:r>
        <w:t xml:space="preserve"> of engagement could be taken as evidence of reflective, double-loop learning. </w:t>
      </w:r>
    </w:p>
    <w:p w:rsidR="00360869" w:rsidRDefault="00360869" w:rsidP="00360869">
      <w:pPr>
        <w:ind w:firstLine="567"/>
      </w:pPr>
      <w:r>
        <w:t xml:space="preserve">Institutionalised approaches to public participation in the UK and Europe routinely frame </w:t>
      </w:r>
      <w:r w:rsidRPr="00773E8D">
        <w:rPr>
          <w:i/>
        </w:rPr>
        <w:t>publics</w:t>
      </w:r>
      <w:r>
        <w:t xml:space="preserve"> as ‘innocent citizens’ </w:t>
      </w:r>
      <w:r>
        <w:rPr>
          <w:noProof/>
        </w:rPr>
        <w:t>(Irwin, 2006),</w:t>
      </w:r>
      <w:r>
        <w:t xml:space="preserve"> recruited on the basis that they have little prior knowledge or interests in relation to the issue being discussed. Any such construction (e.g. Braun and Schultz, 2010) both physically excludes certain publics, like activists, from formal participation but also tacitly enables or forecloses certain views or inputs during the process </w:t>
      </w:r>
      <w:r>
        <w:rPr>
          <w:noProof/>
        </w:rPr>
        <w:t>(Davies, 2006), promoting instrumental learning. For example, t</w:t>
      </w:r>
      <w:r>
        <w:t xml:space="preserve">he distinction drawn </w:t>
      </w:r>
      <w:r>
        <w:lastRenderedPageBreak/>
        <w:t xml:space="preserve">between stakeholders and the general public in public engagement processes like </w:t>
      </w:r>
      <w:r>
        <w:rPr>
          <w:i/>
        </w:rPr>
        <w:t xml:space="preserve">‘GM Nation?’ </w:t>
      </w:r>
      <w:r>
        <w:t xml:space="preserve">retains the fact-value distinction, strengthening the prominent frame that the role of publics in such processes is merely to provide values and opinions rather than facts or knowledge </w:t>
      </w:r>
      <w:r>
        <w:rPr>
          <w:noProof/>
        </w:rPr>
        <w:t>(Burgess and Chilvers, 2006)</w:t>
      </w:r>
      <w:r>
        <w:t xml:space="preserve">. Yet even within formal public engagement processes it has been noted that publics are often able to appropriate, resist and transform certain constructions of themselves </w:t>
      </w:r>
      <w:r>
        <w:rPr>
          <w:noProof/>
        </w:rPr>
        <w:t>(Felt and Fochler, 2010)</w:t>
      </w:r>
      <w:r>
        <w:t xml:space="preserve">, with the potential to transform frames of publics and stimulate relational double-loop learning. </w:t>
      </w:r>
    </w:p>
    <w:p w:rsidR="00360869" w:rsidRPr="00D8346A" w:rsidRDefault="00360869" w:rsidP="00360869">
      <w:pPr>
        <w:ind w:firstLine="567"/>
      </w:pPr>
      <w:r>
        <w:t xml:space="preserve">The dominant discourse of </w:t>
      </w:r>
      <w:r w:rsidRPr="00773E8D">
        <w:rPr>
          <w:i/>
        </w:rPr>
        <w:t xml:space="preserve">climate change </w:t>
      </w:r>
      <w:r>
        <w:t xml:space="preserve">is universal, scientific and abstract </w:t>
      </w:r>
      <w:r>
        <w:rPr>
          <w:noProof/>
        </w:rPr>
        <w:t>(Jasanoff, 2010)</w:t>
      </w:r>
      <w:r>
        <w:t xml:space="preserve">, sanctioning an expert-led and global approach to decision-making </w:t>
      </w:r>
      <w:r>
        <w:rPr>
          <w:noProof/>
        </w:rPr>
        <w:t>(Miller, 2004)</w:t>
      </w:r>
      <w:r>
        <w:t>. Thus climate science is an area where imaginations of a clear distinction between the arenas of science and policy persist, assuming science can ‘speak truth to power’ (</w:t>
      </w:r>
      <w:proofErr w:type="spellStart"/>
      <w:r>
        <w:t>Jasanoff</w:t>
      </w:r>
      <w:proofErr w:type="spellEnd"/>
      <w:r>
        <w:t xml:space="preserve"> and Wynne, 1998) and sanctioning instrumental forms of learning which do not threaten established problem definitions. However, this dominant approach has come under attack in recent years, leading to calls for the co-production climate change knowledge on a local level to give it meaning </w:t>
      </w:r>
      <w:r>
        <w:rPr>
          <w:noProof/>
        </w:rPr>
        <w:t>(Jasanoff, 2010)</w:t>
      </w:r>
      <w:r>
        <w:t xml:space="preserve"> and to help people imagine possible futures </w:t>
      </w:r>
      <w:r>
        <w:rPr>
          <w:noProof/>
        </w:rPr>
        <w:t>(Lorenzoni and Hulme, 2009)</w:t>
      </w:r>
      <w:r>
        <w:t xml:space="preserve">. The gradual reframing of climate change as an energy issue by the UK Government over the last decade has been well-documented (Lovell </w:t>
      </w:r>
      <w:r w:rsidRPr="000D5077">
        <w:t>et al.,</w:t>
      </w:r>
      <w:r>
        <w:t xml:space="preserve"> 2009). These changing frames of the issue can be taken as evidence of learning within various organisations </w:t>
      </w:r>
      <w:r>
        <w:rPr>
          <w:noProof/>
        </w:rPr>
        <w:t>(Boyd and Osbahr, 2010), and could be communicatively transferred to public engagement organisations</w:t>
      </w:r>
      <w:r>
        <w:t>. In contrast, calls from leading academics to re-frame climate change as an issue of human dignity (</w:t>
      </w:r>
      <w:proofErr w:type="spellStart"/>
      <w:r>
        <w:t>Prins</w:t>
      </w:r>
      <w:proofErr w:type="spellEnd"/>
      <w:r>
        <w:t xml:space="preserve"> </w:t>
      </w:r>
      <w:r w:rsidRPr="000D5077">
        <w:t>et al.,</w:t>
      </w:r>
      <w:r>
        <w:rPr>
          <w:i/>
        </w:rPr>
        <w:t xml:space="preserve"> </w:t>
      </w:r>
      <w:r>
        <w:t xml:space="preserve">2010) seem to have had little influence on top-down, technology and market driven approaches to climate change policy, suggesting a lack of reflective and relational learning. </w:t>
      </w:r>
    </w:p>
    <w:p w:rsidR="00360869" w:rsidRDefault="00360869" w:rsidP="00360869">
      <w:pPr>
        <w:pStyle w:val="Heading1"/>
        <w:numPr>
          <w:ilvl w:val="0"/>
          <w:numId w:val="1"/>
        </w:numPr>
      </w:pPr>
      <w:r>
        <w:t>The Decade of Learning</w:t>
      </w:r>
    </w:p>
    <w:p w:rsidR="00360869" w:rsidRDefault="00360869" w:rsidP="00360869">
      <w:r>
        <w:t xml:space="preserve">Research drawn on in this paper was carried out in three phases. Firstly around 40 documents were analysed using grounded theory based on flexible, open codes, related to the three frames, and with simultaneous </w:t>
      </w:r>
      <w:proofErr w:type="spellStart"/>
      <w:r>
        <w:t>memoing</w:t>
      </w:r>
      <w:proofErr w:type="spellEnd"/>
      <w:r>
        <w:t xml:space="preserve"> (Eaves, 2001). Documents included: Government white papers; research and evaluation reports; thought pieces; websites; and confidential Sciencewise documents. These documents were selected with relevance to: Sciencewise; public engagement approaches within the UK Government; and UK Government policy on climate change. Secondly, on the basis of this analysis 14 key actors associated with the Sciencewise policy-network, with involvement spanning the 2000-2010 time period, were </w:t>
      </w:r>
      <w:r>
        <w:lastRenderedPageBreak/>
        <w:t>selected as participants in semi-structured interviews. Interview respondents included five civil servants, an academic social scientist, six participation practitioners, six current and former Sciencewise employees and one market researcher (though there is some cross-over in roles played). Interviews lasted for 45 minutes on average and were analysed using grounded theory. Finally situational maps were created (cf. Clark, 2005) for four identified time periods within the decade to gain a rich, contextualised picture of the organisational changes occurring.</w:t>
      </w:r>
    </w:p>
    <w:p w:rsidR="00360869" w:rsidRDefault="00360869" w:rsidP="00360869">
      <w:pPr>
        <w:ind w:firstLine="567"/>
      </w:pPr>
      <w:r>
        <w:t>Sciencewise began the decade as an institutional space, partly left behind following the death of the Committee on the Public Understanding of Science (</w:t>
      </w:r>
      <w:proofErr w:type="spellStart"/>
      <w:r>
        <w:t>CoPUS</w:t>
      </w:r>
      <w:proofErr w:type="spellEnd"/>
      <w:r>
        <w:t xml:space="preserve">) but also created by the landmark House of Lords Select Committee on Science and Technology’s report </w:t>
      </w:r>
      <w:r w:rsidRPr="00083329">
        <w:rPr>
          <w:i/>
        </w:rPr>
        <w:t xml:space="preserve">Science and Society </w:t>
      </w:r>
      <w:r>
        <w:t>(House of Lords, 2000). This report strongly recommended that:</w:t>
      </w:r>
    </w:p>
    <w:p w:rsidR="00360869" w:rsidRDefault="00360869" w:rsidP="00360869">
      <w:pPr>
        <w:ind w:left="567"/>
      </w:pPr>
      <w:r w:rsidRPr="00773E8D">
        <w:t>“</w:t>
      </w:r>
      <w:proofErr w:type="gramStart"/>
      <w:r w:rsidRPr="00773E8D">
        <w:t>direct</w:t>
      </w:r>
      <w:proofErr w:type="gramEnd"/>
      <w:r w:rsidRPr="00773E8D">
        <w:t xml:space="preserve"> dialogue with the public should move from being an optional add-on to science-based policy-making and to the activities of research organisations and learned institutions, and should become a normal and integral part of the process” </w:t>
      </w:r>
      <w:r w:rsidRPr="00312343">
        <w:t>(</w:t>
      </w:r>
      <w:r>
        <w:t>House of Lords, 2000: paragraph 5.48),</w:t>
      </w:r>
    </w:p>
    <w:p w:rsidR="00360869" w:rsidRDefault="00360869" w:rsidP="00360869">
      <w:proofErr w:type="gramStart"/>
      <w:r>
        <w:t>and</w:t>
      </w:r>
      <w:proofErr w:type="gramEnd"/>
      <w:r>
        <w:t xml:space="preserve"> this became a key strategic aim and benchmark for learning over the decade. </w:t>
      </w:r>
    </w:p>
    <w:p w:rsidR="00360869" w:rsidRDefault="00360869" w:rsidP="00360869">
      <w:pPr>
        <w:ind w:firstLine="567"/>
      </w:pPr>
      <w:r>
        <w:t xml:space="preserve">Bolstered over the next few years by reports from the Parliamentary Office of Science and Technology (2001; 2002) which emphasised the merits of public engagement, the House of Lords report was followed up in the Department of Trade and Industry’s (DTI) </w:t>
      </w:r>
      <w:r w:rsidRPr="00083329">
        <w:rPr>
          <w:i/>
        </w:rPr>
        <w:t xml:space="preserve">Science and </w:t>
      </w:r>
      <w:r>
        <w:rPr>
          <w:i/>
        </w:rPr>
        <w:t>Innovation Investment Framework</w:t>
      </w:r>
      <w:r w:rsidRPr="00083329">
        <w:rPr>
          <w:i/>
        </w:rPr>
        <w:t xml:space="preserve"> </w:t>
      </w:r>
      <w:r>
        <w:t xml:space="preserve">(2004). As part of this framework the first incarnation of Sciencewise was created to give grants for organisations carrying out deliberative projects around science and technology. However, though the grant-giving structure had been appropriate for </w:t>
      </w:r>
      <w:proofErr w:type="spellStart"/>
      <w:r>
        <w:t>CoPUS</w:t>
      </w:r>
      <w:proofErr w:type="spellEnd"/>
      <w:r>
        <w:t xml:space="preserve">, it was not as successful for attempts to engage publics more deeply in science policy. The 2005 report </w:t>
      </w:r>
      <w:r w:rsidRPr="00083329">
        <w:rPr>
          <w:i/>
        </w:rPr>
        <w:t xml:space="preserve">Policy Through Dialogue </w:t>
      </w:r>
      <w:r>
        <w:t xml:space="preserve">(CST) reflected on Sciencewise’s ability to fulfil the aims laid out in the House of Lords report, and concluded that more effort should be afforded to the institutionalisation of public engagement through the creation of new institutions, resources and a ‘corporate memory’. Thus Sciencewise was swiftly re-launched as a body commissioning deliberative processes around science and technology, as well as creating and collecting deliberation resources. </w:t>
      </w:r>
    </w:p>
    <w:p w:rsidR="00360869" w:rsidRPr="006C5418" w:rsidRDefault="00360869" w:rsidP="00360869">
      <w:pPr>
        <w:ind w:firstLine="567"/>
      </w:pPr>
      <w:r>
        <w:t xml:space="preserve">Throughout its life </w:t>
      </w:r>
      <w:proofErr w:type="gramStart"/>
      <w:r>
        <w:t>Sciencewise</w:t>
      </w:r>
      <w:proofErr w:type="gramEnd"/>
      <w:r>
        <w:t xml:space="preserve"> has been part of the Science and Society Unit, which initially resided in the DTI, then DIUS, and now BIS. However, the everyday running of the body was contracted out to AEA technology, a company with expertise in management and environmental technology but little experience of public engagement. This decision was made when Sciencewise was created as a grant-giving body and has been questioned by some </w:t>
      </w:r>
      <w:r>
        <w:lastRenderedPageBreak/>
        <w:t xml:space="preserve">actors. An internal scoping study of policy-makers and dialogue experts in 2006 resulted in the attempt to resolve </w:t>
      </w:r>
      <w:proofErr w:type="gramStart"/>
      <w:r>
        <w:t>Sciencewise’s</w:t>
      </w:r>
      <w:proofErr w:type="gramEnd"/>
      <w:r>
        <w:t xml:space="preserve"> organisational problems through its re-launch in 2007 as an </w:t>
      </w:r>
      <w:r w:rsidRPr="00083329">
        <w:rPr>
          <w:i/>
        </w:rPr>
        <w:t>Expert Resource Centre</w:t>
      </w:r>
      <w:r>
        <w:t xml:space="preserve"> (ERC). The ERC realised the CST’s recommendation of the creation of a corporate memory for engagement through a website and online resources. The expertise of the centre was codified through the relabeling of some staff as Dialogue and Engagement Specialists (DES) who develop and maintain networks of people across Government to promote dialogue, and are called in to assist commissioning organisations in the design and execution of specific engagement processes. In the final years of the decade Sciencewise has tried to reposition itself as a learning organisation, not only promoting learning through its network but also trying to reflect on its own position and activities; and this has been pursued in part through (re)engagement with academic social scientists. Though Government budget cuts call some of Sciencewise’s partnerships into question, funding for the organisation itself has been guaranteed until 2015. </w:t>
      </w:r>
    </w:p>
    <w:p w:rsidR="00360869" w:rsidRDefault="00360869" w:rsidP="00360869">
      <w:pPr>
        <w:ind w:firstLine="567"/>
      </w:pPr>
      <w:r>
        <w:t xml:space="preserve">Table 1 shows the relevant participatory experiments related to climate change over the decade, also illustrating Sciencewise’s growing involvement with climate change related dialogue projects over recent years, and its associated increasingly strong partnership with the Department for Energy and Climate Change (DECC). Before the creation of DECC in October 2008, as a culmination of discourses about climate change mitigation and the UK’s energy infrastructure (Lovell </w:t>
      </w:r>
      <w:r w:rsidRPr="000D5077">
        <w:t>et al.,</w:t>
      </w:r>
      <w:r>
        <w:rPr>
          <w:i/>
        </w:rPr>
        <w:t xml:space="preserve"> </w:t>
      </w:r>
      <w:r>
        <w:t xml:space="preserve">2009), climate change was mostly addressed in Government through the Department for Environment, Food and Rural Affairs (DEFRA), and through some cross-departmental groupings. For the first half of the decade most public engagement around climate change carried out was based around information-giving and social marketing campaigns, whilst climate change only emerged in the last years of the decade as a topic suitable for deliberative dialogue. Also demonstrated is the growing role of market research companies, like </w:t>
      </w:r>
      <w:proofErr w:type="spellStart"/>
      <w:r>
        <w:t>Ipsos</w:t>
      </w:r>
      <w:proofErr w:type="spellEnd"/>
      <w:r>
        <w:t xml:space="preserve"> MORI, in carrying out dialogue processes, leading to the increasing standardisation and </w:t>
      </w:r>
      <w:proofErr w:type="spellStart"/>
      <w:r>
        <w:t>marketisation</w:t>
      </w:r>
      <w:proofErr w:type="spellEnd"/>
      <w:r>
        <w:t xml:space="preserve"> of participatory methods (see also Chilvers, 2010). </w:t>
      </w:r>
    </w:p>
    <w:p w:rsidR="00360869" w:rsidRDefault="00360869" w:rsidP="00360869"/>
    <w:p w:rsidR="00360869" w:rsidRDefault="00360869" w:rsidP="00360869">
      <w:pPr>
        <w:sectPr w:rsidR="00360869">
          <w:footerReference w:type="default" r:id="rId9"/>
          <w:pgSz w:w="11906" w:h="16838"/>
          <w:pgMar w:top="1440" w:right="1440" w:bottom="1440" w:left="1440" w:header="708" w:footer="708" w:gutter="0"/>
          <w:cols w:space="708"/>
          <w:docGrid w:linePitch="360"/>
        </w:sectPr>
      </w:pPr>
    </w:p>
    <w:tbl>
      <w:tblPr>
        <w:tblStyle w:val="MediumShading2"/>
        <w:tblpPr w:leftFromText="180" w:rightFromText="180" w:horzAnchor="margin" w:tblpY="-418"/>
        <w:tblW w:w="0" w:type="auto"/>
        <w:tblLook w:val="04A0"/>
      </w:tblPr>
      <w:tblGrid>
        <w:gridCol w:w="1390"/>
        <w:gridCol w:w="1162"/>
        <w:gridCol w:w="81"/>
        <w:gridCol w:w="938"/>
        <w:gridCol w:w="143"/>
        <w:gridCol w:w="287"/>
        <w:gridCol w:w="48"/>
        <w:gridCol w:w="770"/>
        <w:gridCol w:w="57"/>
        <w:gridCol w:w="1162"/>
        <w:gridCol w:w="85"/>
        <w:gridCol w:w="1077"/>
        <w:gridCol w:w="484"/>
        <w:gridCol w:w="679"/>
        <w:gridCol w:w="994"/>
        <w:gridCol w:w="168"/>
        <w:gridCol w:w="745"/>
        <w:gridCol w:w="417"/>
        <w:gridCol w:w="1162"/>
        <w:gridCol w:w="373"/>
        <w:gridCol w:w="789"/>
        <w:gridCol w:w="1163"/>
      </w:tblGrid>
      <w:tr w:rsidR="00A36879" w:rsidRPr="00A36879" w:rsidTr="00A36879">
        <w:trPr>
          <w:cnfStyle w:val="100000000000"/>
        </w:trPr>
        <w:tc>
          <w:tcPr>
            <w:cnfStyle w:val="001000000100"/>
            <w:tcW w:w="14174" w:type="dxa"/>
            <w:gridSpan w:val="22"/>
            <w:shd w:val="clear" w:color="auto" w:fill="auto"/>
          </w:tcPr>
          <w:p w:rsidR="00A36879" w:rsidRPr="00A36879" w:rsidRDefault="00A36879" w:rsidP="00A36879">
            <w:pPr>
              <w:spacing w:line="240" w:lineRule="auto"/>
              <w:rPr>
                <w:color w:val="auto"/>
              </w:rPr>
            </w:pPr>
            <w:r w:rsidRPr="00A36879">
              <w:rPr>
                <w:color w:val="auto"/>
              </w:rPr>
              <w:lastRenderedPageBreak/>
              <w:t>Table 1: Timeline of the decade of learning</w:t>
            </w:r>
          </w:p>
        </w:tc>
      </w:tr>
      <w:tr w:rsidR="00A36879" w:rsidRPr="00A36879" w:rsidTr="00A36879">
        <w:trPr>
          <w:cnfStyle w:val="000000100000"/>
        </w:trPr>
        <w:tc>
          <w:tcPr>
            <w:cnfStyle w:val="001000000000"/>
            <w:tcW w:w="1390" w:type="dxa"/>
          </w:tcPr>
          <w:p w:rsidR="00A36879" w:rsidRPr="00A36879" w:rsidRDefault="00A36879" w:rsidP="00A36879">
            <w:pPr>
              <w:spacing w:line="240" w:lineRule="auto"/>
            </w:pPr>
          </w:p>
        </w:tc>
        <w:tc>
          <w:tcPr>
            <w:tcW w:w="1162" w:type="dxa"/>
            <w:shd w:val="clear" w:color="auto" w:fill="auto"/>
          </w:tcPr>
          <w:p w:rsidR="00A36879" w:rsidRPr="00A36879" w:rsidRDefault="00A36879" w:rsidP="00A36879">
            <w:pPr>
              <w:spacing w:line="240" w:lineRule="auto"/>
              <w:cnfStyle w:val="000000100000"/>
              <w:rPr>
                <w:b/>
                <w:bCs/>
              </w:rPr>
            </w:pPr>
            <w:r w:rsidRPr="00A36879">
              <w:rPr>
                <w:b/>
              </w:rPr>
              <w:t xml:space="preserve">2000                                   </w:t>
            </w:r>
          </w:p>
        </w:tc>
        <w:tc>
          <w:tcPr>
            <w:tcW w:w="1162" w:type="dxa"/>
            <w:gridSpan w:val="3"/>
            <w:shd w:val="clear" w:color="auto" w:fill="auto"/>
          </w:tcPr>
          <w:p w:rsidR="00A36879" w:rsidRPr="00A36879" w:rsidRDefault="00A36879" w:rsidP="00A36879">
            <w:pPr>
              <w:spacing w:line="240" w:lineRule="auto"/>
              <w:cnfStyle w:val="000000100000"/>
              <w:rPr>
                <w:b/>
                <w:bCs/>
              </w:rPr>
            </w:pPr>
            <w:r w:rsidRPr="00A36879">
              <w:rPr>
                <w:b/>
              </w:rPr>
              <w:t>2001</w:t>
            </w:r>
          </w:p>
        </w:tc>
        <w:tc>
          <w:tcPr>
            <w:tcW w:w="1162" w:type="dxa"/>
            <w:gridSpan w:val="4"/>
            <w:shd w:val="clear" w:color="auto" w:fill="auto"/>
          </w:tcPr>
          <w:p w:rsidR="00A36879" w:rsidRPr="00A36879" w:rsidRDefault="00A36879" w:rsidP="00A36879">
            <w:pPr>
              <w:spacing w:line="240" w:lineRule="auto"/>
              <w:cnfStyle w:val="000000100000"/>
              <w:rPr>
                <w:b/>
                <w:bCs/>
              </w:rPr>
            </w:pPr>
            <w:r w:rsidRPr="00A36879">
              <w:rPr>
                <w:b/>
              </w:rPr>
              <w:t>2002</w:t>
            </w:r>
          </w:p>
        </w:tc>
        <w:tc>
          <w:tcPr>
            <w:tcW w:w="1162" w:type="dxa"/>
            <w:shd w:val="clear" w:color="auto" w:fill="auto"/>
          </w:tcPr>
          <w:p w:rsidR="00A36879" w:rsidRPr="00A36879" w:rsidRDefault="00A36879" w:rsidP="00A36879">
            <w:pPr>
              <w:spacing w:line="240" w:lineRule="auto"/>
              <w:cnfStyle w:val="000000100000"/>
              <w:rPr>
                <w:b/>
                <w:bCs/>
              </w:rPr>
            </w:pPr>
            <w:r w:rsidRPr="00A36879">
              <w:rPr>
                <w:b/>
              </w:rPr>
              <w:t xml:space="preserve">2003  </w:t>
            </w:r>
          </w:p>
        </w:tc>
        <w:tc>
          <w:tcPr>
            <w:tcW w:w="1162" w:type="dxa"/>
            <w:gridSpan w:val="2"/>
            <w:shd w:val="clear" w:color="auto" w:fill="auto"/>
          </w:tcPr>
          <w:p w:rsidR="00A36879" w:rsidRPr="00A36879" w:rsidRDefault="00A36879" w:rsidP="00A36879">
            <w:pPr>
              <w:spacing w:line="240" w:lineRule="auto"/>
              <w:cnfStyle w:val="000000100000"/>
              <w:rPr>
                <w:b/>
                <w:bCs/>
              </w:rPr>
            </w:pPr>
            <w:r w:rsidRPr="00A36879">
              <w:rPr>
                <w:b/>
              </w:rPr>
              <w:t>2004</w:t>
            </w:r>
          </w:p>
        </w:tc>
        <w:tc>
          <w:tcPr>
            <w:tcW w:w="1163" w:type="dxa"/>
            <w:gridSpan w:val="2"/>
            <w:shd w:val="clear" w:color="auto" w:fill="auto"/>
          </w:tcPr>
          <w:p w:rsidR="00A36879" w:rsidRPr="00A36879" w:rsidRDefault="00A36879" w:rsidP="00A36879">
            <w:pPr>
              <w:spacing w:line="240" w:lineRule="auto"/>
              <w:cnfStyle w:val="000000100000"/>
              <w:rPr>
                <w:b/>
                <w:bCs/>
              </w:rPr>
            </w:pPr>
            <w:r w:rsidRPr="00A36879">
              <w:rPr>
                <w:b/>
              </w:rPr>
              <w:t>2005</w:t>
            </w:r>
          </w:p>
        </w:tc>
        <w:tc>
          <w:tcPr>
            <w:tcW w:w="1162" w:type="dxa"/>
            <w:gridSpan w:val="2"/>
            <w:shd w:val="clear" w:color="auto" w:fill="auto"/>
          </w:tcPr>
          <w:p w:rsidR="00A36879" w:rsidRPr="00A36879" w:rsidRDefault="00A36879" w:rsidP="00A36879">
            <w:pPr>
              <w:spacing w:line="240" w:lineRule="auto"/>
              <w:cnfStyle w:val="000000100000"/>
              <w:rPr>
                <w:b/>
                <w:bCs/>
              </w:rPr>
            </w:pPr>
            <w:r w:rsidRPr="00A36879">
              <w:rPr>
                <w:b/>
              </w:rPr>
              <w:t>2006</w:t>
            </w:r>
          </w:p>
        </w:tc>
        <w:tc>
          <w:tcPr>
            <w:tcW w:w="1162" w:type="dxa"/>
            <w:gridSpan w:val="2"/>
            <w:shd w:val="clear" w:color="auto" w:fill="auto"/>
          </w:tcPr>
          <w:p w:rsidR="00A36879" w:rsidRPr="00A36879" w:rsidRDefault="00A36879" w:rsidP="00A36879">
            <w:pPr>
              <w:spacing w:line="240" w:lineRule="auto"/>
              <w:cnfStyle w:val="000000100000"/>
              <w:rPr>
                <w:b/>
                <w:bCs/>
              </w:rPr>
            </w:pPr>
            <w:r w:rsidRPr="00A36879">
              <w:rPr>
                <w:b/>
              </w:rPr>
              <w:t>2007</w:t>
            </w:r>
          </w:p>
        </w:tc>
        <w:tc>
          <w:tcPr>
            <w:tcW w:w="1162" w:type="dxa"/>
            <w:shd w:val="clear" w:color="auto" w:fill="auto"/>
          </w:tcPr>
          <w:p w:rsidR="00A36879" w:rsidRPr="00A36879" w:rsidRDefault="00A36879" w:rsidP="00A36879">
            <w:pPr>
              <w:spacing w:line="240" w:lineRule="auto"/>
              <w:cnfStyle w:val="000000100000"/>
              <w:rPr>
                <w:b/>
                <w:bCs/>
              </w:rPr>
            </w:pPr>
            <w:r w:rsidRPr="00A36879">
              <w:rPr>
                <w:b/>
              </w:rPr>
              <w:t>2008</w:t>
            </w:r>
          </w:p>
        </w:tc>
        <w:tc>
          <w:tcPr>
            <w:tcW w:w="1162" w:type="dxa"/>
            <w:gridSpan w:val="2"/>
            <w:shd w:val="clear" w:color="auto" w:fill="auto"/>
          </w:tcPr>
          <w:p w:rsidR="00A36879" w:rsidRPr="00A36879" w:rsidRDefault="00A36879" w:rsidP="00A36879">
            <w:pPr>
              <w:spacing w:line="240" w:lineRule="auto"/>
              <w:cnfStyle w:val="000000100000"/>
              <w:rPr>
                <w:b/>
                <w:bCs/>
              </w:rPr>
            </w:pPr>
            <w:r w:rsidRPr="00A36879">
              <w:rPr>
                <w:b/>
              </w:rPr>
              <w:t>2009</w:t>
            </w:r>
          </w:p>
        </w:tc>
        <w:tc>
          <w:tcPr>
            <w:tcW w:w="1163" w:type="dxa"/>
            <w:shd w:val="clear" w:color="auto" w:fill="auto"/>
          </w:tcPr>
          <w:p w:rsidR="00A36879" w:rsidRPr="00A36879" w:rsidRDefault="00A36879" w:rsidP="00A36879">
            <w:pPr>
              <w:spacing w:line="240" w:lineRule="auto"/>
              <w:cnfStyle w:val="000000100000"/>
              <w:rPr>
                <w:b/>
              </w:rPr>
            </w:pPr>
            <w:r w:rsidRPr="00A36879">
              <w:rPr>
                <w:b/>
              </w:rPr>
              <w:t>2010</w:t>
            </w:r>
          </w:p>
        </w:tc>
      </w:tr>
      <w:tr w:rsidR="00A36879" w:rsidRPr="00A36879" w:rsidTr="00A36879">
        <w:tc>
          <w:tcPr>
            <w:cnfStyle w:val="001000000000"/>
            <w:tcW w:w="1390" w:type="dxa"/>
          </w:tcPr>
          <w:p w:rsidR="00A36879" w:rsidRPr="00A36879" w:rsidRDefault="00A36879" w:rsidP="00A36879">
            <w:pPr>
              <w:spacing w:line="240" w:lineRule="auto"/>
            </w:pPr>
            <w:r w:rsidRPr="00A36879">
              <w:t>Public Engagement Reports</w:t>
            </w:r>
          </w:p>
        </w:tc>
        <w:tc>
          <w:tcPr>
            <w:tcW w:w="1243" w:type="dxa"/>
            <w:gridSpan w:val="2"/>
            <w:vAlign w:val="center"/>
          </w:tcPr>
          <w:p w:rsidR="00A36879" w:rsidRPr="00A36879" w:rsidRDefault="00A36879" w:rsidP="00A36879">
            <w:pPr>
              <w:spacing w:line="240" w:lineRule="auto"/>
              <w:cnfStyle w:val="000000000000"/>
            </w:pPr>
            <w:r w:rsidRPr="00A36879">
              <w:rPr>
                <w:i/>
              </w:rPr>
              <w:t>Science &amp; Society</w:t>
            </w:r>
            <w:r w:rsidRPr="00A36879">
              <w:t xml:space="preserve"> (House of Lords)</w:t>
            </w:r>
          </w:p>
          <w:p w:rsidR="00A36879" w:rsidRPr="00A36879" w:rsidRDefault="00A36879" w:rsidP="00A36879">
            <w:pPr>
              <w:spacing w:line="240" w:lineRule="auto"/>
              <w:cnfStyle w:val="000000000000"/>
            </w:pPr>
          </w:p>
        </w:tc>
        <w:tc>
          <w:tcPr>
            <w:tcW w:w="938" w:type="dxa"/>
            <w:vAlign w:val="center"/>
          </w:tcPr>
          <w:p w:rsidR="00A36879" w:rsidRPr="00A36879" w:rsidRDefault="00A36879" w:rsidP="00A36879">
            <w:pPr>
              <w:spacing w:line="240" w:lineRule="auto"/>
              <w:cnfStyle w:val="000000000000"/>
            </w:pPr>
          </w:p>
        </w:tc>
        <w:tc>
          <w:tcPr>
            <w:tcW w:w="430" w:type="dxa"/>
            <w:gridSpan w:val="2"/>
            <w:vAlign w:val="center"/>
          </w:tcPr>
          <w:p w:rsidR="00A36879" w:rsidRPr="00A36879" w:rsidRDefault="00A36879" w:rsidP="00A36879">
            <w:pPr>
              <w:spacing w:line="240" w:lineRule="auto"/>
              <w:cnfStyle w:val="000000000000"/>
            </w:pPr>
          </w:p>
        </w:tc>
        <w:tc>
          <w:tcPr>
            <w:tcW w:w="818" w:type="dxa"/>
            <w:gridSpan w:val="2"/>
            <w:vAlign w:val="center"/>
          </w:tcPr>
          <w:p w:rsidR="00A36879" w:rsidRPr="00A36879" w:rsidRDefault="00A36879" w:rsidP="00A36879">
            <w:pPr>
              <w:spacing w:line="240" w:lineRule="auto"/>
              <w:cnfStyle w:val="000000000000"/>
            </w:pPr>
          </w:p>
        </w:tc>
        <w:tc>
          <w:tcPr>
            <w:tcW w:w="2865" w:type="dxa"/>
            <w:gridSpan w:val="5"/>
            <w:vAlign w:val="center"/>
          </w:tcPr>
          <w:p w:rsidR="00A36879" w:rsidRPr="00A36879" w:rsidRDefault="00A36879" w:rsidP="00A36879">
            <w:pPr>
              <w:spacing w:line="240" w:lineRule="auto"/>
              <w:cnfStyle w:val="000000000000"/>
            </w:pPr>
            <w:r w:rsidRPr="00A36879">
              <w:rPr>
                <w:i/>
              </w:rPr>
              <w:t>Science &amp; Innovation Investment Framework</w:t>
            </w:r>
            <w:r w:rsidRPr="00A36879">
              <w:t xml:space="preserve"> (DTI)</w:t>
            </w:r>
          </w:p>
        </w:tc>
        <w:tc>
          <w:tcPr>
            <w:tcW w:w="1673" w:type="dxa"/>
            <w:gridSpan w:val="2"/>
            <w:vAlign w:val="center"/>
          </w:tcPr>
          <w:p w:rsidR="00A36879" w:rsidRPr="00A36879" w:rsidRDefault="00A36879" w:rsidP="00A36879">
            <w:pPr>
              <w:spacing w:line="240" w:lineRule="auto"/>
              <w:cnfStyle w:val="000000000000"/>
            </w:pPr>
            <w:r w:rsidRPr="00A36879">
              <w:rPr>
                <w:i/>
              </w:rPr>
              <w:t>Policy Through Dialogue</w:t>
            </w:r>
            <w:r w:rsidRPr="00A36879">
              <w:t xml:space="preserve"> (CST)</w:t>
            </w:r>
          </w:p>
        </w:tc>
        <w:tc>
          <w:tcPr>
            <w:tcW w:w="913" w:type="dxa"/>
            <w:gridSpan w:val="2"/>
            <w:vAlign w:val="center"/>
          </w:tcPr>
          <w:p w:rsidR="00A36879" w:rsidRPr="00A36879" w:rsidRDefault="00A36879" w:rsidP="00A36879">
            <w:pPr>
              <w:spacing w:line="240" w:lineRule="auto"/>
              <w:cnfStyle w:val="000000000000"/>
            </w:pPr>
          </w:p>
        </w:tc>
        <w:tc>
          <w:tcPr>
            <w:tcW w:w="1952" w:type="dxa"/>
            <w:gridSpan w:val="3"/>
            <w:vAlign w:val="center"/>
          </w:tcPr>
          <w:p w:rsidR="00A36879" w:rsidRPr="00A36879" w:rsidRDefault="00A36879" w:rsidP="00A36879">
            <w:pPr>
              <w:spacing w:line="240" w:lineRule="auto"/>
              <w:cnfStyle w:val="000000000000"/>
            </w:pPr>
          </w:p>
        </w:tc>
        <w:tc>
          <w:tcPr>
            <w:tcW w:w="1952" w:type="dxa"/>
            <w:gridSpan w:val="2"/>
            <w:vAlign w:val="center"/>
          </w:tcPr>
          <w:p w:rsidR="00A36879" w:rsidRPr="00A36879" w:rsidRDefault="00A36879" w:rsidP="00A36879">
            <w:pPr>
              <w:spacing w:line="240" w:lineRule="auto"/>
              <w:cnfStyle w:val="000000000000"/>
            </w:pPr>
            <w:r w:rsidRPr="00A36879">
              <w:rPr>
                <w:i/>
              </w:rPr>
              <w:t>Evaluation of Sciencewise</w:t>
            </w:r>
            <w:r w:rsidRPr="00A36879">
              <w:t xml:space="preserve"> (Warburton)</w:t>
            </w:r>
          </w:p>
        </w:tc>
      </w:tr>
      <w:tr w:rsidR="00A36879" w:rsidRPr="00A36879" w:rsidTr="00A36879">
        <w:trPr>
          <w:cnfStyle w:val="000000100000"/>
        </w:trPr>
        <w:tc>
          <w:tcPr>
            <w:cnfStyle w:val="001000000000"/>
            <w:tcW w:w="1390" w:type="dxa"/>
          </w:tcPr>
          <w:p w:rsidR="00A36879" w:rsidRPr="00A36879" w:rsidRDefault="00A36879" w:rsidP="00A36879">
            <w:pPr>
              <w:spacing w:line="240" w:lineRule="auto"/>
            </w:pPr>
            <w:r w:rsidRPr="00A36879">
              <w:t>Sciencewise</w:t>
            </w:r>
          </w:p>
          <w:p w:rsidR="00A36879" w:rsidRPr="00A36879" w:rsidRDefault="00A36879" w:rsidP="00A36879">
            <w:pPr>
              <w:spacing w:line="240" w:lineRule="auto"/>
            </w:pPr>
          </w:p>
          <w:p w:rsidR="00A36879" w:rsidRPr="00A36879" w:rsidRDefault="00A36879" w:rsidP="00A36879">
            <w:pPr>
              <w:spacing w:line="240" w:lineRule="auto"/>
            </w:pPr>
          </w:p>
          <w:p w:rsidR="00A36879" w:rsidRPr="00A36879" w:rsidRDefault="00A36879" w:rsidP="00A36879">
            <w:pPr>
              <w:spacing w:line="240" w:lineRule="auto"/>
            </w:pPr>
          </w:p>
        </w:tc>
        <w:tc>
          <w:tcPr>
            <w:tcW w:w="1243" w:type="dxa"/>
            <w:gridSpan w:val="2"/>
            <w:vAlign w:val="center"/>
          </w:tcPr>
          <w:p w:rsidR="00A36879" w:rsidRPr="00A36879" w:rsidRDefault="00A36879" w:rsidP="00A36879">
            <w:pPr>
              <w:spacing w:line="240" w:lineRule="auto"/>
              <w:cnfStyle w:val="000000100000"/>
            </w:pPr>
          </w:p>
        </w:tc>
        <w:tc>
          <w:tcPr>
            <w:tcW w:w="938" w:type="dxa"/>
            <w:vAlign w:val="center"/>
          </w:tcPr>
          <w:p w:rsidR="00A36879" w:rsidRPr="00A36879" w:rsidRDefault="00A36879" w:rsidP="00A36879">
            <w:pPr>
              <w:spacing w:line="240" w:lineRule="auto"/>
              <w:cnfStyle w:val="000000100000"/>
            </w:pPr>
          </w:p>
        </w:tc>
        <w:tc>
          <w:tcPr>
            <w:tcW w:w="430" w:type="dxa"/>
            <w:gridSpan w:val="2"/>
            <w:vAlign w:val="center"/>
          </w:tcPr>
          <w:p w:rsidR="00A36879" w:rsidRPr="00A36879" w:rsidRDefault="00A36879" w:rsidP="00A36879">
            <w:pPr>
              <w:spacing w:line="240" w:lineRule="auto"/>
              <w:cnfStyle w:val="000000100000"/>
            </w:pPr>
          </w:p>
        </w:tc>
        <w:tc>
          <w:tcPr>
            <w:tcW w:w="818" w:type="dxa"/>
            <w:gridSpan w:val="2"/>
            <w:vAlign w:val="center"/>
          </w:tcPr>
          <w:p w:rsidR="00A36879" w:rsidRPr="00A36879" w:rsidRDefault="00A36879" w:rsidP="00A36879">
            <w:pPr>
              <w:spacing w:line="240" w:lineRule="auto"/>
              <w:cnfStyle w:val="000000100000"/>
            </w:pPr>
          </w:p>
        </w:tc>
        <w:tc>
          <w:tcPr>
            <w:tcW w:w="1304" w:type="dxa"/>
            <w:gridSpan w:val="3"/>
            <w:vAlign w:val="center"/>
          </w:tcPr>
          <w:p w:rsidR="00A36879" w:rsidRPr="00A36879" w:rsidRDefault="00A36879" w:rsidP="00A36879">
            <w:pPr>
              <w:spacing w:line="240" w:lineRule="auto"/>
              <w:cnfStyle w:val="000000100000"/>
            </w:pPr>
            <w:r w:rsidRPr="00A36879">
              <w:t>Created as a grant scheme</w:t>
            </w:r>
          </w:p>
        </w:tc>
        <w:tc>
          <w:tcPr>
            <w:tcW w:w="1561" w:type="dxa"/>
            <w:gridSpan w:val="2"/>
            <w:vAlign w:val="center"/>
          </w:tcPr>
          <w:p w:rsidR="00A36879" w:rsidRPr="00A36879" w:rsidRDefault="00A36879" w:rsidP="00A36879">
            <w:pPr>
              <w:spacing w:line="240" w:lineRule="auto"/>
              <w:cnfStyle w:val="000000100000"/>
            </w:pPr>
            <w:r w:rsidRPr="00A36879">
              <w:t>Becomes a commissioning organisation</w:t>
            </w:r>
          </w:p>
        </w:tc>
        <w:tc>
          <w:tcPr>
            <w:tcW w:w="2586" w:type="dxa"/>
            <w:gridSpan w:val="4"/>
            <w:vAlign w:val="center"/>
          </w:tcPr>
          <w:p w:rsidR="00A36879" w:rsidRPr="00A36879" w:rsidRDefault="00A36879" w:rsidP="00A36879">
            <w:pPr>
              <w:spacing w:line="240" w:lineRule="auto"/>
              <w:cnfStyle w:val="000000100000"/>
            </w:pPr>
            <w:r w:rsidRPr="00A36879">
              <w:t>Internal  scoping study leading to Expert Resource Centre launch</w:t>
            </w:r>
          </w:p>
        </w:tc>
        <w:tc>
          <w:tcPr>
            <w:tcW w:w="1952" w:type="dxa"/>
            <w:gridSpan w:val="3"/>
            <w:vAlign w:val="center"/>
          </w:tcPr>
          <w:p w:rsidR="00A36879" w:rsidRPr="00A36879" w:rsidRDefault="00A36879" w:rsidP="00A36879">
            <w:pPr>
              <w:spacing w:line="240" w:lineRule="auto"/>
              <w:cnfStyle w:val="000000100000"/>
            </w:pPr>
          </w:p>
        </w:tc>
        <w:tc>
          <w:tcPr>
            <w:tcW w:w="1952" w:type="dxa"/>
            <w:gridSpan w:val="2"/>
            <w:vAlign w:val="center"/>
          </w:tcPr>
          <w:p w:rsidR="00A36879" w:rsidRPr="00A36879" w:rsidRDefault="00A36879" w:rsidP="00A36879">
            <w:pPr>
              <w:spacing w:line="240" w:lineRule="auto"/>
              <w:cnfStyle w:val="000000100000"/>
            </w:pPr>
            <w:r w:rsidRPr="00A36879">
              <w:t>Re-tendered to contractors</w:t>
            </w:r>
          </w:p>
        </w:tc>
      </w:tr>
      <w:tr w:rsidR="00A36879" w:rsidRPr="00A36879" w:rsidTr="00A36879">
        <w:tc>
          <w:tcPr>
            <w:cnfStyle w:val="001000000000"/>
            <w:tcW w:w="1390" w:type="dxa"/>
          </w:tcPr>
          <w:p w:rsidR="00A36879" w:rsidRPr="00A36879" w:rsidRDefault="00A36879" w:rsidP="00A36879">
            <w:pPr>
              <w:spacing w:line="240" w:lineRule="auto"/>
            </w:pPr>
            <w:r w:rsidRPr="00A36879">
              <w:t>Climate change</w:t>
            </w:r>
          </w:p>
        </w:tc>
        <w:tc>
          <w:tcPr>
            <w:tcW w:w="1243" w:type="dxa"/>
            <w:gridSpan w:val="2"/>
            <w:vAlign w:val="center"/>
          </w:tcPr>
          <w:p w:rsidR="00A36879" w:rsidRPr="00A36879" w:rsidRDefault="00A36879" w:rsidP="00A36879">
            <w:pPr>
              <w:spacing w:line="240" w:lineRule="auto"/>
              <w:cnfStyle w:val="000000000000"/>
            </w:pPr>
            <w:r w:rsidRPr="00A36879">
              <w:t>DETR Climate Change Programme</w:t>
            </w:r>
          </w:p>
          <w:p w:rsidR="00A36879" w:rsidRPr="00A36879" w:rsidRDefault="00A36879" w:rsidP="00A36879">
            <w:pPr>
              <w:spacing w:line="240" w:lineRule="auto"/>
              <w:cnfStyle w:val="000000000000"/>
            </w:pPr>
          </w:p>
        </w:tc>
        <w:tc>
          <w:tcPr>
            <w:tcW w:w="938" w:type="dxa"/>
            <w:vAlign w:val="center"/>
          </w:tcPr>
          <w:p w:rsidR="00A36879" w:rsidRPr="00A36879" w:rsidRDefault="00A36879" w:rsidP="00A36879">
            <w:pPr>
              <w:spacing w:line="240" w:lineRule="auto"/>
              <w:cnfStyle w:val="000000000000"/>
            </w:pPr>
            <w:r w:rsidRPr="00A36879">
              <w:t>DEFRA created</w:t>
            </w:r>
          </w:p>
          <w:p w:rsidR="00A36879" w:rsidRPr="00A36879" w:rsidRDefault="00A36879" w:rsidP="00A36879">
            <w:pPr>
              <w:spacing w:line="240" w:lineRule="auto"/>
              <w:cnfStyle w:val="000000000000"/>
            </w:pPr>
          </w:p>
        </w:tc>
        <w:tc>
          <w:tcPr>
            <w:tcW w:w="430" w:type="dxa"/>
            <w:gridSpan w:val="2"/>
            <w:vAlign w:val="center"/>
          </w:tcPr>
          <w:p w:rsidR="00A36879" w:rsidRPr="00A36879" w:rsidRDefault="00A36879" w:rsidP="00A36879">
            <w:pPr>
              <w:spacing w:line="240" w:lineRule="auto"/>
              <w:cnfStyle w:val="000000000000"/>
            </w:pPr>
          </w:p>
        </w:tc>
        <w:tc>
          <w:tcPr>
            <w:tcW w:w="818" w:type="dxa"/>
            <w:gridSpan w:val="2"/>
            <w:vAlign w:val="center"/>
          </w:tcPr>
          <w:p w:rsidR="00A36879" w:rsidRPr="00A36879" w:rsidRDefault="00A36879" w:rsidP="00A36879">
            <w:pPr>
              <w:spacing w:line="240" w:lineRule="auto"/>
              <w:cnfStyle w:val="000000000000"/>
            </w:pPr>
          </w:p>
        </w:tc>
        <w:tc>
          <w:tcPr>
            <w:tcW w:w="1304" w:type="dxa"/>
            <w:gridSpan w:val="3"/>
            <w:vAlign w:val="center"/>
          </w:tcPr>
          <w:p w:rsidR="00A36879" w:rsidRPr="00A36879" w:rsidRDefault="00A36879" w:rsidP="00A36879">
            <w:pPr>
              <w:spacing w:line="240" w:lineRule="auto"/>
              <w:cnfStyle w:val="000000000000"/>
            </w:pPr>
            <w:r w:rsidRPr="00A36879">
              <w:t>DTI energy white paper</w:t>
            </w:r>
          </w:p>
        </w:tc>
        <w:tc>
          <w:tcPr>
            <w:tcW w:w="1561" w:type="dxa"/>
            <w:gridSpan w:val="2"/>
            <w:vAlign w:val="center"/>
          </w:tcPr>
          <w:p w:rsidR="00A36879" w:rsidRPr="00A36879" w:rsidRDefault="00A36879" w:rsidP="00A36879">
            <w:pPr>
              <w:spacing w:line="240" w:lineRule="auto"/>
              <w:cnfStyle w:val="000000000000"/>
            </w:pPr>
          </w:p>
        </w:tc>
        <w:tc>
          <w:tcPr>
            <w:tcW w:w="1673" w:type="dxa"/>
            <w:gridSpan w:val="2"/>
            <w:vAlign w:val="center"/>
          </w:tcPr>
          <w:p w:rsidR="00A36879" w:rsidRPr="00A36879" w:rsidRDefault="00A36879" w:rsidP="00A36879">
            <w:pPr>
              <w:spacing w:line="240" w:lineRule="auto"/>
              <w:cnfStyle w:val="000000000000"/>
            </w:pPr>
            <w:r w:rsidRPr="00A36879">
              <w:t>DEFRA Climate Change Programme</w:t>
            </w:r>
          </w:p>
        </w:tc>
        <w:tc>
          <w:tcPr>
            <w:tcW w:w="913" w:type="dxa"/>
            <w:gridSpan w:val="2"/>
            <w:vAlign w:val="center"/>
          </w:tcPr>
          <w:p w:rsidR="00A36879" w:rsidRPr="00A36879" w:rsidRDefault="00A36879" w:rsidP="00A36879">
            <w:pPr>
              <w:spacing w:line="240" w:lineRule="auto"/>
              <w:cnfStyle w:val="000000000000"/>
            </w:pPr>
          </w:p>
        </w:tc>
        <w:tc>
          <w:tcPr>
            <w:tcW w:w="1952" w:type="dxa"/>
            <w:gridSpan w:val="3"/>
            <w:vAlign w:val="center"/>
          </w:tcPr>
          <w:p w:rsidR="00A36879" w:rsidRPr="00A36879" w:rsidRDefault="00A36879" w:rsidP="00A36879">
            <w:pPr>
              <w:spacing w:line="240" w:lineRule="auto"/>
              <w:cnfStyle w:val="000000000000"/>
            </w:pPr>
            <w:r w:rsidRPr="00A36879">
              <w:t>Climate Change Act</w:t>
            </w:r>
          </w:p>
          <w:p w:rsidR="00A36879" w:rsidRPr="00A36879" w:rsidRDefault="00A36879" w:rsidP="00A36879">
            <w:pPr>
              <w:spacing w:line="240" w:lineRule="auto"/>
              <w:cnfStyle w:val="000000000000"/>
            </w:pPr>
          </w:p>
          <w:p w:rsidR="00A36879" w:rsidRPr="00A36879" w:rsidRDefault="00A36879" w:rsidP="00A36879">
            <w:pPr>
              <w:spacing w:line="240" w:lineRule="auto"/>
              <w:cnfStyle w:val="000000000000"/>
            </w:pPr>
            <w:r w:rsidRPr="00A36879">
              <w:t>DECC created</w:t>
            </w:r>
          </w:p>
        </w:tc>
        <w:tc>
          <w:tcPr>
            <w:tcW w:w="1952" w:type="dxa"/>
            <w:gridSpan w:val="2"/>
            <w:vAlign w:val="center"/>
          </w:tcPr>
          <w:p w:rsidR="00A36879" w:rsidRPr="00A36879" w:rsidRDefault="00A36879" w:rsidP="00A36879">
            <w:pPr>
              <w:spacing w:line="240" w:lineRule="auto"/>
              <w:cnfStyle w:val="000000000000"/>
            </w:pPr>
          </w:p>
        </w:tc>
      </w:tr>
      <w:tr w:rsidR="00A36879" w:rsidRPr="00A36879" w:rsidTr="00A36879">
        <w:trPr>
          <w:cnfStyle w:val="000000100000"/>
        </w:trPr>
        <w:tc>
          <w:tcPr>
            <w:cnfStyle w:val="001000000000"/>
            <w:tcW w:w="1390" w:type="dxa"/>
            <w:vMerge w:val="restart"/>
            <w:textDirection w:val="btLr"/>
            <w:vAlign w:val="center"/>
          </w:tcPr>
          <w:p w:rsidR="00A36879" w:rsidRPr="00A36879" w:rsidRDefault="00A36879" w:rsidP="00A36879">
            <w:pPr>
              <w:spacing w:line="240" w:lineRule="auto"/>
              <w:ind w:left="113" w:right="113"/>
              <w:jc w:val="center"/>
              <w:rPr>
                <w:sz w:val="36"/>
                <w:szCs w:val="36"/>
              </w:rPr>
            </w:pPr>
            <w:r w:rsidRPr="00A36879">
              <w:rPr>
                <w:sz w:val="36"/>
                <w:szCs w:val="36"/>
              </w:rPr>
              <w:t>Dialogue processes</w:t>
            </w:r>
          </w:p>
        </w:tc>
        <w:tc>
          <w:tcPr>
            <w:tcW w:w="1243" w:type="dxa"/>
            <w:gridSpan w:val="2"/>
            <w:vAlign w:val="center"/>
          </w:tcPr>
          <w:p w:rsidR="00A36879" w:rsidRPr="00A36879" w:rsidRDefault="00A36879" w:rsidP="00A36879">
            <w:pPr>
              <w:spacing w:line="240" w:lineRule="auto"/>
              <w:cnfStyle w:val="000000100000"/>
            </w:pPr>
          </w:p>
        </w:tc>
        <w:tc>
          <w:tcPr>
            <w:tcW w:w="1368" w:type="dxa"/>
            <w:gridSpan w:val="3"/>
            <w:vAlign w:val="center"/>
          </w:tcPr>
          <w:p w:rsidR="00A36879" w:rsidRPr="00A36879" w:rsidRDefault="00A36879" w:rsidP="00A36879">
            <w:pPr>
              <w:spacing w:line="240" w:lineRule="auto"/>
              <w:cnfStyle w:val="000000100000"/>
            </w:pPr>
          </w:p>
        </w:tc>
        <w:tc>
          <w:tcPr>
            <w:tcW w:w="3683" w:type="dxa"/>
            <w:gridSpan w:val="7"/>
            <w:vAlign w:val="center"/>
          </w:tcPr>
          <w:p w:rsidR="00A36879" w:rsidRPr="00A36879" w:rsidRDefault="00A36879" w:rsidP="00A36879">
            <w:pPr>
              <w:spacing w:line="240" w:lineRule="auto"/>
              <w:cnfStyle w:val="000000100000"/>
            </w:pPr>
            <w:r w:rsidRPr="00A36879">
              <w:t>Consultation for Energy White paper (2003) delivered by New Economics Foundation</w:t>
            </w:r>
          </w:p>
        </w:tc>
        <w:tc>
          <w:tcPr>
            <w:tcW w:w="1673" w:type="dxa"/>
            <w:gridSpan w:val="2"/>
            <w:vAlign w:val="center"/>
          </w:tcPr>
          <w:p w:rsidR="00A36879" w:rsidRPr="00A36879" w:rsidRDefault="00A36879" w:rsidP="00A36879">
            <w:pPr>
              <w:spacing w:line="240" w:lineRule="auto"/>
              <w:cnfStyle w:val="000000100000"/>
            </w:pPr>
          </w:p>
        </w:tc>
        <w:tc>
          <w:tcPr>
            <w:tcW w:w="2865" w:type="dxa"/>
            <w:gridSpan w:val="5"/>
            <w:vAlign w:val="center"/>
          </w:tcPr>
          <w:p w:rsidR="00A36879" w:rsidRPr="00A36879" w:rsidRDefault="00A36879" w:rsidP="00A36879">
            <w:pPr>
              <w:spacing w:line="240" w:lineRule="auto"/>
              <w:cnfStyle w:val="000000100000"/>
            </w:pPr>
            <w:r w:rsidRPr="00A36879">
              <w:t>DEFRA Climate Change Citizens Summit delivered by Opinion Leader for Climate Change Act (2008)</w:t>
            </w:r>
          </w:p>
        </w:tc>
        <w:tc>
          <w:tcPr>
            <w:tcW w:w="1952" w:type="dxa"/>
            <w:gridSpan w:val="2"/>
            <w:vAlign w:val="center"/>
          </w:tcPr>
          <w:p w:rsidR="00A36879" w:rsidRPr="00A36879" w:rsidRDefault="00A36879" w:rsidP="00A36879">
            <w:pPr>
              <w:spacing w:line="240" w:lineRule="auto"/>
              <w:cnfStyle w:val="000000100000"/>
            </w:pPr>
            <w:r w:rsidRPr="00A36879">
              <w:t xml:space="preserve">Sciencewise/DECC Big Energy Shift dialogue delivered by </w:t>
            </w:r>
            <w:proofErr w:type="spellStart"/>
            <w:r w:rsidRPr="00A36879">
              <w:t>Ipsos</w:t>
            </w:r>
            <w:proofErr w:type="spellEnd"/>
            <w:r w:rsidRPr="00A36879">
              <w:t xml:space="preserve"> MORI</w:t>
            </w:r>
          </w:p>
          <w:p w:rsidR="00A36879" w:rsidRPr="00A36879" w:rsidRDefault="00A36879" w:rsidP="00A36879">
            <w:pPr>
              <w:spacing w:line="240" w:lineRule="auto"/>
              <w:cnfStyle w:val="000000100000"/>
            </w:pPr>
          </w:p>
        </w:tc>
      </w:tr>
      <w:tr w:rsidR="00A36879" w:rsidRPr="00A36879" w:rsidTr="00A36879">
        <w:tc>
          <w:tcPr>
            <w:cnfStyle w:val="001000000000"/>
            <w:tcW w:w="1390" w:type="dxa"/>
            <w:vMerge/>
          </w:tcPr>
          <w:p w:rsidR="00A36879" w:rsidRPr="00A36879" w:rsidRDefault="00A36879" w:rsidP="00A36879">
            <w:pPr>
              <w:spacing w:line="240" w:lineRule="auto"/>
            </w:pPr>
          </w:p>
        </w:tc>
        <w:tc>
          <w:tcPr>
            <w:tcW w:w="1243" w:type="dxa"/>
            <w:gridSpan w:val="2"/>
            <w:shd w:val="clear" w:color="auto" w:fill="auto"/>
            <w:vAlign w:val="center"/>
          </w:tcPr>
          <w:p w:rsidR="00A36879" w:rsidRPr="00A36879" w:rsidRDefault="00A36879" w:rsidP="00A36879">
            <w:pPr>
              <w:spacing w:line="240" w:lineRule="auto"/>
              <w:cnfStyle w:val="000000000000"/>
            </w:pPr>
          </w:p>
        </w:tc>
        <w:tc>
          <w:tcPr>
            <w:tcW w:w="1368" w:type="dxa"/>
            <w:gridSpan w:val="3"/>
            <w:shd w:val="clear" w:color="auto" w:fill="auto"/>
            <w:vAlign w:val="center"/>
          </w:tcPr>
          <w:p w:rsidR="00A36879" w:rsidRPr="00A36879" w:rsidRDefault="00A36879" w:rsidP="00A36879">
            <w:pPr>
              <w:spacing w:line="240" w:lineRule="auto"/>
              <w:cnfStyle w:val="000000000000"/>
            </w:pPr>
          </w:p>
        </w:tc>
        <w:tc>
          <w:tcPr>
            <w:tcW w:w="2122" w:type="dxa"/>
            <w:gridSpan w:val="5"/>
            <w:shd w:val="clear" w:color="auto" w:fill="auto"/>
            <w:vAlign w:val="center"/>
          </w:tcPr>
          <w:p w:rsidR="00A36879" w:rsidRPr="00A36879" w:rsidRDefault="00A36879" w:rsidP="00A36879">
            <w:pPr>
              <w:spacing w:line="240" w:lineRule="auto"/>
              <w:cnfStyle w:val="000000000000"/>
            </w:pPr>
          </w:p>
        </w:tc>
        <w:tc>
          <w:tcPr>
            <w:tcW w:w="1561" w:type="dxa"/>
            <w:gridSpan w:val="2"/>
            <w:shd w:val="clear" w:color="auto" w:fill="auto"/>
            <w:vAlign w:val="center"/>
          </w:tcPr>
          <w:p w:rsidR="00A36879" w:rsidRPr="00A36879" w:rsidRDefault="00A36879" w:rsidP="00A36879">
            <w:pPr>
              <w:spacing w:line="240" w:lineRule="auto"/>
              <w:cnfStyle w:val="000000000000"/>
            </w:pPr>
          </w:p>
        </w:tc>
        <w:tc>
          <w:tcPr>
            <w:tcW w:w="1673" w:type="dxa"/>
            <w:gridSpan w:val="2"/>
            <w:shd w:val="clear" w:color="auto" w:fill="auto"/>
            <w:vAlign w:val="center"/>
          </w:tcPr>
          <w:p w:rsidR="00A36879" w:rsidRPr="00A36879" w:rsidRDefault="00A36879" w:rsidP="00A36879">
            <w:pPr>
              <w:spacing w:line="240" w:lineRule="auto"/>
              <w:cnfStyle w:val="000000000000"/>
            </w:pPr>
          </w:p>
        </w:tc>
        <w:tc>
          <w:tcPr>
            <w:tcW w:w="2865" w:type="dxa"/>
            <w:gridSpan w:val="5"/>
            <w:shd w:val="clear" w:color="auto" w:fill="auto"/>
            <w:vAlign w:val="center"/>
          </w:tcPr>
          <w:p w:rsidR="00A36879" w:rsidRPr="00A36879" w:rsidRDefault="00A36879" w:rsidP="00A36879">
            <w:pPr>
              <w:spacing w:line="240" w:lineRule="auto"/>
              <w:cnfStyle w:val="000000000000"/>
            </w:pPr>
            <w:r w:rsidRPr="00A36879">
              <w:t xml:space="preserve">RCUK Dialogue on future energy research priorities (2007) delivered by </w:t>
            </w:r>
            <w:proofErr w:type="spellStart"/>
            <w:r w:rsidRPr="00A36879">
              <w:t>Ipsos</w:t>
            </w:r>
            <w:proofErr w:type="spellEnd"/>
            <w:r w:rsidRPr="00A36879">
              <w:t xml:space="preserve"> MORI</w:t>
            </w:r>
          </w:p>
        </w:tc>
        <w:tc>
          <w:tcPr>
            <w:tcW w:w="1952" w:type="dxa"/>
            <w:gridSpan w:val="2"/>
            <w:shd w:val="clear" w:color="auto" w:fill="auto"/>
            <w:vAlign w:val="center"/>
          </w:tcPr>
          <w:p w:rsidR="00A36879" w:rsidRPr="00A36879" w:rsidRDefault="00A36879" w:rsidP="00A36879">
            <w:pPr>
              <w:spacing w:line="240" w:lineRule="auto"/>
              <w:cnfStyle w:val="000000000000"/>
            </w:pPr>
            <w:r w:rsidRPr="00A36879">
              <w:t>Sciencewise/DECC</w:t>
            </w:r>
          </w:p>
          <w:p w:rsidR="00A36879" w:rsidRPr="00A36879" w:rsidRDefault="00A36879" w:rsidP="00A36879">
            <w:pPr>
              <w:spacing w:line="240" w:lineRule="auto"/>
              <w:cnfStyle w:val="000000000000"/>
            </w:pPr>
            <w:r w:rsidRPr="00A36879">
              <w:t>Low Carbon Communities Challenge delivered by DECC and Dialogue by Design</w:t>
            </w:r>
          </w:p>
          <w:p w:rsidR="00A36879" w:rsidRPr="00A36879" w:rsidRDefault="00A36879" w:rsidP="00A36879">
            <w:pPr>
              <w:spacing w:line="240" w:lineRule="auto"/>
              <w:cnfStyle w:val="000000000000"/>
            </w:pPr>
          </w:p>
        </w:tc>
      </w:tr>
      <w:tr w:rsidR="00A36879" w:rsidRPr="00A36879" w:rsidTr="00A36879">
        <w:trPr>
          <w:cnfStyle w:val="000000100000"/>
        </w:trPr>
        <w:tc>
          <w:tcPr>
            <w:cnfStyle w:val="001000000000"/>
            <w:tcW w:w="1390" w:type="dxa"/>
            <w:vMerge/>
          </w:tcPr>
          <w:p w:rsidR="00A36879" w:rsidRPr="00A36879" w:rsidRDefault="00A36879" w:rsidP="00A36879">
            <w:pPr>
              <w:spacing w:line="240" w:lineRule="auto"/>
            </w:pPr>
          </w:p>
        </w:tc>
        <w:tc>
          <w:tcPr>
            <w:tcW w:w="1243" w:type="dxa"/>
            <w:gridSpan w:val="2"/>
            <w:vAlign w:val="center"/>
          </w:tcPr>
          <w:p w:rsidR="00A36879" w:rsidRPr="00A36879" w:rsidRDefault="00A36879" w:rsidP="00A36879">
            <w:pPr>
              <w:spacing w:line="240" w:lineRule="auto"/>
              <w:cnfStyle w:val="000000100000"/>
            </w:pPr>
          </w:p>
        </w:tc>
        <w:tc>
          <w:tcPr>
            <w:tcW w:w="938" w:type="dxa"/>
            <w:vAlign w:val="center"/>
          </w:tcPr>
          <w:p w:rsidR="00A36879" w:rsidRPr="00A36879" w:rsidRDefault="00A36879" w:rsidP="00A36879">
            <w:pPr>
              <w:spacing w:line="240" w:lineRule="auto"/>
              <w:cnfStyle w:val="000000100000"/>
            </w:pPr>
          </w:p>
        </w:tc>
        <w:tc>
          <w:tcPr>
            <w:tcW w:w="478" w:type="dxa"/>
            <w:gridSpan w:val="3"/>
            <w:vAlign w:val="center"/>
          </w:tcPr>
          <w:p w:rsidR="00A36879" w:rsidRPr="00A36879" w:rsidRDefault="00A36879" w:rsidP="00A36879">
            <w:pPr>
              <w:spacing w:line="240" w:lineRule="auto"/>
              <w:cnfStyle w:val="000000100000"/>
            </w:pPr>
          </w:p>
        </w:tc>
        <w:tc>
          <w:tcPr>
            <w:tcW w:w="770" w:type="dxa"/>
            <w:vAlign w:val="center"/>
          </w:tcPr>
          <w:p w:rsidR="00A36879" w:rsidRPr="00A36879" w:rsidRDefault="00A36879" w:rsidP="00A36879">
            <w:pPr>
              <w:spacing w:line="240" w:lineRule="auto"/>
              <w:cnfStyle w:val="000000100000"/>
            </w:pPr>
          </w:p>
        </w:tc>
        <w:tc>
          <w:tcPr>
            <w:tcW w:w="1304" w:type="dxa"/>
            <w:gridSpan w:val="3"/>
            <w:vAlign w:val="center"/>
          </w:tcPr>
          <w:p w:rsidR="00A36879" w:rsidRPr="00A36879" w:rsidRDefault="00A36879" w:rsidP="00A36879">
            <w:pPr>
              <w:spacing w:line="240" w:lineRule="auto"/>
              <w:cnfStyle w:val="000000100000"/>
            </w:pPr>
          </w:p>
        </w:tc>
        <w:tc>
          <w:tcPr>
            <w:tcW w:w="1561" w:type="dxa"/>
            <w:gridSpan w:val="2"/>
            <w:vAlign w:val="center"/>
          </w:tcPr>
          <w:p w:rsidR="00A36879" w:rsidRPr="00A36879" w:rsidRDefault="00A36879" w:rsidP="00A36879">
            <w:pPr>
              <w:spacing w:line="240" w:lineRule="auto"/>
              <w:cnfStyle w:val="000000100000"/>
            </w:pPr>
          </w:p>
        </w:tc>
        <w:tc>
          <w:tcPr>
            <w:tcW w:w="1673" w:type="dxa"/>
            <w:gridSpan w:val="2"/>
            <w:vAlign w:val="center"/>
          </w:tcPr>
          <w:p w:rsidR="00A36879" w:rsidRPr="00A36879" w:rsidRDefault="00A36879" w:rsidP="00A36879">
            <w:pPr>
              <w:spacing w:line="240" w:lineRule="auto"/>
              <w:cnfStyle w:val="000000100000"/>
            </w:pPr>
          </w:p>
        </w:tc>
        <w:tc>
          <w:tcPr>
            <w:tcW w:w="2865" w:type="dxa"/>
            <w:gridSpan w:val="5"/>
            <w:vAlign w:val="center"/>
          </w:tcPr>
          <w:p w:rsidR="00A36879" w:rsidRPr="00A36879" w:rsidRDefault="00A36879" w:rsidP="00A36879">
            <w:pPr>
              <w:spacing w:line="240" w:lineRule="auto"/>
              <w:cnfStyle w:val="000000100000"/>
            </w:pPr>
            <w:r w:rsidRPr="00A36879">
              <w:t>BERR/DECC dialogue on future of nuclear power (2007-8) delivered by Opinion Leader, Dialogue by Design and 3KQ</w:t>
            </w:r>
          </w:p>
        </w:tc>
        <w:tc>
          <w:tcPr>
            <w:tcW w:w="1952" w:type="dxa"/>
            <w:gridSpan w:val="2"/>
            <w:vAlign w:val="center"/>
          </w:tcPr>
          <w:p w:rsidR="00A36879" w:rsidRPr="00A36879" w:rsidRDefault="00A36879" w:rsidP="00A36879">
            <w:pPr>
              <w:spacing w:line="240" w:lineRule="auto"/>
              <w:cnfStyle w:val="000000100000"/>
            </w:pPr>
            <w:r w:rsidRPr="00A36879">
              <w:t xml:space="preserve">Sciencewise/DECC Energy 2050 pathways delivered by DECC, </w:t>
            </w:r>
            <w:proofErr w:type="spellStart"/>
            <w:r w:rsidRPr="00A36879">
              <w:t>Delib</w:t>
            </w:r>
            <w:proofErr w:type="spellEnd"/>
            <w:r w:rsidRPr="00A36879">
              <w:t xml:space="preserve">, </w:t>
            </w:r>
            <w:proofErr w:type="spellStart"/>
            <w:r w:rsidRPr="00A36879">
              <w:t>Ipsos</w:t>
            </w:r>
            <w:proofErr w:type="spellEnd"/>
            <w:r w:rsidRPr="00A36879">
              <w:t xml:space="preserve"> MORI, Involve and OPM</w:t>
            </w:r>
          </w:p>
        </w:tc>
      </w:tr>
    </w:tbl>
    <w:p w:rsidR="00A36879" w:rsidRDefault="00A36879" w:rsidP="00A36879">
      <w:pPr>
        <w:sectPr w:rsidR="00A36879" w:rsidSect="00360869">
          <w:pgSz w:w="16838" w:h="11906" w:orient="landscape"/>
          <w:pgMar w:top="1440" w:right="1440" w:bottom="1440" w:left="1440" w:header="708" w:footer="708" w:gutter="0"/>
          <w:cols w:space="708"/>
          <w:docGrid w:linePitch="360"/>
        </w:sectPr>
      </w:pPr>
    </w:p>
    <w:p w:rsidR="00A36879" w:rsidRDefault="00A36879" w:rsidP="00A36879">
      <w:pPr>
        <w:pStyle w:val="Heading1"/>
        <w:numPr>
          <w:ilvl w:val="0"/>
          <w:numId w:val="1"/>
        </w:numPr>
        <w:spacing w:line="276" w:lineRule="auto"/>
      </w:pPr>
      <w:r>
        <w:lastRenderedPageBreak/>
        <w:t>Frames</w:t>
      </w:r>
    </w:p>
    <w:p w:rsidR="00A36879" w:rsidRDefault="00A36879" w:rsidP="00A36879">
      <w:r>
        <w:t xml:space="preserve">Changing frames of </w:t>
      </w:r>
      <w:r w:rsidRPr="00FA52D2">
        <w:rPr>
          <w:i/>
        </w:rPr>
        <w:t>participation</w:t>
      </w:r>
      <w:r>
        <w:t xml:space="preserve">, </w:t>
      </w:r>
      <w:r w:rsidRPr="00FA52D2">
        <w:rPr>
          <w:i/>
        </w:rPr>
        <w:t>publics</w:t>
      </w:r>
      <w:r>
        <w:t xml:space="preserve"> and the issue of </w:t>
      </w:r>
      <w:r w:rsidRPr="00FA52D2">
        <w:rPr>
          <w:i/>
        </w:rPr>
        <w:t>climate change</w:t>
      </w:r>
      <w:r>
        <w:t xml:space="preserve"> have been co-produced and expressed throughout the decade alongside or in response to participatory experiments, organisational changes and external pressures. Table 2 sketches out some dominant frames found throughout the decade, organised into four distinct organisational phases identified through the documentary analysis. This illustrates synergies and influences between and across frames, as well as their relationships to events within and external to Sciencewise (see Table 1). Yet table 2 is merely intended as a heuristic, as frame changes were found to be messy and partial, often overlapping, co-existing and contradictory. Many frames existed throughout the decade, but were judged to be particularly strong during one organisational phase. In this section the transformations of each frame will be described longitudinally and linked to particular qualities and trends of learning. </w:t>
      </w:r>
    </w:p>
    <w:tbl>
      <w:tblPr>
        <w:tblStyle w:val="LightList"/>
        <w:tblpPr w:leftFromText="180" w:rightFromText="180" w:vertAnchor="text" w:horzAnchor="margin" w:tblpY="40"/>
        <w:tblW w:w="9039" w:type="dxa"/>
        <w:tblLook w:val="04A0"/>
      </w:tblPr>
      <w:tblGrid>
        <w:gridCol w:w="817"/>
        <w:gridCol w:w="2268"/>
        <w:gridCol w:w="1985"/>
        <w:gridCol w:w="1984"/>
        <w:gridCol w:w="1985"/>
      </w:tblGrid>
      <w:tr w:rsidR="00A36879" w:rsidRPr="00115D75" w:rsidTr="00BF5123">
        <w:trPr>
          <w:cnfStyle w:val="100000000000"/>
        </w:trPr>
        <w:tc>
          <w:tcPr>
            <w:cnfStyle w:val="001000000000"/>
            <w:tcW w:w="9039" w:type="dxa"/>
            <w:gridSpan w:val="5"/>
            <w:tcBorders>
              <w:top w:val="single" w:sz="8" w:space="0" w:color="000000" w:themeColor="text1"/>
              <w:bottom w:val="single" w:sz="8" w:space="0" w:color="000000" w:themeColor="text1"/>
            </w:tcBorders>
            <w:shd w:val="clear" w:color="auto" w:fill="FFFFFF" w:themeFill="background1"/>
          </w:tcPr>
          <w:p w:rsidR="00A36879" w:rsidRPr="00115D75" w:rsidRDefault="00A36879" w:rsidP="00800795">
            <w:pPr>
              <w:spacing w:line="240" w:lineRule="auto"/>
              <w:rPr>
                <w:color w:val="auto"/>
                <w:sz w:val="20"/>
                <w:szCs w:val="20"/>
              </w:rPr>
            </w:pPr>
            <w:r w:rsidRPr="00115D75">
              <w:rPr>
                <w:color w:val="auto"/>
                <w:sz w:val="20"/>
                <w:szCs w:val="20"/>
              </w:rPr>
              <w:t>Table 2: Dominant frames of publics, participation and climate change at key points during the decade.</w:t>
            </w:r>
          </w:p>
        </w:tc>
      </w:tr>
      <w:tr w:rsidR="00A36879" w:rsidRPr="00115D75" w:rsidTr="00BF5123">
        <w:trPr>
          <w:cnfStyle w:val="000000100000"/>
        </w:trPr>
        <w:tc>
          <w:tcPr>
            <w:cnfStyle w:val="001000000000"/>
            <w:tcW w:w="817" w:type="dxa"/>
            <w:shd w:val="clear" w:color="auto" w:fill="000000" w:themeFill="text1"/>
          </w:tcPr>
          <w:p w:rsidR="00A36879" w:rsidRPr="00115D75" w:rsidRDefault="00A36879" w:rsidP="00800795">
            <w:pPr>
              <w:spacing w:line="240" w:lineRule="auto"/>
              <w:rPr>
                <w:sz w:val="20"/>
                <w:szCs w:val="20"/>
              </w:rPr>
            </w:pPr>
          </w:p>
        </w:tc>
        <w:tc>
          <w:tcPr>
            <w:tcW w:w="2268" w:type="dxa"/>
            <w:shd w:val="clear" w:color="auto" w:fill="000000" w:themeFill="text1"/>
          </w:tcPr>
          <w:p w:rsidR="00A36879" w:rsidRPr="00115D75" w:rsidRDefault="00A36879" w:rsidP="00800795">
            <w:pPr>
              <w:spacing w:line="240" w:lineRule="auto"/>
              <w:cnfStyle w:val="000000100000"/>
              <w:rPr>
                <w:b/>
                <w:sz w:val="20"/>
                <w:szCs w:val="20"/>
              </w:rPr>
            </w:pPr>
            <w:r w:rsidRPr="00115D75">
              <w:rPr>
                <w:b/>
                <w:sz w:val="20"/>
                <w:szCs w:val="20"/>
              </w:rPr>
              <w:t>Background</w:t>
            </w:r>
          </w:p>
        </w:tc>
        <w:tc>
          <w:tcPr>
            <w:tcW w:w="1985" w:type="dxa"/>
            <w:shd w:val="clear" w:color="auto" w:fill="000000" w:themeFill="text1"/>
          </w:tcPr>
          <w:p w:rsidR="00A36879" w:rsidRPr="00115D75" w:rsidRDefault="00A36879" w:rsidP="00800795">
            <w:pPr>
              <w:spacing w:line="240" w:lineRule="auto"/>
              <w:jc w:val="center"/>
              <w:cnfStyle w:val="000000100000"/>
              <w:rPr>
                <w:b/>
                <w:sz w:val="20"/>
                <w:szCs w:val="20"/>
              </w:rPr>
            </w:pPr>
            <w:r w:rsidRPr="00115D75">
              <w:rPr>
                <w:b/>
                <w:sz w:val="20"/>
                <w:szCs w:val="20"/>
              </w:rPr>
              <w:t>Participation</w:t>
            </w:r>
          </w:p>
        </w:tc>
        <w:tc>
          <w:tcPr>
            <w:tcW w:w="1984" w:type="dxa"/>
            <w:shd w:val="clear" w:color="auto" w:fill="000000" w:themeFill="text1"/>
          </w:tcPr>
          <w:p w:rsidR="00A36879" w:rsidRPr="00115D75" w:rsidRDefault="00A36879" w:rsidP="00800795">
            <w:pPr>
              <w:spacing w:line="240" w:lineRule="auto"/>
              <w:jc w:val="center"/>
              <w:cnfStyle w:val="000000100000"/>
              <w:rPr>
                <w:b/>
                <w:sz w:val="20"/>
                <w:szCs w:val="20"/>
              </w:rPr>
            </w:pPr>
            <w:r w:rsidRPr="00115D75">
              <w:rPr>
                <w:b/>
                <w:sz w:val="20"/>
                <w:szCs w:val="20"/>
              </w:rPr>
              <w:t>Publics</w:t>
            </w:r>
          </w:p>
        </w:tc>
        <w:tc>
          <w:tcPr>
            <w:tcW w:w="1985" w:type="dxa"/>
            <w:shd w:val="clear" w:color="auto" w:fill="000000" w:themeFill="text1"/>
          </w:tcPr>
          <w:p w:rsidR="00A36879" w:rsidRPr="00115D75" w:rsidRDefault="00A36879" w:rsidP="00800795">
            <w:pPr>
              <w:spacing w:line="240" w:lineRule="auto"/>
              <w:jc w:val="center"/>
              <w:cnfStyle w:val="000000100000"/>
              <w:rPr>
                <w:b/>
                <w:sz w:val="20"/>
                <w:szCs w:val="20"/>
              </w:rPr>
            </w:pPr>
            <w:r w:rsidRPr="00115D75">
              <w:rPr>
                <w:b/>
                <w:sz w:val="20"/>
                <w:szCs w:val="20"/>
              </w:rPr>
              <w:t>Climate Change</w:t>
            </w:r>
          </w:p>
        </w:tc>
      </w:tr>
      <w:tr w:rsidR="00A36879" w:rsidRPr="00115D75" w:rsidTr="00BF5123">
        <w:tc>
          <w:tcPr>
            <w:cnfStyle w:val="001000000000"/>
            <w:tcW w:w="817" w:type="dxa"/>
            <w:tcBorders>
              <w:top w:val="single" w:sz="8" w:space="0" w:color="000000" w:themeColor="text1"/>
              <w:left w:val="single" w:sz="4" w:space="0" w:color="auto"/>
              <w:bottom w:val="nil"/>
              <w:right w:val="single" w:sz="18" w:space="0" w:color="auto"/>
            </w:tcBorders>
          </w:tcPr>
          <w:p w:rsidR="00A36879" w:rsidRPr="00115D75" w:rsidRDefault="00A36879" w:rsidP="00800795">
            <w:pPr>
              <w:spacing w:line="240" w:lineRule="auto"/>
              <w:rPr>
                <w:sz w:val="20"/>
                <w:szCs w:val="20"/>
              </w:rPr>
            </w:pPr>
            <w:r w:rsidRPr="00115D75">
              <w:rPr>
                <w:sz w:val="20"/>
                <w:szCs w:val="20"/>
              </w:rPr>
              <w:t>2000</w:t>
            </w:r>
          </w:p>
        </w:tc>
        <w:tc>
          <w:tcPr>
            <w:tcW w:w="2268" w:type="dxa"/>
            <w:tcBorders>
              <w:left w:val="single" w:sz="18" w:space="0" w:color="auto"/>
              <w:bottom w:val="nil"/>
              <w:right w:val="single" w:sz="4" w:space="0" w:color="auto"/>
            </w:tcBorders>
          </w:tcPr>
          <w:p w:rsidR="00A36879" w:rsidRPr="00115D75" w:rsidRDefault="00A36879" w:rsidP="00800795">
            <w:pPr>
              <w:spacing w:line="240" w:lineRule="auto"/>
              <w:cnfStyle w:val="000000000000"/>
              <w:rPr>
                <w:sz w:val="20"/>
                <w:szCs w:val="20"/>
              </w:rPr>
            </w:pPr>
            <w:r w:rsidRPr="00115D75">
              <w:rPr>
                <w:sz w:val="20"/>
                <w:szCs w:val="20"/>
              </w:rPr>
              <w:t>House of Lords report</w:t>
            </w:r>
          </w:p>
        </w:tc>
        <w:tc>
          <w:tcPr>
            <w:tcW w:w="1985" w:type="dxa"/>
            <w:tcBorders>
              <w:left w:val="single" w:sz="4" w:space="0" w:color="auto"/>
              <w:bottom w:val="single" w:sz="4" w:space="0" w:color="auto"/>
              <w:right w:val="single" w:sz="4" w:space="0" w:color="auto"/>
            </w:tcBorders>
          </w:tcPr>
          <w:p w:rsidR="00A36879" w:rsidRPr="00115D75" w:rsidRDefault="00A36879" w:rsidP="00800795">
            <w:pPr>
              <w:spacing w:line="240" w:lineRule="auto"/>
              <w:cnfStyle w:val="000000000000"/>
              <w:rPr>
                <w:sz w:val="20"/>
                <w:szCs w:val="20"/>
              </w:rPr>
            </w:pPr>
            <w:r w:rsidRPr="00115D75">
              <w:rPr>
                <w:sz w:val="20"/>
                <w:szCs w:val="20"/>
              </w:rPr>
              <w:t>2-way dialogue to be embedded in policy-making</w:t>
            </w:r>
          </w:p>
          <w:p w:rsidR="00A36879" w:rsidRPr="00115D75" w:rsidRDefault="00A36879" w:rsidP="00800795">
            <w:pPr>
              <w:spacing w:line="240" w:lineRule="auto"/>
              <w:cnfStyle w:val="000000000000"/>
              <w:rPr>
                <w:sz w:val="20"/>
                <w:szCs w:val="20"/>
              </w:rPr>
            </w:pPr>
          </w:p>
        </w:tc>
        <w:tc>
          <w:tcPr>
            <w:tcW w:w="1984" w:type="dxa"/>
            <w:tcBorders>
              <w:left w:val="single" w:sz="4" w:space="0" w:color="auto"/>
              <w:bottom w:val="single" w:sz="4" w:space="0" w:color="auto"/>
              <w:right w:val="single" w:sz="4" w:space="0" w:color="auto"/>
            </w:tcBorders>
          </w:tcPr>
          <w:p w:rsidR="00A36879" w:rsidRPr="00115D75" w:rsidRDefault="00A36879" w:rsidP="00800795">
            <w:pPr>
              <w:spacing w:line="240" w:lineRule="auto"/>
              <w:cnfStyle w:val="000000000000"/>
              <w:rPr>
                <w:sz w:val="20"/>
                <w:szCs w:val="20"/>
              </w:rPr>
            </w:pPr>
            <w:r w:rsidRPr="00115D75">
              <w:rPr>
                <w:sz w:val="20"/>
                <w:szCs w:val="20"/>
              </w:rPr>
              <w:t>Distrustful of science</w:t>
            </w:r>
          </w:p>
        </w:tc>
        <w:tc>
          <w:tcPr>
            <w:tcW w:w="1985" w:type="dxa"/>
            <w:tcBorders>
              <w:left w:val="single" w:sz="4" w:space="0" w:color="auto"/>
              <w:bottom w:val="single" w:sz="4" w:space="0" w:color="auto"/>
            </w:tcBorders>
          </w:tcPr>
          <w:p w:rsidR="00A36879" w:rsidRPr="00115D75" w:rsidRDefault="00A36879" w:rsidP="00800795">
            <w:pPr>
              <w:spacing w:line="240" w:lineRule="auto"/>
              <w:cnfStyle w:val="000000000000"/>
              <w:rPr>
                <w:sz w:val="20"/>
                <w:szCs w:val="20"/>
              </w:rPr>
            </w:pPr>
            <w:r w:rsidRPr="00115D75">
              <w:rPr>
                <w:sz w:val="20"/>
                <w:szCs w:val="20"/>
              </w:rPr>
              <w:t>Technical/scientific problem of energy infrastructure</w:t>
            </w:r>
          </w:p>
        </w:tc>
      </w:tr>
      <w:tr w:rsidR="00A36879" w:rsidRPr="00115D75" w:rsidTr="00BF5123">
        <w:trPr>
          <w:cnfStyle w:val="000000100000"/>
        </w:trPr>
        <w:tc>
          <w:tcPr>
            <w:cnfStyle w:val="001000000000"/>
            <w:tcW w:w="817" w:type="dxa"/>
            <w:tcBorders>
              <w:top w:val="nil"/>
              <w:left w:val="single" w:sz="4" w:space="0" w:color="auto"/>
              <w:bottom w:val="nil"/>
              <w:right w:val="single" w:sz="18" w:space="0" w:color="auto"/>
            </w:tcBorders>
          </w:tcPr>
          <w:p w:rsidR="00A36879" w:rsidRPr="00115D75" w:rsidRDefault="00A36879" w:rsidP="00800795">
            <w:pPr>
              <w:spacing w:line="240" w:lineRule="auto"/>
              <w:rPr>
                <w:sz w:val="20"/>
                <w:szCs w:val="20"/>
              </w:rPr>
            </w:pPr>
            <w:r w:rsidRPr="00115D75">
              <w:rPr>
                <w:sz w:val="20"/>
                <w:szCs w:val="20"/>
              </w:rPr>
              <w:t>2004</w:t>
            </w:r>
          </w:p>
        </w:tc>
        <w:tc>
          <w:tcPr>
            <w:tcW w:w="2268" w:type="dxa"/>
            <w:tcBorders>
              <w:top w:val="nil"/>
              <w:left w:val="single" w:sz="18" w:space="0" w:color="auto"/>
              <w:bottom w:val="nil"/>
              <w:right w:val="single" w:sz="4" w:space="0" w:color="auto"/>
            </w:tcBorders>
          </w:tcPr>
          <w:p w:rsidR="00A36879" w:rsidRPr="00115D75" w:rsidRDefault="00A36879" w:rsidP="00800795">
            <w:pPr>
              <w:spacing w:line="240" w:lineRule="auto"/>
              <w:cnfStyle w:val="000000100000"/>
              <w:rPr>
                <w:sz w:val="20"/>
                <w:szCs w:val="20"/>
              </w:rPr>
            </w:pPr>
            <w:r w:rsidRPr="00115D75">
              <w:rPr>
                <w:sz w:val="20"/>
                <w:szCs w:val="20"/>
              </w:rPr>
              <w:t>Sciencewise grant scheme</w:t>
            </w:r>
          </w:p>
        </w:tc>
        <w:tc>
          <w:tcPr>
            <w:tcW w:w="1985" w:type="dxa"/>
            <w:tcBorders>
              <w:top w:val="single" w:sz="4" w:space="0" w:color="auto"/>
              <w:left w:val="single" w:sz="4" w:space="0" w:color="auto"/>
              <w:bottom w:val="single" w:sz="4" w:space="0" w:color="auto"/>
              <w:right w:val="single" w:sz="4" w:space="0" w:color="auto"/>
            </w:tcBorders>
          </w:tcPr>
          <w:p w:rsidR="00A36879" w:rsidRPr="00115D75" w:rsidRDefault="00A36879" w:rsidP="00800795">
            <w:pPr>
              <w:spacing w:line="240" w:lineRule="auto"/>
              <w:cnfStyle w:val="000000100000"/>
              <w:rPr>
                <w:sz w:val="20"/>
                <w:szCs w:val="20"/>
              </w:rPr>
            </w:pPr>
            <w:r w:rsidRPr="00115D75">
              <w:rPr>
                <w:sz w:val="20"/>
                <w:szCs w:val="20"/>
              </w:rPr>
              <w:t>Consensual; a way to avoid future controversies</w:t>
            </w:r>
          </w:p>
          <w:p w:rsidR="00A36879" w:rsidRPr="00115D75" w:rsidRDefault="00A36879" w:rsidP="00800795">
            <w:pPr>
              <w:spacing w:line="240" w:lineRule="auto"/>
              <w:cnfStyle w:val="000000100000"/>
              <w:rPr>
                <w:sz w:val="20"/>
                <w:szCs w:val="20"/>
              </w:rPr>
            </w:pPr>
          </w:p>
        </w:tc>
        <w:tc>
          <w:tcPr>
            <w:tcW w:w="1984" w:type="dxa"/>
            <w:tcBorders>
              <w:top w:val="single" w:sz="4" w:space="0" w:color="auto"/>
              <w:left w:val="single" w:sz="4" w:space="0" w:color="auto"/>
              <w:bottom w:val="single" w:sz="4" w:space="0" w:color="auto"/>
              <w:right w:val="single" w:sz="4" w:space="0" w:color="auto"/>
            </w:tcBorders>
          </w:tcPr>
          <w:p w:rsidR="00A36879" w:rsidRPr="00115D75" w:rsidRDefault="00A36879" w:rsidP="00800795">
            <w:pPr>
              <w:spacing w:line="240" w:lineRule="auto"/>
              <w:cnfStyle w:val="000000100000"/>
              <w:rPr>
                <w:sz w:val="20"/>
                <w:szCs w:val="20"/>
              </w:rPr>
            </w:pPr>
            <w:r w:rsidRPr="00115D75">
              <w:rPr>
                <w:sz w:val="20"/>
                <w:szCs w:val="20"/>
              </w:rPr>
              <w:t>Passive in scientific and policy processes</w:t>
            </w:r>
          </w:p>
        </w:tc>
        <w:tc>
          <w:tcPr>
            <w:tcW w:w="1985" w:type="dxa"/>
            <w:tcBorders>
              <w:top w:val="single" w:sz="4" w:space="0" w:color="auto"/>
              <w:left w:val="single" w:sz="4" w:space="0" w:color="auto"/>
              <w:bottom w:val="single" w:sz="4" w:space="0" w:color="auto"/>
            </w:tcBorders>
          </w:tcPr>
          <w:p w:rsidR="00A36879" w:rsidRPr="00115D75" w:rsidRDefault="00A36879" w:rsidP="00800795">
            <w:pPr>
              <w:spacing w:line="240" w:lineRule="auto"/>
              <w:cnfStyle w:val="000000100000"/>
              <w:rPr>
                <w:sz w:val="20"/>
                <w:szCs w:val="20"/>
              </w:rPr>
            </w:pPr>
            <w:r w:rsidRPr="00115D75">
              <w:rPr>
                <w:sz w:val="20"/>
                <w:szCs w:val="20"/>
              </w:rPr>
              <w:t>Requiring science to ‘speak truth to power’</w:t>
            </w:r>
          </w:p>
        </w:tc>
      </w:tr>
      <w:tr w:rsidR="00A36879" w:rsidRPr="00115D75" w:rsidTr="00BF5123">
        <w:tc>
          <w:tcPr>
            <w:cnfStyle w:val="001000000000"/>
            <w:tcW w:w="817" w:type="dxa"/>
            <w:tcBorders>
              <w:top w:val="nil"/>
              <w:left w:val="single" w:sz="4" w:space="0" w:color="auto"/>
              <w:bottom w:val="nil"/>
              <w:right w:val="single" w:sz="18" w:space="0" w:color="auto"/>
            </w:tcBorders>
          </w:tcPr>
          <w:p w:rsidR="00A36879" w:rsidRPr="00115D75" w:rsidRDefault="00A36879" w:rsidP="00800795">
            <w:pPr>
              <w:spacing w:line="240" w:lineRule="auto"/>
              <w:rPr>
                <w:sz w:val="20"/>
                <w:szCs w:val="20"/>
              </w:rPr>
            </w:pPr>
            <w:r w:rsidRPr="00115D75">
              <w:rPr>
                <w:sz w:val="20"/>
                <w:szCs w:val="20"/>
              </w:rPr>
              <w:t>2006</w:t>
            </w:r>
          </w:p>
        </w:tc>
        <w:tc>
          <w:tcPr>
            <w:tcW w:w="2268" w:type="dxa"/>
            <w:tcBorders>
              <w:top w:val="nil"/>
              <w:left w:val="single" w:sz="18" w:space="0" w:color="auto"/>
              <w:bottom w:val="nil"/>
              <w:right w:val="single" w:sz="4" w:space="0" w:color="auto"/>
            </w:tcBorders>
          </w:tcPr>
          <w:p w:rsidR="00A36879" w:rsidRPr="00115D75" w:rsidRDefault="00A36879" w:rsidP="00800795">
            <w:pPr>
              <w:spacing w:line="240" w:lineRule="auto"/>
              <w:cnfStyle w:val="000000000000"/>
              <w:rPr>
                <w:sz w:val="20"/>
                <w:szCs w:val="20"/>
              </w:rPr>
            </w:pPr>
            <w:r w:rsidRPr="00115D75">
              <w:rPr>
                <w:sz w:val="20"/>
                <w:szCs w:val="20"/>
              </w:rPr>
              <w:t>Creation of Sciencewise - Expert Resource Centre</w:t>
            </w:r>
          </w:p>
        </w:tc>
        <w:tc>
          <w:tcPr>
            <w:tcW w:w="1985" w:type="dxa"/>
            <w:tcBorders>
              <w:top w:val="single" w:sz="4" w:space="0" w:color="auto"/>
              <w:left w:val="single" w:sz="4" w:space="0" w:color="auto"/>
              <w:bottom w:val="single" w:sz="4" w:space="0" w:color="auto"/>
              <w:right w:val="single" w:sz="4" w:space="0" w:color="auto"/>
            </w:tcBorders>
          </w:tcPr>
          <w:p w:rsidR="00A36879" w:rsidRPr="00115D75" w:rsidRDefault="00A36879" w:rsidP="00800795">
            <w:pPr>
              <w:spacing w:line="240" w:lineRule="auto"/>
              <w:cnfStyle w:val="000000000000"/>
              <w:rPr>
                <w:sz w:val="20"/>
                <w:szCs w:val="20"/>
              </w:rPr>
            </w:pPr>
            <w:r w:rsidRPr="00115D75">
              <w:rPr>
                <w:sz w:val="20"/>
                <w:szCs w:val="20"/>
              </w:rPr>
              <w:t xml:space="preserve">Public dialogue; set of clearly defined and marketable procedures </w:t>
            </w:r>
          </w:p>
          <w:p w:rsidR="00A36879" w:rsidRPr="00115D75" w:rsidRDefault="00A36879" w:rsidP="00800795">
            <w:pPr>
              <w:spacing w:line="240" w:lineRule="auto"/>
              <w:cnfStyle w:val="000000000000"/>
              <w:rPr>
                <w:sz w:val="20"/>
                <w:szCs w:val="20"/>
              </w:rPr>
            </w:pPr>
          </w:p>
        </w:tc>
        <w:tc>
          <w:tcPr>
            <w:tcW w:w="1984" w:type="dxa"/>
            <w:tcBorders>
              <w:top w:val="single" w:sz="4" w:space="0" w:color="auto"/>
              <w:left w:val="single" w:sz="4" w:space="0" w:color="auto"/>
              <w:bottom w:val="single" w:sz="4" w:space="0" w:color="auto"/>
              <w:right w:val="single" w:sz="4" w:space="0" w:color="auto"/>
            </w:tcBorders>
          </w:tcPr>
          <w:p w:rsidR="00A36879" w:rsidRPr="00115D75" w:rsidRDefault="00A36879" w:rsidP="00800795">
            <w:pPr>
              <w:spacing w:line="240" w:lineRule="auto"/>
              <w:cnfStyle w:val="000000000000"/>
              <w:rPr>
                <w:sz w:val="20"/>
                <w:szCs w:val="20"/>
              </w:rPr>
            </w:pPr>
            <w:r w:rsidRPr="00115D75">
              <w:rPr>
                <w:sz w:val="20"/>
                <w:szCs w:val="20"/>
              </w:rPr>
              <w:t>Object to be measured in a statistically representative fashion</w:t>
            </w:r>
          </w:p>
          <w:p w:rsidR="00A36879" w:rsidRPr="00115D75" w:rsidRDefault="00A36879" w:rsidP="00800795">
            <w:pPr>
              <w:spacing w:line="240" w:lineRule="auto"/>
              <w:cnfStyle w:val="000000000000"/>
              <w:rPr>
                <w:sz w:val="20"/>
                <w:szCs w:val="20"/>
              </w:rPr>
            </w:pPr>
          </w:p>
        </w:tc>
        <w:tc>
          <w:tcPr>
            <w:tcW w:w="1985" w:type="dxa"/>
            <w:tcBorders>
              <w:top w:val="single" w:sz="4" w:space="0" w:color="auto"/>
              <w:left w:val="single" w:sz="4" w:space="0" w:color="auto"/>
              <w:bottom w:val="single" w:sz="4" w:space="0" w:color="auto"/>
            </w:tcBorders>
          </w:tcPr>
          <w:p w:rsidR="00A36879" w:rsidRPr="00115D75" w:rsidRDefault="00A36879" w:rsidP="00800795">
            <w:pPr>
              <w:spacing w:line="240" w:lineRule="auto"/>
              <w:cnfStyle w:val="000000000000"/>
              <w:rPr>
                <w:sz w:val="20"/>
                <w:szCs w:val="20"/>
              </w:rPr>
            </w:pPr>
            <w:r w:rsidRPr="00115D75">
              <w:rPr>
                <w:sz w:val="20"/>
                <w:szCs w:val="20"/>
              </w:rPr>
              <w:t>Requiring urgent collective behaviour change</w:t>
            </w:r>
          </w:p>
        </w:tc>
      </w:tr>
      <w:tr w:rsidR="00A36879" w:rsidRPr="00115D75" w:rsidTr="00BF5123">
        <w:trPr>
          <w:cnfStyle w:val="000000100000"/>
        </w:trPr>
        <w:tc>
          <w:tcPr>
            <w:cnfStyle w:val="001000000000"/>
            <w:tcW w:w="817" w:type="dxa"/>
            <w:tcBorders>
              <w:top w:val="nil"/>
              <w:left w:val="single" w:sz="4" w:space="0" w:color="auto"/>
              <w:bottom w:val="nil"/>
              <w:right w:val="single" w:sz="18" w:space="0" w:color="auto"/>
            </w:tcBorders>
          </w:tcPr>
          <w:p w:rsidR="00A36879" w:rsidRPr="00115D75" w:rsidRDefault="00A36879" w:rsidP="00800795">
            <w:pPr>
              <w:spacing w:line="240" w:lineRule="auto"/>
              <w:rPr>
                <w:sz w:val="20"/>
                <w:szCs w:val="20"/>
              </w:rPr>
            </w:pPr>
            <w:r w:rsidRPr="00115D75">
              <w:rPr>
                <w:sz w:val="20"/>
                <w:szCs w:val="20"/>
              </w:rPr>
              <w:t>2008</w:t>
            </w:r>
          </w:p>
        </w:tc>
        <w:tc>
          <w:tcPr>
            <w:tcW w:w="2268" w:type="dxa"/>
            <w:tcBorders>
              <w:top w:val="nil"/>
              <w:left w:val="single" w:sz="18" w:space="0" w:color="auto"/>
              <w:bottom w:val="nil"/>
              <w:right w:val="single" w:sz="4" w:space="0" w:color="auto"/>
            </w:tcBorders>
          </w:tcPr>
          <w:p w:rsidR="00A36879" w:rsidRPr="00115D75" w:rsidRDefault="00A36879" w:rsidP="00800795">
            <w:pPr>
              <w:spacing w:line="240" w:lineRule="auto"/>
              <w:cnfStyle w:val="000000100000"/>
              <w:rPr>
                <w:sz w:val="20"/>
                <w:szCs w:val="20"/>
              </w:rPr>
            </w:pPr>
            <w:r w:rsidRPr="00115D75">
              <w:rPr>
                <w:sz w:val="20"/>
                <w:szCs w:val="20"/>
              </w:rPr>
              <w:t>Creation of DECC</w:t>
            </w:r>
          </w:p>
          <w:p w:rsidR="00A36879" w:rsidRPr="00115D75" w:rsidRDefault="00A36879" w:rsidP="00800795">
            <w:pPr>
              <w:spacing w:line="240" w:lineRule="auto"/>
              <w:cnfStyle w:val="000000100000"/>
              <w:rPr>
                <w:sz w:val="20"/>
                <w:szCs w:val="20"/>
              </w:rPr>
            </w:pPr>
          </w:p>
        </w:tc>
        <w:tc>
          <w:tcPr>
            <w:tcW w:w="1985" w:type="dxa"/>
            <w:vMerge w:val="restart"/>
            <w:tcBorders>
              <w:top w:val="single" w:sz="4" w:space="0" w:color="auto"/>
              <w:left w:val="single" w:sz="4" w:space="0" w:color="auto"/>
              <w:right w:val="single" w:sz="4" w:space="0" w:color="auto"/>
            </w:tcBorders>
          </w:tcPr>
          <w:p w:rsidR="00A36879" w:rsidRPr="00115D75" w:rsidRDefault="00A36879" w:rsidP="00800795">
            <w:pPr>
              <w:spacing w:line="240" w:lineRule="auto"/>
              <w:cnfStyle w:val="000000100000"/>
              <w:rPr>
                <w:sz w:val="20"/>
                <w:szCs w:val="20"/>
              </w:rPr>
            </w:pPr>
            <w:r w:rsidRPr="00115D75">
              <w:rPr>
                <w:sz w:val="20"/>
                <w:szCs w:val="20"/>
              </w:rPr>
              <w:t>Encompassing broader concerns of science and environmental governance</w:t>
            </w:r>
          </w:p>
          <w:p w:rsidR="00A36879" w:rsidRPr="00115D75" w:rsidRDefault="00A36879" w:rsidP="00800795">
            <w:pPr>
              <w:spacing w:line="240" w:lineRule="auto"/>
              <w:cnfStyle w:val="000000100000"/>
              <w:rPr>
                <w:sz w:val="20"/>
                <w:szCs w:val="20"/>
              </w:rPr>
            </w:pPr>
          </w:p>
        </w:tc>
        <w:tc>
          <w:tcPr>
            <w:tcW w:w="1984" w:type="dxa"/>
            <w:vMerge w:val="restart"/>
            <w:tcBorders>
              <w:top w:val="single" w:sz="4" w:space="0" w:color="auto"/>
              <w:left w:val="single" w:sz="4" w:space="0" w:color="auto"/>
              <w:right w:val="single" w:sz="4" w:space="0" w:color="auto"/>
            </w:tcBorders>
          </w:tcPr>
          <w:p w:rsidR="00A36879" w:rsidRPr="00115D75" w:rsidRDefault="00A36879" w:rsidP="00800795">
            <w:pPr>
              <w:spacing w:line="240" w:lineRule="auto"/>
              <w:cnfStyle w:val="000000100000"/>
              <w:rPr>
                <w:sz w:val="20"/>
                <w:szCs w:val="20"/>
              </w:rPr>
            </w:pPr>
            <w:r w:rsidRPr="00115D75">
              <w:rPr>
                <w:sz w:val="20"/>
                <w:szCs w:val="20"/>
              </w:rPr>
              <w:t>Active citizens and communities</w:t>
            </w:r>
          </w:p>
        </w:tc>
        <w:tc>
          <w:tcPr>
            <w:tcW w:w="1985" w:type="dxa"/>
            <w:vMerge w:val="restart"/>
            <w:tcBorders>
              <w:top w:val="single" w:sz="4" w:space="0" w:color="auto"/>
              <w:left w:val="single" w:sz="4" w:space="0" w:color="auto"/>
            </w:tcBorders>
          </w:tcPr>
          <w:p w:rsidR="00A36879" w:rsidRPr="00115D75" w:rsidRDefault="00A36879" w:rsidP="00800795">
            <w:pPr>
              <w:spacing w:line="240" w:lineRule="auto"/>
              <w:cnfStyle w:val="000000100000"/>
              <w:rPr>
                <w:sz w:val="20"/>
                <w:szCs w:val="20"/>
              </w:rPr>
            </w:pPr>
            <w:r w:rsidRPr="00115D75">
              <w:rPr>
                <w:sz w:val="20"/>
                <w:szCs w:val="20"/>
              </w:rPr>
              <w:t>Requiring organisations to be open and transparent</w:t>
            </w:r>
          </w:p>
          <w:p w:rsidR="00A36879" w:rsidRPr="00115D75" w:rsidRDefault="00A36879" w:rsidP="00800795">
            <w:pPr>
              <w:spacing w:line="240" w:lineRule="auto"/>
              <w:cnfStyle w:val="000000100000"/>
              <w:rPr>
                <w:sz w:val="20"/>
                <w:szCs w:val="20"/>
              </w:rPr>
            </w:pPr>
          </w:p>
        </w:tc>
      </w:tr>
      <w:tr w:rsidR="00A36879" w:rsidRPr="00115D75" w:rsidTr="00BF5123">
        <w:tc>
          <w:tcPr>
            <w:cnfStyle w:val="001000000000"/>
            <w:tcW w:w="817" w:type="dxa"/>
            <w:tcBorders>
              <w:top w:val="nil"/>
              <w:left w:val="single" w:sz="4" w:space="0" w:color="auto"/>
              <w:bottom w:val="single" w:sz="4" w:space="0" w:color="auto"/>
              <w:right w:val="single" w:sz="18" w:space="0" w:color="auto"/>
            </w:tcBorders>
          </w:tcPr>
          <w:p w:rsidR="00A36879" w:rsidRPr="00115D75" w:rsidRDefault="00A36879" w:rsidP="00800795">
            <w:pPr>
              <w:spacing w:line="240" w:lineRule="auto"/>
              <w:rPr>
                <w:sz w:val="20"/>
                <w:szCs w:val="20"/>
              </w:rPr>
            </w:pPr>
          </w:p>
        </w:tc>
        <w:tc>
          <w:tcPr>
            <w:tcW w:w="2268" w:type="dxa"/>
            <w:tcBorders>
              <w:top w:val="nil"/>
              <w:left w:val="single" w:sz="18" w:space="0" w:color="auto"/>
              <w:bottom w:val="single" w:sz="4" w:space="0" w:color="auto"/>
              <w:right w:val="single" w:sz="4" w:space="0" w:color="auto"/>
            </w:tcBorders>
          </w:tcPr>
          <w:p w:rsidR="00A36879" w:rsidRPr="00115D75" w:rsidRDefault="00A36879" w:rsidP="00800795">
            <w:pPr>
              <w:spacing w:line="240" w:lineRule="auto"/>
              <w:cnfStyle w:val="000000000000"/>
              <w:rPr>
                <w:sz w:val="20"/>
                <w:szCs w:val="20"/>
              </w:rPr>
            </w:pPr>
          </w:p>
        </w:tc>
        <w:tc>
          <w:tcPr>
            <w:tcW w:w="1985" w:type="dxa"/>
            <w:vMerge/>
            <w:tcBorders>
              <w:left w:val="single" w:sz="4" w:space="0" w:color="auto"/>
              <w:bottom w:val="single" w:sz="4" w:space="0" w:color="auto"/>
              <w:right w:val="single" w:sz="4" w:space="0" w:color="auto"/>
            </w:tcBorders>
          </w:tcPr>
          <w:p w:rsidR="00A36879" w:rsidRPr="00115D75" w:rsidRDefault="00A36879" w:rsidP="00800795">
            <w:pPr>
              <w:spacing w:line="240" w:lineRule="auto"/>
              <w:cnfStyle w:val="000000000000"/>
              <w:rPr>
                <w:sz w:val="20"/>
                <w:szCs w:val="20"/>
              </w:rPr>
            </w:pPr>
          </w:p>
        </w:tc>
        <w:tc>
          <w:tcPr>
            <w:tcW w:w="1984" w:type="dxa"/>
            <w:vMerge/>
            <w:tcBorders>
              <w:left w:val="single" w:sz="4" w:space="0" w:color="auto"/>
              <w:bottom w:val="single" w:sz="4" w:space="0" w:color="auto"/>
              <w:right w:val="single" w:sz="4" w:space="0" w:color="auto"/>
            </w:tcBorders>
          </w:tcPr>
          <w:p w:rsidR="00A36879" w:rsidRPr="00115D75" w:rsidRDefault="00A36879" w:rsidP="00800795">
            <w:pPr>
              <w:spacing w:line="240" w:lineRule="auto"/>
              <w:cnfStyle w:val="000000000000"/>
              <w:rPr>
                <w:sz w:val="20"/>
                <w:szCs w:val="20"/>
              </w:rPr>
            </w:pPr>
          </w:p>
        </w:tc>
        <w:tc>
          <w:tcPr>
            <w:tcW w:w="1985" w:type="dxa"/>
            <w:vMerge/>
            <w:tcBorders>
              <w:left w:val="single" w:sz="4" w:space="0" w:color="auto"/>
              <w:bottom w:val="single" w:sz="4" w:space="0" w:color="auto"/>
            </w:tcBorders>
          </w:tcPr>
          <w:p w:rsidR="00A36879" w:rsidRPr="00115D75" w:rsidRDefault="00A36879" w:rsidP="00800795">
            <w:pPr>
              <w:spacing w:line="240" w:lineRule="auto"/>
              <w:cnfStyle w:val="000000000000"/>
              <w:rPr>
                <w:sz w:val="20"/>
                <w:szCs w:val="20"/>
              </w:rPr>
            </w:pPr>
          </w:p>
        </w:tc>
      </w:tr>
    </w:tbl>
    <w:p w:rsidR="00A36879" w:rsidRDefault="00A36879" w:rsidP="00A36879">
      <w:pPr>
        <w:pStyle w:val="Heading2"/>
        <w:ind w:firstLine="0"/>
      </w:pPr>
      <w:r>
        <w:t>Participation</w:t>
      </w:r>
    </w:p>
    <w:p w:rsidR="00A36879" w:rsidRDefault="00A36879" w:rsidP="00A36879">
      <w:r>
        <w:t xml:space="preserve">Frames of participation were generally consistent throughout the decade, undergoing primarily instrumental changes but with some partial transformations. Following the House of Lords report (2000) a strong early frame of participation was that it needed to be embedded in processes of policy-making. This was translated mid-decade to the notion that public engagement </w:t>
      </w:r>
      <w:r w:rsidRPr="00773E8D">
        <w:t xml:space="preserve">“needs to have a policy hook” </w:t>
      </w:r>
      <w:r>
        <w:t xml:space="preserve">(practitioner). This vision of participation as within policy processes, supports the view that </w:t>
      </w:r>
      <w:r w:rsidRPr="00773E8D">
        <w:t xml:space="preserve">“unless you’re in that fertile [policy] window then it’s not </w:t>
      </w:r>
      <w:proofErr w:type="spellStart"/>
      <w:r w:rsidRPr="00773E8D">
        <w:t>gonna</w:t>
      </w:r>
      <w:proofErr w:type="spellEnd"/>
      <w:r w:rsidRPr="00773E8D">
        <w:t xml:space="preserve"> [sic] happen”</w:t>
      </w:r>
      <w:r>
        <w:rPr>
          <w:i/>
        </w:rPr>
        <w:t xml:space="preserve"> </w:t>
      </w:r>
      <w:r>
        <w:t xml:space="preserve">(former Sciencewise actor), which potentially </w:t>
      </w:r>
      <w:r>
        <w:lastRenderedPageBreak/>
        <w:t>narrows the scope and potential for reframing of dialogue processes, and can disempower publics and practitioners. Champions of public dialogue persistently felt compelled to justify dialogue instrumentally to policy-makers, as this argument was perceived to fit more closely with their prior commitments and values, and evokes conventional forms of public engagement through communication and market research. This dominance of instrumental rationales can preclude transformative communicative learning between practitioners and policy-makers.</w:t>
      </w:r>
    </w:p>
    <w:p w:rsidR="00A36879" w:rsidRDefault="00A36879" w:rsidP="00A36879">
      <w:pPr>
        <w:ind w:firstLine="567"/>
      </w:pPr>
      <w:r>
        <w:t xml:space="preserve">The </w:t>
      </w:r>
      <w:r>
        <w:rPr>
          <w:i/>
        </w:rPr>
        <w:t xml:space="preserve">Science &amp; Innovation Investment Framework </w:t>
      </w:r>
      <w:r>
        <w:t xml:space="preserve">(DTI, 2004) framed participation as an inherently consensual process with the potential to neutralise future conflicts. This instrumental frame persists, expressed in a quotation commonly used by Sciencewise </w:t>
      </w:r>
      <w:r w:rsidRPr="00B81010">
        <w:t>“if you think dialogue is expensive, try conflict”</w:t>
      </w:r>
      <w:r>
        <w:rPr>
          <w:i/>
        </w:rPr>
        <w:t xml:space="preserve"> </w:t>
      </w:r>
      <w:r>
        <w:t>(</w:t>
      </w:r>
      <w:proofErr w:type="spellStart"/>
      <w:r>
        <w:t>Acland</w:t>
      </w:r>
      <w:proofErr w:type="spellEnd"/>
      <w:r>
        <w:t xml:space="preserve"> cited in </w:t>
      </w:r>
      <w:proofErr w:type="spellStart"/>
      <w:r>
        <w:t>Sciencewise</w:t>
      </w:r>
      <w:proofErr w:type="spellEnd"/>
      <w:r>
        <w:t xml:space="preserve">, 2011). In part a response to damaging controversies over science advice in government through the 1990s, the frame also results from academic theories of participation, which imagine scenarios of consensual </w:t>
      </w:r>
      <w:r w:rsidRPr="00773E8D">
        <w:t>ideal speech</w:t>
      </w:r>
      <w:r w:rsidRPr="00B036E7">
        <w:t xml:space="preserve"> and </w:t>
      </w:r>
      <w:r w:rsidRPr="00773E8D">
        <w:t>communicative rationality</w:t>
      </w:r>
      <w:r>
        <w:t xml:space="preserve"> (</w:t>
      </w:r>
      <w:proofErr w:type="spellStart"/>
      <w:r>
        <w:t>Habermas</w:t>
      </w:r>
      <w:proofErr w:type="spellEnd"/>
      <w:r>
        <w:t xml:space="preserve">, 1984). The belief that the primary purpose of participation is to instrumentally improve the accountability and credibility of decisions and organisations remains, leaving scope for manipulation and oppression within consensual decision-making processes (cf. Cooke and Kothari, 2001). </w:t>
      </w:r>
    </w:p>
    <w:p w:rsidR="00A36879" w:rsidRDefault="00A36879" w:rsidP="00A36879">
      <w:pPr>
        <w:ind w:firstLine="567"/>
      </w:pPr>
      <w:r>
        <w:t xml:space="preserve">After its re-launch as an Expert Resource Centre in 2007, efforts within Sciencewise to define the object of ‘public dialogue’ redoubled. The deliberate organisational narrowing of focus from participation to dialogue gave Sciencewise immense power to define or frame the object, which several interview participants saw as limiting the potential for adopting alternative approaches such as collective experimentation (Felt and Wynne, 2007): </w:t>
      </w:r>
      <w:r w:rsidRPr="00773E8D">
        <w:t>“if you go down the route of doing something innovative and challenging you actually run the risk of it going spectacularly wrong”</w:t>
      </w:r>
      <w:r>
        <w:rPr>
          <w:i/>
        </w:rPr>
        <w:t xml:space="preserve"> </w:t>
      </w:r>
      <w:r>
        <w:t xml:space="preserve">(practitioner).  The development of the frame of dialogue, and the fixation with a particular model of dialogue, is also linked to the growing importance throughout the decade of market research organisations in carrying out participatory processes. Several interview participants expressed reservations about the </w:t>
      </w:r>
      <w:proofErr w:type="spellStart"/>
      <w:r>
        <w:t>marketisation</w:t>
      </w:r>
      <w:proofErr w:type="spellEnd"/>
      <w:r>
        <w:t xml:space="preserve"> of dialogue further narrowing of approaches to dialogue: </w:t>
      </w:r>
      <w:r w:rsidRPr="00B81010">
        <w:t>“so you start to see particular companies deliver particular models of dialogue that become politically acceptable”</w:t>
      </w:r>
      <w:r>
        <w:rPr>
          <w:i/>
        </w:rPr>
        <w:t xml:space="preserve"> </w:t>
      </w:r>
      <w:r>
        <w:t xml:space="preserve">(academic social scientist).  Thus the role of Sciencewise as a dialogue commissioner has often promoted instrumental rather than double-loop learning, due to the incentives within the market: </w:t>
      </w:r>
    </w:p>
    <w:p w:rsidR="00A36879" w:rsidRDefault="00A36879" w:rsidP="00A36879">
      <w:pPr>
        <w:ind w:left="567"/>
      </w:pPr>
      <w:r>
        <w:t>“There’s some very concrete ways that they’ve changed the market place, simply because we’ve had to respond to the pay masters</w:t>
      </w:r>
      <w:r>
        <w:rPr>
          <w:i/>
        </w:rPr>
        <w:t xml:space="preserve">. </w:t>
      </w:r>
      <w:r w:rsidRPr="00A864CE">
        <w:t xml:space="preserve">If Sciencewise puts a bid out there </w:t>
      </w:r>
      <w:r w:rsidRPr="00A864CE">
        <w:lastRenderedPageBreak/>
        <w:t xml:space="preserve">will be some words […] in the bid which flag up to me, I’ll know what they want from that […] </w:t>
      </w:r>
      <w:r>
        <w:t>they’ll want a particular process of project management and a particular process of information gathering, which fits with their conception of public dialogue and doing that well</w:t>
      </w:r>
      <w:r>
        <w:rPr>
          <w:i/>
        </w:rPr>
        <w:t xml:space="preserve"> </w:t>
      </w:r>
      <w:r>
        <w:t>[…]. I</w:t>
      </w:r>
      <w:r w:rsidRPr="00A864CE">
        <w:t>t sounds quite calculated</w:t>
      </w:r>
      <w:r>
        <w:rPr>
          <w:i/>
        </w:rPr>
        <w:t xml:space="preserve"> </w:t>
      </w:r>
      <w:r>
        <w:t>and it is in a way, because we’re trying to get work</w:t>
      </w:r>
      <w:r>
        <w:rPr>
          <w:i/>
        </w:rPr>
        <w:t xml:space="preserve">” </w:t>
      </w:r>
      <w:r>
        <w:t xml:space="preserve">(market researcher). </w:t>
      </w:r>
    </w:p>
    <w:p w:rsidR="00A36879" w:rsidRDefault="00A36879" w:rsidP="00A36879">
      <w:pPr>
        <w:ind w:firstLine="567"/>
      </w:pPr>
      <w:proofErr w:type="gramStart"/>
      <w:r>
        <w:t xml:space="preserve">Recent insights from academic social science, as well as the growing recognition of the importance of ‘uninvited spaces’ (Leach </w:t>
      </w:r>
      <w:r w:rsidRPr="00B81010">
        <w:t>et al.,</w:t>
      </w:r>
      <w:r>
        <w:rPr>
          <w:i/>
        </w:rPr>
        <w:t xml:space="preserve"> </w:t>
      </w:r>
      <w:r>
        <w:t>2005) of participation like social protests, have contributed to the frame of participation as a broader matter of science governance within the Sciencewise network.</w:t>
      </w:r>
      <w:proofErr w:type="gramEnd"/>
      <w:r>
        <w:t xml:space="preserve"> This movement was also noted by several interview participants, and seen as necessary as </w:t>
      </w:r>
      <w:r w:rsidRPr="00A864CE">
        <w:t>“the rhetoric [of participation] does not filter down to the actual practice of policy-making, nor to the cultures of science”</w:t>
      </w:r>
      <w:r>
        <w:rPr>
          <w:i/>
        </w:rPr>
        <w:t xml:space="preserve"> </w:t>
      </w:r>
      <w:r>
        <w:t xml:space="preserve">(academic social scientist). Showing evidence of double-loop reflective learning this frame transformation is reflected in the most recent Sciencewise project labelled </w:t>
      </w:r>
      <w:r>
        <w:rPr>
          <w:i/>
        </w:rPr>
        <w:t>Science, Trust and Public Engagement</w:t>
      </w:r>
      <w:r>
        <w:t xml:space="preserve"> which examines the institutional structures of science institutions (BMRB, 2011). It questionable whether this new mood for challenging taken-for-granted definitions of participation as part of the wider science governance system has moved beyond key practitioners and social scientists, however, and continues to be resisted by actors within science and policy institutions (Chilvers, 2010).</w:t>
      </w:r>
    </w:p>
    <w:p w:rsidR="00A36879" w:rsidRDefault="00A36879" w:rsidP="00A36879">
      <w:pPr>
        <w:pStyle w:val="Heading2"/>
        <w:ind w:firstLine="0"/>
      </w:pPr>
      <w:r>
        <w:t>Publics</w:t>
      </w:r>
    </w:p>
    <w:p w:rsidR="00A36879" w:rsidRDefault="00A36879" w:rsidP="00A36879">
      <w:r>
        <w:t>Frames of publics were generally more fragile, fragmented and mutually contradicting than frames of participation during the decade. Despite its radical policy prescriptions and recognition of ambivalence in public relations with science, the House of Lords report (2000) was taken by many to support the common assumption or frame of publics as actively distrustful of science and scientists. This frame has strong synergies with the contemporary frame of participation as neutralising conflict and controversy, both responding to the ‘crisis of trust’ of the 1990s. Beliefs in an ‘anti-science’ public reflect a re-fashioning of the deficit model of engagement with the public, explicitly rejected in policy documents, but evident in the discourse and assumptions of many of the actors in the network. The model is persistent as it embodies assumptions about the inevitable and triumphant progress of science and technology (Stirling, 2008), and the superior knowledge of experienced experts in science policy contexts (</w:t>
      </w:r>
      <w:proofErr w:type="spellStart"/>
      <w:r>
        <w:t>Jasanoff</w:t>
      </w:r>
      <w:proofErr w:type="spellEnd"/>
      <w:r>
        <w:t xml:space="preserve">, 2005). </w:t>
      </w:r>
    </w:p>
    <w:p w:rsidR="00A36879" w:rsidRDefault="00A36879" w:rsidP="00A36879">
      <w:pPr>
        <w:ind w:firstLine="567"/>
      </w:pPr>
      <w:r>
        <w:t xml:space="preserve">Though Sciencewise was created in 2004 </w:t>
      </w:r>
      <w:r w:rsidRPr="00A864CE">
        <w:t>“to give the policy system a mechanism for hearing public voices”</w:t>
      </w:r>
      <w:r>
        <w:rPr>
          <w:i/>
        </w:rPr>
        <w:t xml:space="preserve"> </w:t>
      </w:r>
      <w:r>
        <w:t xml:space="preserve">(civil servant), Sciencewise documents have stressed that the ultimate </w:t>
      </w:r>
      <w:r>
        <w:lastRenderedPageBreak/>
        <w:t>policy decisions are made by policy-makers. This shows tensions between the theorised role of the public in forms of representative and direct democracy. Thus visions of the public as actively opposing and distrustful of Government policy co-existed with imaginations of the public as empty vessels, or ‘idiots’ with no opinions or interests prior to a participation process (</w:t>
      </w:r>
      <w:proofErr w:type="spellStart"/>
      <w:r>
        <w:t>Lezaun</w:t>
      </w:r>
      <w:proofErr w:type="spellEnd"/>
      <w:r>
        <w:t xml:space="preserve"> and </w:t>
      </w:r>
      <w:proofErr w:type="spellStart"/>
      <w:r>
        <w:t>Soneryd</w:t>
      </w:r>
      <w:proofErr w:type="spellEnd"/>
      <w:r>
        <w:t xml:space="preserve">, 2007). The public contribution to dialogue is often confined to giving opinions on the moral and social dimensions of an issue, rather than having an active role in processes of knowledge creation or innovation. Whilst early </w:t>
      </w:r>
      <w:proofErr w:type="spellStart"/>
      <w:r w:rsidRPr="00283B27">
        <w:rPr>
          <w:i/>
        </w:rPr>
        <w:t>Postnotes</w:t>
      </w:r>
      <w:proofErr w:type="spellEnd"/>
      <w:r>
        <w:t xml:space="preserve"> (POST 2002; 2001) hinted that publics were able to contribute more than just their values through in depth, inclusive deliberation, the </w:t>
      </w:r>
      <w:r w:rsidRPr="006D52C3">
        <w:rPr>
          <w:i/>
        </w:rPr>
        <w:t>Science &amp; Innovation Investment Framework</w:t>
      </w:r>
      <w:r>
        <w:t xml:space="preserve"> (DTI, 2004) returns to a consideration of public confidence and values. This frame co-existed with attempts to empower marginalised groups such as young people or ethnic minorities through Sciencewise processes, however, the empowerment frame proved fragile.</w:t>
      </w:r>
    </w:p>
    <w:p w:rsidR="00A36879" w:rsidRDefault="00A36879" w:rsidP="00A36879">
      <w:pPr>
        <w:ind w:firstLine="567"/>
      </w:pPr>
      <w:r>
        <w:t xml:space="preserve">Linked to the frame imagining a passive ‘general public’, is the frame of the public as a static object to be understood through survey methods and opinion polling which has a long history of, and remains central to, informing government thinking and media coverage of science and environmental issues (Osborne and Rose, 1999). This frame is in part a reflection of developments like the Public Attitudes to Science surveys, which began with </w:t>
      </w:r>
      <w:r w:rsidRPr="007370CD">
        <w:rPr>
          <w:i/>
        </w:rPr>
        <w:t>Science and the Public</w:t>
      </w:r>
      <w:r>
        <w:t xml:space="preserve"> (POST and </w:t>
      </w:r>
      <w:proofErr w:type="spellStart"/>
      <w:r>
        <w:t>Wellcome</w:t>
      </w:r>
      <w:proofErr w:type="spellEnd"/>
      <w:r>
        <w:t xml:space="preserve"> Trust, 2000). The surveys collect statistical information about public attitudes and were used to identify six attitudinal groups, closely related to demographic characteristics. Whilst many Sciencewise actors were concerned to assert that </w:t>
      </w:r>
      <w:r w:rsidRPr="00A864CE">
        <w:t>“public dialogue is never representative, it is not aiming to be representative of the public”</w:t>
      </w:r>
      <w:r>
        <w:rPr>
          <w:i/>
        </w:rPr>
        <w:t xml:space="preserve"> </w:t>
      </w:r>
      <w:r>
        <w:t xml:space="preserve">(Sciencewise actor), others expressed opposing views. The concern for statistical representativeness of processes was strengthened in response to attacks on the credibility of methods like citizens juries, which were common mid-decade, and legitimised the late-decade push to ‘upscale’ dialogue processes through the creation and translation of hybrid designs combining deliberative and survey-based methods. Yet it also represented a new expression of the concern to find the ‘pure’, ‘unbiased’ public (Braun and Schultz, 2010).  </w:t>
      </w:r>
    </w:p>
    <w:p w:rsidR="00A36879" w:rsidRDefault="00A36879" w:rsidP="00A36879">
      <w:pPr>
        <w:ind w:firstLine="567"/>
      </w:pPr>
      <w:r>
        <w:t xml:space="preserve">The emerging </w:t>
      </w:r>
      <w:proofErr w:type="gramStart"/>
      <w:r>
        <w:t>frame of publics as active citizens capable of in-depth ‘dialogue’ is reflected in recent Sciencewise/DECC</w:t>
      </w:r>
      <w:proofErr w:type="gramEnd"/>
      <w:r>
        <w:t xml:space="preserve"> engagement processes: </w:t>
      </w:r>
      <w:r w:rsidRPr="00A864CE">
        <w:t>“showing that citizens have something meaningful to say at that level is probably the next big challenge”</w:t>
      </w:r>
      <w:r>
        <w:rPr>
          <w:i/>
        </w:rPr>
        <w:t xml:space="preserve"> </w:t>
      </w:r>
      <w:r>
        <w:t xml:space="preserve">(practitioner). And indeed this frame was contradicted by some: </w:t>
      </w:r>
      <w:r w:rsidRPr="00A864CE">
        <w:t>“we can’t expect the public to engage in the technicalities of science discussions”</w:t>
      </w:r>
      <w:r>
        <w:rPr>
          <w:i/>
        </w:rPr>
        <w:t xml:space="preserve"> </w:t>
      </w:r>
      <w:r>
        <w:t xml:space="preserve">(practitioner).  Practitioners, in particular, were wary that the language of citizens might represent merely a rhetorical shift, as it contradicts deficit-model frames of publics and instrumental frames of participation. The vision of publics as </w:t>
      </w:r>
      <w:r>
        <w:lastRenderedPageBreak/>
        <w:t>geographically situated communities was strengthened as following the conclusions of the Big Energy Shift (</w:t>
      </w:r>
      <w:proofErr w:type="spellStart"/>
      <w:r>
        <w:t>Rathouse</w:t>
      </w:r>
      <w:proofErr w:type="spellEnd"/>
      <w:r>
        <w:t xml:space="preserve"> and Devine-Wright, 2010), and realised in the Low Carbon Communities Challenge a competition giving communities £0.5 million each for renewable energy and behaviour change projects. This fertile window for learning was created as the frame of community action was legitimate and credible to all actors involved in the network: for the practitioners it was a long held belief about the nature of publics, reflected in earlier work around local planning issues and community development; for policy-makers the community frame had recently emerged as a focus for activity in behaviour change campaigns, and was further strengthened by a growing localism agenda. </w:t>
      </w:r>
    </w:p>
    <w:p w:rsidR="00A36879" w:rsidRDefault="00A36879" w:rsidP="00A36879">
      <w:pPr>
        <w:pStyle w:val="Heading2"/>
        <w:ind w:firstLine="0"/>
      </w:pPr>
      <w:r>
        <w:t>Climate change</w:t>
      </w:r>
    </w:p>
    <w:p w:rsidR="00A36879" w:rsidRDefault="00A36879" w:rsidP="00A36879">
      <w:r>
        <w:t xml:space="preserve">Interview data supported the idea that climate change was qualitatively different to other engagement topics, not least because it included issues around emerging technologies and localised planning decisions, with implications for findings about frames for participation and publics. Frames of climate change arguably underwent the greatest transformations during the decade, with its reframing as an issue of energy supply (Lovell </w:t>
      </w:r>
      <w:r w:rsidRPr="00060071">
        <w:t>et al.,</w:t>
      </w:r>
      <w:r>
        <w:rPr>
          <w:i/>
        </w:rPr>
        <w:t xml:space="preserve"> </w:t>
      </w:r>
      <w:r>
        <w:t>2010), reflected in the DTI’s (2003) Energy White Paper Consultation (</w:t>
      </w:r>
      <w:proofErr w:type="spellStart"/>
      <w:r>
        <w:t>Stagl</w:t>
      </w:r>
      <w:proofErr w:type="spellEnd"/>
      <w:r>
        <w:t>, 2006). This technical-scientific view of climate change also supports the dominant frame of climate change imagining science or scientists as ‘speaking truth to power’ (</w:t>
      </w:r>
      <w:proofErr w:type="spellStart"/>
      <w:r>
        <w:t>Jasanoff</w:t>
      </w:r>
      <w:proofErr w:type="spellEnd"/>
      <w:r>
        <w:t xml:space="preserve"> and Wynne, 1998). Whilst imaginations of scientific objectivity and detachment from social and policy worlds have been challenged and sometimes transformed through public engagement processes around topics like genetic modification or radioactive waste, a strongly dualistic vision of climate politics and climate science remains. The expert authority of climate scientists, engineers and even economists is legitimised through Government documents like the energy white papers and the </w:t>
      </w:r>
      <w:r>
        <w:rPr>
          <w:i/>
        </w:rPr>
        <w:t xml:space="preserve">UK </w:t>
      </w:r>
      <w:r w:rsidRPr="00BA54DD">
        <w:rPr>
          <w:i/>
        </w:rPr>
        <w:t>Low Carbon Transition Plan</w:t>
      </w:r>
      <w:r>
        <w:t xml:space="preserve"> (HM Government, 2008). Thus the challenge of public dialogue around climate change was perceived to be that </w:t>
      </w:r>
      <w:r w:rsidRPr="00B04B62">
        <w:t>“you risk getting into the whole discussion about science and whether or not people believe the science, which is a completely different issue”</w:t>
      </w:r>
      <w:r>
        <w:rPr>
          <w:i/>
        </w:rPr>
        <w:t xml:space="preserve"> </w:t>
      </w:r>
      <w:r>
        <w:t xml:space="preserve">(practitioner). </w:t>
      </w:r>
    </w:p>
    <w:p w:rsidR="00A36879" w:rsidRDefault="00A36879" w:rsidP="00A36879">
      <w:pPr>
        <w:ind w:firstLine="567"/>
      </w:pPr>
      <w:r>
        <w:t xml:space="preserve">In the second half of the decade Sciencewise began to plan dialogue processes related to climate change following earlier experiments carried out by research councils and Government departments, such as DEFRA’s climate change summit (2007) and RCUK’s Energy research priorities dialogue (2007). During this time period the frame of climate change as an issue which requires urgent and collective behaviour change emerged strongly. The behaviour change frame had been growing within the climate change policy arena, </w:t>
      </w:r>
      <w:r>
        <w:lastRenderedPageBreak/>
        <w:t>exemplified in DEFRA’s high profile Act on CO</w:t>
      </w:r>
      <w:r w:rsidRPr="00812182">
        <w:rPr>
          <w:vertAlign w:val="subscript"/>
        </w:rPr>
        <w:t>2</w:t>
      </w:r>
      <w:r>
        <w:t xml:space="preserve"> social marketing campaign (2007) and the Pro-environmental Behaviours Market segmentation model (DEFRA, 2008), yet it also coincided with emerging findings from participatory processes of social learning amongst participants (e.g. Warburton, 2008). Thus the Big Energy Shift (2009) dialogue commissioned by DECC was framed around issues of behaviour change in taking-up low carbon technologies, which in turn informed the creation of the Low Carbon Communities Challenge (2011): </w:t>
      </w:r>
      <w:r w:rsidRPr="00B04B62">
        <w:t>“based on the idea that you’ll get […] broader changes in behaviour through interventions delivered through and by the community”</w:t>
      </w:r>
      <w:r>
        <w:rPr>
          <w:i/>
        </w:rPr>
        <w:t xml:space="preserve"> </w:t>
      </w:r>
      <w:r>
        <w:t xml:space="preserve">(civil servant). </w:t>
      </w:r>
    </w:p>
    <w:p w:rsidR="00A36879" w:rsidRDefault="00A36879" w:rsidP="00A36879">
      <w:pPr>
        <w:ind w:firstLine="567"/>
      </w:pPr>
      <w:r>
        <w:t xml:space="preserve">The 2050 Pathways process (2011), an upstream dialogue around energy futures, is often justified as a behaviour change initiative, and has echoes of earlier communications campaigns like DEFRA’s carbon calculator, for example: </w:t>
      </w:r>
      <w:r w:rsidRPr="00B04B62">
        <w:t>“if we’re looking at an 80% [greenhouse gas] reduction target then that’s a massive impact on people’s lives, and that’s what the calculator [sic] is there to show people, that actually it isn’t just switching off your light bulbs”</w:t>
      </w:r>
      <w:r>
        <w:rPr>
          <w:i/>
        </w:rPr>
        <w:t xml:space="preserve"> </w:t>
      </w:r>
      <w:r>
        <w:t xml:space="preserve">(civil servant). This frame of climate change supports a frame of publics as active and capable, and also maps onto visions of publics as citizens and communities within the localism agenda; yet paradoxically, the behaviour change agenda is closely associated with instrumental motivations for and frames of participation. </w:t>
      </w:r>
    </w:p>
    <w:p w:rsidR="00A36879" w:rsidRDefault="00A36879" w:rsidP="00A36879">
      <w:pPr>
        <w:ind w:firstLine="567"/>
      </w:pPr>
      <w:r>
        <w:t>In response to the perceived failure of COP15 and knowledge controversies like ‘</w:t>
      </w:r>
      <w:proofErr w:type="spellStart"/>
      <w:r>
        <w:t>Climategate</w:t>
      </w:r>
      <w:proofErr w:type="spellEnd"/>
      <w:r>
        <w:t xml:space="preserve">’, climate science has faced contestation and scepticism, prompting the recent emergence of the frame of climate change requiring open and transparent scientific practices ad organisations. As has been documented with respect to other controversies, imaginations of ignorance and irrational distrust have been projected onto the public (Wynne, 2006): for example, </w:t>
      </w:r>
      <w:r w:rsidRPr="00B04B62">
        <w:t>“we’re not teaching people to understand the nature of contested knowledge”</w:t>
      </w:r>
      <w:r>
        <w:rPr>
          <w:i/>
        </w:rPr>
        <w:t xml:space="preserve"> </w:t>
      </w:r>
      <w:r>
        <w:t xml:space="preserve">(practitioner). This imagined deficit of understanding and trust has been dealt with instrumentally, including efforts to improve the transparency and accountability of institutions, such as projects to open up climate data. Yet this opening up does not include deeper citizen input in climate science as has been imagined by </w:t>
      </w:r>
      <w:proofErr w:type="spellStart"/>
      <w:r>
        <w:t>Jasanoff</w:t>
      </w:r>
      <w:proofErr w:type="spellEnd"/>
      <w:r>
        <w:t xml:space="preserve"> (2010). Thus this apparent frame transformation strongly reflects deficit model understandings of publics.</w:t>
      </w:r>
    </w:p>
    <w:p w:rsidR="00A36879" w:rsidRDefault="00A36879" w:rsidP="00A36879">
      <w:pPr>
        <w:pStyle w:val="Heading1"/>
        <w:numPr>
          <w:ilvl w:val="0"/>
          <w:numId w:val="1"/>
        </w:numPr>
        <w:spacing w:line="276" w:lineRule="auto"/>
      </w:pPr>
      <w:r>
        <w:t>Learning</w:t>
      </w:r>
    </w:p>
    <w:p w:rsidR="00A36879" w:rsidRDefault="00A36879" w:rsidP="00A36879">
      <w:r>
        <w:t xml:space="preserve">Different mechanisms of learning in the Sciencewise network can be associated with certain kinds of learning through the transforming or stagnant frames of </w:t>
      </w:r>
      <w:r w:rsidRPr="00EF6D75">
        <w:rPr>
          <w:i/>
        </w:rPr>
        <w:t>participation</w:t>
      </w:r>
      <w:r>
        <w:t xml:space="preserve">, </w:t>
      </w:r>
      <w:r w:rsidRPr="00EF6D75">
        <w:rPr>
          <w:i/>
        </w:rPr>
        <w:t>publics</w:t>
      </w:r>
      <w:r>
        <w:t xml:space="preserve"> and the issue of </w:t>
      </w:r>
      <w:r w:rsidRPr="00EF6D75">
        <w:rPr>
          <w:i/>
        </w:rPr>
        <w:t>climate change</w:t>
      </w:r>
      <w:r>
        <w:t xml:space="preserve"> they produce. This exploration helps to explain the predominance </w:t>
      </w:r>
      <w:r>
        <w:lastRenderedPageBreak/>
        <w:t xml:space="preserve">of instrumental learning over more reflective or relational forms, but also allows us to explore potentials for promoting more deliberate forms of reflection and reflexivity in the future. The most common learning mechanisms in the network promote instrumental forms of learning. For example, after the creation of the Expert Resource Centre in 2007 the focus of Sciencewise became best practice sharing and capacity building. This was justified as a way to capture and codify learning from previous projects to avoid </w:t>
      </w:r>
      <w:r w:rsidRPr="00B04B62">
        <w:t>“reinventing the wheel every time”</w:t>
      </w:r>
      <w:r w:rsidRPr="00E361F6">
        <w:rPr>
          <w:i/>
        </w:rPr>
        <w:t xml:space="preserve"> </w:t>
      </w:r>
      <w:r>
        <w:t xml:space="preserve">(practitioner) and to ensure that learning </w:t>
      </w:r>
      <w:r w:rsidRPr="00B04B62">
        <w:t>“wasn’t just retained by one person in one place”</w:t>
      </w:r>
      <w:r w:rsidRPr="00E361F6">
        <w:rPr>
          <w:i/>
        </w:rPr>
        <w:t xml:space="preserve"> </w:t>
      </w:r>
      <w:r>
        <w:t xml:space="preserve">(civil servant).  Yet information has been collected and disseminated instrumentally, rather than through mutual reflection. Similarly, the prominent learning mechanism of evaluation aims to articulate and gather together the learning from discrete public dialogue processes. However, many evaluations have been used to instrumentally and narrowly assess the quality of processes and provide direct evidence of impacts to policy-makers (Warburton, 2010). Due to tight organisational timescales and the instrumental imperatives of Sciencewise’s partner organisations these mechanisms do not allow for broader reflection or exposure to radically different or disruptive views or </w:t>
      </w:r>
      <w:proofErr w:type="spellStart"/>
      <w:r>
        <w:t>knowledges</w:t>
      </w:r>
      <w:proofErr w:type="spellEnd"/>
      <w:r>
        <w:t xml:space="preserve">. </w:t>
      </w:r>
    </w:p>
    <w:p w:rsidR="00A36879" w:rsidRDefault="00A36879" w:rsidP="00A36879">
      <w:pPr>
        <w:ind w:firstLine="567"/>
      </w:pPr>
      <w:r>
        <w:t xml:space="preserve">Where more reflexive insight has been promoted in Sciencewise, such as through academic social scientific research like </w:t>
      </w:r>
      <w:r>
        <w:rPr>
          <w:i/>
        </w:rPr>
        <w:t xml:space="preserve">The Road Ahead </w:t>
      </w:r>
      <w:r>
        <w:t>(</w:t>
      </w:r>
      <w:proofErr w:type="spellStart"/>
      <w:r>
        <w:t>Stilgoe</w:t>
      </w:r>
      <w:proofErr w:type="spellEnd"/>
      <w:r>
        <w:t xml:space="preserve">, 2009) and </w:t>
      </w:r>
      <w:r>
        <w:rPr>
          <w:i/>
        </w:rPr>
        <w:t>Sustainable Participation?</w:t>
      </w:r>
      <w:r>
        <w:t xml:space="preserve"> (Chilvers, 2010), no clear mechanisms for the learning to be translated into routine organisational practices were in place. However, there are also notable examples of double-loop or transformative learning which have emerged from mechanisms promoting reflective and relational learning. For example, the new governance frame of participation shows evidence of deeper reflection amongst practitioners and academic social scientists; whilst several interview respondents confirmed that more fragile imaginaries of active publics were in part stimulated by external civil society action, in ‘uninvited’ spaces of participation, such as climate camp or the Transition Towns movement. </w:t>
      </w:r>
    </w:p>
    <w:p w:rsidR="00A36879" w:rsidRDefault="00A36879" w:rsidP="00A36879">
      <w:pPr>
        <w:ind w:firstLine="567"/>
      </w:pPr>
      <w:r>
        <w:t xml:space="preserve">The forms of communicative learning actively promoted by Sciencewise, such as drop-in sessions in Government departments and the dissemination of an e-newsletter are instrumental – involving no reflection or exposure to conflicting views. However, the findings of this research suggest that informal social relationships and networks around Sciencewise have functioned as ‘shadow spaces’ of social learning (cf. </w:t>
      </w:r>
      <w:proofErr w:type="spellStart"/>
      <w:r>
        <w:t>Pelling</w:t>
      </w:r>
      <w:proofErr w:type="spellEnd"/>
      <w:r>
        <w:t xml:space="preserve"> </w:t>
      </w:r>
      <w:r w:rsidRPr="002A1E96">
        <w:t>et al.,</w:t>
      </w:r>
      <w:r>
        <w:t xml:space="preserve"> 2008), giving communicative learning the potential to be reflective and relational. The actual assemblages that become enunciated to form particular participatory experiments - or frames of </w:t>
      </w:r>
      <w:r w:rsidRPr="00A76BA9">
        <w:t>participation</w:t>
      </w:r>
      <w:r>
        <w:t xml:space="preserve">, publics and climate change - mediate learning. The notion of networks of </w:t>
      </w:r>
      <w:r>
        <w:lastRenderedPageBreak/>
        <w:t xml:space="preserve">people learning together around an issue evokes the working processes of participation practitioners, for example: </w:t>
      </w:r>
    </w:p>
    <w:p w:rsidR="00A36879" w:rsidRDefault="00A36879" w:rsidP="00A36879">
      <w:pPr>
        <w:ind w:left="567"/>
      </w:pPr>
      <w:r w:rsidRPr="005C3EC5">
        <w:t>“</w:t>
      </w:r>
      <w:proofErr w:type="gramStart"/>
      <w:r w:rsidRPr="005C3EC5">
        <w:t>they’d</w:t>
      </w:r>
      <w:proofErr w:type="gramEnd"/>
      <w:r w:rsidRPr="005C3EC5">
        <w:t xml:space="preserve"> worked for architects and NGOs, so they were very, very used to sitting down and pooling knowledge and sharing. […] But what we do constantly is just share every little new idea that we’ve got, we just send it round to each other”</w:t>
      </w:r>
      <w:r>
        <w:rPr>
          <w:i/>
        </w:rPr>
        <w:t xml:space="preserve"> </w:t>
      </w:r>
      <w:r>
        <w:t xml:space="preserve">(practitioner). </w:t>
      </w:r>
    </w:p>
    <w:p w:rsidR="00A36879" w:rsidRDefault="00A36879" w:rsidP="00A36879">
      <w:r>
        <w:t>This supportive, sharing ethos, based on mutual learning is more likely to support double-loop or transformative learning, especially when actors from different social worlds become enrolled together in particular participatory experiments.</w:t>
      </w:r>
    </w:p>
    <w:p w:rsidR="00A36879" w:rsidRDefault="00A36879" w:rsidP="00A36879">
      <w:pPr>
        <w:ind w:firstLine="567"/>
      </w:pPr>
      <w:r>
        <w:t xml:space="preserve">This kind of learning is evidenced by the Big Energy Shift (2008-9) which brought together different teams across DECC together with a common aim: </w:t>
      </w:r>
    </w:p>
    <w:p w:rsidR="00A36879" w:rsidRDefault="00A36879" w:rsidP="00A36879">
      <w:pPr>
        <w:ind w:left="567"/>
      </w:pPr>
      <w:r w:rsidRPr="009D1C4D">
        <w:t>“it required so many teams to collaborate together in order to get the stimulus materials together, because it involved business, it involved the public sector teams, it involved the home energy teams, it involved the renewable energy teams - all of which are fragmented across DECC”</w:t>
      </w:r>
      <w:r>
        <w:t xml:space="preserve"> (former civil servant</w:t>
      </w:r>
      <w:r w:rsidRPr="00B7754F">
        <w:t xml:space="preserve">). </w:t>
      </w:r>
    </w:p>
    <w:p w:rsidR="00A36879" w:rsidRDefault="00A36879" w:rsidP="00A36879">
      <w:r w:rsidRPr="00B7754F">
        <w:t xml:space="preserve">The market research company </w:t>
      </w:r>
      <w:proofErr w:type="spellStart"/>
      <w:r w:rsidRPr="00B7754F">
        <w:t>Ipsos</w:t>
      </w:r>
      <w:proofErr w:type="spellEnd"/>
      <w:r w:rsidRPr="00B7754F">
        <w:t xml:space="preserve"> MORI and several D</w:t>
      </w:r>
      <w:r>
        <w:t xml:space="preserve">ialogue and </w:t>
      </w:r>
      <w:r w:rsidRPr="00B7754F">
        <w:t>E</w:t>
      </w:r>
      <w:r>
        <w:t xml:space="preserve">ngagement </w:t>
      </w:r>
      <w:r w:rsidRPr="00B7754F">
        <w:t>S</w:t>
      </w:r>
      <w:r>
        <w:t>pecialists</w:t>
      </w:r>
      <w:r w:rsidRPr="00B7754F">
        <w:t xml:space="preserve"> from Sciencewise also closely </w:t>
      </w:r>
      <w:r>
        <w:t xml:space="preserve">interacted through this process, </w:t>
      </w:r>
      <w:r w:rsidRPr="00B7754F">
        <w:t xml:space="preserve">bringing </w:t>
      </w:r>
      <w:r>
        <w:t xml:space="preserve">together </w:t>
      </w:r>
      <w:r w:rsidRPr="00B7754F">
        <w:t xml:space="preserve">a diversity of actors from different social worlds. </w:t>
      </w:r>
      <w:r>
        <w:t xml:space="preserve">The role of one </w:t>
      </w:r>
      <w:r w:rsidRPr="00B7754F">
        <w:t>civil servant</w:t>
      </w:r>
      <w:r>
        <w:t>, who was central in orchestrating this participatory experiment</w:t>
      </w:r>
      <w:r w:rsidRPr="00B7754F">
        <w:t xml:space="preserve">, was </w:t>
      </w:r>
      <w:r>
        <w:t xml:space="preserve">highlighted by </w:t>
      </w:r>
      <w:r w:rsidRPr="00B7754F">
        <w:t xml:space="preserve">many </w:t>
      </w:r>
      <w:r>
        <w:t>respondents</w:t>
      </w:r>
      <w:r w:rsidRPr="00B7754F">
        <w:t xml:space="preserve">: </w:t>
      </w:r>
    </w:p>
    <w:p w:rsidR="00A36879" w:rsidRDefault="00A36879" w:rsidP="00A36879">
      <w:pPr>
        <w:ind w:left="720" w:hanging="11"/>
      </w:pPr>
      <w:r w:rsidRPr="00B04B62">
        <w:t>“[</w:t>
      </w:r>
      <w:proofErr w:type="gramStart"/>
      <w:r w:rsidRPr="00B04B62">
        <w:t>she</w:t>
      </w:r>
      <w:proofErr w:type="gramEnd"/>
      <w:r w:rsidRPr="00B04B62">
        <w:t>] took really seriously keeping her stakeholders informed and involved. So she had about fifty or sixty people inside DECC… and other key people who she was constantly telling what was happening so that really worked”</w:t>
      </w:r>
      <w:r>
        <w:t xml:space="preserve"> (practitioner</w:t>
      </w:r>
      <w:r w:rsidRPr="00B7754F">
        <w:t xml:space="preserve">). </w:t>
      </w:r>
    </w:p>
    <w:p w:rsidR="00A36879" w:rsidRDefault="00A36879" w:rsidP="00A36879">
      <w:r>
        <w:t xml:space="preserve">The close involvement of Government ministers in this particular experiment also spread the experiential learning from the process across the department.  Strong commitment of different actors to the overall processes was also important in promoting learning, as one interviewee reflected: </w:t>
      </w:r>
    </w:p>
    <w:p w:rsidR="00A36879" w:rsidRPr="00F7082E" w:rsidRDefault="00A36879" w:rsidP="00A36879">
      <w:pPr>
        <w:ind w:left="720" w:hanging="11"/>
      </w:pPr>
      <w:r w:rsidRPr="00B04B62">
        <w:t>“</w:t>
      </w:r>
      <w:proofErr w:type="gramStart"/>
      <w:r w:rsidRPr="00B04B62">
        <w:t>it</w:t>
      </w:r>
      <w:proofErr w:type="gramEnd"/>
      <w:r w:rsidRPr="00B04B62">
        <w:t xml:space="preserve"> depended extremely heavily on the kind of level of personal commitment of the people who were actually involved in the piece of work. So there were several occasions on which it was very obvious that a piece of work was being conducted because it had to be, or because someone had said it should be but the people involved in it were not really bought into it”</w:t>
      </w:r>
      <w:r>
        <w:rPr>
          <w:i/>
        </w:rPr>
        <w:t xml:space="preserve"> </w:t>
      </w:r>
      <w:r>
        <w:t xml:space="preserve">(practitioner). </w:t>
      </w:r>
    </w:p>
    <w:p w:rsidR="00A36879" w:rsidRDefault="00A36879" w:rsidP="00A36879">
      <w:pPr>
        <w:ind w:firstLine="567"/>
      </w:pPr>
      <w:r>
        <w:t xml:space="preserve">Several interview respondents reflected on the possibility of learning occurring through key actors moving between particular participatory assemblages and organisational settings. There is some evidence of this in the Sciencewise network. For example, the corporate memory of the Sustainable Development Commission (SDC) began to operate through </w:t>
      </w:r>
      <w:r>
        <w:lastRenderedPageBreak/>
        <w:t xml:space="preserve">Sciencewise 2008-2010, when actors previously of the SDC became associated with both DECC and Sciencewise. Thus learning from past organisations had been embodied in key individuals and their social networks. Sciencewise has started to promote the development of such interactions, for example: </w:t>
      </w:r>
      <w:r w:rsidRPr="00B04B62">
        <w:t>“we try and involve as many of the sort of practitioner community and also the sort of, the larger public engagement community as much as possible”</w:t>
      </w:r>
      <w:r>
        <w:t xml:space="preserve"> (civil servant). Sciencewise also tried to push for a more collaborative structure </w:t>
      </w:r>
      <w:r w:rsidRPr="000D6432">
        <w:t>within</w:t>
      </w:r>
      <w:r>
        <w:t xml:space="preserve"> projects like the Low Carbon Communities Challenge (2010-11), but this way of working was not accepted by policy-makers. </w:t>
      </w:r>
    </w:p>
    <w:p w:rsidR="00A36879" w:rsidRPr="00B7754F" w:rsidRDefault="00A36879" w:rsidP="00A36879">
      <w:pPr>
        <w:ind w:firstLine="567"/>
      </w:pPr>
      <w:r>
        <w:t xml:space="preserve">The importance of experiential learning amongst policy-makers and experts during participation processes, as a way of promoting deeper transformation was emphasised in almost all of the interviews, changing people’s frames of reference and helping them to view the issue and engagement in a new way. Key actors within Sciencewise have responded to insights about experiential learning by encouraging more civil servants to sit in on engagement processes. Most practitioners described processes of reflection and learning following each process, </w:t>
      </w:r>
      <w:r w:rsidRPr="00B7754F">
        <w:t xml:space="preserve">and this has recently been codified within Sciencewise in the idea of ‘wash-up’ meetings, bringing together commissioners, practitioners and evaluators of processes to discuss points of learning. </w:t>
      </w:r>
      <w:r>
        <w:t xml:space="preserve">However, findings from this research suggest that </w:t>
      </w:r>
      <w:r w:rsidRPr="00E43D1B">
        <w:t xml:space="preserve">instrumental objectives </w:t>
      </w:r>
      <w:r>
        <w:t xml:space="preserve">for, or frames of, dialogue tend to </w:t>
      </w:r>
      <w:r w:rsidRPr="00E43D1B">
        <w:t xml:space="preserve">persist rather than being </w:t>
      </w:r>
      <w:r>
        <w:t>transformed</w:t>
      </w:r>
      <w:r w:rsidRPr="00E43D1B">
        <w:t xml:space="preserve"> following </w:t>
      </w:r>
      <w:r>
        <w:t xml:space="preserve">situated instances of </w:t>
      </w:r>
      <w:r w:rsidRPr="00E43D1B">
        <w:t>experiential learning.</w:t>
      </w:r>
    </w:p>
    <w:p w:rsidR="00A36879" w:rsidRDefault="00A36879" w:rsidP="00A36879">
      <w:pPr>
        <w:ind w:firstLine="567"/>
      </w:pPr>
      <w:r>
        <w:t xml:space="preserve">A number of contextual factors were shown to be important in mediating learning through the Sciencewise network, including: barriers in communicative learning between practitioners and policy-makers; the strategic interests of Government departments; longer term political trends and currents; and high profile knowledge controversies. The clash of social worlds between civil servants and practitioners was presented by many interviewees as a key barrier to mutual learning. Whilst the civil service is hierarchical, respects expert authority, works to tight time frames with no room for creativity, mistakes or experimentation, practitioners often hold several jobs at once, have backgrounds in the environmental movement, and are creative and idealistic. Similar tensions have been shown to be evident in relations between academic social scientists and practitioners/policy-makers, within the network (see </w:t>
      </w:r>
      <w:proofErr w:type="spellStart"/>
      <w:r>
        <w:t>Burchell</w:t>
      </w:r>
      <w:proofErr w:type="spellEnd"/>
      <w:r>
        <w:t xml:space="preserve">, 2009; </w:t>
      </w:r>
      <w:proofErr w:type="spellStart"/>
      <w:r>
        <w:t>Chilvers</w:t>
      </w:r>
      <w:proofErr w:type="spellEnd"/>
      <w:r>
        <w:t xml:space="preserve"> 2008b; 2010). </w:t>
      </w:r>
    </w:p>
    <w:p w:rsidR="00A36879" w:rsidRDefault="00A36879" w:rsidP="00A36879">
      <w:pPr>
        <w:ind w:firstLine="567"/>
      </w:pPr>
      <w:r>
        <w:t xml:space="preserve">With regards to environmental and science-based decisions, the role of Government is often reduced to making sure that markets work effectively, as the strategic interests of Government departments are perceived to be dependent on scientific innovation and the economy. Though participation challenges such instrumental organisational objectives, the </w:t>
      </w:r>
      <w:r>
        <w:lastRenderedPageBreak/>
        <w:t>strategic interests of Government have had a strong influence on learning frames and processes within the Sciencewise network; for example, through promoting the behaviour change agenda, and scaling back more ambitious and resource-heavy dialogue projects. Movements in-keeping with Government interests, such as the recent frame of publics as communities, have generally been the most successful ones. The strong belief in the primacy of science and the inevitability of scientific progress remains strong (Stirling, 2008), and affects attitudes towards and learning about participation and publics. Thus actors like civil servants still lack formal incentives to engage genuinely with publics and properly account for public values in decisions over science and the environment.</w:t>
      </w:r>
    </w:p>
    <w:p w:rsidR="00A36879" w:rsidRDefault="00A36879" w:rsidP="00A36879">
      <w:pPr>
        <w:ind w:firstLine="567"/>
      </w:pPr>
      <w:r>
        <w:t xml:space="preserve">Political currents have also influenced learning during the period, for example in the recent return of the localism agenda. Politics has also had negative impacts on participatory processes: for example, several interview participants referred to the recent derailing of the Low Carbon Communities Challenge, which many felt had been too strongly branded as a Labour Government project. With respect to climate change high profile knowledge controversies around climate science have given new life to instrumental and expert dominated frames of climate change, and led to instrumental institutional responses around open data rather than genuine citizen involvement that </w:t>
      </w:r>
      <w:proofErr w:type="gramStart"/>
      <w:r>
        <w:t>opens</w:t>
      </w:r>
      <w:proofErr w:type="gramEnd"/>
      <w:r>
        <w:t xml:space="preserve"> up framings of climate change to public inputs and contestation. These political dynamics caution that any deliberate attempts at building more reflexive science and environmental governance (Stirling, 2006) will be conditioned by wider driving forces and depend on (and have to be highly responsive to) emergent events that cannot be controlled by any one (set of) actor(s). </w:t>
      </w:r>
    </w:p>
    <w:p w:rsidR="00A36879" w:rsidRDefault="00A36879" w:rsidP="00A36879">
      <w:pPr>
        <w:pStyle w:val="Heading1"/>
        <w:numPr>
          <w:ilvl w:val="0"/>
          <w:numId w:val="1"/>
        </w:numPr>
        <w:spacing w:line="276" w:lineRule="auto"/>
      </w:pPr>
      <w:r>
        <w:t>Discussion and Conclusions</w:t>
      </w:r>
    </w:p>
    <w:p w:rsidR="00A36879" w:rsidRDefault="00A36879" w:rsidP="00A36879">
      <w:r>
        <w:t>This research contributes to the project of relating public engagement back to an understanding of science-society interactions (Chilvers, 2008a). We do this firstly through an exploration not only of the formal public participation processes, but also of the diverse, messy and contradictory participatory experiments, knowledge controversies and other events affecting organisational approaches to participation. Secondly, the role of public engagement organisations as a vital part of the science and environmental governance landscape</w:t>
      </w:r>
      <w:r w:rsidRPr="00591AAD">
        <w:t xml:space="preserve"> </w:t>
      </w:r>
      <w:r>
        <w:t xml:space="preserve">has been empirically examined over time. Through this we have highlighted the insufficiency of current working understandings of learning within science and policy organisations. Learning mechanisms are often based solely on promoting instrumental forms of learning which improve understanding of </w:t>
      </w:r>
      <w:proofErr w:type="spellStart"/>
      <w:r>
        <w:t>or</w:t>
      </w:r>
      <w:proofErr w:type="spellEnd"/>
      <w:r>
        <w:t xml:space="preserve"> ability to carry out routine organisational functions. More </w:t>
      </w:r>
      <w:r>
        <w:lastRenderedPageBreak/>
        <w:t xml:space="preserve">reflective or relational forms of learning are lacking from this working theory of learning (cf. Felt and Wynne, 2007), inhibiting the adoption of new organisational practices and structures to better engage publics with environmental and science governance. Visions of ‘collective experimentation’ (Felt and Wynne, 2007) have been implicitly rejected in institutionalised technologies of participation in the UK, allowing governance organisations to dismiss uninvited spaces of participation, such as social protests or the blogosphere, in favour of a narrower space for participatory experimentation. Yet the constructivist theory of learning we attempt to develop here recognises broad influences on learning, often fragile and contingent, which shape organisations engaging publics around science governance. </w:t>
      </w:r>
    </w:p>
    <w:p w:rsidR="00A36879" w:rsidRDefault="00A36879" w:rsidP="00A36879">
      <w:pPr>
        <w:ind w:firstLine="567"/>
      </w:pPr>
      <w:r>
        <w:t xml:space="preserve">Much has changed in the science participation landscape over the last decade in the UK. The evolving organisational structure of Sciencewise has been a significant feature of this, both reflecting and stimulating the emergence, persistence and decline of various frames of participation, publics and the issue of climate change. This learning has been multi-directional, with eddies of learning and unlearning particularly a feature of changing frames of publics. Yet the stagnant persistence of narrow instrumental frames of participation represents the dominance of single-loop or instrumental learning in this field, which has been intimately shaped by dynamics of power and vested interests. This conclusion supports the findings of others who have emphasised the </w:t>
      </w:r>
      <w:proofErr w:type="spellStart"/>
      <w:r>
        <w:t>unreflexive</w:t>
      </w:r>
      <w:proofErr w:type="spellEnd"/>
      <w:r>
        <w:t xml:space="preserve"> scientific and institutional cultures of contemporary environment and science policy organisations, which are characterised by an ingrained set of institutional reflexes and habits which inhibit genuine learning (e.g. Wynne 2006). Thus instrumental learning is the primary and sometimes only form of learning supported within current structures. </w:t>
      </w:r>
    </w:p>
    <w:p w:rsidR="00A36879" w:rsidRDefault="00A36879" w:rsidP="00A36879">
      <w:pPr>
        <w:ind w:firstLine="567"/>
      </w:pPr>
      <w:r>
        <w:t>However, the role of spontaneously occurring social processes</w:t>
      </w:r>
      <w:r w:rsidRPr="00211C76">
        <w:t xml:space="preserve"> </w:t>
      </w:r>
      <w:r>
        <w:t>outside of the control of organisations of governance, captured by the concept of ethno-epistemic assemblages, has been explored to show processes of tacit learning which are not formally recognised by organisational actors. External and seemingly unrelated events, such as ‘climate camp’ or so-called ‘climate sceptic’ bloggers, might be important in shaping an organisation’s internal operations and learning. This begins to touch upon the messy ways in which learning is mediated through assemblages, often as a result of experimentation or emotive qualities. By tracing changing frames of participation, publics and the issue of climate change we have begun to unpick some of these processes and illustrate their complexity. Using the co-</w:t>
      </w:r>
      <w:proofErr w:type="spellStart"/>
      <w:r>
        <w:t>productionist</w:t>
      </w:r>
      <w:proofErr w:type="spellEnd"/>
      <w:r>
        <w:t xml:space="preserve"> idiom these frames can be taken not only as a reflection of learning, both instrumental and transformative, but also as shaping later learning by acting as schemas for </w:t>
      </w:r>
      <w:r>
        <w:lastRenderedPageBreak/>
        <w:t xml:space="preserve">thought within an assemblage. Similarly, frames have influenced the design and framing of participatory experiments whilst also changing as a result of such experiments. </w:t>
      </w:r>
    </w:p>
    <w:p w:rsidR="00A36879" w:rsidRDefault="00A36879" w:rsidP="00A36879">
      <w:pPr>
        <w:ind w:firstLine="567"/>
      </w:pPr>
      <w:r>
        <w:t>Frames of climate change exhibit a distinct lack of cross-learning from earlier public engagement around GMOs or local planning issues; thus imaginations of science speaking truth to power (</w:t>
      </w:r>
      <w:proofErr w:type="spellStart"/>
      <w:r>
        <w:t>Jasanoff</w:t>
      </w:r>
      <w:proofErr w:type="spellEnd"/>
      <w:r>
        <w:t xml:space="preserve"> and Wynne, 1998) remain, despite the emergence of new and varied frames of climate change. The distinction between climate science and climate change action has not been challenged within this policy network; consequently, action on climate change remains the only acceptable topic for public deliberation, whilst the science is a matter for an elite community of experts only. Furthermore, there has been a </w:t>
      </w:r>
      <w:r w:rsidRPr="00764540">
        <w:t>lack of learning and reflection about publics</w:t>
      </w:r>
      <w:r>
        <w:t xml:space="preserve"> amongst policy-makers and practitioners, evidenced by the absence of transformational changes in frames of publics and based in part on </w:t>
      </w:r>
      <w:proofErr w:type="spellStart"/>
      <w:r>
        <w:t>unreflexive</w:t>
      </w:r>
      <w:proofErr w:type="spellEnd"/>
      <w:r>
        <w:t xml:space="preserve"> institutional cultures (cf. Wynne, 2006). This has held back instances of more reflexive and critical thinking about participation. Publics have remained implicated actors (Clark, 2005) in dialogue throughout the time period studied, rarely given a voice in Government accounts or involved in the governance of dialogue, reducing the potential for others to learn about them. The continued existence of the deficit model means that assumptions are continually projected onto the public without reflexive thought (Wynne, 2006).  Organisational public engagement has been confined to distinct and carefully controlled nodes within policy-making processes, meaning that frames have transformed as a direct result of participatory experiments; rather learning or frame transformation has occurred in response to diffuse processes, such as the rise of the behaviour change agenda, or existing pre-occupations, like the community focus of participation practitioners. </w:t>
      </w:r>
    </w:p>
    <w:p w:rsidR="00A36879" w:rsidRDefault="00A36879" w:rsidP="00A36879">
      <w:pPr>
        <w:ind w:firstLine="567"/>
      </w:pPr>
      <w:r>
        <w:t xml:space="preserve">Organisations like Sciencewise involved in promoting and carrying out participatory experiments around science are likely to operate under similar economic imperatives and triumphalist narratives of science, requiring participation to be justified instrumentally and promoting instrumental learning mechanisms. Thus it is likely that most public engagement exercises undertaken around climate change and other topics, operate to close down rather than open up possible policy options (Stirling, 2008), precluding transformative outcomes. Yet informal social networks may also play an equally important role within other policy organisations, promoting reflective and relational learning and transferring corporate memory during fertile moments. </w:t>
      </w:r>
    </w:p>
    <w:p w:rsidR="00A36879" w:rsidRDefault="00A36879" w:rsidP="00A36879">
      <w:pPr>
        <w:ind w:firstLine="567"/>
      </w:pPr>
      <w:r>
        <w:t xml:space="preserve">This longitudinal and organisationally situated study represents a novel approach to the study of participation and participatory learning, allowing an exploration of organisational mechanisms for learning and longer term learning trends. To provide a deeper understanding </w:t>
      </w:r>
      <w:r>
        <w:lastRenderedPageBreak/>
        <w:t>of organisational learning however, ethnographic work on understanding organisational routines and networks, and the role of individuals would be necessary. This might also lead to the creation of learning mechanisms capable of promoting reflective and relational learning. Whilst this research has suggested that the idea of institutional reflexivity is paradoxical in current circumstances, this could be a realistic aim in the future</w:t>
      </w:r>
      <w:r w:rsidRPr="00CD717C">
        <w:t xml:space="preserve"> </w:t>
      </w:r>
      <w:r>
        <w:t>with an organisational overhaul and the embracing of a regime of collective experimentation (Felt and Wynne, 2007). Furthermore, action research could also be used productively to experiment with alternative learning mechanisms, designed to promote reflective learning and reflexivity.</w:t>
      </w:r>
    </w:p>
    <w:p w:rsidR="00360869" w:rsidRDefault="00A36879" w:rsidP="00A36879">
      <w:pPr>
        <w:ind w:firstLine="567"/>
      </w:pPr>
      <w:r>
        <w:t xml:space="preserve">In conclusion, this paper has shown the utility of taking a longer term, contextual view of learning from and about public participation. Persistent and transforming frames of participation, publics and the issue of climate change have been described and explored to create a narrative of diffuse trends of learning and unlearning throughout the decade. Messy and dynamic relationships between frames, subjects and objects of participation are mediated through shifting assemblages as they form and reform around particular events or problems, highlighting the importance of powerful interests in influencing the direction and quality of learning. Whilst frames of participation, publics and the issue of climate change display primarily instrumental shifts, reflecting instrumental, single-loop learning, there is also some evidence of more transformative or double-loop learning. This has occurred often through informal social networks of assemblages, rather than through conscious organisational learning mechanisms, promoting both relational learning and reflection. The character of the learning and learning mechanisms identified in this research suggests a need for deeper ethnographic research within organisations related to public participation, in order to more clearly understand the relationships between organisations, individuals and learning processes; and thus to highlight mechanisms which might promote relational and reflective learning and reflexivity. </w:t>
      </w:r>
    </w:p>
    <w:p w:rsidR="00E3624B" w:rsidRDefault="00E3624B" w:rsidP="00E3624B">
      <w:pPr>
        <w:pStyle w:val="Heading1"/>
        <w:ind w:left="567" w:hanging="567"/>
      </w:pPr>
      <w:bookmarkStart w:id="0" w:name="_GoBack"/>
      <w:bookmarkEnd w:id="0"/>
      <w:r>
        <w:t>References</w:t>
      </w:r>
    </w:p>
    <w:p w:rsidR="00E3624B" w:rsidRPr="00627966" w:rsidRDefault="00E3624B" w:rsidP="00E3624B">
      <w:pPr>
        <w:spacing w:line="240" w:lineRule="auto"/>
        <w:ind w:left="567" w:hanging="567"/>
        <w:rPr>
          <w:sz w:val="22"/>
        </w:rPr>
      </w:pPr>
      <w:bookmarkStart w:id="1" w:name="_ENREF_1"/>
      <w:proofErr w:type="spellStart"/>
      <w:r w:rsidRPr="00287619">
        <w:rPr>
          <w:sz w:val="22"/>
        </w:rPr>
        <w:t>Argyris</w:t>
      </w:r>
      <w:proofErr w:type="spellEnd"/>
      <w:r w:rsidRPr="00287619">
        <w:rPr>
          <w:sz w:val="22"/>
        </w:rPr>
        <w:t xml:space="preserve">, C &amp; </w:t>
      </w:r>
      <w:proofErr w:type="spellStart"/>
      <w:r w:rsidRPr="00287619">
        <w:rPr>
          <w:sz w:val="22"/>
        </w:rPr>
        <w:t>Schӧn</w:t>
      </w:r>
      <w:proofErr w:type="spellEnd"/>
      <w:r w:rsidRPr="00287619">
        <w:rPr>
          <w:sz w:val="22"/>
        </w:rPr>
        <w:t>, D</w:t>
      </w:r>
      <w:r>
        <w:rPr>
          <w:sz w:val="22"/>
        </w:rPr>
        <w:t>,</w:t>
      </w:r>
      <w:r w:rsidRPr="00627966">
        <w:rPr>
          <w:sz w:val="22"/>
        </w:rPr>
        <w:t xml:space="preserve"> 1996</w:t>
      </w:r>
      <w:r>
        <w:rPr>
          <w:sz w:val="22"/>
        </w:rPr>
        <w:t>,</w:t>
      </w:r>
      <w:r w:rsidRPr="00627966">
        <w:rPr>
          <w:sz w:val="22"/>
        </w:rPr>
        <w:t xml:space="preserve"> </w:t>
      </w:r>
      <w:r w:rsidRPr="00627966">
        <w:rPr>
          <w:i/>
          <w:sz w:val="22"/>
        </w:rPr>
        <w:t>Organizational Learning II: Theory, Method, and Practice</w:t>
      </w:r>
      <w:r>
        <w:rPr>
          <w:i/>
          <w:sz w:val="22"/>
        </w:rPr>
        <w:t>.</w:t>
      </w:r>
      <w:r w:rsidRPr="00627966">
        <w:rPr>
          <w:sz w:val="22"/>
        </w:rPr>
        <w:t xml:space="preserve"> </w:t>
      </w:r>
      <w:r>
        <w:rPr>
          <w:sz w:val="22"/>
        </w:rPr>
        <w:t>(</w:t>
      </w:r>
      <w:r w:rsidRPr="00627966">
        <w:rPr>
          <w:sz w:val="22"/>
        </w:rPr>
        <w:t>Addison-Wesley Publishing Company, Reading, Massachusetts</w:t>
      </w:r>
      <w:bookmarkEnd w:id="1"/>
      <w:r>
        <w:rPr>
          <w:sz w:val="22"/>
        </w:rPr>
        <w:t>)</w:t>
      </w:r>
    </w:p>
    <w:p w:rsidR="00E3624B" w:rsidRPr="00627966" w:rsidRDefault="00E3624B" w:rsidP="00E3624B">
      <w:pPr>
        <w:spacing w:line="240" w:lineRule="auto"/>
        <w:ind w:left="567" w:hanging="567"/>
        <w:rPr>
          <w:sz w:val="22"/>
        </w:rPr>
      </w:pPr>
      <w:bookmarkStart w:id="2" w:name="_ENREF_3"/>
      <w:proofErr w:type="gramStart"/>
      <w:r w:rsidRPr="00287619">
        <w:rPr>
          <w:sz w:val="22"/>
        </w:rPr>
        <w:t>Bandura, A</w:t>
      </w:r>
      <w:r>
        <w:rPr>
          <w:sz w:val="22"/>
        </w:rPr>
        <w:t>,</w:t>
      </w:r>
      <w:r w:rsidRPr="00627966">
        <w:rPr>
          <w:sz w:val="22"/>
        </w:rPr>
        <w:t xml:space="preserve"> 1977</w:t>
      </w:r>
      <w:r>
        <w:rPr>
          <w:sz w:val="22"/>
        </w:rPr>
        <w:t>,</w:t>
      </w:r>
      <w:r w:rsidRPr="00627966">
        <w:rPr>
          <w:sz w:val="22"/>
        </w:rPr>
        <w:t xml:space="preserve"> </w:t>
      </w:r>
      <w:r w:rsidRPr="00627966">
        <w:rPr>
          <w:i/>
          <w:sz w:val="22"/>
        </w:rPr>
        <w:t>Social Learning Theory</w:t>
      </w:r>
      <w:r w:rsidRPr="00627966">
        <w:rPr>
          <w:sz w:val="22"/>
        </w:rPr>
        <w:t>.</w:t>
      </w:r>
      <w:proofErr w:type="gramEnd"/>
      <w:r w:rsidRPr="00627966">
        <w:rPr>
          <w:sz w:val="22"/>
        </w:rPr>
        <w:t xml:space="preserve"> </w:t>
      </w:r>
      <w:r>
        <w:rPr>
          <w:sz w:val="22"/>
        </w:rPr>
        <w:t>(</w:t>
      </w:r>
      <w:r w:rsidRPr="00627966">
        <w:rPr>
          <w:sz w:val="22"/>
        </w:rPr>
        <w:t>Prentice-Hall Inc</w:t>
      </w:r>
      <w:r>
        <w:rPr>
          <w:sz w:val="22"/>
        </w:rPr>
        <w:t>., New Jersey)</w:t>
      </w:r>
    </w:p>
    <w:p w:rsidR="00E3624B" w:rsidRPr="00627966" w:rsidRDefault="00E3624B" w:rsidP="00E3624B">
      <w:pPr>
        <w:spacing w:line="240" w:lineRule="auto"/>
        <w:ind w:left="567" w:hanging="567"/>
        <w:rPr>
          <w:b/>
          <w:sz w:val="22"/>
        </w:rPr>
      </w:pPr>
      <w:r w:rsidRPr="00287619">
        <w:rPr>
          <w:sz w:val="22"/>
        </w:rPr>
        <w:t>Beck, U</w:t>
      </w:r>
      <w:r>
        <w:rPr>
          <w:sz w:val="22"/>
        </w:rPr>
        <w:t>,</w:t>
      </w:r>
      <w:r w:rsidRPr="00627966">
        <w:rPr>
          <w:b/>
          <w:sz w:val="22"/>
        </w:rPr>
        <w:t xml:space="preserve"> </w:t>
      </w:r>
      <w:r w:rsidRPr="00627966">
        <w:rPr>
          <w:sz w:val="22"/>
        </w:rPr>
        <w:t>1992</w:t>
      </w:r>
      <w:r>
        <w:rPr>
          <w:sz w:val="22"/>
        </w:rPr>
        <w:t>,</w:t>
      </w:r>
      <w:r w:rsidRPr="00627966">
        <w:rPr>
          <w:sz w:val="22"/>
        </w:rPr>
        <w:t xml:space="preserve"> </w:t>
      </w:r>
      <w:r w:rsidRPr="00627966">
        <w:rPr>
          <w:i/>
          <w:sz w:val="22"/>
        </w:rPr>
        <w:t>Risk Society: Towards a New Modernity</w:t>
      </w:r>
      <w:r w:rsidRPr="00627966">
        <w:rPr>
          <w:sz w:val="22"/>
        </w:rPr>
        <w:t xml:space="preserve">. </w:t>
      </w:r>
      <w:r>
        <w:rPr>
          <w:sz w:val="22"/>
        </w:rPr>
        <w:t>(</w:t>
      </w:r>
      <w:r w:rsidRPr="00627966">
        <w:rPr>
          <w:sz w:val="22"/>
        </w:rPr>
        <w:t>London</w:t>
      </w:r>
      <w:r>
        <w:rPr>
          <w:sz w:val="22"/>
        </w:rPr>
        <w:t>, Sage)</w:t>
      </w:r>
    </w:p>
    <w:p w:rsidR="00E3624B" w:rsidRPr="00627966" w:rsidRDefault="00E3624B" w:rsidP="00E3624B">
      <w:pPr>
        <w:spacing w:line="240" w:lineRule="auto"/>
        <w:ind w:left="567" w:hanging="567"/>
        <w:rPr>
          <w:b/>
          <w:sz w:val="22"/>
        </w:rPr>
      </w:pPr>
      <w:r w:rsidRPr="00287619">
        <w:rPr>
          <w:sz w:val="22"/>
        </w:rPr>
        <w:t>Bec</w:t>
      </w:r>
      <w:r>
        <w:rPr>
          <w:sz w:val="22"/>
        </w:rPr>
        <w:t xml:space="preserve">k, U, </w:t>
      </w:r>
      <w:proofErr w:type="spellStart"/>
      <w:r>
        <w:rPr>
          <w:sz w:val="22"/>
        </w:rPr>
        <w:t>Giddens</w:t>
      </w:r>
      <w:proofErr w:type="spellEnd"/>
      <w:r>
        <w:rPr>
          <w:sz w:val="22"/>
        </w:rPr>
        <w:t xml:space="preserve">, A </w:t>
      </w:r>
      <w:r w:rsidRPr="00287619">
        <w:rPr>
          <w:sz w:val="22"/>
        </w:rPr>
        <w:t>&amp; Lash, S</w:t>
      </w:r>
      <w:r>
        <w:rPr>
          <w:sz w:val="22"/>
        </w:rPr>
        <w:t>,</w:t>
      </w:r>
      <w:r w:rsidRPr="00627966">
        <w:rPr>
          <w:b/>
          <w:sz w:val="22"/>
        </w:rPr>
        <w:t xml:space="preserve"> </w:t>
      </w:r>
      <w:r w:rsidRPr="00627966">
        <w:rPr>
          <w:sz w:val="22"/>
        </w:rPr>
        <w:t>1994</w:t>
      </w:r>
      <w:r>
        <w:rPr>
          <w:sz w:val="22"/>
        </w:rPr>
        <w:t>,</w:t>
      </w:r>
      <w:r w:rsidRPr="00627966">
        <w:rPr>
          <w:sz w:val="22"/>
        </w:rPr>
        <w:t xml:space="preserve"> </w:t>
      </w:r>
      <w:r w:rsidRPr="00627966">
        <w:rPr>
          <w:i/>
          <w:sz w:val="22"/>
        </w:rPr>
        <w:t>Reflexive modernization: politics, tradition and aesthetics in the modern social order</w:t>
      </w:r>
      <w:r w:rsidRPr="00627966">
        <w:rPr>
          <w:sz w:val="22"/>
        </w:rPr>
        <w:t xml:space="preserve">. </w:t>
      </w:r>
      <w:r>
        <w:rPr>
          <w:sz w:val="22"/>
        </w:rPr>
        <w:t>(</w:t>
      </w:r>
      <w:r w:rsidRPr="00627966">
        <w:rPr>
          <w:sz w:val="22"/>
        </w:rPr>
        <w:t>Cambridge</w:t>
      </w:r>
      <w:r>
        <w:rPr>
          <w:sz w:val="22"/>
        </w:rPr>
        <w:t>,</w:t>
      </w:r>
      <w:r w:rsidRPr="00627966">
        <w:rPr>
          <w:sz w:val="22"/>
        </w:rPr>
        <w:t xml:space="preserve"> Polity</w:t>
      </w:r>
      <w:r>
        <w:rPr>
          <w:sz w:val="22"/>
        </w:rPr>
        <w:t>)</w:t>
      </w:r>
    </w:p>
    <w:p w:rsidR="00E3624B" w:rsidRPr="00627966" w:rsidRDefault="00E3624B" w:rsidP="00E3624B">
      <w:pPr>
        <w:spacing w:line="240" w:lineRule="auto"/>
        <w:ind w:left="567" w:hanging="567"/>
        <w:rPr>
          <w:sz w:val="22"/>
        </w:rPr>
      </w:pPr>
      <w:r w:rsidRPr="00287619">
        <w:rPr>
          <w:sz w:val="22"/>
        </w:rPr>
        <w:t xml:space="preserve">Bickerstaff, K, </w:t>
      </w:r>
      <w:proofErr w:type="spellStart"/>
      <w:r w:rsidRPr="00287619">
        <w:rPr>
          <w:sz w:val="22"/>
        </w:rPr>
        <w:t>Lorenzoni</w:t>
      </w:r>
      <w:proofErr w:type="spellEnd"/>
      <w:r w:rsidRPr="00287619">
        <w:rPr>
          <w:sz w:val="22"/>
        </w:rPr>
        <w:t xml:space="preserve">, I, Jones, M &amp; </w:t>
      </w:r>
      <w:proofErr w:type="spellStart"/>
      <w:r w:rsidRPr="00287619">
        <w:rPr>
          <w:sz w:val="22"/>
        </w:rPr>
        <w:t>Pidgeon</w:t>
      </w:r>
      <w:proofErr w:type="spellEnd"/>
      <w:r w:rsidRPr="00287619">
        <w:rPr>
          <w:sz w:val="22"/>
        </w:rPr>
        <w:t>, N</w:t>
      </w:r>
      <w:r>
        <w:rPr>
          <w:sz w:val="22"/>
        </w:rPr>
        <w:t>,</w:t>
      </w:r>
      <w:r w:rsidRPr="00627966">
        <w:rPr>
          <w:sz w:val="22"/>
        </w:rPr>
        <w:t xml:space="preserve"> 2010</w:t>
      </w:r>
      <w:r>
        <w:rPr>
          <w:sz w:val="22"/>
        </w:rPr>
        <w:t>,</w:t>
      </w:r>
      <w:r w:rsidRPr="00627966">
        <w:rPr>
          <w:sz w:val="22"/>
        </w:rPr>
        <w:t xml:space="preserve"> Locating Scientific Citizenship: The Institutional Contexts and Cultures of Public Engagement. </w:t>
      </w:r>
      <w:r w:rsidRPr="00627966">
        <w:rPr>
          <w:i/>
          <w:sz w:val="22"/>
        </w:rPr>
        <w:t>Science, Technology, &amp; Human Values</w:t>
      </w:r>
      <w:r w:rsidRPr="00627966">
        <w:rPr>
          <w:sz w:val="22"/>
        </w:rPr>
        <w:t xml:space="preserve"> </w:t>
      </w:r>
      <w:r w:rsidRPr="00D355EF">
        <w:rPr>
          <w:b/>
          <w:sz w:val="22"/>
        </w:rPr>
        <w:t>35</w:t>
      </w:r>
      <w:r w:rsidRPr="00627966">
        <w:rPr>
          <w:sz w:val="22"/>
        </w:rPr>
        <w:t>(4): 474-500</w:t>
      </w:r>
      <w:r>
        <w:rPr>
          <w:sz w:val="22"/>
        </w:rPr>
        <w:t>.</w:t>
      </w:r>
    </w:p>
    <w:p w:rsidR="00E3624B" w:rsidRPr="00627966" w:rsidRDefault="00E3624B" w:rsidP="00E3624B">
      <w:pPr>
        <w:spacing w:line="240" w:lineRule="auto"/>
        <w:ind w:left="567" w:hanging="567"/>
        <w:rPr>
          <w:sz w:val="22"/>
        </w:rPr>
      </w:pPr>
      <w:bookmarkStart w:id="3" w:name="_ENREF_4"/>
      <w:bookmarkEnd w:id="2"/>
      <w:r w:rsidRPr="00287619">
        <w:rPr>
          <w:sz w:val="22"/>
        </w:rPr>
        <w:lastRenderedPageBreak/>
        <w:t>Braun, K &amp; Schultz, S</w:t>
      </w:r>
      <w:r>
        <w:rPr>
          <w:sz w:val="22"/>
        </w:rPr>
        <w:t>,</w:t>
      </w:r>
      <w:r w:rsidRPr="00627966">
        <w:rPr>
          <w:sz w:val="22"/>
        </w:rPr>
        <w:t xml:space="preserve"> 2010</w:t>
      </w:r>
      <w:r>
        <w:rPr>
          <w:sz w:val="22"/>
        </w:rPr>
        <w:t>,</w:t>
      </w:r>
      <w:r w:rsidRPr="00627966">
        <w:rPr>
          <w:sz w:val="22"/>
        </w:rPr>
        <w:t xml:space="preserve"> "... a certain amount of engineering involved": Constructing the public in participatory governance arrangements. </w:t>
      </w:r>
      <w:r w:rsidRPr="00627966">
        <w:rPr>
          <w:i/>
          <w:sz w:val="22"/>
        </w:rPr>
        <w:t>Public Understanding of Science</w:t>
      </w:r>
      <w:r w:rsidRPr="00627966">
        <w:rPr>
          <w:sz w:val="22"/>
        </w:rPr>
        <w:t xml:space="preserve"> </w:t>
      </w:r>
      <w:r w:rsidRPr="00D355EF">
        <w:rPr>
          <w:b/>
          <w:sz w:val="22"/>
        </w:rPr>
        <w:t>19</w:t>
      </w:r>
      <w:r>
        <w:rPr>
          <w:sz w:val="22"/>
        </w:rPr>
        <w:t xml:space="preserve">(4): </w:t>
      </w:r>
      <w:r w:rsidRPr="00D355EF">
        <w:rPr>
          <w:sz w:val="22"/>
        </w:rPr>
        <w:t>403</w:t>
      </w:r>
      <w:r w:rsidRPr="00627966">
        <w:rPr>
          <w:sz w:val="22"/>
        </w:rPr>
        <w:t>-19.</w:t>
      </w:r>
    </w:p>
    <w:p w:rsidR="00E3624B" w:rsidRPr="00627966" w:rsidRDefault="00E3624B" w:rsidP="00E3624B">
      <w:pPr>
        <w:spacing w:line="240" w:lineRule="auto"/>
        <w:ind w:left="567" w:hanging="567"/>
        <w:rPr>
          <w:sz w:val="22"/>
        </w:rPr>
      </w:pPr>
      <w:bookmarkStart w:id="4" w:name="_ENREF_5"/>
      <w:bookmarkEnd w:id="3"/>
      <w:r w:rsidRPr="00287619">
        <w:rPr>
          <w:sz w:val="22"/>
        </w:rPr>
        <w:t xml:space="preserve">Bull, R, </w:t>
      </w:r>
      <w:proofErr w:type="spellStart"/>
      <w:r w:rsidRPr="00287619">
        <w:rPr>
          <w:sz w:val="22"/>
        </w:rPr>
        <w:t>Petts</w:t>
      </w:r>
      <w:proofErr w:type="spellEnd"/>
      <w:r w:rsidRPr="00287619">
        <w:rPr>
          <w:sz w:val="22"/>
        </w:rPr>
        <w:t>, J &amp; Evans, J</w:t>
      </w:r>
      <w:r>
        <w:rPr>
          <w:sz w:val="22"/>
        </w:rPr>
        <w:t>,</w:t>
      </w:r>
      <w:r w:rsidRPr="00627966">
        <w:rPr>
          <w:sz w:val="22"/>
        </w:rPr>
        <w:t xml:space="preserve"> 2008</w:t>
      </w:r>
      <w:r>
        <w:rPr>
          <w:sz w:val="22"/>
        </w:rPr>
        <w:t>,</w:t>
      </w:r>
      <w:r w:rsidRPr="00627966">
        <w:rPr>
          <w:sz w:val="22"/>
        </w:rPr>
        <w:t xml:space="preserve"> Social learning from public engagement: dreaming the impossible? </w:t>
      </w:r>
      <w:r w:rsidRPr="00627966">
        <w:rPr>
          <w:i/>
          <w:sz w:val="22"/>
        </w:rPr>
        <w:t>Journal of Environmental Planning and Management</w:t>
      </w:r>
      <w:r w:rsidRPr="00627966">
        <w:rPr>
          <w:sz w:val="22"/>
        </w:rPr>
        <w:t xml:space="preserve"> </w:t>
      </w:r>
      <w:r w:rsidRPr="00D355EF">
        <w:rPr>
          <w:b/>
          <w:sz w:val="22"/>
        </w:rPr>
        <w:t>51</w:t>
      </w:r>
      <w:r>
        <w:rPr>
          <w:sz w:val="22"/>
        </w:rPr>
        <w:t xml:space="preserve">(5): </w:t>
      </w:r>
      <w:r w:rsidRPr="00D355EF">
        <w:rPr>
          <w:sz w:val="22"/>
        </w:rPr>
        <w:t>701</w:t>
      </w:r>
      <w:r w:rsidRPr="00627966">
        <w:rPr>
          <w:sz w:val="22"/>
        </w:rPr>
        <w:t>-16.</w:t>
      </w:r>
      <w:bookmarkEnd w:id="4"/>
    </w:p>
    <w:p w:rsidR="00E3624B" w:rsidRPr="00627966" w:rsidRDefault="00E3624B" w:rsidP="00E3624B">
      <w:pPr>
        <w:spacing w:line="240" w:lineRule="auto"/>
        <w:ind w:left="567" w:hanging="567"/>
        <w:rPr>
          <w:sz w:val="22"/>
        </w:rPr>
      </w:pPr>
      <w:bookmarkStart w:id="5" w:name="_ENREF_6"/>
      <w:proofErr w:type="spellStart"/>
      <w:r w:rsidRPr="00287619">
        <w:rPr>
          <w:sz w:val="22"/>
        </w:rPr>
        <w:t>Burchell</w:t>
      </w:r>
      <w:proofErr w:type="spellEnd"/>
      <w:r w:rsidRPr="00287619">
        <w:rPr>
          <w:sz w:val="22"/>
        </w:rPr>
        <w:t>, K</w:t>
      </w:r>
      <w:r>
        <w:rPr>
          <w:sz w:val="22"/>
        </w:rPr>
        <w:t>,</w:t>
      </w:r>
      <w:r w:rsidRPr="00627966">
        <w:rPr>
          <w:sz w:val="22"/>
        </w:rPr>
        <w:t xml:space="preserve"> 2009</w:t>
      </w:r>
      <w:r>
        <w:rPr>
          <w:sz w:val="22"/>
        </w:rPr>
        <w:t>,</w:t>
      </w:r>
      <w:r w:rsidRPr="00627966">
        <w:rPr>
          <w:sz w:val="22"/>
        </w:rPr>
        <w:t xml:space="preserve"> </w:t>
      </w:r>
      <w:proofErr w:type="gramStart"/>
      <w:r w:rsidRPr="00627966">
        <w:rPr>
          <w:sz w:val="22"/>
        </w:rPr>
        <w:t>A</w:t>
      </w:r>
      <w:proofErr w:type="gramEnd"/>
      <w:r w:rsidRPr="00627966">
        <w:rPr>
          <w:sz w:val="22"/>
        </w:rPr>
        <w:t xml:space="preserve"> helping hand or a servant discipline? </w:t>
      </w:r>
      <w:proofErr w:type="gramStart"/>
      <w:r w:rsidRPr="00627966">
        <w:rPr>
          <w:sz w:val="22"/>
        </w:rPr>
        <w:t>Interpreting non-academic perspectives on the roles of social science in participatory policy-making.</w:t>
      </w:r>
      <w:proofErr w:type="gramEnd"/>
      <w:r w:rsidRPr="00627966">
        <w:rPr>
          <w:sz w:val="22"/>
        </w:rPr>
        <w:t xml:space="preserve"> </w:t>
      </w:r>
      <w:r w:rsidRPr="00627966">
        <w:rPr>
          <w:i/>
          <w:sz w:val="22"/>
        </w:rPr>
        <w:t>Science, Technology &amp; Innovation Studies</w:t>
      </w:r>
      <w:r w:rsidRPr="00627966">
        <w:rPr>
          <w:sz w:val="22"/>
        </w:rPr>
        <w:t xml:space="preserve">, </w:t>
      </w:r>
      <w:r w:rsidRPr="00D355EF">
        <w:rPr>
          <w:b/>
          <w:sz w:val="22"/>
        </w:rPr>
        <w:t>5</w:t>
      </w:r>
      <w:r w:rsidRPr="00627966">
        <w:rPr>
          <w:sz w:val="22"/>
        </w:rPr>
        <w:t>(1): 49-61.</w:t>
      </w:r>
    </w:p>
    <w:p w:rsidR="00E3624B" w:rsidRPr="00627966" w:rsidRDefault="00E3624B" w:rsidP="00E3624B">
      <w:pPr>
        <w:spacing w:line="240" w:lineRule="auto"/>
        <w:ind w:left="567" w:hanging="567"/>
        <w:rPr>
          <w:sz w:val="22"/>
        </w:rPr>
      </w:pPr>
      <w:r w:rsidRPr="00287619">
        <w:rPr>
          <w:sz w:val="22"/>
        </w:rPr>
        <w:t>Burgess, J &amp; Chilvers, J</w:t>
      </w:r>
      <w:r>
        <w:rPr>
          <w:sz w:val="22"/>
        </w:rPr>
        <w:t>,</w:t>
      </w:r>
      <w:r w:rsidRPr="00627966">
        <w:rPr>
          <w:sz w:val="22"/>
        </w:rPr>
        <w:t xml:space="preserve"> 2006</w:t>
      </w:r>
      <w:r>
        <w:rPr>
          <w:sz w:val="22"/>
        </w:rPr>
        <w:t>,</w:t>
      </w:r>
      <w:r w:rsidRPr="00627966">
        <w:rPr>
          <w:sz w:val="22"/>
        </w:rPr>
        <w:t xml:space="preserve"> </w:t>
      </w:r>
      <w:proofErr w:type="gramStart"/>
      <w:r w:rsidRPr="00627966">
        <w:rPr>
          <w:sz w:val="22"/>
        </w:rPr>
        <w:t>Upping</w:t>
      </w:r>
      <w:proofErr w:type="gramEnd"/>
      <w:r w:rsidRPr="00627966">
        <w:rPr>
          <w:sz w:val="22"/>
        </w:rPr>
        <w:t xml:space="preserve"> the ante: a conceptual framework for designing and evaluating participatory technology assessments. </w:t>
      </w:r>
      <w:r w:rsidRPr="00627966">
        <w:rPr>
          <w:i/>
          <w:sz w:val="22"/>
        </w:rPr>
        <w:t>Science and Public Policy</w:t>
      </w:r>
      <w:r w:rsidRPr="00627966">
        <w:rPr>
          <w:sz w:val="22"/>
        </w:rPr>
        <w:t xml:space="preserve"> </w:t>
      </w:r>
      <w:r w:rsidRPr="00D355EF">
        <w:rPr>
          <w:b/>
          <w:sz w:val="22"/>
        </w:rPr>
        <w:t>33</w:t>
      </w:r>
      <w:r>
        <w:rPr>
          <w:sz w:val="22"/>
        </w:rPr>
        <w:t>(</w:t>
      </w:r>
      <w:r w:rsidRPr="00D355EF">
        <w:rPr>
          <w:sz w:val="22"/>
        </w:rPr>
        <w:t>10)</w:t>
      </w:r>
      <w:r>
        <w:rPr>
          <w:sz w:val="22"/>
        </w:rPr>
        <w:t>:</w:t>
      </w:r>
      <w:r w:rsidRPr="00627966">
        <w:rPr>
          <w:sz w:val="22"/>
        </w:rPr>
        <w:t xml:space="preserve"> 713-28.</w:t>
      </w:r>
    </w:p>
    <w:p w:rsidR="00E3624B" w:rsidRPr="00627966" w:rsidRDefault="00E3624B" w:rsidP="00E3624B">
      <w:pPr>
        <w:spacing w:line="240" w:lineRule="auto"/>
        <w:ind w:left="567" w:hanging="567"/>
        <w:rPr>
          <w:sz w:val="22"/>
        </w:rPr>
      </w:pPr>
      <w:proofErr w:type="gramStart"/>
      <w:r w:rsidRPr="00287619">
        <w:rPr>
          <w:sz w:val="22"/>
        </w:rPr>
        <w:t>Chilvers, J</w:t>
      </w:r>
      <w:r>
        <w:rPr>
          <w:sz w:val="22"/>
        </w:rPr>
        <w:t>,</w:t>
      </w:r>
      <w:r w:rsidRPr="00627966">
        <w:rPr>
          <w:sz w:val="22"/>
        </w:rPr>
        <w:t xml:space="preserve"> 2010</w:t>
      </w:r>
      <w:r>
        <w:rPr>
          <w:sz w:val="22"/>
        </w:rPr>
        <w:t>,</w:t>
      </w:r>
      <w:r w:rsidRPr="00627966">
        <w:rPr>
          <w:sz w:val="22"/>
        </w:rPr>
        <w:t xml:space="preserve"> </w:t>
      </w:r>
      <w:r w:rsidRPr="00627966">
        <w:rPr>
          <w:i/>
          <w:sz w:val="22"/>
        </w:rPr>
        <w:t>Sustainable Participation?</w:t>
      </w:r>
      <w:proofErr w:type="gramEnd"/>
      <w:r w:rsidRPr="00627966">
        <w:rPr>
          <w:i/>
          <w:sz w:val="22"/>
        </w:rPr>
        <w:t xml:space="preserve"> Mapping out and reflecting on the field of public dialogue in science and technology</w:t>
      </w:r>
      <w:r w:rsidRPr="00627966">
        <w:rPr>
          <w:sz w:val="22"/>
        </w:rPr>
        <w:t xml:space="preserve">. </w:t>
      </w:r>
      <w:r>
        <w:rPr>
          <w:sz w:val="22"/>
        </w:rPr>
        <w:t>(</w:t>
      </w:r>
      <w:r w:rsidRPr="00627966">
        <w:rPr>
          <w:sz w:val="22"/>
        </w:rPr>
        <w:t xml:space="preserve">Sciencewise - </w:t>
      </w:r>
      <w:r>
        <w:rPr>
          <w:sz w:val="22"/>
        </w:rPr>
        <w:t>Expert Resource Centre, Harwell)</w:t>
      </w:r>
    </w:p>
    <w:p w:rsidR="00E3624B" w:rsidRPr="00627966" w:rsidRDefault="00E3624B" w:rsidP="00E3624B">
      <w:pPr>
        <w:spacing w:line="240" w:lineRule="auto"/>
        <w:ind w:left="567" w:hanging="567"/>
        <w:rPr>
          <w:sz w:val="22"/>
        </w:rPr>
      </w:pPr>
      <w:bookmarkStart w:id="6" w:name="_ENREF_8"/>
      <w:proofErr w:type="gramStart"/>
      <w:r w:rsidRPr="00287619">
        <w:rPr>
          <w:sz w:val="22"/>
        </w:rPr>
        <w:t>Chilvers, J</w:t>
      </w:r>
      <w:r>
        <w:rPr>
          <w:sz w:val="22"/>
        </w:rPr>
        <w:t>,</w:t>
      </w:r>
      <w:r w:rsidRPr="00627966">
        <w:rPr>
          <w:sz w:val="22"/>
        </w:rPr>
        <w:t xml:space="preserve"> 2009</w:t>
      </w:r>
      <w:r>
        <w:rPr>
          <w:sz w:val="22"/>
        </w:rPr>
        <w:t>,</w:t>
      </w:r>
      <w:r w:rsidRPr="00627966">
        <w:rPr>
          <w:sz w:val="22"/>
        </w:rPr>
        <w:t xml:space="preserve"> Deliberative and Participatory Approaches in Environmental Geography.</w:t>
      </w:r>
      <w:proofErr w:type="gramEnd"/>
      <w:r w:rsidRPr="00627966">
        <w:rPr>
          <w:sz w:val="22"/>
        </w:rPr>
        <w:t xml:space="preserve"> </w:t>
      </w:r>
      <w:proofErr w:type="gramStart"/>
      <w:r w:rsidRPr="00627966">
        <w:rPr>
          <w:sz w:val="22"/>
        </w:rPr>
        <w:t>in</w:t>
      </w:r>
      <w:proofErr w:type="gramEnd"/>
      <w:r w:rsidRPr="00627966">
        <w:rPr>
          <w:sz w:val="22"/>
        </w:rPr>
        <w:t xml:space="preserve"> </w:t>
      </w:r>
      <w:proofErr w:type="spellStart"/>
      <w:r w:rsidRPr="00627966">
        <w:rPr>
          <w:sz w:val="22"/>
        </w:rPr>
        <w:t>Castree</w:t>
      </w:r>
      <w:proofErr w:type="spellEnd"/>
      <w:r w:rsidRPr="00627966">
        <w:rPr>
          <w:sz w:val="22"/>
        </w:rPr>
        <w:t xml:space="preserve">, N, </w:t>
      </w:r>
      <w:proofErr w:type="spellStart"/>
      <w:r w:rsidRPr="00627966">
        <w:rPr>
          <w:sz w:val="22"/>
        </w:rPr>
        <w:t>Demeritt</w:t>
      </w:r>
      <w:proofErr w:type="spellEnd"/>
      <w:r w:rsidRPr="00627966">
        <w:rPr>
          <w:sz w:val="22"/>
        </w:rPr>
        <w:t xml:space="preserve">, D, </w:t>
      </w:r>
      <w:proofErr w:type="spellStart"/>
      <w:r w:rsidRPr="00627966">
        <w:rPr>
          <w:sz w:val="22"/>
        </w:rPr>
        <w:t>Liverman</w:t>
      </w:r>
      <w:proofErr w:type="spellEnd"/>
      <w:r w:rsidRPr="00627966">
        <w:rPr>
          <w:sz w:val="22"/>
        </w:rPr>
        <w:t xml:space="preserve">, D &amp; Rhoads, B </w:t>
      </w:r>
      <w:proofErr w:type="spellStart"/>
      <w:r w:rsidRPr="00627966">
        <w:rPr>
          <w:sz w:val="22"/>
        </w:rPr>
        <w:t>eds</w:t>
      </w:r>
      <w:proofErr w:type="spellEnd"/>
      <w:r w:rsidRPr="00627966">
        <w:rPr>
          <w:sz w:val="22"/>
        </w:rPr>
        <w:t xml:space="preserve"> </w:t>
      </w:r>
      <w:r w:rsidRPr="00627966">
        <w:rPr>
          <w:i/>
          <w:sz w:val="22"/>
        </w:rPr>
        <w:t>The Companion to Environmental Geography.</w:t>
      </w:r>
      <w:r w:rsidRPr="00627966">
        <w:rPr>
          <w:sz w:val="22"/>
        </w:rPr>
        <w:t xml:space="preserve"> </w:t>
      </w:r>
      <w:r>
        <w:rPr>
          <w:sz w:val="22"/>
        </w:rPr>
        <w:t>(</w:t>
      </w:r>
      <w:r w:rsidRPr="00627966">
        <w:rPr>
          <w:sz w:val="22"/>
        </w:rPr>
        <w:t>Blackwell, London</w:t>
      </w:r>
      <w:bookmarkEnd w:id="6"/>
      <w:r>
        <w:rPr>
          <w:sz w:val="22"/>
        </w:rPr>
        <w:t>)</w:t>
      </w:r>
    </w:p>
    <w:p w:rsidR="00E3624B" w:rsidRPr="00627966" w:rsidRDefault="00E3624B" w:rsidP="00E3624B">
      <w:pPr>
        <w:spacing w:line="240" w:lineRule="auto"/>
        <w:ind w:left="567" w:hanging="567"/>
        <w:rPr>
          <w:sz w:val="22"/>
        </w:rPr>
      </w:pPr>
      <w:proofErr w:type="gramStart"/>
      <w:r w:rsidRPr="00287619">
        <w:rPr>
          <w:sz w:val="22"/>
        </w:rPr>
        <w:t>Chilvers, J</w:t>
      </w:r>
      <w:r>
        <w:rPr>
          <w:sz w:val="22"/>
        </w:rPr>
        <w:t>,</w:t>
      </w:r>
      <w:r w:rsidRPr="00627966">
        <w:rPr>
          <w:sz w:val="22"/>
        </w:rPr>
        <w:t xml:space="preserve"> 2008a</w:t>
      </w:r>
      <w:r>
        <w:rPr>
          <w:sz w:val="22"/>
        </w:rPr>
        <w:t>,</w:t>
      </w:r>
      <w:r w:rsidRPr="00627966">
        <w:rPr>
          <w:sz w:val="22"/>
        </w:rPr>
        <w:t xml:space="preserve"> Deliberating competence - Theoretical and practitioner perspectives on effective participatory appraisal practice.</w:t>
      </w:r>
      <w:proofErr w:type="gramEnd"/>
      <w:r w:rsidRPr="00627966">
        <w:rPr>
          <w:sz w:val="22"/>
        </w:rPr>
        <w:t xml:space="preserve"> </w:t>
      </w:r>
      <w:r w:rsidRPr="00627966">
        <w:rPr>
          <w:i/>
          <w:sz w:val="22"/>
        </w:rPr>
        <w:t>Science</w:t>
      </w:r>
      <w:r>
        <w:rPr>
          <w:i/>
          <w:sz w:val="22"/>
        </w:rPr>
        <w:t>,</w:t>
      </w:r>
      <w:r w:rsidRPr="00627966">
        <w:rPr>
          <w:i/>
          <w:sz w:val="22"/>
        </w:rPr>
        <w:t xml:space="preserve"> Technology &amp; Human Values</w:t>
      </w:r>
      <w:r w:rsidRPr="00627966">
        <w:rPr>
          <w:sz w:val="22"/>
        </w:rPr>
        <w:t xml:space="preserve"> </w:t>
      </w:r>
      <w:r w:rsidRPr="00C0537A">
        <w:rPr>
          <w:b/>
          <w:sz w:val="22"/>
        </w:rPr>
        <w:t>33</w:t>
      </w:r>
      <w:r>
        <w:rPr>
          <w:sz w:val="22"/>
        </w:rPr>
        <w:t>(2):</w:t>
      </w:r>
      <w:r w:rsidRPr="00627966">
        <w:rPr>
          <w:sz w:val="22"/>
        </w:rPr>
        <w:t xml:space="preserve"> 155-85.</w:t>
      </w:r>
      <w:bookmarkEnd w:id="5"/>
    </w:p>
    <w:p w:rsidR="00E3624B" w:rsidRPr="00627966" w:rsidRDefault="00E3624B" w:rsidP="00E3624B">
      <w:pPr>
        <w:spacing w:line="240" w:lineRule="auto"/>
        <w:ind w:left="567" w:hanging="567"/>
        <w:rPr>
          <w:sz w:val="22"/>
        </w:rPr>
      </w:pPr>
      <w:bookmarkStart w:id="7" w:name="_ENREF_9"/>
      <w:r w:rsidRPr="00287619">
        <w:rPr>
          <w:sz w:val="22"/>
        </w:rPr>
        <w:t>Chilvers, J</w:t>
      </w:r>
      <w:r>
        <w:rPr>
          <w:sz w:val="22"/>
        </w:rPr>
        <w:t>,</w:t>
      </w:r>
      <w:r w:rsidRPr="00627966">
        <w:rPr>
          <w:sz w:val="22"/>
        </w:rPr>
        <w:t xml:space="preserve"> 2008b</w:t>
      </w:r>
      <w:r>
        <w:rPr>
          <w:sz w:val="22"/>
        </w:rPr>
        <w:t>,</w:t>
      </w:r>
      <w:r w:rsidRPr="00627966">
        <w:rPr>
          <w:sz w:val="22"/>
        </w:rPr>
        <w:t xml:space="preserve"> Environmental risk, uncertainty, and participation: mapping an emergent epistemic community. </w:t>
      </w:r>
      <w:r w:rsidRPr="00627966">
        <w:rPr>
          <w:i/>
          <w:sz w:val="22"/>
        </w:rPr>
        <w:t>Environment and Planning A</w:t>
      </w:r>
      <w:r w:rsidRPr="00627966">
        <w:rPr>
          <w:sz w:val="22"/>
        </w:rPr>
        <w:t xml:space="preserve"> </w:t>
      </w:r>
      <w:r w:rsidRPr="00C0537A">
        <w:rPr>
          <w:b/>
          <w:sz w:val="22"/>
        </w:rPr>
        <w:t>40</w:t>
      </w:r>
      <w:r w:rsidRPr="00627966">
        <w:rPr>
          <w:sz w:val="22"/>
        </w:rPr>
        <w:t>(12): 2990-3008.</w:t>
      </w:r>
    </w:p>
    <w:p w:rsidR="00E3624B" w:rsidRPr="00627966" w:rsidRDefault="00E3624B" w:rsidP="00E3624B">
      <w:pPr>
        <w:spacing w:line="240" w:lineRule="auto"/>
        <w:ind w:left="567" w:hanging="567"/>
        <w:rPr>
          <w:sz w:val="22"/>
        </w:rPr>
      </w:pPr>
      <w:r w:rsidRPr="00287619">
        <w:rPr>
          <w:sz w:val="22"/>
        </w:rPr>
        <w:t xml:space="preserve">Clarke, </w:t>
      </w:r>
      <w:proofErr w:type="gramStart"/>
      <w:r w:rsidRPr="00287619">
        <w:rPr>
          <w:sz w:val="22"/>
        </w:rPr>
        <w:t>A</w:t>
      </w:r>
      <w:proofErr w:type="gramEnd"/>
      <w:r w:rsidRPr="00287619">
        <w:rPr>
          <w:sz w:val="22"/>
        </w:rPr>
        <w:t xml:space="preserve"> E</w:t>
      </w:r>
      <w:r>
        <w:rPr>
          <w:sz w:val="22"/>
        </w:rPr>
        <w:t>,</w:t>
      </w:r>
      <w:r w:rsidRPr="00627966">
        <w:rPr>
          <w:sz w:val="22"/>
        </w:rPr>
        <w:t xml:space="preserve"> 2005</w:t>
      </w:r>
      <w:r>
        <w:rPr>
          <w:sz w:val="22"/>
        </w:rPr>
        <w:t>,</w:t>
      </w:r>
      <w:r w:rsidRPr="00627966">
        <w:rPr>
          <w:sz w:val="22"/>
        </w:rPr>
        <w:t xml:space="preserve"> </w:t>
      </w:r>
      <w:r w:rsidRPr="00627966">
        <w:rPr>
          <w:i/>
          <w:sz w:val="22"/>
        </w:rPr>
        <w:t>Situational Analysis: Grounded Theory After the Postmodern Turn</w:t>
      </w:r>
      <w:r>
        <w:rPr>
          <w:sz w:val="22"/>
        </w:rPr>
        <w:t>.</w:t>
      </w:r>
      <w:r w:rsidRPr="00627966">
        <w:rPr>
          <w:sz w:val="22"/>
        </w:rPr>
        <w:t xml:space="preserve"> </w:t>
      </w:r>
      <w:r>
        <w:rPr>
          <w:sz w:val="22"/>
        </w:rPr>
        <w:t>(SAGE, Thousand Oaks)</w:t>
      </w:r>
    </w:p>
    <w:p w:rsidR="00E3624B" w:rsidRPr="00627966" w:rsidRDefault="00E3624B" w:rsidP="00E3624B">
      <w:pPr>
        <w:spacing w:line="240" w:lineRule="auto"/>
        <w:ind w:left="567" w:hanging="567"/>
        <w:rPr>
          <w:sz w:val="22"/>
        </w:rPr>
      </w:pPr>
      <w:bookmarkStart w:id="8" w:name="_ENREF_10"/>
      <w:bookmarkEnd w:id="7"/>
      <w:r w:rsidRPr="00287619">
        <w:rPr>
          <w:sz w:val="22"/>
        </w:rPr>
        <w:t>Cooke, B &amp; Kothari, U</w:t>
      </w:r>
      <w:r>
        <w:rPr>
          <w:sz w:val="22"/>
        </w:rPr>
        <w:t>,</w:t>
      </w:r>
      <w:r w:rsidRPr="00627966">
        <w:rPr>
          <w:sz w:val="22"/>
        </w:rPr>
        <w:t xml:space="preserve"> 2001</w:t>
      </w:r>
      <w:r>
        <w:rPr>
          <w:sz w:val="22"/>
        </w:rPr>
        <w:t>,</w:t>
      </w:r>
      <w:r w:rsidRPr="00627966">
        <w:rPr>
          <w:sz w:val="22"/>
        </w:rPr>
        <w:t xml:space="preserve"> </w:t>
      </w:r>
      <w:r w:rsidRPr="00627966">
        <w:rPr>
          <w:i/>
          <w:sz w:val="22"/>
        </w:rPr>
        <w:t>Participation: The New Tyranny?</w:t>
      </w:r>
      <w:r w:rsidRPr="00627966">
        <w:rPr>
          <w:sz w:val="22"/>
        </w:rPr>
        <w:t xml:space="preserve"> </w:t>
      </w:r>
      <w:r>
        <w:rPr>
          <w:sz w:val="22"/>
        </w:rPr>
        <w:t>(</w:t>
      </w:r>
      <w:r w:rsidRPr="00627966">
        <w:rPr>
          <w:sz w:val="22"/>
        </w:rPr>
        <w:t>Zed Books, London</w:t>
      </w:r>
      <w:bookmarkEnd w:id="8"/>
      <w:r>
        <w:rPr>
          <w:sz w:val="22"/>
        </w:rPr>
        <w:t>)</w:t>
      </w:r>
    </w:p>
    <w:p w:rsidR="00E3624B" w:rsidRPr="00627966" w:rsidRDefault="00E3624B" w:rsidP="00E3624B">
      <w:pPr>
        <w:spacing w:line="240" w:lineRule="auto"/>
        <w:ind w:left="567" w:hanging="567"/>
        <w:rPr>
          <w:sz w:val="22"/>
        </w:rPr>
      </w:pPr>
      <w:bookmarkStart w:id="9" w:name="_ENREF_11"/>
      <w:r w:rsidRPr="00287619">
        <w:rPr>
          <w:sz w:val="22"/>
        </w:rPr>
        <w:t>CST</w:t>
      </w:r>
      <w:r>
        <w:rPr>
          <w:sz w:val="22"/>
        </w:rPr>
        <w:t>,</w:t>
      </w:r>
      <w:r w:rsidRPr="00287619">
        <w:rPr>
          <w:sz w:val="22"/>
        </w:rPr>
        <w:t xml:space="preserve"> 2005</w:t>
      </w:r>
      <w:r>
        <w:rPr>
          <w:sz w:val="22"/>
        </w:rPr>
        <w:t>,</w:t>
      </w:r>
      <w:r w:rsidRPr="00627966">
        <w:rPr>
          <w:sz w:val="22"/>
        </w:rPr>
        <w:t xml:space="preserve"> </w:t>
      </w:r>
      <w:r w:rsidRPr="00627966">
        <w:rPr>
          <w:i/>
          <w:sz w:val="22"/>
        </w:rPr>
        <w:t xml:space="preserve">Policy </w:t>
      </w:r>
      <w:proofErr w:type="gramStart"/>
      <w:r w:rsidRPr="00627966">
        <w:rPr>
          <w:i/>
          <w:sz w:val="22"/>
        </w:rPr>
        <w:t>Through</w:t>
      </w:r>
      <w:proofErr w:type="gramEnd"/>
      <w:r w:rsidRPr="00627966">
        <w:rPr>
          <w:i/>
          <w:sz w:val="22"/>
        </w:rPr>
        <w:t xml:space="preserve"> Dialogue: informing policies based on science and technology</w:t>
      </w:r>
      <w:r w:rsidRPr="00627966">
        <w:rPr>
          <w:sz w:val="22"/>
        </w:rPr>
        <w:t xml:space="preserve">. Available at </w:t>
      </w:r>
      <w:r w:rsidRPr="00C0537A">
        <w:rPr>
          <w:sz w:val="22"/>
        </w:rPr>
        <w:t>http://www.bis.gov.uk/assets/bispartners/cst/docs/files/whats-new/05-2180-policy-through-dialogue-report.pdf</w:t>
      </w:r>
      <w:r w:rsidRPr="00627966">
        <w:rPr>
          <w:sz w:val="22"/>
        </w:rPr>
        <w:t xml:space="preserve">, last accessed 10 August 2011. </w:t>
      </w:r>
    </w:p>
    <w:p w:rsidR="00E3624B" w:rsidRPr="00627966" w:rsidRDefault="00E3624B" w:rsidP="00E3624B">
      <w:pPr>
        <w:spacing w:line="240" w:lineRule="auto"/>
        <w:ind w:left="567" w:hanging="567"/>
        <w:rPr>
          <w:sz w:val="22"/>
        </w:rPr>
      </w:pPr>
      <w:r w:rsidRPr="00287619">
        <w:rPr>
          <w:sz w:val="22"/>
        </w:rPr>
        <w:t>Daniels, S E &amp; Walker, G B</w:t>
      </w:r>
      <w:r>
        <w:rPr>
          <w:sz w:val="22"/>
        </w:rPr>
        <w:t>,</w:t>
      </w:r>
      <w:r w:rsidRPr="00627966">
        <w:rPr>
          <w:sz w:val="22"/>
        </w:rPr>
        <w:t xml:space="preserve"> 1996</w:t>
      </w:r>
      <w:r>
        <w:rPr>
          <w:sz w:val="22"/>
        </w:rPr>
        <w:t>,</w:t>
      </w:r>
      <w:r w:rsidRPr="00627966">
        <w:rPr>
          <w:sz w:val="22"/>
        </w:rPr>
        <w:t xml:space="preserve"> Collaborative Learning: Improving public deliberation in ecosystem-based management, </w:t>
      </w:r>
      <w:r w:rsidRPr="00627966">
        <w:rPr>
          <w:i/>
          <w:sz w:val="22"/>
        </w:rPr>
        <w:t>Environmental Impact Assessment Review</w:t>
      </w:r>
      <w:r w:rsidRPr="00627966">
        <w:rPr>
          <w:sz w:val="22"/>
        </w:rPr>
        <w:t xml:space="preserve">, </w:t>
      </w:r>
      <w:r w:rsidRPr="00C0537A">
        <w:rPr>
          <w:b/>
          <w:sz w:val="22"/>
        </w:rPr>
        <w:t>16</w:t>
      </w:r>
      <w:r>
        <w:rPr>
          <w:sz w:val="22"/>
        </w:rPr>
        <w:t>(2)</w:t>
      </w:r>
      <w:r w:rsidRPr="00627966">
        <w:rPr>
          <w:sz w:val="22"/>
        </w:rPr>
        <w:t>:</w:t>
      </w:r>
      <w:r>
        <w:rPr>
          <w:sz w:val="22"/>
        </w:rPr>
        <w:t xml:space="preserve"> </w:t>
      </w:r>
      <w:r w:rsidRPr="00627966">
        <w:rPr>
          <w:sz w:val="22"/>
        </w:rPr>
        <w:t>71-102</w:t>
      </w:r>
    </w:p>
    <w:p w:rsidR="00E3624B" w:rsidRPr="00627966" w:rsidRDefault="00E3624B" w:rsidP="00E3624B">
      <w:pPr>
        <w:spacing w:line="240" w:lineRule="auto"/>
        <w:ind w:left="567" w:hanging="567"/>
        <w:rPr>
          <w:sz w:val="22"/>
        </w:rPr>
      </w:pPr>
      <w:r w:rsidRPr="00287619">
        <w:rPr>
          <w:sz w:val="22"/>
        </w:rPr>
        <w:t>Davies, G</w:t>
      </w:r>
      <w:r>
        <w:rPr>
          <w:sz w:val="22"/>
        </w:rPr>
        <w:t>,</w:t>
      </w:r>
      <w:r w:rsidRPr="00627966">
        <w:rPr>
          <w:b/>
          <w:sz w:val="22"/>
        </w:rPr>
        <w:t xml:space="preserve"> </w:t>
      </w:r>
      <w:r w:rsidRPr="00627966">
        <w:rPr>
          <w:sz w:val="22"/>
        </w:rPr>
        <w:t>2006</w:t>
      </w:r>
      <w:r>
        <w:rPr>
          <w:sz w:val="22"/>
        </w:rPr>
        <w:t>,</w:t>
      </w:r>
      <w:r w:rsidRPr="00627966">
        <w:rPr>
          <w:sz w:val="22"/>
        </w:rPr>
        <w:t xml:space="preserve"> </w:t>
      </w:r>
      <w:proofErr w:type="gramStart"/>
      <w:r w:rsidRPr="00627966">
        <w:rPr>
          <w:sz w:val="22"/>
        </w:rPr>
        <w:t>The</w:t>
      </w:r>
      <w:proofErr w:type="gramEnd"/>
      <w:r w:rsidRPr="00627966">
        <w:rPr>
          <w:sz w:val="22"/>
        </w:rPr>
        <w:t xml:space="preserve"> sacred and the profane: biotechnology, rationality, and public debate. </w:t>
      </w:r>
      <w:r w:rsidRPr="00627966">
        <w:rPr>
          <w:i/>
          <w:sz w:val="22"/>
        </w:rPr>
        <w:t xml:space="preserve">Environment and Planning </w:t>
      </w:r>
      <w:proofErr w:type="gramStart"/>
      <w:r w:rsidRPr="00627966">
        <w:rPr>
          <w:i/>
          <w:sz w:val="22"/>
        </w:rPr>
        <w:t>A</w:t>
      </w:r>
      <w:proofErr w:type="gramEnd"/>
      <w:r w:rsidRPr="00627966">
        <w:rPr>
          <w:sz w:val="22"/>
        </w:rPr>
        <w:t xml:space="preserve"> </w:t>
      </w:r>
      <w:r w:rsidRPr="00C0537A">
        <w:rPr>
          <w:b/>
          <w:sz w:val="22"/>
        </w:rPr>
        <w:t>38</w:t>
      </w:r>
      <w:r>
        <w:rPr>
          <w:sz w:val="22"/>
        </w:rPr>
        <w:t xml:space="preserve">(3): </w:t>
      </w:r>
      <w:r w:rsidRPr="00627966">
        <w:rPr>
          <w:sz w:val="22"/>
        </w:rPr>
        <w:t>423-43.</w:t>
      </w:r>
    </w:p>
    <w:p w:rsidR="00E3624B" w:rsidRPr="00627966" w:rsidRDefault="00E3624B" w:rsidP="00E3624B">
      <w:pPr>
        <w:spacing w:line="240" w:lineRule="auto"/>
        <w:ind w:left="567" w:hanging="567"/>
        <w:rPr>
          <w:sz w:val="22"/>
        </w:rPr>
      </w:pPr>
      <w:r w:rsidRPr="00287619">
        <w:rPr>
          <w:sz w:val="22"/>
        </w:rPr>
        <w:t>DECC</w:t>
      </w:r>
      <w:r>
        <w:rPr>
          <w:sz w:val="22"/>
        </w:rPr>
        <w:t>,</w:t>
      </w:r>
      <w:r w:rsidRPr="00287619">
        <w:rPr>
          <w:sz w:val="22"/>
        </w:rPr>
        <w:t xml:space="preserve"> 2010</w:t>
      </w:r>
      <w:r>
        <w:rPr>
          <w:sz w:val="22"/>
        </w:rPr>
        <w:t>,</w:t>
      </w:r>
      <w:r w:rsidRPr="00627966">
        <w:rPr>
          <w:sz w:val="22"/>
        </w:rPr>
        <w:t xml:space="preserve"> 2050 </w:t>
      </w:r>
      <w:r w:rsidRPr="00627966">
        <w:rPr>
          <w:i/>
          <w:sz w:val="22"/>
        </w:rPr>
        <w:t>Pathways Analysis</w:t>
      </w:r>
      <w:r w:rsidRPr="00627966">
        <w:rPr>
          <w:sz w:val="22"/>
        </w:rPr>
        <w:t xml:space="preserve">. </w:t>
      </w:r>
      <w:r>
        <w:rPr>
          <w:sz w:val="22"/>
        </w:rPr>
        <w:t>(HM Government, London)</w:t>
      </w:r>
    </w:p>
    <w:p w:rsidR="00E3624B" w:rsidRPr="00627966" w:rsidRDefault="00E3624B" w:rsidP="00E3624B">
      <w:pPr>
        <w:spacing w:line="240" w:lineRule="auto"/>
        <w:ind w:left="567" w:hanging="567"/>
        <w:rPr>
          <w:sz w:val="22"/>
        </w:rPr>
      </w:pPr>
      <w:r w:rsidRPr="00287619">
        <w:rPr>
          <w:sz w:val="22"/>
        </w:rPr>
        <w:t>DEFRA</w:t>
      </w:r>
      <w:r>
        <w:rPr>
          <w:sz w:val="22"/>
        </w:rPr>
        <w:t>,</w:t>
      </w:r>
      <w:r w:rsidRPr="00287619">
        <w:rPr>
          <w:sz w:val="22"/>
        </w:rPr>
        <w:t xml:space="preserve"> 2008</w:t>
      </w:r>
      <w:r>
        <w:rPr>
          <w:sz w:val="22"/>
        </w:rPr>
        <w:t>,</w:t>
      </w:r>
      <w:r w:rsidRPr="00627966">
        <w:rPr>
          <w:sz w:val="22"/>
        </w:rPr>
        <w:t xml:space="preserve"> </w:t>
      </w:r>
      <w:proofErr w:type="gramStart"/>
      <w:r w:rsidRPr="00627966">
        <w:rPr>
          <w:i/>
          <w:sz w:val="22"/>
        </w:rPr>
        <w:t>A</w:t>
      </w:r>
      <w:proofErr w:type="gramEnd"/>
      <w:r w:rsidRPr="00627966">
        <w:rPr>
          <w:i/>
          <w:sz w:val="22"/>
        </w:rPr>
        <w:t xml:space="preserve"> framework for pro-environmental behaviours</w:t>
      </w:r>
      <w:r w:rsidRPr="00627966">
        <w:rPr>
          <w:sz w:val="22"/>
        </w:rPr>
        <w:t xml:space="preserve">. Available at </w:t>
      </w:r>
      <w:r w:rsidRPr="00BE55A0">
        <w:rPr>
          <w:sz w:val="22"/>
        </w:rPr>
        <w:t>http://www.defra.gov.uk/publications/files/pb13574-behaviours-report-080110.pdf</w:t>
      </w:r>
      <w:r w:rsidRPr="00627966">
        <w:rPr>
          <w:sz w:val="22"/>
        </w:rPr>
        <w:t xml:space="preserve">, last accessed 10 August 2011. </w:t>
      </w:r>
    </w:p>
    <w:p w:rsidR="00E3624B" w:rsidRPr="00627966" w:rsidRDefault="00E3624B" w:rsidP="00E3624B">
      <w:pPr>
        <w:spacing w:line="240" w:lineRule="auto"/>
        <w:ind w:left="567" w:hanging="567"/>
        <w:rPr>
          <w:sz w:val="22"/>
        </w:rPr>
      </w:pPr>
      <w:r w:rsidRPr="00287619">
        <w:rPr>
          <w:sz w:val="22"/>
        </w:rPr>
        <w:t>DEFRA</w:t>
      </w:r>
      <w:r>
        <w:rPr>
          <w:sz w:val="22"/>
        </w:rPr>
        <w:t>,</w:t>
      </w:r>
      <w:r w:rsidRPr="00287619">
        <w:rPr>
          <w:sz w:val="22"/>
        </w:rPr>
        <w:t xml:space="preserve"> 2006</w:t>
      </w:r>
      <w:r>
        <w:rPr>
          <w:sz w:val="22"/>
        </w:rPr>
        <w:t>,</w:t>
      </w:r>
      <w:r w:rsidRPr="00627966">
        <w:rPr>
          <w:sz w:val="22"/>
        </w:rPr>
        <w:t xml:space="preserve"> </w:t>
      </w:r>
      <w:r w:rsidRPr="00627966">
        <w:rPr>
          <w:i/>
          <w:sz w:val="22"/>
        </w:rPr>
        <w:t>Climate Change: The UK Programme 2006.</w:t>
      </w:r>
      <w:r w:rsidRPr="00627966">
        <w:rPr>
          <w:sz w:val="22"/>
        </w:rPr>
        <w:t xml:space="preserve"> </w:t>
      </w:r>
      <w:r>
        <w:rPr>
          <w:sz w:val="22"/>
        </w:rPr>
        <w:t>(HM Government, London)</w:t>
      </w:r>
    </w:p>
    <w:p w:rsidR="00E3624B" w:rsidRPr="00627966" w:rsidRDefault="00E3624B" w:rsidP="00E3624B">
      <w:pPr>
        <w:spacing w:line="240" w:lineRule="auto"/>
        <w:ind w:left="567" w:hanging="567"/>
        <w:rPr>
          <w:sz w:val="22"/>
        </w:rPr>
      </w:pPr>
      <w:r w:rsidRPr="00287619">
        <w:rPr>
          <w:sz w:val="22"/>
        </w:rPr>
        <w:t>DETR</w:t>
      </w:r>
      <w:r>
        <w:rPr>
          <w:sz w:val="22"/>
        </w:rPr>
        <w:t>,</w:t>
      </w:r>
      <w:r w:rsidRPr="00287619">
        <w:rPr>
          <w:sz w:val="22"/>
        </w:rPr>
        <w:t xml:space="preserve"> 2000</w:t>
      </w:r>
      <w:r>
        <w:rPr>
          <w:sz w:val="22"/>
        </w:rPr>
        <w:t>,</w:t>
      </w:r>
      <w:r w:rsidRPr="00627966">
        <w:rPr>
          <w:sz w:val="22"/>
        </w:rPr>
        <w:t xml:space="preserve"> </w:t>
      </w:r>
      <w:r w:rsidRPr="00627966">
        <w:rPr>
          <w:i/>
          <w:sz w:val="22"/>
        </w:rPr>
        <w:t>Climate Change: The UK Programme</w:t>
      </w:r>
      <w:r w:rsidRPr="00627966">
        <w:rPr>
          <w:sz w:val="22"/>
        </w:rPr>
        <w:t xml:space="preserve">. </w:t>
      </w:r>
      <w:r>
        <w:rPr>
          <w:sz w:val="22"/>
        </w:rPr>
        <w:t>(</w:t>
      </w:r>
      <w:r w:rsidRPr="00627966">
        <w:rPr>
          <w:sz w:val="22"/>
        </w:rPr>
        <w:t>HM Government, L</w:t>
      </w:r>
      <w:r>
        <w:rPr>
          <w:sz w:val="22"/>
        </w:rPr>
        <w:t>ondon)</w:t>
      </w:r>
    </w:p>
    <w:p w:rsidR="00E3624B" w:rsidRPr="00627966" w:rsidRDefault="00E3624B" w:rsidP="00E3624B">
      <w:pPr>
        <w:spacing w:line="240" w:lineRule="auto"/>
        <w:ind w:left="567" w:hanging="567"/>
        <w:rPr>
          <w:sz w:val="22"/>
        </w:rPr>
      </w:pPr>
      <w:bookmarkStart w:id="10" w:name="_ENREF_12"/>
      <w:bookmarkEnd w:id="9"/>
      <w:proofErr w:type="gramStart"/>
      <w:r w:rsidRPr="00287619">
        <w:rPr>
          <w:sz w:val="22"/>
        </w:rPr>
        <w:t>Douglas, M</w:t>
      </w:r>
      <w:r>
        <w:rPr>
          <w:sz w:val="22"/>
        </w:rPr>
        <w:t>,</w:t>
      </w:r>
      <w:r w:rsidRPr="00627966">
        <w:rPr>
          <w:sz w:val="22"/>
        </w:rPr>
        <w:t xml:space="preserve"> 1986</w:t>
      </w:r>
      <w:r>
        <w:rPr>
          <w:sz w:val="22"/>
        </w:rPr>
        <w:t>,</w:t>
      </w:r>
      <w:r w:rsidRPr="00627966">
        <w:rPr>
          <w:sz w:val="22"/>
        </w:rPr>
        <w:t xml:space="preserve"> </w:t>
      </w:r>
      <w:r w:rsidRPr="00627966">
        <w:rPr>
          <w:i/>
          <w:sz w:val="22"/>
        </w:rPr>
        <w:t>How Institutions Think</w:t>
      </w:r>
      <w:r>
        <w:rPr>
          <w:i/>
          <w:sz w:val="22"/>
        </w:rPr>
        <w:t>.</w:t>
      </w:r>
      <w:proofErr w:type="gramEnd"/>
      <w:r w:rsidRPr="00627966">
        <w:rPr>
          <w:sz w:val="22"/>
        </w:rPr>
        <w:t xml:space="preserve"> </w:t>
      </w:r>
      <w:r>
        <w:rPr>
          <w:sz w:val="22"/>
        </w:rPr>
        <w:t>(</w:t>
      </w:r>
      <w:r w:rsidRPr="00627966">
        <w:rPr>
          <w:sz w:val="22"/>
        </w:rPr>
        <w:t>Syra</w:t>
      </w:r>
      <w:r>
        <w:rPr>
          <w:sz w:val="22"/>
        </w:rPr>
        <w:t>cuse University Press, Syracuse)</w:t>
      </w:r>
    </w:p>
    <w:p w:rsidR="00E3624B" w:rsidRPr="00627966" w:rsidRDefault="00E3624B" w:rsidP="00E3624B">
      <w:pPr>
        <w:spacing w:line="240" w:lineRule="auto"/>
        <w:ind w:left="567" w:hanging="567"/>
        <w:rPr>
          <w:sz w:val="22"/>
        </w:rPr>
      </w:pPr>
      <w:proofErr w:type="gramStart"/>
      <w:r w:rsidRPr="00287619">
        <w:rPr>
          <w:sz w:val="22"/>
        </w:rPr>
        <w:t>DTI</w:t>
      </w:r>
      <w:r>
        <w:rPr>
          <w:sz w:val="22"/>
        </w:rPr>
        <w:t>,</w:t>
      </w:r>
      <w:r w:rsidRPr="00287619">
        <w:rPr>
          <w:sz w:val="22"/>
        </w:rPr>
        <w:t xml:space="preserve"> </w:t>
      </w:r>
      <w:r w:rsidRPr="00627966">
        <w:rPr>
          <w:sz w:val="22"/>
        </w:rPr>
        <w:t>2004</w:t>
      </w:r>
      <w:r>
        <w:rPr>
          <w:sz w:val="22"/>
        </w:rPr>
        <w:t>,</w:t>
      </w:r>
      <w:r w:rsidRPr="00627966">
        <w:rPr>
          <w:sz w:val="22"/>
        </w:rPr>
        <w:t xml:space="preserve"> </w:t>
      </w:r>
      <w:r w:rsidRPr="00627966">
        <w:rPr>
          <w:i/>
          <w:sz w:val="22"/>
        </w:rPr>
        <w:t>Science &amp; Innovation and Investment Framework 2004-2014</w:t>
      </w:r>
      <w:r w:rsidRPr="00627966">
        <w:rPr>
          <w:sz w:val="22"/>
        </w:rPr>
        <w:t>.</w:t>
      </w:r>
      <w:proofErr w:type="gramEnd"/>
      <w:r w:rsidRPr="00627966">
        <w:rPr>
          <w:sz w:val="22"/>
        </w:rPr>
        <w:t xml:space="preserve"> </w:t>
      </w:r>
      <w:r>
        <w:rPr>
          <w:sz w:val="22"/>
        </w:rPr>
        <w:t>(HM Treasury, London)</w:t>
      </w:r>
    </w:p>
    <w:p w:rsidR="00E3624B" w:rsidRPr="00287619" w:rsidRDefault="00E3624B" w:rsidP="00E3624B">
      <w:pPr>
        <w:spacing w:line="240" w:lineRule="auto"/>
        <w:ind w:left="567" w:hanging="567"/>
        <w:rPr>
          <w:sz w:val="22"/>
        </w:rPr>
      </w:pPr>
      <w:r w:rsidRPr="00627966">
        <w:rPr>
          <w:sz w:val="22"/>
        </w:rPr>
        <w:t xml:space="preserve">Felt, U &amp; </w:t>
      </w:r>
      <w:proofErr w:type="spellStart"/>
      <w:r w:rsidRPr="00627966">
        <w:rPr>
          <w:sz w:val="22"/>
        </w:rPr>
        <w:t>Fochler</w:t>
      </w:r>
      <w:proofErr w:type="spellEnd"/>
      <w:r w:rsidRPr="00627966">
        <w:rPr>
          <w:sz w:val="22"/>
        </w:rPr>
        <w:t>, M</w:t>
      </w:r>
      <w:r>
        <w:rPr>
          <w:sz w:val="22"/>
        </w:rPr>
        <w:t>,</w:t>
      </w:r>
      <w:r w:rsidRPr="00627966">
        <w:rPr>
          <w:sz w:val="22"/>
        </w:rPr>
        <w:t xml:space="preserve"> 2010</w:t>
      </w:r>
      <w:r>
        <w:rPr>
          <w:sz w:val="22"/>
        </w:rPr>
        <w:t>, Machineries for Making Publics:</w:t>
      </w:r>
      <w:r w:rsidRPr="00627966">
        <w:rPr>
          <w:sz w:val="22"/>
        </w:rPr>
        <w:t xml:space="preserve"> Inscribing and De-scribing Publics in Public Engagement.</w:t>
      </w:r>
      <w:r>
        <w:rPr>
          <w:sz w:val="22"/>
        </w:rPr>
        <w:t xml:space="preserve"> </w:t>
      </w:r>
      <w:r>
        <w:rPr>
          <w:i/>
          <w:sz w:val="22"/>
        </w:rPr>
        <w:t xml:space="preserve">Minerva, </w:t>
      </w:r>
      <w:r w:rsidRPr="00C0537A">
        <w:rPr>
          <w:b/>
          <w:sz w:val="22"/>
        </w:rPr>
        <w:t>48</w:t>
      </w:r>
      <w:r>
        <w:rPr>
          <w:sz w:val="22"/>
        </w:rPr>
        <w:t>(3): 219-238</w:t>
      </w:r>
    </w:p>
    <w:p w:rsidR="00E3624B" w:rsidRPr="00627966" w:rsidRDefault="00E3624B" w:rsidP="00E3624B">
      <w:pPr>
        <w:spacing w:line="240" w:lineRule="auto"/>
        <w:ind w:left="567" w:hanging="567"/>
        <w:rPr>
          <w:sz w:val="22"/>
        </w:rPr>
      </w:pPr>
      <w:r w:rsidRPr="00627966">
        <w:rPr>
          <w:sz w:val="22"/>
        </w:rPr>
        <w:t>Felt, U &amp; Wynne, B, 2007</w:t>
      </w:r>
      <w:r>
        <w:rPr>
          <w:sz w:val="22"/>
        </w:rPr>
        <w:t>,</w:t>
      </w:r>
      <w:r w:rsidRPr="00627966">
        <w:rPr>
          <w:sz w:val="22"/>
        </w:rPr>
        <w:t xml:space="preserve"> </w:t>
      </w:r>
      <w:r w:rsidRPr="00627966">
        <w:rPr>
          <w:i/>
          <w:sz w:val="22"/>
        </w:rPr>
        <w:t>Taking the European Knowledge Society Seriously: Report of the Expert Group on Science and Governance to the Science, Economy and Society Directorate, Directorate-General for Research, European Commission</w:t>
      </w:r>
      <w:r w:rsidRPr="00627966">
        <w:rPr>
          <w:sz w:val="22"/>
        </w:rPr>
        <w:t xml:space="preserve">. </w:t>
      </w:r>
      <w:r>
        <w:rPr>
          <w:sz w:val="22"/>
        </w:rPr>
        <w:t>(</w:t>
      </w:r>
      <w:r w:rsidRPr="00627966">
        <w:rPr>
          <w:sz w:val="22"/>
        </w:rPr>
        <w:t>Office for Official Publications of the European Communities, Belgium</w:t>
      </w:r>
      <w:bookmarkEnd w:id="10"/>
      <w:r>
        <w:rPr>
          <w:sz w:val="22"/>
        </w:rPr>
        <w:t>)</w:t>
      </w:r>
    </w:p>
    <w:p w:rsidR="00E3624B" w:rsidRPr="00627966" w:rsidRDefault="00E3624B" w:rsidP="00E3624B">
      <w:pPr>
        <w:spacing w:line="240" w:lineRule="auto"/>
        <w:ind w:left="567" w:hanging="567"/>
        <w:rPr>
          <w:sz w:val="22"/>
        </w:rPr>
      </w:pPr>
      <w:bookmarkStart w:id="11" w:name="_ENREF_15"/>
      <w:proofErr w:type="spellStart"/>
      <w:r w:rsidRPr="00627966">
        <w:rPr>
          <w:sz w:val="22"/>
        </w:rPr>
        <w:t>Habermas</w:t>
      </w:r>
      <w:proofErr w:type="spellEnd"/>
      <w:r w:rsidRPr="00627966">
        <w:rPr>
          <w:sz w:val="22"/>
        </w:rPr>
        <w:t>, J</w:t>
      </w:r>
      <w:r>
        <w:rPr>
          <w:sz w:val="22"/>
        </w:rPr>
        <w:t>,</w:t>
      </w:r>
      <w:r w:rsidRPr="00627966">
        <w:rPr>
          <w:sz w:val="22"/>
        </w:rPr>
        <w:t xml:space="preserve"> 198</w:t>
      </w:r>
      <w:r>
        <w:rPr>
          <w:sz w:val="22"/>
        </w:rPr>
        <w:t>4,</w:t>
      </w:r>
      <w:r w:rsidRPr="00627966">
        <w:rPr>
          <w:sz w:val="22"/>
        </w:rPr>
        <w:t xml:space="preserve"> </w:t>
      </w:r>
      <w:proofErr w:type="gramStart"/>
      <w:r w:rsidRPr="00627966">
        <w:rPr>
          <w:i/>
          <w:sz w:val="22"/>
        </w:rPr>
        <w:t>The</w:t>
      </w:r>
      <w:proofErr w:type="gramEnd"/>
      <w:r w:rsidRPr="00627966">
        <w:rPr>
          <w:i/>
          <w:sz w:val="22"/>
        </w:rPr>
        <w:t xml:space="preserve"> Theory of Communicative Action. </w:t>
      </w:r>
      <w:proofErr w:type="spellStart"/>
      <w:r w:rsidRPr="00627966">
        <w:rPr>
          <w:i/>
          <w:sz w:val="22"/>
        </w:rPr>
        <w:t>Vol</w:t>
      </w:r>
      <w:proofErr w:type="spellEnd"/>
      <w:r w:rsidRPr="00627966">
        <w:rPr>
          <w:i/>
          <w:sz w:val="22"/>
        </w:rPr>
        <w:t xml:space="preserve"> 1: Reason and the Realization of Society</w:t>
      </w:r>
      <w:r w:rsidRPr="00627966">
        <w:rPr>
          <w:sz w:val="22"/>
        </w:rPr>
        <w:t xml:space="preserve">. </w:t>
      </w:r>
      <w:r>
        <w:rPr>
          <w:sz w:val="22"/>
        </w:rPr>
        <w:t>(Beacon Press, Boston)</w:t>
      </w:r>
    </w:p>
    <w:p w:rsidR="00E3624B" w:rsidRPr="00627966" w:rsidRDefault="00E3624B" w:rsidP="00E3624B">
      <w:pPr>
        <w:spacing w:line="240" w:lineRule="auto"/>
        <w:ind w:left="567" w:hanging="567"/>
        <w:rPr>
          <w:sz w:val="22"/>
        </w:rPr>
      </w:pPr>
      <w:r w:rsidRPr="00627966">
        <w:rPr>
          <w:sz w:val="22"/>
        </w:rPr>
        <w:t>House of Lords Select Committee on Science and Technology</w:t>
      </w:r>
      <w:r>
        <w:rPr>
          <w:sz w:val="22"/>
        </w:rPr>
        <w:t>,</w:t>
      </w:r>
      <w:r w:rsidRPr="00627966">
        <w:rPr>
          <w:sz w:val="22"/>
        </w:rPr>
        <w:t xml:space="preserve"> 2000</w:t>
      </w:r>
      <w:r>
        <w:rPr>
          <w:sz w:val="22"/>
        </w:rPr>
        <w:t>,</w:t>
      </w:r>
      <w:r w:rsidRPr="00627966">
        <w:rPr>
          <w:sz w:val="22"/>
        </w:rPr>
        <w:t xml:space="preserve"> </w:t>
      </w:r>
      <w:r w:rsidRPr="00627966">
        <w:rPr>
          <w:i/>
          <w:sz w:val="22"/>
        </w:rPr>
        <w:t>Science and Society</w:t>
      </w:r>
      <w:r>
        <w:rPr>
          <w:sz w:val="22"/>
        </w:rPr>
        <w:t>.</w:t>
      </w:r>
      <w:r w:rsidRPr="00627966">
        <w:rPr>
          <w:sz w:val="22"/>
        </w:rPr>
        <w:t xml:space="preserve"> </w:t>
      </w:r>
      <w:r>
        <w:rPr>
          <w:sz w:val="22"/>
        </w:rPr>
        <w:t>(The Stationery Office, London)</w:t>
      </w:r>
    </w:p>
    <w:p w:rsidR="00E3624B" w:rsidRPr="00627966" w:rsidRDefault="00E3624B" w:rsidP="00E3624B">
      <w:pPr>
        <w:spacing w:line="240" w:lineRule="auto"/>
        <w:ind w:left="567" w:hanging="567"/>
        <w:rPr>
          <w:sz w:val="22"/>
        </w:rPr>
      </w:pPr>
      <w:r w:rsidRPr="00627966">
        <w:rPr>
          <w:sz w:val="22"/>
        </w:rPr>
        <w:t>HM Government</w:t>
      </w:r>
      <w:r>
        <w:rPr>
          <w:sz w:val="22"/>
        </w:rPr>
        <w:t>,</w:t>
      </w:r>
      <w:r w:rsidRPr="00627966">
        <w:rPr>
          <w:sz w:val="22"/>
        </w:rPr>
        <w:t xml:space="preserve"> 2008</w:t>
      </w:r>
      <w:r>
        <w:rPr>
          <w:sz w:val="22"/>
        </w:rPr>
        <w:t>,</w:t>
      </w:r>
      <w:r w:rsidRPr="00627966">
        <w:rPr>
          <w:sz w:val="22"/>
        </w:rPr>
        <w:t xml:space="preserve"> </w:t>
      </w:r>
      <w:proofErr w:type="gramStart"/>
      <w:r w:rsidRPr="00627966">
        <w:rPr>
          <w:i/>
          <w:sz w:val="22"/>
        </w:rPr>
        <w:t>The</w:t>
      </w:r>
      <w:proofErr w:type="gramEnd"/>
      <w:r w:rsidRPr="00627966">
        <w:rPr>
          <w:i/>
          <w:sz w:val="22"/>
        </w:rPr>
        <w:t xml:space="preserve"> UK Low Carbon Transition Plan</w:t>
      </w:r>
      <w:r w:rsidRPr="00627966">
        <w:rPr>
          <w:sz w:val="22"/>
        </w:rPr>
        <w:t xml:space="preserve">. </w:t>
      </w:r>
      <w:r>
        <w:rPr>
          <w:sz w:val="22"/>
        </w:rPr>
        <w:t>(The Stationary Office, London)</w:t>
      </w:r>
    </w:p>
    <w:p w:rsidR="00E3624B" w:rsidRPr="00627966" w:rsidRDefault="00E3624B" w:rsidP="00E3624B">
      <w:pPr>
        <w:spacing w:line="240" w:lineRule="auto"/>
        <w:ind w:left="567" w:hanging="567"/>
        <w:rPr>
          <w:sz w:val="22"/>
        </w:rPr>
      </w:pPr>
      <w:r w:rsidRPr="00627966">
        <w:rPr>
          <w:sz w:val="22"/>
        </w:rPr>
        <w:t>Irwin, A</w:t>
      </w:r>
      <w:r>
        <w:rPr>
          <w:sz w:val="22"/>
        </w:rPr>
        <w:t>,</w:t>
      </w:r>
      <w:r w:rsidRPr="00627966">
        <w:rPr>
          <w:b/>
          <w:sz w:val="22"/>
        </w:rPr>
        <w:t xml:space="preserve"> </w:t>
      </w:r>
      <w:r w:rsidRPr="00627966">
        <w:rPr>
          <w:sz w:val="22"/>
        </w:rPr>
        <w:t>2006</w:t>
      </w:r>
      <w:r>
        <w:rPr>
          <w:sz w:val="22"/>
        </w:rPr>
        <w:t>,</w:t>
      </w:r>
      <w:r w:rsidRPr="00627966">
        <w:rPr>
          <w:sz w:val="22"/>
        </w:rPr>
        <w:t xml:space="preserve"> </w:t>
      </w:r>
      <w:proofErr w:type="gramStart"/>
      <w:r w:rsidRPr="00627966">
        <w:rPr>
          <w:sz w:val="22"/>
        </w:rPr>
        <w:t>The</w:t>
      </w:r>
      <w:proofErr w:type="gramEnd"/>
      <w:r w:rsidRPr="00627966">
        <w:rPr>
          <w:sz w:val="22"/>
        </w:rPr>
        <w:t xml:space="preserve"> politics of talk: Coming to terms with the 'new' scientific governance. </w:t>
      </w:r>
      <w:r w:rsidRPr="00627966">
        <w:rPr>
          <w:i/>
          <w:sz w:val="22"/>
        </w:rPr>
        <w:t>Social Studies of Science</w:t>
      </w:r>
      <w:r w:rsidRPr="00627966">
        <w:rPr>
          <w:sz w:val="22"/>
        </w:rPr>
        <w:t xml:space="preserve"> </w:t>
      </w:r>
      <w:r w:rsidRPr="00C0537A">
        <w:rPr>
          <w:b/>
          <w:sz w:val="22"/>
        </w:rPr>
        <w:t>36</w:t>
      </w:r>
      <w:r w:rsidRPr="00C0537A">
        <w:rPr>
          <w:sz w:val="22"/>
        </w:rPr>
        <w:t>(</w:t>
      </w:r>
      <w:r w:rsidRPr="00627966">
        <w:rPr>
          <w:sz w:val="22"/>
        </w:rPr>
        <w:t>2): 299-320.</w:t>
      </w:r>
      <w:bookmarkEnd w:id="11"/>
    </w:p>
    <w:p w:rsidR="00E3624B" w:rsidRPr="00627966" w:rsidRDefault="00E3624B" w:rsidP="00E3624B">
      <w:pPr>
        <w:spacing w:line="240" w:lineRule="auto"/>
        <w:ind w:left="567" w:hanging="567"/>
        <w:rPr>
          <w:sz w:val="22"/>
        </w:rPr>
      </w:pPr>
      <w:r w:rsidRPr="00627966">
        <w:rPr>
          <w:sz w:val="22"/>
        </w:rPr>
        <w:t xml:space="preserve">Irwin, </w:t>
      </w:r>
      <w:proofErr w:type="gramStart"/>
      <w:r w:rsidRPr="00627966">
        <w:rPr>
          <w:sz w:val="22"/>
        </w:rPr>
        <w:t>A</w:t>
      </w:r>
      <w:proofErr w:type="gramEnd"/>
      <w:r>
        <w:rPr>
          <w:sz w:val="22"/>
        </w:rPr>
        <w:t>,</w:t>
      </w:r>
      <w:r w:rsidRPr="00627966">
        <w:rPr>
          <w:sz w:val="22"/>
        </w:rPr>
        <w:t xml:space="preserve"> 2001</w:t>
      </w:r>
      <w:r>
        <w:rPr>
          <w:sz w:val="22"/>
        </w:rPr>
        <w:t>,</w:t>
      </w:r>
      <w:r w:rsidRPr="00627966">
        <w:rPr>
          <w:sz w:val="22"/>
        </w:rPr>
        <w:t xml:space="preserve"> Constructing the scientific citizen: science and democracy in the biosciences. </w:t>
      </w:r>
      <w:r w:rsidRPr="00627966">
        <w:rPr>
          <w:i/>
          <w:sz w:val="22"/>
        </w:rPr>
        <w:t>Public Understanding of Science</w:t>
      </w:r>
      <w:r w:rsidRPr="00627966">
        <w:rPr>
          <w:sz w:val="22"/>
        </w:rPr>
        <w:t xml:space="preserve"> </w:t>
      </w:r>
      <w:r w:rsidRPr="00C0537A">
        <w:rPr>
          <w:b/>
          <w:sz w:val="22"/>
        </w:rPr>
        <w:t>10</w:t>
      </w:r>
      <w:r w:rsidRPr="00627966">
        <w:rPr>
          <w:sz w:val="22"/>
        </w:rPr>
        <w:t>(1): 1-18.</w:t>
      </w:r>
    </w:p>
    <w:p w:rsidR="00E3624B" w:rsidRPr="00627966" w:rsidRDefault="00E3624B" w:rsidP="00E3624B">
      <w:pPr>
        <w:spacing w:line="240" w:lineRule="auto"/>
        <w:ind w:left="567" w:hanging="567"/>
        <w:rPr>
          <w:sz w:val="22"/>
        </w:rPr>
      </w:pPr>
      <w:bookmarkStart w:id="12" w:name="_ENREF_16"/>
      <w:proofErr w:type="spellStart"/>
      <w:proofErr w:type="gramStart"/>
      <w:r w:rsidRPr="00627966">
        <w:rPr>
          <w:sz w:val="22"/>
        </w:rPr>
        <w:t>Jasanoff</w:t>
      </w:r>
      <w:proofErr w:type="spellEnd"/>
      <w:r w:rsidRPr="00627966">
        <w:rPr>
          <w:sz w:val="22"/>
        </w:rPr>
        <w:t>, S</w:t>
      </w:r>
      <w:r>
        <w:rPr>
          <w:sz w:val="22"/>
        </w:rPr>
        <w:t>,</w:t>
      </w:r>
      <w:r w:rsidRPr="00627966">
        <w:rPr>
          <w:sz w:val="22"/>
        </w:rPr>
        <w:t xml:space="preserve"> 2010</w:t>
      </w:r>
      <w:r>
        <w:rPr>
          <w:sz w:val="22"/>
        </w:rPr>
        <w:t>,</w:t>
      </w:r>
      <w:r w:rsidRPr="00627966">
        <w:rPr>
          <w:sz w:val="22"/>
        </w:rPr>
        <w:t xml:space="preserve"> A New Climate for Society.</w:t>
      </w:r>
      <w:proofErr w:type="gramEnd"/>
      <w:r w:rsidRPr="00627966">
        <w:rPr>
          <w:sz w:val="22"/>
        </w:rPr>
        <w:t xml:space="preserve"> </w:t>
      </w:r>
      <w:r w:rsidRPr="00627966">
        <w:rPr>
          <w:i/>
          <w:sz w:val="22"/>
        </w:rPr>
        <w:t>Theory Culture &amp; Society</w:t>
      </w:r>
      <w:r w:rsidRPr="00627966">
        <w:rPr>
          <w:sz w:val="22"/>
        </w:rPr>
        <w:t xml:space="preserve"> </w:t>
      </w:r>
      <w:r>
        <w:rPr>
          <w:b/>
          <w:sz w:val="22"/>
        </w:rPr>
        <w:t>27</w:t>
      </w:r>
      <w:r>
        <w:rPr>
          <w:sz w:val="22"/>
        </w:rPr>
        <w:t>(2/3):</w:t>
      </w:r>
      <w:r w:rsidRPr="00627966">
        <w:rPr>
          <w:sz w:val="22"/>
        </w:rPr>
        <w:t xml:space="preserve"> 233-53.</w:t>
      </w:r>
    </w:p>
    <w:p w:rsidR="00E3624B" w:rsidRPr="00627966" w:rsidRDefault="00E3624B" w:rsidP="00E3624B">
      <w:pPr>
        <w:spacing w:line="240" w:lineRule="auto"/>
        <w:ind w:left="567" w:hanging="567"/>
        <w:rPr>
          <w:sz w:val="22"/>
        </w:rPr>
      </w:pPr>
      <w:bookmarkStart w:id="13" w:name="_ENREF_17"/>
      <w:bookmarkEnd w:id="12"/>
      <w:proofErr w:type="spellStart"/>
      <w:r w:rsidRPr="00627966">
        <w:rPr>
          <w:sz w:val="22"/>
        </w:rPr>
        <w:t>Jasanoff</w:t>
      </w:r>
      <w:proofErr w:type="spellEnd"/>
      <w:r w:rsidRPr="00627966">
        <w:rPr>
          <w:sz w:val="22"/>
        </w:rPr>
        <w:t>, S</w:t>
      </w:r>
      <w:r>
        <w:rPr>
          <w:sz w:val="22"/>
        </w:rPr>
        <w:t>,</w:t>
      </w:r>
      <w:r w:rsidRPr="00627966">
        <w:rPr>
          <w:sz w:val="22"/>
        </w:rPr>
        <w:t xml:space="preserve"> 2005</w:t>
      </w:r>
      <w:r>
        <w:rPr>
          <w:sz w:val="22"/>
        </w:rPr>
        <w:t>,</w:t>
      </w:r>
      <w:r w:rsidRPr="00627966">
        <w:rPr>
          <w:sz w:val="22"/>
        </w:rPr>
        <w:t xml:space="preserve"> </w:t>
      </w:r>
      <w:r w:rsidRPr="00627966">
        <w:rPr>
          <w:i/>
          <w:sz w:val="22"/>
        </w:rPr>
        <w:t>Designs on Nature: Science and Democracy in Europe and the United States</w:t>
      </w:r>
      <w:r>
        <w:rPr>
          <w:sz w:val="22"/>
        </w:rPr>
        <w:t>. (</w:t>
      </w:r>
      <w:r w:rsidRPr="00627966">
        <w:rPr>
          <w:sz w:val="22"/>
        </w:rPr>
        <w:t>Pri</w:t>
      </w:r>
      <w:r>
        <w:rPr>
          <w:sz w:val="22"/>
        </w:rPr>
        <w:t>nceton University Press, Oxford)</w:t>
      </w:r>
    </w:p>
    <w:p w:rsidR="00E3624B" w:rsidRPr="00627966" w:rsidRDefault="00E3624B" w:rsidP="00E3624B">
      <w:pPr>
        <w:spacing w:line="240" w:lineRule="auto"/>
        <w:ind w:left="567" w:hanging="567"/>
        <w:rPr>
          <w:sz w:val="22"/>
        </w:rPr>
      </w:pPr>
      <w:proofErr w:type="spellStart"/>
      <w:r w:rsidRPr="00627966">
        <w:rPr>
          <w:sz w:val="22"/>
        </w:rPr>
        <w:lastRenderedPageBreak/>
        <w:t>Jasanoff</w:t>
      </w:r>
      <w:proofErr w:type="spellEnd"/>
      <w:r w:rsidRPr="00627966">
        <w:rPr>
          <w:sz w:val="22"/>
        </w:rPr>
        <w:t>, S</w:t>
      </w:r>
      <w:r>
        <w:rPr>
          <w:sz w:val="22"/>
        </w:rPr>
        <w:t>,</w:t>
      </w:r>
      <w:r w:rsidRPr="00627966">
        <w:rPr>
          <w:b/>
          <w:sz w:val="22"/>
        </w:rPr>
        <w:t xml:space="preserve"> </w:t>
      </w:r>
      <w:r w:rsidRPr="00627966">
        <w:rPr>
          <w:sz w:val="22"/>
        </w:rPr>
        <w:t>2004</w:t>
      </w:r>
      <w:r>
        <w:rPr>
          <w:sz w:val="22"/>
        </w:rPr>
        <w:t>,</w:t>
      </w:r>
      <w:r w:rsidRPr="00627966">
        <w:rPr>
          <w:sz w:val="22"/>
        </w:rPr>
        <w:t xml:space="preserve"> </w:t>
      </w:r>
      <w:r w:rsidRPr="00627966">
        <w:rPr>
          <w:i/>
          <w:sz w:val="22"/>
        </w:rPr>
        <w:t xml:space="preserve">States of knowledge: the Co-Production of Science and the Social Order. </w:t>
      </w:r>
      <w:r>
        <w:rPr>
          <w:sz w:val="22"/>
        </w:rPr>
        <w:t>(</w:t>
      </w:r>
      <w:proofErr w:type="spellStart"/>
      <w:r w:rsidRPr="00627966">
        <w:rPr>
          <w:sz w:val="22"/>
        </w:rPr>
        <w:t>Routledge</w:t>
      </w:r>
      <w:proofErr w:type="spellEnd"/>
      <w:r w:rsidRPr="00627966">
        <w:rPr>
          <w:sz w:val="22"/>
        </w:rPr>
        <w:t>, London</w:t>
      </w:r>
      <w:r>
        <w:rPr>
          <w:sz w:val="22"/>
        </w:rPr>
        <w:t>)</w:t>
      </w:r>
    </w:p>
    <w:p w:rsidR="00E3624B" w:rsidRPr="00627966" w:rsidRDefault="00E3624B" w:rsidP="00E3624B">
      <w:pPr>
        <w:spacing w:line="240" w:lineRule="auto"/>
        <w:ind w:left="567" w:hanging="567"/>
        <w:rPr>
          <w:sz w:val="22"/>
        </w:rPr>
      </w:pPr>
      <w:proofErr w:type="spellStart"/>
      <w:proofErr w:type="gramStart"/>
      <w:r w:rsidRPr="00627966">
        <w:rPr>
          <w:sz w:val="22"/>
        </w:rPr>
        <w:t>Jasanoff</w:t>
      </w:r>
      <w:proofErr w:type="spellEnd"/>
      <w:r w:rsidRPr="00627966">
        <w:rPr>
          <w:sz w:val="22"/>
        </w:rPr>
        <w:t>, S &amp; Wynne, B</w:t>
      </w:r>
      <w:r>
        <w:rPr>
          <w:sz w:val="22"/>
        </w:rPr>
        <w:t>,</w:t>
      </w:r>
      <w:r w:rsidRPr="00627966">
        <w:rPr>
          <w:sz w:val="22"/>
        </w:rPr>
        <w:t xml:space="preserve"> 1998</w:t>
      </w:r>
      <w:r>
        <w:rPr>
          <w:sz w:val="22"/>
        </w:rPr>
        <w:t>,</w:t>
      </w:r>
      <w:r w:rsidRPr="00627966">
        <w:rPr>
          <w:sz w:val="22"/>
        </w:rPr>
        <w:t xml:space="preserve"> ‘Scientific Knowledge and Decision Making', in </w:t>
      </w:r>
      <w:proofErr w:type="spellStart"/>
      <w:r w:rsidRPr="00627966">
        <w:rPr>
          <w:sz w:val="22"/>
        </w:rPr>
        <w:t>Rayner</w:t>
      </w:r>
      <w:proofErr w:type="spellEnd"/>
      <w:r w:rsidRPr="00627966">
        <w:rPr>
          <w:sz w:val="22"/>
        </w:rPr>
        <w:t>, S and Malone, E (</w:t>
      </w:r>
      <w:proofErr w:type="spellStart"/>
      <w:r w:rsidRPr="00627966">
        <w:rPr>
          <w:sz w:val="22"/>
        </w:rPr>
        <w:t>eds</w:t>
      </w:r>
      <w:proofErr w:type="spellEnd"/>
      <w:r w:rsidRPr="00627966">
        <w:rPr>
          <w:sz w:val="22"/>
        </w:rPr>
        <w:t>) </w:t>
      </w:r>
      <w:r w:rsidRPr="00627966">
        <w:rPr>
          <w:i/>
          <w:sz w:val="22"/>
        </w:rPr>
        <w:t>Human Choice &amp; Climate Change,</w:t>
      </w:r>
      <w:r w:rsidRPr="00627966">
        <w:rPr>
          <w:sz w:val="22"/>
        </w:rPr>
        <w:t xml:space="preserve"> 4 </w:t>
      </w:r>
      <w:proofErr w:type="spellStart"/>
      <w:r w:rsidRPr="00627966">
        <w:rPr>
          <w:sz w:val="22"/>
        </w:rPr>
        <w:t>vols</w:t>
      </w:r>
      <w:proofErr w:type="spellEnd"/>
      <w:r w:rsidRPr="00627966">
        <w:rPr>
          <w:sz w:val="22"/>
        </w:rPr>
        <w:t>, pp. 1-112.</w:t>
      </w:r>
      <w:proofErr w:type="gramEnd"/>
      <w:r w:rsidRPr="00627966">
        <w:rPr>
          <w:sz w:val="22"/>
        </w:rPr>
        <w:t xml:space="preserve"> </w:t>
      </w:r>
      <w:r>
        <w:rPr>
          <w:sz w:val="22"/>
        </w:rPr>
        <w:t>(Battelle Press, Columbus OH)</w:t>
      </w:r>
    </w:p>
    <w:p w:rsidR="00E3624B" w:rsidRPr="00627966" w:rsidRDefault="00E3624B" w:rsidP="00E3624B">
      <w:pPr>
        <w:spacing w:line="240" w:lineRule="auto"/>
        <w:ind w:left="567" w:hanging="567"/>
        <w:rPr>
          <w:sz w:val="22"/>
        </w:rPr>
      </w:pPr>
      <w:proofErr w:type="spellStart"/>
      <w:r w:rsidRPr="00627966">
        <w:rPr>
          <w:sz w:val="22"/>
        </w:rPr>
        <w:t>Kesby</w:t>
      </w:r>
      <w:proofErr w:type="spellEnd"/>
      <w:r w:rsidRPr="00627966">
        <w:rPr>
          <w:sz w:val="22"/>
        </w:rPr>
        <w:t>, M</w:t>
      </w:r>
      <w:r>
        <w:rPr>
          <w:sz w:val="22"/>
        </w:rPr>
        <w:t>,</w:t>
      </w:r>
      <w:r w:rsidRPr="00627966">
        <w:rPr>
          <w:b/>
          <w:sz w:val="22"/>
        </w:rPr>
        <w:t xml:space="preserve"> </w:t>
      </w:r>
      <w:r w:rsidRPr="00627966">
        <w:rPr>
          <w:sz w:val="22"/>
        </w:rPr>
        <w:t>2007</w:t>
      </w:r>
      <w:r>
        <w:rPr>
          <w:sz w:val="22"/>
        </w:rPr>
        <w:t>,</w:t>
      </w:r>
      <w:r w:rsidRPr="00627966">
        <w:rPr>
          <w:sz w:val="22"/>
        </w:rPr>
        <w:t xml:space="preserve"> </w:t>
      </w:r>
      <w:proofErr w:type="spellStart"/>
      <w:proofErr w:type="gramStart"/>
      <w:r w:rsidRPr="00627966">
        <w:rPr>
          <w:sz w:val="22"/>
        </w:rPr>
        <w:t>Spatialising</w:t>
      </w:r>
      <w:proofErr w:type="spellEnd"/>
      <w:proofErr w:type="gramEnd"/>
      <w:r w:rsidRPr="00627966">
        <w:rPr>
          <w:sz w:val="22"/>
        </w:rPr>
        <w:t xml:space="preserve"> participatory approaches: the contribution of geography to a mature debate. </w:t>
      </w:r>
      <w:r w:rsidRPr="00627966">
        <w:rPr>
          <w:i/>
          <w:sz w:val="22"/>
        </w:rPr>
        <w:t>Environment and Planning A</w:t>
      </w:r>
      <w:r w:rsidRPr="00627966">
        <w:rPr>
          <w:sz w:val="22"/>
        </w:rPr>
        <w:t xml:space="preserve"> </w:t>
      </w:r>
      <w:r w:rsidRPr="00153B12">
        <w:rPr>
          <w:b/>
          <w:sz w:val="22"/>
        </w:rPr>
        <w:t>39</w:t>
      </w:r>
      <w:r>
        <w:rPr>
          <w:sz w:val="22"/>
        </w:rPr>
        <w:t>(12)</w:t>
      </w:r>
      <w:r w:rsidRPr="00627966">
        <w:rPr>
          <w:sz w:val="22"/>
        </w:rPr>
        <w:t>: 2813-31.</w:t>
      </w:r>
      <w:bookmarkEnd w:id="13"/>
    </w:p>
    <w:p w:rsidR="00E3624B" w:rsidRPr="00627966" w:rsidRDefault="00E3624B" w:rsidP="00E3624B">
      <w:pPr>
        <w:spacing w:line="240" w:lineRule="auto"/>
        <w:ind w:left="567" w:hanging="567"/>
        <w:rPr>
          <w:sz w:val="22"/>
        </w:rPr>
      </w:pPr>
      <w:bookmarkStart w:id="14" w:name="_ENREF_18"/>
      <w:r w:rsidRPr="00627966">
        <w:rPr>
          <w:sz w:val="22"/>
        </w:rPr>
        <w:t xml:space="preserve">Leach, M, </w:t>
      </w:r>
      <w:proofErr w:type="spellStart"/>
      <w:r w:rsidRPr="00627966">
        <w:rPr>
          <w:sz w:val="22"/>
        </w:rPr>
        <w:t>Scoones</w:t>
      </w:r>
      <w:proofErr w:type="spellEnd"/>
      <w:r w:rsidRPr="00627966">
        <w:rPr>
          <w:sz w:val="22"/>
        </w:rPr>
        <w:t>, I &amp; Wynne, B</w:t>
      </w:r>
      <w:r>
        <w:rPr>
          <w:sz w:val="22"/>
        </w:rPr>
        <w:t>,</w:t>
      </w:r>
      <w:r w:rsidRPr="00627966">
        <w:rPr>
          <w:sz w:val="22"/>
        </w:rPr>
        <w:t xml:space="preserve"> 2005</w:t>
      </w:r>
      <w:r>
        <w:rPr>
          <w:sz w:val="22"/>
        </w:rPr>
        <w:t>,</w:t>
      </w:r>
      <w:r w:rsidRPr="00627966">
        <w:rPr>
          <w:sz w:val="22"/>
        </w:rPr>
        <w:t xml:space="preserve"> </w:t>
      </w:r>
      <w:r w:rsidRPr="00627966">
        <w:rPr>
          <w:i/>
          <w:sz w:val="22"/>
        </w:rPr>
        <w:t>Science and Citizens: Globalization and the challenge of engagement</w:t>
      </w:r>
      <w:r w:rsidRPr="00627966">
        <w:rPr>
          <w:sz w:val="22"/>
        </w:rPr>
        <w:t xml:space="preserve">. </w:t>
      </w:r>
      <w:r>
        <w:rPr>
          <w:sz w:val="22"/>
        </w:rPr>
        <w:t>(</w:t>
      </w:r>
      <w:r w:rsidRPr="00627966">
        <w:rPr>
          <w:sz w:val="22"/>
        </w:rPr>
        <w:t>Zed Books, Lon</w:t>
      </w:r>
      <w:r>
        <w:rPr>
          <w:sz w:val="22"/>
        </w:rPr>
        <w:t>don)</w:t>
      </w:r>
    </w:p>
    <w:p w:rsidR="00E3624B" w:rsidRPr="00627966" w:rsidRDefault="00E3624B" w:rsidP="00E3624B">
      <w:pPr>
        <w:spacing w:line="240" w:lineRule="auto"/>
        <w:ind w:left="567" w:hanging="567"/>
        <w:rPr>
          <w:sz w:val="22"/>
        </w:rPr>
      </w:pPr>
      <w:bookmarkStart w:id="15" w:name="_ENREF_19"/>
      <w:bookmarkEnd w:id="14"/>
      <w:proofErr w:type="spellStart"/>
      <w:r w:rsidRPr="00627966">
        <w:rPr>
          <w:sz w:val="22"/>
        </w:rPr>
        <w:t>Lezaun</w:t>
      </w:r>
      <w:proofErr w:type="spellEnd"/>
      <w:r w:rsidRPr="00627966">
        <w:rPr>
          <w:sz w:val="22"/>
        </w:rPr>
        <w:t xml:space="preserve">, J &amp; </w:t>
      </w:r>
      <w:proofErr w:type="spellStart"/>
      <w:r w:rsidRPr="00627966">
        <w:rPr>
          <w:sz w:val="22"/>
        </w:rPr>
        <w:t>Soneryd</w:t>
      </w:r>
      <w:proofErr w:type="spellEnd"/>
      <w:r w:rsidRPr="00627966">
        <w:rPr>
          <w:sz w:val="22"/>
        </w:rPr>
        <w:t>, L</w:t>
      </w:r>
      <w:r>
        <w:rPr>
          <w:sz w:val="22"/>
        </w:rPr>
        <w:t>,</w:t>
      </w:r>
      <w:r w:rsidRPr="00627966">
        <w:rPr>
          <w:sz w:val="22"/>
        </w:rPr>
        <w:t xml:space="preserve"> 2007</w:t>
      </w:r>
      <w:r>
        <w:rPr>
          <w:sz w:val="22"/>
        </w:rPr>
        <w:t>,</w:t>
      </w:r>
      <w:r w:rsidRPr="00627966">
        <w:rPr>
          <w:sz w:val="22"/>
        </w:rPr>
        <w:t xml:space="preserve"> </w:t>
      </w:r>
      <w:proofErr w:type="gramStart"/>
      <w:r w:rsidRPr="00627966">
        <w:rPr>
          <w:sz w:val="22"/>
        </w:rPr>
        <w:t>Consulting</w:t>
      </w:r>
      <w:proofErr w:type="gramEnd"/>
      <w:r w:rsidRPr="00627966">
        <w:rPr>
          <w:sz w:val="22"/>
        </w:rPr>
        <w:t xml:space="preserve"> citizens: technologies of elicitation and the mobility of publics. </w:t>
      </w:r>
      <w:r w:rsidRPr="00627966">
        <w:rPr>
          <w:i/>
          <w:sz w:val="22"/>
        </w:rPr>
        <w:t>Public Understanding of Science</w:t>
      </w:r>
      <w:r w:rsidRPr="00627966">
        <w:rPr>
          <w:sz w:val="22"/>
        </w:rPr>
        <w:t xml:space="preserve"> </w:t>
      </w:r>
      <w:r w:rsidRPr="00153B12">
        <w:rPr>
          <w:b/>
          <w:sz w:val="22"/>
        </w:rPr>
        <w:t>16</w:t>
      </w:r>
      <w:r w:rsidRPr="00627966">
        <w:rPr>
          <w:sz w:val="22"/>
        </w:rPr>
        <w:t>(3): 279-97.</w:t>
      </w:r>
      <w:bookmarkStart w:id="16" w:name="_ENREF_20"/>
      <w:bookmarkEnd w:id="15"/>
    </w:p>
    <w:p w:rsidR="00E3624B" w:rsidRPr="00627966" w:rsidRDefault="00E3624B" w:rsidP="00E3624B">
      <w:pPr>
        <w:spacing w:line="240" w:lineRule="auto"/>
        <w:ind w:left="567" w:hanging="567"/>
        <w:rPr>
          <w:sz w:val="22"/>
        </w:rPr>
      </w:pPr>
      <w:proofErr w:type="spellStart"/>
      <w:r w:rsidRPr="00627966">
        <w:rPr>
          <w:sz w:val="22"/>
        </w:rPr>
        <w:t>Lorenzoni</w:t>
      </w:r>
      <w:proofErr w:type="spellEnd"/>
      <w:r w:rsidRPr="00627966">
        <w:rPr>
          <w:sz w:val="22"/>
        </w:rPr>
        <w:t xml:space="preserve">, I &amp; </w:t>
      </w:r>
      <w:proofErr w:type="spellStart"/>
      <w:r w:rsidRPr="00627966">
        <w:rPr>
          <w:sz w:val="22"/>
        </w:rPr>
        <w:t>Hulme</w:t>
      </w:r>
      <w:proofErr w:type="spellEnd"/>
      <w:r w:rsidRPr="00627966">
        <w:rPr>
          <w:sz w:val="22"/>
        </w:rPr>
        <w:t>, M</w:t>
      </w:r>
      <w:r>
        <w:rPr>
          <w:sz w:val="22"/>
        </w:rPr>
        <w:t>,</w:t>
      </w:r>
      <w:r w:rsidRPr="00627966">
        <w:rPr>
          <w:sz w:val="22"/>
        </w:rPr>
        <w:t xml:space="preserve"> 2009</w:t>
      </w:r>
      <w:r>
        <w:rPr>
          <w:sz w:val="22"/>
        </w:rPr>
        <w:t>,</w:t>
      </w:r>
      <w:r w:rsidRPr="00627966">
        <w:rPr>
          <w:sz w:val="22"/>
        </w:rPr>
        <w:t xml:space="preserve"> </w:t>
      </w:r>
      <w:proofErr w:type="gramStart"/>
      <w:r w:rsidRPr="00627966">
        <w:rPr>
          <w:sz w:val="22"/>
        </w:rPr>
        <w:t>Believing</w:t>
      </w:r>
      <w:proofErr w:type="gramEnd"/>
      <w:r w:rsidRPr="00627966">
        <w:rPr>
          <w:sz w:val="22"/>
        </w:rPr>
        <w:t xml:space="preserve"> is seeing: laypeople's views of future socio-economic and climate change in England and in Italy. </w:t>
      </w:r>
      <w:r w:rsidRPr="00627966">
        <w:rPr>
          <w:i/>
          <w:sz w:val="22"/>
        </w:rPr>
        <w:t>Public Understanding of Science</w:t>
      </w:r>
      <w:r w:rsidRPr="00627966">
        <w:rPr>
          <w:sz w:val="22"/>
        </w:rPr>
        <w:t xml:space="preserve"> </w:t>
      </w:r>
      <w:r w:rsidRPr="00153B12">
        <w:rPr>
          <w:b/>
          <w:sz w:val="22"/>
        </w:rPr>
        <w:t>18</w:t>
      </w:r>
      <w:r w:rsidRPr="00627966">
        <w:rPr>
          <w:sz w:val="22"/>
        </w:rPr>
        <w:t>(4): 383-400.</w:t>
      </w:r>
      <w:bookmarkEnd w:id="16"/>
    </w:p>
    <w:p w:rsidR="00E3624B" w:rsidRPr="00627966" w:rsidRDefault="00E3624B" w:rsidP="00E3624B">
      <w:pPr>
        <w:spacing w:line="240" w:lineRule="auto"/>
        <w:ind w:left="567" w:hanging="567"/>
        <w:rPr>
          <w:sz w:val="22"/>
        </w:rPr>
      </w:pPr>
      <w:bookmarkStart w:id="17" w:name="_ENREF_21"/>
      <w:r w:rsidRPr="00627966">
        <w:rPr>
          <w:sz w:val="22"/>
        </w:rPr>
        <w:t xml:space="preserve">Lovell, H, </w:t>
      </w:r>
      <w:proofErr w:type="spellStart"/>
      <w:r w:rsidRPr="00627966">
        <w:rPr>
          <w:sz w:val="22"/>
        </w:rPr>
        <w:t>Bulkeley</w:t>
      </w:r>
      <w:proofErr w:type="spellEnd"/>
      <w:r w:rsidRPr="00627966">
        <w:rPr>
          <w:sz w:val="22"/>
        </w:rPr>
        <w:t>, H &amp; Owens, S</w:t>
      </w:r>
      <w:r>
        <w:rPr>
          <w:sz w:val="22"/>
        </w:rPr>
        <w:t>,</w:t>
      </w:r>
      <w:r w:rsidRPr="00627966">
        <w:rPr>
          <w:sz w:val="22"/>
        </w:rPr>
        <w:t xml:space="preserve"> 2009</w:t>
      </w:r>
      <w:r>
        <w:rPr>
          <w:sz w:val="22"/>
        </w:rPr>
        <w:t>,</w:t>
      </w:r>
      <w:r w:rsidRPr="00627966">
        <w:rPr>
          <w:sz w:val="22"/>
        </w:rPr>
        <w:t xml:space="preserve"> </w:t>
      </w:r>
      <w:proofErr w:type="gramStart"/>
      <w:r w:rsidRPr="00627966">
        <w:rPr>
          <w:sz w:val="22"/>
        </w:rPr>
        <w:t>Converging</w:t>
      </w:r>
      <w:proofErr w:type="gramEnd"/>
      <w:r w:rsidRPr="00627966">
        <w:rPr>
          <w:sz w:val="22"/>
        </w:rPr>
        <w:t xml:space="preserve"> agendas? Energy and climate change policies in the UK. </w:t>
      </w:r>
      <w:r w:rsidRPr="00627966">
        <w:rPr>
          <w:i/>
          <w:sz w:val="22"/>
        </w:rPr>
        <w:t xml:space="preserve">Environment &amp; Planning C </w:t>
      </w:r>
      <w:r w:rsidRPr="00153B12">
        <w:rPr>
          <w:b/>
          <w:sz w:val="22"/>
        </w:rPr>
        <w:t>27</w:t>
      </w:r>
      <w:r w:rsidRPr="00627966">
        <w:rPr>
          <w:sz w:val="22"/>
        </w:rPr>
        <w:t>(1): 90-109</w:t>
      </w:r>
      <w:r>
        <w:rPr>
          <w:sz w:val="22"/>
        </w:rPr>
        <w:t>.</w:t>
      </w:r>
    </w:p>
    <w:p w:rsidR="00E3624B" w:rsidRPr="00627966" w:rsidRDefault="00E3624B" w:rsidP="00E3624B">
      <w:pPr>
        <w:spacing w:line="240" w:lineRule="auto"/>
        <w:ind w:left="567" w:hanging="567"/>
        <w:rPr>
          <w:sz w:val="22"/>
        </w:rPr>
      </w:pPr>
      <w:proofErr w:type="spellStart"/>
      <w:r w:rsidRPr="00627966">
        <w:rPr>
          <w:sz w:val="22"/>
        </w:rPr>
        <w:t>Marres</w:t>
      </w:r>
      <w:proofErr w:type="spellEnd"/>
      <w:r w:rsidRPr="00627966">
        <w:rPr>
          <w:sz w:val="22"/>
        </w:rPr>
        <w:t>, N</w:t>
      </w:r>
      <w:r>
        <w:rPr>
          <w:sz w:val="22"/>
        </w:rPr>
        <w:t>,</w:t>
      </w:r>
      <w:r w:rsidRPr="00627966">
        <w:rPr>
          <w:sz w:val="22"/>
        </w:rPr>
        <w:t xml:space="preserve"> 2007</w:t>
      </w:r>
      <w:r>
        <w:rPr>
          <w:sz w:val="22"/>
        </w:rPr>
        <w:t>,</w:t>
      </w:r>
      <w:r w:rsidRPr="00627966">
        <w:rPr>
          <w:sz w:val="22"/>
        </w:rPr>
        <w:t xml:space="preserve"> </w:t>
      </w:r>
      <w:proofErr w:type="gramStart"/>
      <w:r w:rsidRPr="00627966">
        <w:rPr>
          <w:sz w:val="22"/>
        </w:rPr>
        <w:t>The</w:t>
      </w:r>
      <w:proofErr w:type="gramEnd"/>
      <w:r w:rsidRPr="00627966">
        <w:rPr>
          <w:sz w:val="22"/>
        </w:rPr>
        <w:t xml:space="preserve"> issues deserve more credit: Pragmatist contributions to the study of public involvement in controversy. </w:t>
      </w:r>
      <w:r w:rsidRPr="00627966">
        <w:rPr>
          <w:i/>
          <w:sz w:val="22"/>
        </w:rPr>
        <w:t>Social Studies of Science</w:t>
      </w:r>
      <w:r w:rsidRPr="00627966">
        <w:rPr>
          <w:sz w:val="22"/>
        </w:rPr>
        <w:t xml:space="preserve"> </w:t>
      </w:r>
      <w:r w:rsidRPr="00153B12">
        <w:rPr>
          <w:b/>
          <w:sz w:val="22"/>
        </w:rPr>
        <w:t>37</w:t>
      </w:r>
      <w:r w:rsidRPr="00627966">
        <w:rPr>
          <w:sz w:val="22"/>
        </w:rPr>
        <w:t>(5): 759-80.</w:t>
      </w:r>
      <w:bookmarkEnd w:id="17"/>
    </w:p>
    <w:p w:rsidR="00E3624B" w:rsidRPr="00627966" w:rsidRDefault="00E3624B" w:rsidP="00E3624B">
      <w:pPr>
        <w:spacing w:line="240" w:lineRule="auto"/>
        <w:ind w:left="567" w:hanging="567"/>
        <w:rPr>
          <w:sz w:val="22"/>
        </w:rPr>
      </w:pPr>
      <w:bookmarkStart w:id="18" w:name="_ENREF_22"/>
      <w:proofErr w:type="spellStart"/>
      <w:r w:rsidRPr="00627966">
        <w:rPr>
          <w:sz w:val="22"/>
        </w:rPr>
        <w:t>Mezirow</w:t>
      </w:r>
      <w:proofErr w:type="spellEnd"/>
      <w:r w:rsidRPr="00627966">
        <w:rPr>
          <w:sz w:val="22"/>
        </w:rPr>
        <w:t>, J</w:t>
      </w:r>
      <w:r>
        <w:rPr>
          <w:sz w:val="22"/>
        </w:rPr>
        <w:t>,</w:t>
      </w:r>
      <w:r w:rsidRPr="00627966">
        <w:rPr>
          <w:sz w:val="22"/>
        </w:rPr>
        <w:t xml:space="preserve"> 1997</w:t>
      </w:r>
      <w:r>
        <w:rPr>
          <w:sz w:val="22"/>
        </w:rPr>
        <w:t>,</w:t>
      </w:r>
      <w:r w:rsidRPr="00627966">
        <w:rPr>
          <w:sz w:val="22"/>
        </w:rPr>
        <w:t xml:space="preserve"> Transformative Learning: Theory to Practice. </w:t>
      </w:r>
      <w:r w:rsidRPr="00627966">
        <w:rPr>
          <w:i/>
          <w:sz w:val="22"/>
        </w:rPr>
        <w:t xml:space="preserve">New Directions for Adult and Continuing Education </w:t>
      </w:r>
      <w:r w:rsidRPr="00153B12">
        <w:rPr>
          <w:b/>
          <w:sz w:val="22"/>
        </w:rPr>
        <w:t>74</w:t>
      </w:r>
      <w:r>
        <w:rPr>
          <w:sz w:val="22"/>
        </w:rPr>
        <w:t>(</w:t>
      </w:r>
      <w:proofErr w:type="gramStart"/>
      <w:r>
        <w:rPr>
          <w:sz w:val="22"/>
        </w:rPr>
        <w:t>Summer</w:t>
      </w:r>
      <w:proofErr w:type="gramEnd"/>
      <w:r>
        <w:rPr>
          <w:sz w:val="22"/>
        </w:rPr>
        <w:t>)</w:t>
      </w:r>
      <w:r w:rsidRPr="00627966">
        <w:rPr>
          <w:sz w:val="22"/>
        </w:rPr>
        <w:t>: 5-12.</w:t>
      </w:r>
      <w:bookmarkEnd w:id="18"/>
    </w:p>
    <w:p w:rsidR="00E3624B" w:rsidRPr="00627966" w:rsidRDefault="00E3624B" w:rsidP="00E3624B">
      <w:pPr>
        <w:spacing w:line="240" w:lineRule="auto"/>
        <w:ind w:left="567" w:hanging="567"/>
        <w:rPr>
          <w:sz w:val="22"/>
        </w:rPr>
      </w:pPr>
      <w:bookmarkStart w:id="19" w:name="_ENREF_35"/>
      <w:bookmarkStart w:id="20" w:name="_ENREF_37"/>
      <w:bookmarkStart w:id="21" w:name="_ENREF_24"/>
      <w:proofErr w:type="gramStart"/>
      <w:r w:rsidRPr="00627966">
        <w:rPr>
          <w:sz w:val="22"/>
        </w:rPr>
        <w:t>Miller, C A</w:t>
      </w:r>
      <w:r>
        <w:rPr>
          <w:sz w:val="22"/>
        </w:rPr>
        <w:t>,</w:t>
      </w:r>
      <w:r w:rsidRPr="00627966">
        <w:rPr>
          <w:sz w:val="22"/>
        </w:rPr>
        <w:t xml:space="preserve"> 2004</w:t>
      </w:r>
      <w:r>
        <w:rPr>
          <w:sz w:val="22"/>
        </w:rPr>
        <w:t>,</w:t>
      </w:r>
      <w:r w:rsidRPr="00627966">
        <w:rPr>
          <w:sz w:val="22"/>
        </w:rPr>
        <w:t xml:space="preserve"> Climate science and the making of a global political order.</w:t>
      </w:r>
      <w:proofErr w:type="gramEnd"/>
      <w:r w:rsidRPr="00627966">
        <w:rPr>
          <w:sz w:val="22"/>
        </w:rPr>
        <w:t xml:space="preserve"> </w:t>
      </w:r>
      <w:proofErr w:type="gramStart"/>
      <w:r w:rsidRPr="00627966">
        <w:rPr>
          <w:sz w:val="22"/>
        </w:rPr>
        <w:t>in</w:t>
      </w:r>
      <w:proofErr w:type="gramEnd"/>
      <w:r w:rsidRPr="00627966">
        <w:rPr>
          <w:sz w:val="22"/>
        </w:rPr>
        <w:t xml:space="preserve"> </w:t>
      </w:r>
      <w:proofErr w:type="spellStart"/>
      <w:r w:rsidRPr="00627966">
        <w:rPr>
          <w:sz w:val="22"/>
        </w:rPr>
        <w:t>Jasanoff</w:t>
      </w:r>
      <w:proofErr w:type="spellEnd"/>
      <w:r w:rsidRPr="00627966">
        <w:rPr>
          <w:sz w:val="22"/>
        </w:rPr>
        <w:t xml:space="preserve">, S </w:t>
      </w:r>
      <w:proofErr w:type="spellStart"/>
      <w:r w:rsidRPr="00627966">
        <w:rPr>
          <w:sz w:val="22"/>
        </w:rPr>
        <w:t>ed</w:t>
      </w:r>
      <w:proofErr w:type="spellEnd"/>
      <w:r w:rsidRPr="00627966">
        <w:rPr>
          <w:sz w:val="22"/>
        </w:rPr>
        <w:t xml:space="preserve"> </w:t>
      </w:r>
      <w:r w:rsidRPr="00627966">
        <w:rPr>
          <w:i/>
          <w:sz w:val="22"/>
        </w:rPr>
        <w:t>States of Knowledge: The co-production of science and social order</w:t>
      </w:r>
      <w:r w:rsidRPr="00627966">
        <w:rPr>
          <w:sz w:val="22"/>
        </w:rPr>
        <w:t xml:space="preserve">. </w:t>
      </w:r>
      <w:r>
        <w:rPr>
          <w:sz w:val="22"/>
        </w:rPr>
        <w:t>(</w:t>
      </w:r>
      <w:proofErr w:type="spellStart"/>
      <w:r>
        <w:rPr>
          <w:sz w:val="22"/>
        </w:rPr>
        <w:t>Routledge</w:t>
      </w:r>
      <w:proofErr w:type="spellEnd"/>
      <w:r>
        <w:rPr>
          <w:sz w:val="22"/>
        </w:rPr>
        <w:t>, London)</w:t>
      </w:r>
    </w:p>
    <w:p w:rsidR="00E3624B" w:rsidRPr="00627966" w:rsidRDefault="00E3624B" w:rsidP="00E3624B">
      <w:pPr>
        <w:spacing w:line="240" w:lineRule="auto"/>
        <w:ind w:left="567" w:hanging="567"/>
        <w:rPr>
          <w:sz w:val="22"/>
        </w:rPr>
      </w:pPr>
      <w:r w:rsidRPr="00627966">
        <w:rPr>
          <w:sz w:val="22"/>
        </w:rPr>
        <w:t>MORI</w:t>
      </w:r>
      <w:r>
        <w:rPr>
          <w:sz w:val="22"/>
        </w:rPr>
        <w:t>,</w:t>
      </w:r>
      <w:r w:rsidRPr="00627966">
        <w:rPr>
          <w:sz w:val="22"/>
        </w:rPr>
        <w:t xml:space="preserve"> 2007</w:t>
      </w:r>
      <w:r>
        <w:rPr>
          <w:sz w:val="22"/>
        </w:rPr>
        <w:t>,</w:t>
      </w:r>
      <w:r w:rsidRPr="00627966">
        <w:rPr>
          <w:sz w:val="22"/>
        </w:rPr>
        <w:t xml:space="preserve"> </w:t>
      </w:r>
      <w:r w:rsidRPr="00627966">
        <w:rPr>
          <w:i/>
          <w:sz w:val="22"/>
        </w:rPr>
        <w:t>Energy Research Dialogue: A Public Dialogue on Energy Research Priorities,</w:t>
      </w:r>
    </w:p>
    <w:p w:rsidR="00E3624B" w:rsidRPr="00627966" w:rsidRDefault="00E3624B" w:rsidP="00E3624B">
      <w:pPr>
        <w:spacing w:line="240" w:lineRule="auto"/>
        <w:ind w:left="567" w:hanging="567"/>
        <w:rPr>
          <w:sz w:val="22"/>
        </w:rPr>
      </w:pPr>
      <w:bookmarkStart w:id="22" w:name="_ENREF_38"/>
      <w:bookmarkEnd w:id="19"/>
      <w:bookmarkEnd w:id="20"/>
      <w:r w:rsidRPr="00627966">
        <w:rPr>
          <w:sz w:val="22"/>
        </w:rPr>
        <w:t>Osborn</w:t>
      </w:r>
      <w:r>
        <w:rPr>
          <w:sz w:val="22"/>
        </w:rPr>
        <w:t>,</w:t>
      </w:r>
      <w:r w:rsidRPr="00627966">
        <w:rPr>
          <w:sz w:val="22"/>
        </w:rPr>
        <w:t xml:space="preserve"> T &amp; Rose</w:t>
      </w:r>
      <w:r>
        <w:rPr>
          <w:sz w:val="22"/>
        </w:rPr>
        <w:t>,</w:t>
      </w:r>
      <w:r w:rsidRPr="00627966">
        <w:rPr>
          <w:sz w:val="22"/>
        </w:rPr>
        <w:t xml:space="preserve"> N</w:t>
      </w:r>
      <w:r>
        <w:rPr>
          <w:sz w:val="22"/>
        </w:rPr>
        <w:t>,</w:t>
      </w:r>
      <w:r w:rsidRPr="00627966">
        <w:rPr>
          <w:sz w:val="22"/>
        </w:rPr>
        <w:t xml:space="preserve"> 1999</w:t>
      </w:r>
      <w:r>
        <w:rPr>
          <w:sz w:val="22"/>
        </w:rPr>
        <w:t>,</w:t>
      </w:r>
      <w:r w:rsidRPr="00627966">
        <w:rPr>
          <w:sz w:val="22"/>
        </w:rPr>
        <w:t xml:space="preserve"> Do the s</w:t>
      </w:r>
      <w:r>
        <w:rPr>
          <w:sz w:val="22"/>
        </w:rPr>
        <w:t>ocial sciences create phenomena?</w:t>
      </w:r>
      <w:r w:rsidRPr="00627966">
        <w:rPr>
          <w:sz w:val="22"/>
        </w:rPr>
        <w:t xml:space="preserve"> </w:t>
      </w:r>
      <w:proofErr w:type="gramStart"/>
      <w:r>
        <w:rPr>
          <w:sz w:val="22"/>
        </w:rPr>
        <w:t>T</w:t>
      </w:r>
      <w:r w:rsidRPr="00627966">
        <w:rPr>
          <w:sz w:val="22"/>
        </w:rPr>
        <w:t>he case of public opinion research.</w:t>
      </w:r>
      <w:proofErr w:type="gramEnd"/>
      <w:r w:rsidRPr="00627966">
        <w:rPr>
          <w:sz w:val="22"/>
        </w:rPr>
        <w:t xml:space="preserve"> </w:t>
      </w:r>
      <w:r w:rsidRPr="00627966">
        <w:rPr>
          <w:i/>
          <w:sz w:val="22"/>
        </w:rPr>
        <w:t>British Journal of Sociology</w:t>
      </w:r>
      <w:r w:rsidRPr="00627966">
        <w:rPr>
          <w:sz w:val="22"/>
        </w:rPr>
        <w:t xml:space="preserve"> </w:t>
      </w:r>
      <w:r w:rsidRPr="00627966">
        <w:rPr>
          <w:b/>
          <w:sz w:val="22"/>
        </w:rPr>
        <w:t>50</w:t>
      </w:r>
      <w:r>
        <w:rPr>
          <w:sz w:val="22"/>
        </w:rPr>
        <w:t>(3):</w:t>
      </w:r>
      <w:r w:rsidRPr="00627966">
        <w:rPr>
          <w:sz w:val="22"/>
        </w:rPr>
        <w:t xml:space="preserve"> 367-396.</w:t>
      </w:r>
    </w:p>
    <w:p w:rsidR="00E3624B" w:rsidRPr="00627966" w:rsidRDefault="00E3624B" w:rsidP="00E3624B">
      <w:pPr>
        <w:spacing w:line="240" w:lineRule="auto"/>
        <w:ind w:left="567" w:hanging="567"/>
        <w:rPr>
          <w:sz w:val="22"/>
        </w:rPr>
      </w:pPr>
      <w:r w:rsidRPr="00627966">
        <w:rPr>
          <w:sz w:val="22"/>
        </w:rPr>
        <w:t xml:space="preserve">Owens, S, </w:t>
      </w:r>
      <w:proofErr w:type="spellStart"/>
      <w:r w:rsidRPr="00627966">
        <w:rPr>
          <w:sz w:val="22"/>
        </w:rPr>
        <w:t>Rayner</w:t>
      </w:r>
      <w:proofErr w:type="spellEnd"/>
      <w:r w:rsidRPr="00627966">
        <w:rPr>
          <w:sz w:val="22"/>
        </w:rPr>
        <w:t xml:space="preserve">, T &amp; </w:t>
      </w:r>
      <w:proofErr w:type="spellStart"/>
      <w:r w:rsidRPr="00627966">
        <w:rPr>
          <w:sz w:val="22"/>
        </w:rPr>
        <w:t>Bina</w:t>
      </w:r>
      <w:proofErr w:type="spellEnd"/>
      <w:r w:rsidRPr="00627966">
        <w:rPr>
          <w:sz w:val="22"/>
        </w:rPr>
        <w:t>, O</w:t>
      </w:r>
      <w:r>
        <w:rPr>
          <w:sz w:val="22"/>
        </w:rPr>
        <w:t>,</w:t>
      </w:r>
      <w:r w:rsidRPr="00627966">
        <w:rPr>
          <w:sz w:val="22"/>
        </w:rPr>
        <w:t xml:space="preserve"> 2004</w:t>
      </w:r>
      <w:r>
        <w:rPr>
          <w:sz w:val="22"/>
        </w:rPr>
        <w:t>,</w:t>
      </w:r>
      <w:r w:rsidRPr="00627966">
        <w:rPr>
          <w:sz w:val="22"/>
        </w:rPr>
        <w:t xml:space="preserve"> </w:t>
      </w:r>
      <w:proofErr w:type="gramStart"/>
      <w:r w:rsidRPr="00627966">
        <w:rPr>
          <w:sz w:val="22"/>
        </w:rPr>
        <w:t>New</w:t>
      </w:r>
      <w:proofErr w:type="gramEnd"/>
      <w:r w:rsidRPr="00627966">
        <w:rPr>
          <w:sz w:val="22"/>
        </w:rPr>
        <w:t xml:space="preserve"> agendas for appraisal: reflections on theory, practice, and research. </w:t>
      </w:r>
      <w:r w:rsidRPr="00627966">
        <w:rPr>
          <w:i/>
          <w:sz w:val="22"/>
        </w:rPr>
        <w:t>Environment and Planning A</w:t>
      </w:r>
      <w:r w:rsidRPr="00627966">
        <w:rPr>
          <w:sz w:val="22"/>
        </w:rPr>
        <w:t xml:space="preserve"> </w:t>
      </w:r>
      <w:r w:rsidRPr="00153B12">
        <w:rPr>
          <w:b/>
          <w:sz w:val="22"/>
        </w:rPr>
        <w:t>36</w:t>
      </w:r>
      <w:r w:rsidRPr="00627966">
        <w:rPr>
          <w:sz w:val="22"/>
        </w:rPr>
        <w:t>(11): 1943-59.</w:t>
      </w:r>
      <w:bookmarkEnd w:id="22"/>
    </w:p>
    <w:p w:rsidR="00E3624B" w:rsidRPr="00627966" w:rsidRDefault="00E3624B" w:rsidP="00E3624B">
      <w:pPr>
        <w:spacing w:line="240" w:lineRule="auto"/>
        <w:ind w:left="567" w:hanging="567"/>
        <w:rPr>
          <w:sz w:val="22"/>
        </w:rPr>
      </w:pPr>
      <w:bookmarkStart w:id="23" w:name="_ENREF_39"/>
      <w:bookmarkStart w:id="24" w:name="_ENREF_25"/>
      <w:bookmarkEnd w:id="21"/>
      <w:proofErr w:type="spellStart"/>
      <w:r w:rsidRPr="00627966">
        <w:rPr>
          <w:sz w:val="22"/>
        </w:rPr>
        <w:t>Pelling</w:t>
      </w:r>
      <w:proofErr w:type="spellEnd"/>
      <w:r w:rsidRPr="00627966">
        <w:rPr>
          <w:sz w:val="22"/>
        </w:rPr>
        <w:t>, M, High, C, Dearing, J &amp; Smith, D</w:t>
      </w:r>
      <w:r>
        <w:rPr>
          <w:sz w:val="22"/>
        </w:rPr>
        <w:t>,</w:t>
      </w:r>
      <w:r w:rsidRPr="00627966">
        <w:rPr>
          <w:sz w:val="22"/>
        </w:rPr>
        <w:t xml:space="preserve"> 2008</w:t>
      </w:r>
      <w:r>
        <w:rPr>
          <w:sz w:val="22"/>
        </w:rPr>
        <w:t>,</w:t>
      </w:r>
      <w:r w:rsidRPr="00627966">
        <w:rPr>
          <w:sz w:val="22"/>
        </w:rPr>
        <w:t xml:space="preserve"> Shadow spaces for social learning: a relational understanding of adaptive capacity to climate change within organisations. </w:t>
      </w:r>
      <w:r w:rsidRPr="00627966">
        <w:rPr>
          <w:i/>
          <w:sz w:val="22"/>
        </w:rPr>
        <w:t>Environment and Planning A</w:t>
      </w:r>
      <w:r w:rsidRPr="00627966">
        <w:rPr>
          <w:sz w:val="22"/>
        </w:rPr>
        <w:t xml:space="preserve">, </w:t>
      </w:r>
      <w:r w:rsidRPr="00153B12">
        <w:rPr>
          <w:b/>
          <w:sz w:val="22"/>
        </w:rPr>
        <w:t>40</w:t>
      </w:r>
      <w:r w:rsidRPr="00627966">
        <w:rPr>
          <w:sz w:val="22"/>
        </w:rPr>
        <w:t>(4): 867-884.</w:t>
      </w:r>
    </w:p>
    <w:bookmarkEnd w:id="23"/>
    <w:p w:rsidR="00E3624B" w:rsidRPr="00627966" w:rsidRDefault="00E3624B" w:rsidP="00E3624B">
      <w:pPr>
        <w:spacing w:line="240" w:lineRule="auto"/>
        <w:ind w:left="567" w:hanging="567"/>
        <w:rPr>
          <w:sz w:val="22"/>
        </w:rPr>
      </w:pPr>
      <w:proofErr w:type="spellStart"/>
      <w:r w:rsidRPr="00627966">
        <w:rPr>
          <w:sz w:val="22"/>
        </w:rPr>
        <w:t>Petts</w:t>
      </w:r>
      <w:proofErr w:type="spellEnd"/>
      <w:r w:rsidRPr="00627966">
        <w:rPr>
          <w:sz w:val="22"/>
        </w:rPr>
        <w:t>, J</w:t>
      </w:r>
      <w:r>
        <w:rPr>
          <w:sz w:val="22"/>
        </w:rPr>
        <w:t>,</w:t>
      </w:r>
      <w:r w:rsidRPr="00627966">
        <w:rPr>
          <w:sz w:val="22"/>
        </w:rPr>
        <w:t xml:space="preserve"> 2006</w:t>
      </w:r>
      <w:r>
        <w:rPr>
          <w:sz w:val="22"/>
        </w:rPr>
        <w:t>,</w:t>
      </w:r>
      <w:r w:rsidRPr="00627966">
        <w:rPr>
          <w:b/>
          <w:sz w:val="22"/>
        </w:rPr>
        <w:t xml:space="preserve"> </w:t>
      </w:r>
      <w:proofErr w:type="gramStart"/>
      <w:r w:rsidRPr="00627966">
        <w:rPr>
          <w:sz w:val="22"/>
        </w:rPr>
        <w:t>Managing</w:t>
      </w:r>
      <w:proofErr w:type="gramEnd"/>
      <w:r w:rsidRPr="00627966">
        <w:rPr>
          <w:sz w:val="22"/>
        </w:rPr>
        <w:t xml:space="preserve"> public engagement to optimize learning: Reflections from urban river restoration. </w:t>
      </w:r>
      <w:r w:rsidRPr="00627966">
        <w:rPr>
          <w:i/>
          <w:sz w:val="22"/>
        </w:rPr>
        <w:t>Human Ecology Review</w:t>
      </w:r>
      <w:r w:rsidRPr="00627966">
        <w:rPr>
          <w:sz w:val="22"/>
        </w:rPr>
        <w:t xml:space="preserve"> 13(2): 172-181.</w:t>
      </w:r>
    </w:p>
    <w:p w:rsidR="00E3624B" w:rsidRPr="00627966" w:rsidRDefault="00E3624B" w:rsidP="00E3624B">
      <w:pPr>
        <w:spacing w:line="240" w:lineRule="auto"/>
        <w:ind w:left="567" w:hanging="567"/>
        <w:rPr>
          <w:sz w:val="22"/>
        </w:rPr>
      </w:pPr>
      <w:proofErr w:type="spellStart"/>
      <w:r w:rsidRPr="00627966">
        <w:rPr>
          <w:sz w:val="22"/>
        </w:rPr>
        <w:t>Petts</w:t>
      </w:r>
      <w:proofErr w:type="spellEnd"/>
      <w:r w:rsidRPr="00627966">
        <w:rPr>
          <w:sz w:val="22"/>
        </w:rPr>
        <w:t>, J</w:t>
      </w:r>
      <w:r>
        <w:rPr>
          <w:sz w:val="22"/>
        </w:rPr>
        <w:t>,</w:t>
      </w:r>
      <w:r w:rsidRPr="00627966">
        <w:rPr>
          <w:sz w:val="22"/>
        </w:rPr>
        <w:t xml:space="preserve"> 2007</w:t>
      </w:r>
      <w:r>
        <w:rPr>
          <w:sz w:val="22"/>
        </w:rPr>
        <w:t>,</w:t>
      </w:r>
      <w:r w:rsidRPr="00627966">
        <w:rPr>
          <w:sz w:val="22"/>
        </w:rPr>
        <w:t xml:space="preserve"> </w:t>
      </w:r>
      <w:proofErr w:type="gramStart"/>
      <w:r w:rsidRPr="00627966">
        <w:rPr>
          <w:sz w:val="22"/>
        </w:rPr>
        <w:t>Learning</w:t>
      </w:r>
      <w:proofErr w:type="gramEnd"/>
      <w:r w:rsidRPr="00627966">
        <w:rPr>
          <w:sz w:val="22"/>
        </w:rPr>
        <w:t xml:space="preserve"> about learning: lessons from public engagement and deliberation on urban river restoration. </w:t>
      </w:r>
      <w:r w:rsidRPr="00627966">
        <w:rPr>
          <w:i/>
          <w:sz w:val="22"/>
        </w:rPr>
        <w:t>Geographical Journal</w:t>
      </w:r>
      <w:r w:rsidRPr="00153B12">
        <w:rPr>
          <w:b/>
          <w:sz w:val="22"/>
        </w:rPr>
        <w:t xml:space="preserve"> 173</w:t>
      </w:r>
      <w:r w:rsidRPr="00627966">
        <w:rPr>
          <w:sz w:val="22"/>
        </w:rPr>
        <w:t>(4): 300-11.</w:t>
      </w:r>
      <w:bookmarkEnd w:id="24"/>
    </w:p>
    <w:p w:rsidR="00E3624B" w:rsidRPr="00627966" w:rsidRDefault="00E3624B" w:rsidP="00E3624B">
      <w:pPr>
        <w:spacing w:line="240" w:lineRule="auto"/>
        <w:ind w:left="567" w:hanging="567"/>
        <w:rPr>
          <w:sz w:val="22"/>
        </w:rPr>
      </w:pPr>
      <w:bookmarkStart w:id="25" w:name="_ENREF_26"/>
      <w:proofErr w:type="gramStart"/>
      <w:r w:rsidRPr="00627966">
        <w:rPr>
          <w:sz w:val="22"/>
        </w:rPr>
        <w:t>POST</w:t>
      </w:r>
      <w:r>
        <w:rPr>
          <w:sz w:val="22"/>
        </w:rPr>
        <w:t>,</w:t>
      </w:r>
      <w:r w:rsidRPr="00627966">
        <w:rPr>
          <w:sz w:val="22"/>
        </w:rPr>
        <w:t xml:space="preserve"> 2002</w:t>
      </w:r>
      <w:r>
        <w:rPr>
          <w:sz w:val="22"/>
        </w:rPr>
        <w:t>,</w:t>
      </w:r>
      <w:r w:rsidRPr="00627966">
        <w:rPr>
          <w:sz w:val="22"/>
        </w:rPr>
        <w:t xml:space="preserve"> </w:t>
      </w:r>
      <w:r w:rsidRPr="00627966">
        <w:rPr>
          <w:i/>
          <w:sz w:val="22"/>
        </w:rPr>
        <w:t>Public Dialogue on Science and Technology</w:t>
      </w:r>
      <w:r w:rsidRPr="00627966">
        <w:rPr>
          <w:sz w:val="22"/>
        </w:rPr>
        <w:t>.</w:t>
      </w:r>
      <w:proofErr w:type="gramEnd"/>
      <w:r w:rsidRPr="00627966">
        <w:rPr>
          <w:sz w:val="22"/>
        </w:rPr>
        <w:t xml:space="preserve"> Report Number 189. Available at </w:t>
      </w:r>
      <w:r w:rsidRPr="00153B12">
        <w:rPr>
          <w:sz w:val="22"/>
        </w:rPr>
        <w:t>http://www.parliament.uk/documents/post/pn189.pdf</w:t>
      </w:r>
      <w:r w:rsidRPr="00627966">
        <w:rPr>
          <w:sz w:val="22"/>
        </w:rPr>
        <w:t>, last accessed 10 August 2011</w:t>
      </w:r>
    </w:p>
    <w:p w:rsidR="00E3624B" w:rsidRPr="00627966" w:rsidRDefault="00E3624B" w:rsidP="00E3624B">
      <w:pPr>
        <w:spacing w:line="240" w:lineRule="auto"/>
        <w:ind w:left="567" w:hanging="567"/>
        <w:rPr>
          <w:sz w:val="22"/>
        </w:rPr>
      </w:pPr>
      <w:r w:rsidRPr="00627966">
        <w:rPr>
          <w:sz w:val="22"/>
        </w:rPr>
        <w:t>POST</w:t>
      </w:r>
      <w:r>
        <w:rPr>
          <w:sz w:val="22"/>
        </w:rPr>
        <w:t>,</w:t>
      </w:r>
      <w:r w:rsidRPr="00627966">
        <w:rPr>
          <w:sz w:val="22"/>
        </w:rPr>
        <w:t xml:space="preserve"> 2001</w:t>
      </w:r>
      <w:r>
        <w:rPr>
          <w:sz w:val="22"/>
        </w:rPr>
        <w:t>,</w:t>
      </w:r>
      <w:r w:rsidRPr="00627966">
        <w:rPr>
          <w:sz w:val="22"/>
        </w:rPr>
        <w:t xml:space="preserve"> </w:t>
      </w:r>
      <w:r w:rsidRPr="00627966">
        <w:rPr>
          <w:i/>
          <w:sz w:val="22"/>
        </w:rPr>
        <w:t>OPEN CHANNELS: Public dialogue in science and technology</w:t>
      </w:r>
      <w:r w:rsidRPr="00627966">
        <w:rPr>
          <w:sz w:val="22"/>
        </w:rPr>
        <w:t xml:space="preserve">. Report Number 153. Available at </w:t>
      </w:r>
      <w:r w:rsidRPr="00153B12">
        <w:rPr>
          <w:sz w:val="22"/>
        </w:rPr>
        <w:t>http://www.parliament.uk/documents/post/pr153.pdf</w:t>
      </w:r>
      <w:r w:rsidRPr="00627966">
        <w:rPr>
          <w:sz w:val="22"/>
        </w:rPr>
        <w:t>, last accessed 10 August 2011</w:t>
      </w:r>
    </w:p>
    <w:p w:rsidR="00E3624B" w:rsidRPr="00627966" w:rsidRDefault="00E3624B" w:rsidP="00E3624B">
      <w:pPr>
        <w:spacing w:line="240" w:lineRule="auto"/>
        <w:ind w:left="567" w:hanging="567"/>
        <w:rPr>
          <w:sz w:val="22"/>
        </w:rPr>
      </w:pPr>
      <w:r w:rsidRPr="00627966">
        <w:rPr>
          <w:sz w:val="22"/>
        </w:rPr>
        <w:t xml:space="preserve">POST &amp; The </w:t>
      </w:r>
      <w:proofErr w:type="spellStart"/>
      <w:r w:rsidRPr="00627966">
        <w:rPr>
          <w:sz w:val="22"/>
        </w:rPr>
        <w:t>Wellcome</w:t>
      </w:r>
      <w:proofErr w:type="spellEnd"/>
      <w:r w:rsidRPr="00627966">
        <w:rPr>
          <w:sz w:val="22"/>
        </w:rPr>
        <w:t xml:space="preserve"> Trust</w:t>
      </w:r>
      <w:r>
        <w:rPr>
          <w:sz w:val="22"/>
        </w:rPr>
        <w:t>,</w:t>
      </w:r>
      <w:r w:rsidRPr="00627966">
        <w:rPr>
          <w:sz w:val="22"/>
        </w:rPr>
        <w:t xml:space="preserve"> 2000</w:t>
      </w:r>
      <w:r>
        <w:rPr>
          <w:sz w:val="22"/>
        </w:rPr>
        <w:t>,</w:t>
      </w:r>
      <w:r w:rsidRPr="00627966">
        <w:rPr>
          <w:sz w:val="22"/>
        </w:rPr>
        <w:t xml:space="preserve"> </w:t>
      </w:r>
      <w:r w:rsidRPr="00627966">
        <w:rPr>
          <w:i/>
          <w:sz w:val="22"/>
        </w:rPr>
        <w:t>Science and the Public: A review of science communication and public attitudes to Science in Britain.</w:t>
      </w:r>
      <w:r w:rsidRPr="00627966">
        <w:rPr>
          <w:sz w:val="22"/>
        </w:rPr>
        <w:t xml:space="preserve"> Available at </w:t>
      </w:r>
      <w:r w:rsidRPr="00153B12">
        <w:rPr>
          <w:sz w:val="22"/>
        </w:rPr>
        <w:t>http://www.wellcome.ac.uk/stellent/groups/corporatesite/@msh_peda/documents/web_document/wtd003419.pdf</w:t>
      </w:r>
      <w:r w:rsidRPr="00627966">
        <w:rPr>
          <w:sz w:val="22"/>
        </w:rPr>
        <w:t>, last accessed 10 August 2011.</w:t>
      </w:r>
    </w:p>
    <w:p w:rsidR="00E3624B" w:rsidRPr="00627966" w:rsidRDefault="00E3624B" w:rsidP="00E3624B">
      <w:pPr>
        <w:spacing w:line="240" w:lineRule="auto"/>
        <w:ind w:left="567" w:hanging="567"/>
        <w:rPr>
          <w:sz w:val="22"/>
        </w:rPr>
      </w:pPr>
      <w:proofErr w:type="spellStart"/>
      <w:r w:rsidRPr="00627966">
        <w:rPr>
          <w:sz w:val="22"/>
        </w:rPr>
        <w:t>Prins</w:t>
      </w:r>
      <w:proofErr w:type="spellEnd"/>
      <w:r w:rsidRPr="00627966">
        <w:rPr>
          <w:sz w:val="22"/>
        </w:rPr>
        <w:t xml:space="preserve">, G, </w:t>
      </w:r>
      <w:proofErr w:type="spellStart"/>
      <w:r w:rsidRPr="00627966">
        <w:rPr>
          <w:sz w:val="22"/>
        </w:rPr>
        <w:t>Galiana</w:t>
      </w:r>
      <w:proofErr w:type="spellEnd"/>
      <w:r w:rsidRPr="00627966">
        <w:rPr>
          <w:sz w:val="22"/>
        </w:rPr>
        <w:t xml:space="preserve">, I, Green, C, </w:t>
      </w:r>
      <w:proofErr w:type="spellStart"/>
      <w:r w:rsidRPr="00627966">
        <w:rPr>
          <w:sz w:val="22"/>
        </w:rPr>
        <w:t>Grundmann</w:t>
      </w:r>
      <w:proofErr w:type="spellEnd"/>
      <w:r w:rsidRPr="00627966">
        <w:rPr>
          <w:sz w:val="22"/>
        </w:rPr>
        <w:t xml:space="preserve">, R, </w:t>
      </w:r>
      <w:proofErr w:type="spellStart"/>
      <w:r w:rsidRPr="00627966">
        <w:rPr>
          <w:sz w:val="22"/>
        </w:rPr>
        <w:t>Hulme</w:t>
      </w:r>
      <w:proofErr w:type="spellEnd"/>
      <w:r w:rsidRPr="00627966">
        <w:rPr>
          <w:sz w:val="22"/>
        </w:rPr>
        <w:t xml:space="preserve">, M, </w:t>
      </w:r>
      <w:proofErr w:type="spellStart"/>
      <w:r w:rsidRPr="00627966">
        <w:rPr>
          <w:sz w:val="22"/>
        </w:rPr>
        <w:t>Korhola</w:t>
      </w:r>
      <w:proofErr w:type="spellEnd"/>
      <w:r w:rsidRPr="00627966">
        <w:rPr>
          <w:sz w:val="22"/>
        </w:rPr>
        <w:t xml:space="preserve">, A, Laird, F, </w:t>
      </w:r>
      <w:proofErr w:type="spellStart"/>
      <w:r w:rsidRPr="00627966">
        <w:rPr>
          <w:sz w:val="22"/>
        </w:rPr>
        <w:t>Nordhaus</w:t>
      </w:r>
      <w:proofErr w:type="spellEnd"/>
      <w:r w:rsidRPr="00627966">
        <w:rPr>
          <w:sz w:val="22"/>
        </w:rPr>
        <w:t xml:space="preserve">, T, </w:t>
      </w:r>
      <w:proofErr w:type="spellStart"/>
      <w:r w:rsidRPr="00627966">
        <w:rPr>
          <w:sz w:val="22"/>
        </w:rPr>
        <w:t>Pielke</w:t>
      </w:r>
      <w:proofErr w:type="spellEnd"/>
      <w:r w:rsidRPr="00627966">
        <w:rPr>
          <w:sz w:val="22"/>
        </w:rPr>
        <w:t xml:space="preserve"> </w:t>
      </w:r>
      <w:proofErr w:type="spellStart"/>
      <w:r w:rsidRPr="00627966">
        <w:rPr>
          <w:sz w:val="22"/>
        </w:rPr>
        <w:t>jnr</w:t>
      </w:r>
      <w:proofErr w:type="spellEnd"/>
      <w:r w:rsidRPr="00627966">
        <w:rPr>
          <w:sz w:val="22"/>
        </w:rPr>
        <w:t xml:space="preserve">, R, </w:t>
      </w:r>
      <w:proofErr w:type="spellStart"/>
      <w:r w:rsidRPr="00627966">
        <w:rPr>
          <w:sz w:val="22"/>
        </w:rPr>
        <w:t>Rayner</w:t>
      </w:r>
      <w:proofErr w:type="spellEnd"/>
      <w:r w:rsidRPr="00627966">
        <w:rPr>
          <w:sz w:val="22"/>
        </w:rPr>
        <w:t xml:space="preserve">, S, </w:t>
      </w:r>
      <w:proofErr w:type="spellStart"/>
      <w:r w:rsidRPr="00627966">
        <w:rPr>
          <w:sz w:val="22"/>
        </w:rPr>
        <w:t>Sarewitz</w:t>
      </w:r>
      <w:proofErr w:type="spellEnd"/>
      <w:r w:rsidRPr="00627966">
        <w:rPr>
          <w:sz w:val="22"/>
        </w:rPr>
        <w:t xml:space="preserve">, D, </w:t>
      </w:r>
      <w:proofErr w:type="spellStart"/>
      <w:r w:rsidRPr="00627966">
        <w:rPr>
          <w:sz w:val="22"/>
        </w:rPr>
        <w:t>Shellenberger</w:t>
      </w:r>
      <w:proofErr w:type="spellEnd"/>
      <w:r w:rsidRPr="00627966">
        <w:rPr>
          <w:sz w:val="22"/>
        </w:rPr>
        <w:t xml:space="preserve">, M, </w:t>
      </w:r>
      <w:proofErr w:type="spellStart"/>
      <w:r w:rsidRPr="00627966">
        <w:rPr>
          <w:sz w:val="22"/>
        </w:rPr>
        <w:t>Stehr</w:t>
      </w:r>
      <w:proofErr w:type="spellEnd"/>
      <w:r w:rsidRPr="00627966">
        <w:rPr>
          <w:sz w:val="22"/>
        </w:rPr>
        <w:t xml:space="preserve">, N &amp; </w:t>
      </w:r>
      <w:proofErr w:type="spellStart"/>
      <w:r w:rsidRPr="00627966">
        <w:rPr>
          <w:sz w:val="22"/>
        </w:rPr>
        <w:t>Tezuka</w:t>
      </w:r>
      <w:proofErr w:type="spellEnd"/>
      <w:r w:rsidRPr="00627966">
        <w:rPr>
          <w:sz w:val="22"/>
        </w:rPr>
        <w:t>, H</w:t>
      </w:r>
      <w:r>
        <w:rPr>
          <w:sz w:val="22"/>
        </w:rPr>
        <w:t>,</w:t>
      </w:r>
      <w:r w:rsidRPr="00627966">
        <w:rPr>
          <w:sz w:val="22"/>
        </w:rPr>
        <w:t xml:space="preserve"> 2010</w:t>
      </w:r>
      <w:r>
        <w:rPr>
          <w:sz w:val="22"/>
        </w:rPr>
        <w:t>,</w:t>
      </w:r>
      <w:r w:rsidRPr="00627966">
        <w:rPr>
          <w:sz w:val="22"/>
        </w:rPr>
        <w:t xml:space="preserve"> </w:t>
      </w:r>
      <w:r w:rsidRPr="00627966">
        <w:rPr>
          <w:i/>
          <w:sz w:val="22"/>
        </w:rPr>
        <w:t>The Hartwell Paper: A new direction for climate policy after the crash of 2009</w:t>
      </w:r>
      <w:r w:rsidRPr="00627966">
        <w:rPr>
          <w:sz w:val="22"/>
        </w:rPr>
        <w:t xml:space="preserve">. </w:t>
      </w:r>
      <w:r>
        <w:rPr>
          <w:sz w:val="22"/>
        </w:rPr>
        <w:t>(</w:t>
      </w:r>
      <w:r w:rsidRPr="00627966">
        <w:rPr>
          <w:sz w:val="22"/>
        </w:rPr>
        <w:t>London School of Economics, London</w:t>
      </w:r>
      <w:bookmarkEnd w:id="25"/>
      <w:r>
        <w:rPr>
          <w:sz w:val="22"/>
        </w:rPr>
        <w:t>)</w:t>
      </w:r>
    </w:p>
    <w:p w:rsidR="00E3624B" w:rsidRPr="00627966" w:rsidRDefault="00E3624B" w:rsidP="00E3624B">
      <w:pPr>
        <w:spacing w:line="240" w:lineRule="auto"/>
        <w:ind w:left="567" w:hanging="567"/>
        <w:rPr>
          <w:sz w:val="22"/>
        </w:rPr>
      </w:pPr>
      <w:bookmarkStart w:id="26" w:name="_ENREF_27"/>
      <w:proofErr w:type="spellStart"/>
      <w:r w:rsidRPr="00627966">
        <w:rPr>
          <w:sz w:val="22"/>
        </w:rPr>
        <w:t>Rathouse</w:t>
      </w:r>
      <w:proofErr w:type="spellEnd"/>
      <w:r w:rsidRPr="00627966">
        <w:rPr>
          <w:sz w:val="22"/>
        </w:rPr>
        <w:t>, K &amp; Devine-Wright, P</w:t>
      </w:r>
      <w:r>
        <w:rPr>
          <w:sz w:val="22"/>
        </w:rPr>
        <w:t>,</w:t>
      </w:r>
      <w:r w:rsidRPr="00627966">
        <w:rPr>
          <w:sz w:val="22"/>
        </w:rPr>
        <w:t xml:space="preserve"> 2010</w:t>
      </w:r>
      <w:r>
        <w:rPr>
          <w:sz w:val="22"/>
        </w:rPr>
        <w:t>,</w:t>
      </w:r>
      <w:r w:rsidRPr="00627966">
        <w:rPr>
          <w:sz w:val="22"/>
        </w:rPr>
        <w:t xml:space="preserve"> E</w:t>
      </w:r>
      <w:r w:rsidRPr="00627966">
        <w:rPr>
          <w:i/>
          <w:sz w:val="22"/>
        </w:rPr>
        <w:t>valuation of the Big Energy Shift</w:t>
      </w:r>
      <w:r w:rsidRPr="00627966">
        <w:rPr>
          <w:sz w:val="22"/>
        </w:rPr>
        <w:t xml:space="preserve">. </w:t>
      </w:r>
      <w:r>
        <w:rPr>
          <w:sz w:val="22"/>
        </w:rPr>
        <w:t>(</w:t>
      </w:r>
      <w:r w:rsidRPr="00627966">
        <w:rPr>
          <w:sz w:val="22"/>
        </w:rPr>
        <w:t xml:space="preserve">Kathryn </w:t>
      </w:r>
      <w:proofErr w:type="spellStart"/>
      <w:r w:rsidRPr="00627966">
        <w:rPr>
          <w:sz w:val="22"/>
        </w:rPr>
        <w:t>Rathouse</w:t>
      </w:r>
      <w:proofErr w:type="spellEnd"/>
      <w:r w:rsidRPr="00627966">
        <w:rPr>
          <w:sz w:val="22"/>
        </w:rPr>
        <w:t xml:space="preserve"> Social Re</w:t>
      </w:r>
      <w:r>
        <w:rPr>
          <w:sz w:val="22"/>
        </w:rPr>
        <w:t xml:space="preserve">search &amp; </w:t>
      </w:r>
      <w:proofErr w:type="spellStart"/>
      <w:r>
        <w:rPr>
          <w:sz w:val="22"/>
        </w:rPr>
        <w:t>Placewise</w:t>
      </w:r>
      <w:proofErr w:type="spellEnd"/>
      <w:r>
        <w:rPr>
          <w:sz w:val="22"/>
        </w:rPr>
        <w:t>, St. Albans)</w:t>
      </w:r>
    </w:p>
    <w:p w:rsidR="00E3624B" w:rsidRPr="00627966" w:rsidRDefault="00E3624B" w:rsidP="00E3624B">
      <w:pPr>
        <w:spacing w:line="240" w:lineRule="auto"/>
        <w:ind w:left="567" w:hanging="567"/>
        <w:rPr>
          <w:sz w:val="22"/>
        </w:rPr>
      </w:pPr>
      <w:r w:rsidRPr="00627966">
        <w:rPr>
          <w:sz w:val="22"/>
        </w:rPr>
        <w:t>Reed, M</w:t>
      </w:r>
      <w:r>
        <w:rPr>
          <w:sz w:val="22"/>
        </w:rPr>
        <w:t>,</w:t>
      </w:r>
      <w:r w:rsidRPr="00627966">
        <w:rPr>
          <w:sz w:val="22"/>
        </w:rPr>
        <w:t xml:space="preserve"> 2008</w:t>
      </w:r>
      <w:r>
        <w:rPr>
          <w:sz w:val="22"/>
        </w:rPr>
        <w:t>,</w:t>
      </w:r>
      <w:r w:rsidRPr="00627966">
        <w:rPr>
          <w:sz w:val="22"/>
        </w:rPr>
        <w:t xml:space="preserve"> Stakeholder participation for environmental management: A literature review. </w:t>
      </w:r>
      <w:r w:rsidRPr="00627966">
        <w:rPr>
          <w:i/>
          <w:sz w:val="22"/>
        </w:rPr>
        <w:t>Biological Conservation</w:t>
      </w:r>
      <w:r w:rsidRPr="00627966">
        <w:rPr>
          <w:sz w:val="22"/>
        </w:rPr>
        <w:t xml:space="preserve"> </w:t>
      </w:r>
      <w:r w:rsidRPr="00153B12">
        <w:rPr>
          <w:b/>
          <w:sz w:val="22"/>
        </w:rPr>
        <w:t>141</w:t>
      </w:r>
      <w:r w:rsidRPr="00627966">
        <w:rPr>
          <w:sz w:val="22"/>
        </w:rPr>
        <w:t>(10): 2417-31.</w:t>
      </w:r>
      <w:bookmarkEnd w:id="26"/>
    </w:p>
    <w:p w:rsidR="00E3624B" w:rsidRPr="00627966" w:rsidRDefault="00E3624B" w:rsidP="00E3624B">
      <w:pPr>
        <w:spacing w:line="240" w:lineRule="auto"/>
        <w:ind w:left="567" w:hanging="567"/>
        <w:rPr>
          <w:sz w:val="22"/>
        </w:rPr>
      </w:pPr>
      <w:bookmarkStart w:id="27" w:name="_ENREF_29"/>
      <w:r w:rsidRPr="00627966">
        <w:rPr>
          <w:sz w:val="22"/>
        </w:rPr>
        <w:t>Sciencewise</w:t>
      </w:r>
      <w:r>
        <w:rPr>
          <w:sz w:val="22"/>
        </w:rPr>
        <w:t>,</w:t>
      </w:r>
      <w:r w:rsidRPr="00627966">
        <w:rPr>
          <w:sz w:val="22"/>
        </w:rPr>
        <w:t xml:space="preserve"> 2011</w:t>
      </w:r>
      <w:r>
        <w:rPr>
          <w:sz w:val="22"/>
        </w:rPr>
        <w:t>,</w:t>
      </w:r>
      <w:r w:rsidRPr="00627966">
        <w:rPr>
          <w:sz w:val="22"/>
        </w:rPr>
        <w:t xml:space="preserve"> </w:t>
      </w:r>
      <w:r w:rsidRPr="00627966">
        <w:rPr>
          <w:i/>
          <w:sz w:val="22"/>
        </w:rPr>
        <w:t>The Benefits of Dialogue</w:t>
      </w:r>
      <w:r w:rsidRPr="00627966">
        <w:rPr>
          <w:sz w:val="22"/>
        </w:rPr>
        <w:t xml:space="preserve">, available at </w:t>
      </w:r>
      <w:r w:rsidRPr="00153B12">
        <w:rPr>
          <w:sz w:val="22"/>
        </w:rPr>
        <w:t>http://www.sciencewise-erc.org.uk/cms/the-benefits-of-dialogue</w:t>
      </w:r>
      <w:r w:rsidRPr="00627966">
        <w:rPr>
          <w:sz w:val="22"/>
        </w:rPr>
        <w:t>, last accessed 10 August 2011</w:t>
      </w:r>
    </w:p>
    <w:p w:rsidR="00E3624B" w:rsidRPr="00627966" w:rsidRDefault="00E3624B" w:rsidP="00E3624B">
      <w:pPr>
        <w:spacing w:line="240" w:lineRule="auto"/>
        <w:ind w:left="567" w:hanging="567"/>
        <w:rPr>
          <w:sz w:val="22"/>
        </w:rPr>
      </w:pPr>
      <w:bookmarkStart w:id="28" w:name="_ENREF_47"/>
      <w:bookmarkStart w:id="29" w:name="_ENREF_30"/>
      <w:bookmarkEnd w:id="27"/>
      <w:r w:rsidRPr="00627966">
        <w:rPr>
          <w:sz w:val="22"/>
        </w:rPr>
        <w:t>Sciencewise</w:t>
      </w:r>
      <w:r>
        <w:rPr>
          <w:sz w:val="22"/>
        </w:rPr>
        <w:t>,</w:t>
      </w:r>
      <w:r w:rsidRPr="00627966">
        <w:rPr>
          <w:sz w:val="22"/>
        </w:rPr>
        <w:t xml:space="preserve"> 2010</w:t>
      </w:r>
      <w:r>
        <w:rPr>
          <w:sz w:val="22"/>
        </w:rPr>
        <w:t>,</w:t>
      </w:r>
      <w:r w:rsidRPr="00627966">
        <w:rPr>
          <w:sz w:val="22"/>
        </w:rPr>
        <w:t xml:space="preserve"> International Comparison of Public Dialogue on Science and Technology, available at </w:t>
      </w:r>
      <w:r w:rsidRPr="00153B12">
        <w:rPr>
          <w:sz w:val="22"/>
        </w:rPr>
        <w:t>http://www.sciencewise-erc.org.uk/cms/assets/Uploads/International-Comparison-of-Public-Dialogue.pdf</w:t>
      </w:r>
      <w:r w:rsidRPr="00627966">
        <w:rPr>
          <w:sz w:val="22"/>
        </w:rPr>
        <w:t>, last accessed 10 August 2011</w:t>
      </w:r>
    </w:p>
    <w:p w:rsidR="00E3624B" w:rsidRPr="00627966" w:rsidRDefault="00E3624B" w:rsidP="00E3624B">
      <w:pPr>
        <w:spacing w:line="240" w:lineRule="auto"/>
        <w:ind w:left="567" w:hanging="567"/>
        <w:rPr>
          <w:sz w:val="22"/>
        </w:rPr>
      </w:pPr>
      <w:proofErr w:type="spellStart"/>
      <w:r w:rsidRPr="00627966">
        <w:rPr>
          <w:sz w:val="22"/>
        </w:rPr>
        <w:lastRenderedPageBreak/>
        <w:t>Siebenhüner</w:t>
      </w:r>
      <w:proofErr w:type="spellEnd"/>
      <w:r w:rsidRPr="00627966">
        <w:rPr>
          <w:sz w:val="22"/>
        </w:rPr>
        <w:t>, B</w:t>
      </w:r>
      <w:r>
        <w:rPr>
          <w:sz w:val="22"/>
        </w:rPr>
        <w:t>,</w:t>
      </w:r>
      <w:r w:rsidRPr="00627966">
        <w:rPr>
          <w:sz w:val="22"/>
        </w:rPr>
        <w:t xml:space="preserve"> 2002</w:t>
      </w:r>
      <w:r>
        <w:rPr>
          <w:sz w:val="22"/>
        </w:rPr>
        <w:t>,</w:t>
      </w:r>
      <w:r w:rsidRPr="00627966">
        <w:rPr>
          <w:sz w:val="22"/>
        </w:rPr>
        <w:t xml:space="preserve"> How do scientific assessments learn? </w:t>
      </w:r>
      <w:proofErr w:type="gramStart"/>
      <w:r w:rsidRPr="00627966">
        <w:rPr>
          <w:sz w:val="22"/>
        </w:rPr>
        <w:t>Part 1.</w:t>
      </w:r>
      <w:proofErr w:type="gramEnd"/>
      <w:r w:rsidRPr="00627966">
        <w:rPr>
          <w:sz w:val="22"/>
        </w:rPr>
        <w:t xml:space="preserve"> Conceptual framework and case study of the IPCC. </w:t>
      </w:r>
      <w:r w:rsidRPr="00627966">
        <w:rPr>
          <w:i/>
          <w:sz w:val="22"/>
        </w:rPr>
        <w:t>Environmental Science &amp; Policy</w:t>
      </w:r>
      <w:r w:rsidRPr="00627966">
        <w:rPr>
          <w:sz w:val="22"/>
        </w:rPr>
        <w:t xml:space="preserve"> </w:t>
      </w:r>
      <w:r w:rsidRPr="00153B12">
        <w:rPr>
          <w:b/>
          <w:sz w:val="22"/>
        </w:rPr>
        <w:t>5</w:t>
      </w:r>
      <w:r>
        <w:rPr>
          <w:sz w:val="22"/>
        </w:rPr>
        <w:t>(5)</w:t>
      </w:r>
      <w:r w:rsidRPr="00627966">
        <w:rPr>
          <w:sz w:val="22"/>
        </w:rPr>
        <w:t xml:space="preserve">: 411-420. </w:t>
      </w:r>
    </w:p>
    <w:p w:rsidR="00E3624B" w:rsidRPr="00627966" w:rsidRDefault="00E3624B" w:rsidP="00E3624B">
      <w:pPr>
        <w:spacing w:line="240" w:lineRule="auto"/>
        <w:ind w:left="567" w:hanging="567"/>
        <w:rPr>
          <w:sz w:val="22"/>
        </w:rPr>
      </w:pPr>
      <w:proofErr w:type="gramStart"/>
      <w:r w:rsidRPr="00627966">
        <w:rPr>
          <w:sz w:val="22"/>
        </w:rPr>
        <w:t>Smith, A &amp; Stirling, A</w:t>
      </w:r>
      <w:r>
        <w:rPr>
          <w:sz w:val="22"/>
        </w:rPr>
        <w:t>,</w:t>
      </w:r>
      <w:r w:rsidRPr="00627966">
        <w:rPr>
          <w:sz w:val="22"/>
        </w:rPr>
        <w:t xml:space="preserve"> 2007</w:t>
      </w:r>
      <w:r>
        <w:rPr>
          <w:sz w:val="22"/>
        </w:rPr>
        <w:t>,</w:t>
      </w:r>
      <w:r w:rsidRPr="00627966">
        <w:rPr>
          <w:sz w:val="22"/>
        </w:rPr>
        <w:t xml:space="preserve"> Moving Outside or Inside?</w:t>
      </w:r>
      <w:proofErr w:type="gramEnd"/>
      <w:r w:rsidRPr="00627966">
        <w:rPr>
          <w:sz w:val="22"/>
        </w:rPr>
        <w:t xml:space="preserve"> </w:t>
      </w:r>
      <w:proofErr w:type="gramStart"/>
      <w:r w:rsidRPr="00627966">
        <w:rPr>
          <w:sz w:val="22"/>
        </w:rPr>
        <w:t>Objectification and Reflexivity in the governance of Socio-Technical Systems.</w:t>
      </w:r>
      <w:proofErr w:type="gramEnd"/>
      <w:r w:rsidRPr="00627966">
        <w:rPr>
          <w:sz w:val="22"/>
        </w:rPr>
        <w:t xml:space="preserve"> </w:t>
      </w:r>
      <w:r w:rsidRPr="00627966">
        <w:rPr>
          <w:i/>
          <w:sz w:val="22"/>
        </w:rPr>
        <w:t>Journal of Environmental Policy and Planning,</w:t>
      </w:r>
      <w:r w:rsidRPr="00627966">
        <w:rPr>
          <w:sz w:val="22"/>
        </w:rPr>
        <w:t xml:space="preserve"> </w:t>
      </w:r>
      <w:r w:rsidRPr="00153B12">
        <w:rPr>
          <w:b/>
          <w:sz w:val="22"/>
        </w:rPr>
        <w:t>8</w:t>
      </w:r>
      <w:r w:rsidRPr="00627966">
        <w:rPr>
          <w:sz w:val="22"/>
        </w:rPr>
        <w:t xml:space="preserve">(3-4): 1-23. </w:t>
      </w:r>
    </w:p>
    <w:p w:rsidR="00E3624B" w:rsidRPr="00627966" w:rsidRDefault="00E3624B" w:rsidP="00E3624B">
      <w:pPr>
        <w:spacing w:line="240" w:lineRule="auto"/>
        <w:ind w:left="567" w:hanging="567"/>
        <w:rPr>
          <w:sz w:val="22"/>
        </w:rPr>
      </w:pPr>
      <w:proofErr w:type="spellStart"/>
      <w:r w:rsidRPr="00627966">
        <w:rPr>
          <w:sz w:val="22"/>
        </w:rPr>
        <w:t>Stagl</w:t>
      </w:r>
      <w:proofErr w:type="spellEnd"/>
      <w:r w:rsidRPr="00627966">
        <w:rPr>
          <w:sz w:val="22"/>
        </w:rPr>
        <w:t>, S</w:t>
      </w:r>
      <w:r>
        <w:rPr>
          <w:sz w:val="22"/>
        </w:rPr>
        <w:t>,</w:t>
      </w:r>
      <w:r w:rsidRPr="00627966">
        <w:rPr>
          <w:b/>
          <w:sz w:val="22"/>
        </w:rPr>
        <w:t xml:space="preserve"> </w:t>
      </w:r>
      <w:r w:rsidRPr="00627966">
        <w:rPr>
          <w:sz w:val="22"/>
        </w:rPr>
        <w:t>2006</w:t>
      </w:r>
      <w:r>
        <w:rPr>
          <w:sz w:val="22"/>
        </w:rPr>
        <w:t>,</w:t>
      </w:r>
      <w:r w:rsidRPr="00627966">
        <w:rPr>
          <w:sz w:val="22"/>
        </w:rPr>
        <w:t xml:space="preserve"> </w:t>
      </w:r>
      <w:proofErr w:type="spellStart"/>
      <w:r w:rsidRPr="00627966">
        <w:rPr>
          <w:sz w:val="22"/>
        </w:rPr>
        <w:t>Multicriteria</w:t>
      </w:r>
      <w:proofErr w:type="spellEnd"/>
      <w:r w:rsidRPr="00627966">
        <w:rPr>
          <w:sz w:val="22"/>
        </w:rPr>
        <w:t xml:space="preserve"> evaluation and public participation: the case of UK energy policy. </w:t>
      </w:r>
      <w:r w:rsidRPr="00627966">
        <w:rPr>
          <w:i/>
          <w:sz w:val="22"/>
        </w:rPr>
        <w:t xml:space="preserve">Land Use Policy </w:t>
      </w:r>
      <w:r w:rsidRPr="00153B12">
        <w:rPr>
          <w:b/>
          <w:sz w:val="22"/>
        </w:rPr>
        <w:t>23</w:t>
      </w:r>
      <w:r w:rsidRPr="00627966">
        <w:rPr>
          <w:sz w:val="22"/>
        </w:rPr>
        <w:t>(1): 53-62</w:t>
      </w:r>
      <w:r>
        <w:rPr>
          <w:sz w:val="22"/>
        </w:rPr>
        <w:t>.</w:t>
      </w:r>
    </w:p>
    <w:p w:rsidR="00E3624B" w:rsidRPr="00627966" w:rsidRDefault="00E3624B" w:rsidP="00E3624B">
      <w:pPr>
        <w:spacing w:line="240" w:lineRule="auto"/>
        <w:ind w:left="567" w:hanging="567"/>
        <w:rPr>
          <w:sz w:val="22"/>
        </w:rPr>
      </w:pPr>
      <w:proofErr w:type="spellStart"/>
      <w:r w:rsidRPr="00627966">
        <w:rPr>
          <w:sz w:val="22"/>
        </w:rPr>
        <w:t>Stilgoe</w:t>
      </w:r>
      <w:proofErr w:type="spellEnd"/>
      <w:r w:rsidRPr="00627966">
        <w:rPr>
          <w:sz w:val="22"/>
        </w:rPr>
        <w:t>, J (ed.)</w:t>
      </w:r>
      <w:r>
        <w:rPr>
          <w:sz w:val="22"/>
        </w:rPr>
        <w:t>,</w:t>
      </w:r>
      <w:r w:rsidRPr="00627966">
        <w:rPr>
          <w:sz w:val="22"/>
        </w:rPr>
        <w:t xml:space="preserve"> 2009</w:t>
      </w:r>
      <w:r>
        <w:rPr>
          <w:sz w:val="22"/>
        </w:rPr>
        <w:t>,</w:t>
      </w:r>
      <w:r w:rsidRPr="00627966">
        <w:rPr>
          <w:sz w:val="22"/>
        </w:rPr>
        <w:t xml:space="preserve"> </w:t>
      </w:r>
      <w:proofErr w:type="gramStart"/>
      <w:r w:rsidRPr="00627966">
        <w:rPr>
          <w:i/>
          <w:sz w:val="22"/>
        </w:rPr>
        <w:t>The</w:t>
      </w:r>
      <w:proofErr w:type="gramEnd"/>
      <w:r w:rsidRPr="00627966">
        <w:rPr>
          <w:i/>
          <w:sz w:val="22"/>
        </w:rPr>
        <w:t xml:space="preserve"> Road Ahead: Public Dialogue on Science and Technology.</w:t>
      </w:r>
      <w:r w:rsidRPr="00627966">
        <w:rPr>
          <w:sz w:val="22"/>
        </w:rPr>
        <w:t xml:space="preserve"> </w:t>
      </w:r>
      <w:r>
        <w:rPr>
          <w:sz w:val="22"/>
        </w:rPr>
        <w:t>(BIS, London)</w:t>
      </w:r>
    </w:p>
    <w:p w:rsidR="00E3624B" w:rsidRPr="00627966" w:rsidRDefault="00E3624B" w:rsidP="00E3624B">
      <w:pPr>
        <w:spacing w:line="240" w:lineRule="auto"/>
        <w:ind w:left="567" w:hanging="567"/>
        <w:rPr>
          <w:sz w:val="22"/>
        </w:rPr>
      </w:pPr>
      <w:r w:rsidRPr="00627966">
        <w:rPr>
          <w:sz w:val="22"/>
        </w:rPr>
        <w:t>Stirling, A</w:t>
      </w:r>
      <w:r>
        <w:rPr>
          <w:sz w:val="22"/>
        </w:rPr>
        <w:t>,</w:t>
      </w:r>
      <w:r w:rsidRPr="00627966">
        <w:rPr>
          <w:sz w:val="22"/>
        </w:rPr>
        <w:t xml:space="preserve"> 2006</w:t>
      </w:r>
      <w:r>
        <w:rPr>
          <w:sz w:val="22"/>
        </w:rPr>
        <w:t>,</w:t>
      </w:r>
      <w:r w:rsidRPr="00627966">
        <w:rPr>
          <w:sz w:val="22"/>
        </w:rPr>
        <w:t xml:space="preserve"> Precaution, foresight and sustainability: reflection and reflexivity in the governance of science and technology. In </w:t>
      </w:r>
      <w:proofErr w:type="spellStart"/>
      <w:r w:rsidRPr="00627966">
        <w:rPr>
          <w:sz w:val="22"/>
        </w:rPr>
        <w:t>Voß</w:t>
      </w:r>
      <w:proofErr w:type="spellEnd"/>
      <w:r w:rsidRPr="00627966">
        <w:rPr>
          <w:sz w:val="22"/>
        </w:rPr>
        <w:t xml:space="preserve">, J-P, </w:t>
      </w:r>
      <w:proofErr w:type="spellStart"/>
      <w:r w:rsidRPr="00627966">
        <w:rPr>
          <w:sz w:val="22"/>
        </w:rPr>
        <w:t>Bauknecht</w:t>
      </w:r>
      <w:proofErr w:type="spellEnd"/>
      <w:r w:rsidRPr="00627966">
        <w:rPr>
          <w:sz w:val="22"/>
        </w:rPr>
        <w:t xml:space="preserve">, D &amp; Kemp, R </w:t>
      </w:r>
      <w:proofErr w:type="spellStart"/>
      <w:proofErr w:type="gramStart"/>
      <w:r w:rsidRPr="00627966">
        <w:rPr>
          <w:sz w:val="22"/>
        </w:rPr>
        <w:t>eds</w:t>
      </w:r>
      <w:proofErr w:type="spellEnd"/>
      <w:proofErr w:type="gramEnd"/>
      <w:r w:rsidRPr="00627966">
        <w:rPr>
          <w:sz w:val="22"/>
        </w:rPr>
        <w:t xml:space="preserve"> </w:t>
      </w:r>
      <w:r w:rsidRPr="00627966">
        <w:rPr>
          <w:i/>
          <w:sz w:val="22"/>
        </w:rPr>
        <w:t xml:space="preserve">Reflexive Governance for Sustainable Development. </w:t>
      </w:r>
      <w:r>
        <w:rPr>
          <w:sz w:val="22"/>
        </w:rPr>
        <w:t>(Edward Elgar: Cheltenham, UK)</w:t>
      </w:r>
    </w:p>
    <w:p w:rsidR="00E3624B" w:rsidRPr="00627966" w:rsidRDefault="00E3624B" w:rsidP="00E3624B">
      <w:pPr>
        <w:spacing w:line="240" w:lineRule="auto"/>
        <w:ind w:left="567" w:hanging="567"/>
        <w:rPr>
          <w:sz w:val="22"/>
        </w:rPr>
      </w:pPr>
      <w:proofErr w:type="gramStart"/>
      <w:r w:rsidRPr="00627966">
        <w:rPr>
          <w:sz w:val="22"/>
        </w:rPr>
        <w:t>Stirling, A</w:t>
      </w:r>
      <w:r>
        <w:rPr>
          <w:sz w:val="22"/>
        </w:rPr>
        <w:t>,</w:t>
      </w:r>
      <w:r w:rsidRPr="00627966">
        <w:rPr>
          <w:sz w:val="22"/>
        </w:rPr>
        <w:t xml:space="preserve"> 2008</w:t>
      </w:r>
      <w:r>
        <w:rPr>
          <w:sz w:val="22"/>
        </w:rPr>
        <w:t>,</w:t>
      </w:r>
      <w:r w:rsidRPr="00627966">
        <w:rPr>
          <w:sz w:val="22"/>
        </w:rPr>
        <w:t xml:space="preserve"> "Opening up" and "Closing down" - Power, participation, and pluralism in the social appraisal of technology.</w:t>
      </w:r>
      <w:proofErr w:type="gramEnd"/>
      <w:r w:rsidRPr="00627966">
        <w:rPr>
          <w:sz w:val="22"/>
        </w:rPr>
        <w:t xml:space="preserve"> </w:t>
      </w:r>
      <w:r w:rsidRPr="00627966">
        <w:rPr>
          <w:i/>
          <w:sz w:val="22"/>
        </w:rPr>
        <w:t>Science Technology &amp; Human Values</w:t>
      </w:r>
      <w:r w:rsidRPr="00627966">
        <w:rPr>
          <w:sz w:val="22"/>
        </w:rPr>
        <w:t xml:space="preserve"> </w:t>
      </w:r>
      <w:r w:rsidRPr="00153B12">
        <w:rPr>
          <w:b/>
          <w:sz w:val="22"/>
        </w:rPr>
        <w:t>33</w:t>
      </w:r>
      <w:r w:rsidRPr="00627966">
        <w:rPr>
          <w:sz w:val="22"/>
        </w:rPr>
        <w:t>(2): 262-94.</w:t>
      </w:r>
      <w:bookmarkEnd w:id="28"/>
    </w:p>
    <w:p w:rsidR="00E3624B" w:rsidRPr="00627966" w:rsidRDefault="00E3624B" w:rsidP="00E3624B">
      <w:pPr>
        <w:spacing w:line="240" w:lineRule="auto"/>
        <w:ind w:left="567" w:hanging="567"/>
        <w:rPr>
          <w:sz w:val="22"/>
        </w:rPr>
      </w:pPr>
      <w:bookmarkStart w:id="30" w:name="_ENREF_48"/>
      <w:bookmarkStart w:id="31" w:name="_ENREF_31"/>
      <w:bookmarkEnd w:id="29"/>
      <w:proofErr w:type="spellStart"/>
      <w:r w:rsidRPr="00627966">
        <w:rPr>
          <w:sz w:val="22"/>
        </w:rPr>
        <w:t>Tewdwr</w:t>
      </w:r>
      <w:proofErr w:type="spellEnd"/>
      <w:r w:rsidRPr="00627966">
        <w:rPr>
          <w:sz w:val="22"/>
        </w:rPr>
        <w:t xml:space="preserve">-Jones, M &amp; </w:t>
      </w:r>
      <w:proofErr w:type="spellStart"/>
      <w:r w:rsidRPr="00627966">
        <w:rPr>
          <w:sz w:val="22"/>
        </w:rPr>
        <w:t>Allmendinger</w:t>
      </w:r>
      <w:proofErr w:type="spellEnd"/>
      <w:r w:rsidRPr="00627966">
        <w:rPr>
          <w:sz w:val="22"/>
        </w:rPr>
        <w:t>, P</w:t>
      </w:r>
      <w:r>
        <w:rPr>
          <w:sz w:val="22"/>
        </w:rPr>
        <w:t>,</w:t>
      </w:r>
      <w:r w:rsidRPr="00627966">
        <w:rPr>
          <w:sz w:val="22"/>
        </w:rPr>
        <w:t xml:space="preserve"> 1998</w:t>
      </w:r>
      <w:r>
        <w:rPr>
          <w:sz w:val="22"/>
        </w:rPr>
        <w:t>,</w:t>
      </w:r>
      <w:r w:rsidRPr="00627966">
        <w:rPr>
          <w:sz w:val="22"/>
        </w:rPr>
        <w:t xml:space="preserve"> Deconstructing communicative rationality: a critique of </w:t>
      </w:r>
      <w:proofErr w:type="spellStart"/>
      <w:r w:rsidRPr="00627966">
        <w:rPr>
          <w:sz w:val="22"/>
        </w:rPr>
        <w:t>Habermasian</w:t>
      </w:r>
      <w:proofErr w:type="spellEnd"/>
      <w:r w:rsidRPr="00627966">
        <w:rPr>
          <w:sz w:val="22"/>
        </w:rPr>
        <w:t xml:space="preserve"> collaborative planning. </w:t>
      </w:r>
      <w:r w:rsidRPr="00627966">
        <w:rPr>
          <w:i/>
          <w:sz w:val="22"/>
        </w:rPr>
        <w:t>Environment and Planning A</w:t>
      </w:r>
      <w:r w:rsidRPr="00627966">
        <w:rPr>
          <w:sz w:val="22"/>
        </w:rPr>
        <w:t xml:space="preserve"> </w:t>
      </w:r>
      <w:r w:rsidRPr="00153B12">
        <w:rPr>
          <w:b/>
          <w:sz w:val="22"/>
        </w:rPr>
        <w:t>30</w:t>
      </w:r>
      <w:r w:rsidRPr="00627966">
        <w:rPr>
          <w:sz w:val="22"/>
        </w:rPr>
        <w:t>(11): 1975-89.</w:t>
      </w:r>
      <w:bookmarkEnd w:id="30"/>
    </w:p>
    <w:p w:rsidR="00E3624B" w:rsidRPr="00627966" w:rsidRDefault="00E3624B" w:rsidP="00E3624B">
      <w:pPr>
        <w:spacing w:line="240" w:lineRule="auto"/>
        <w:ind w:left="567" w:hanging="567"/>
        <w:rPr>
          <w:sz w:val="22"/>
        </w:rPr>
      </w:pPr>
      <w:bookmarkStart w:id="32" w:name="_ENREF_32"/>
      <w:bookmarkEnd w:id="31"/>
      <w:proofErr w:type="gramStart"/>
      <w:r w:rsidRPr="00627966">
        <w:rPr>
          <w:sz w:val="22"/>
        </w:rPr>
        <w:t>TNS-BMRB</w:t>
      </w:r>
      <w:r>
        <w:rPr>
          <w:sz w:val="22"/>
        </w:rPr>
        <w:t>,</w:t>
      </w:r>
      <w:r w:rsidRPr="00627966">
        <w:rPr>
          <w:sz w:val="22"/>
        </w:rPr>
        <w:t xml:space="preserve"> 2011</w:t>
      </w:r>
      <w:r>
        <w:rPr>
          <w:sz w:val="22"/>
        </w:rPr>
        <w:t>,</w:t>
      </w:r>
      <w:r w:rsidRPr="00627966">
        <w:rPr>
          <w:sz w:val="22"/>
        </w:rPr>
        <w:t xml:space="preserve"> </w:t>
      </w:r>
      <w:r w:rsidRPr="00627966">
        <w:rPr>
          <w:i/>
          <w:sz w:val="22"/>
        </w:rPr>
        <w:t>Science, trust and public engagement – exploring fut</w:t>
      </w:r>
      <w:r>
        <w:rPr>
          <w:i/>
          <w:sz w:val="22"/>
        </w:rPr>
        <w:t>ure pathways to good governance.</w:t>
      </w:r>
      <w:proofErr w:type="gramEnd"/>
      <w:r>
        <w:rPr>
          <w:i/>
          <w:sz w:val="22"/>
        </w:rPr>
        <w:t xml:space="preserve"> (</w:t>
      </w:r>
      <w:r w:rsidRPr="00627966">
        <w:rPr>
          <w:sz w:val="22"/>
        </w:rPr>
        <w:t>BIS and Sciencewise –</w:t>
      </w:r>
      <w:r>
        <w:rPr>
          <w:sz w:val="22"/>
        </w:rPr>
        <w:t xml:space="preserve"> Expert Resource Centre, Harwell)</w:t>
      </w:r>
    </w:p>
    <w:p w:rsidR="00E3624B" w:rsidRPr="00627966" w:rsidRDefault="00E3624B" w:rsidP="00E3624B">
      <w:pPr>
        <w:spacing w:line="240" w:lineRule="auto"/>
        <w:ind w:left="567" w:hanging="567"/>
        <w:rPr>
          <w:sz w:val="22"/>
        </w:rPr>
      </w:pPr>
      <w:r w:rsidRPr="00627966">
        <w:rPr>
          <w:sz w:val="22"/>
        </w:rPr>
        <w:t>Warburton, D</w:t>
      </w:r>
      <w:r>
        <w:rPr>
          <w:sz w:val="22"/>
        </w:rPr>
        <w:t>,</w:t>
      </w:r>
      <w:r w:rsidRPr="00627966">
        <w:rPr>
          <w:sz w:val="22"/>
        </w:rPr>
        <w:t xml:space="preserve"> 2010</w:t>
      </w:r>
      <w:r>
        <w:rPr>
          <w:sz w:val="22"/>
        </w:rPr>
        <w:t>,</w:t>
      </w:r>
      <w:r w:rsidRPr="00627966">
        <w:rPr>
          <w:sz w:val="22"/>
        </w:rPr>
        <w:t xml:space="preserve"> </w:t>
      </w:r>
      <w:r w:rsidRPr="00627966">
        <w:rPr>
          <w:i/>
          <w:sz w:val="22"/>
        </w:rPr>
        <w:t>Evaluation of Sciencewise-ERC: Final Report</w:t>
      </w:r>
      <w:r>
        <w:rPr>
          <w:sz w:val="22"/>
        </w:rPr>
        <w:t>. (</w:t>
      </w:r>
      <w:r w:rsidRPr="00627966">
        <w:rPr>
          <w:sz w:val="22"/>
        </w:rPr>
        <w:t xml:space="preserve">Sciencewise – </w:t>
      </w:r>
      <w:r>
        <w:rPr>
          <w:sz w:val="22"/>
        </w:rPr>
        <w:t>Expert Resource Centre, Harwell)</w:t>
      </w:r>
    </w:p>
    <w:p w:rsidR="00E3624B" w:rsidRPr="00627966" w:rsidRDefault="00E3624B" w:rsidP="00E3624B">
      <w:pPr>
        <w:spacing w:line="240" w:lineRule="auto"/>
        <w:ind w:left="567" w:hanging="567"/>
        <w:rPr>
          <w:sz w:val="22"/>
        </w:rPr>
      </w:pPr>
      <w:proofErr w:type="gramStart"/>
      <w:r w:rsidRPr="00627966">
        <w:rPr>
          <w:sz w:val="22"/>
        </w:rPr>
        <w:t>Warburton, D</w:t>
      </w:r>
      <w:r>
        <w:rPr>
          <w:sz w:val="22"/>
        </w:rPr>
        <w:t>,</w:t>
      </w:r>
      <w:r w:rsidRPr="00627966">
        <w:rPr>
          <w:sz w:val="22"/>
        </w:rPr>
        <w:t xml:space="preserve"> 2008</w:t>
      </w:r>
      <w:r>
        <w:rPr>
          <w:sz w:val="22"/>
        </w:rPr>
        <w:t>,</w:t>
      </w:r>
      <w:r w:rsidRPr="00627966">
        <w:rPr>
          <w:sz w:val="22"/>
        </w:rPr>
        <w:t xml:space="preserve"> </w:t>
      </w:r>
      <w:r w:rsidRPr="00627966">
        <w:rPr>
          <w:i/>
          <w:sz w:val="22"/>
        </w:rPr>
        <w:t>Evaluation of the Research Councils UK public dialogue on UK energy research</w:t>
      </w:r>
      <w:r w:rsidRPr="00627966">
        <w:rPr>
          <w:sz w:val="22"/>
        </w:rPr>
        <w:t>.</w:t>
      </w:r>
      <w:proofErr w:type="gramEnd"/>
      <w:r w:rsidRPr="00627966">
        <w:rPr>
          <w:sz w:val="22"/>
        </w:rPr>
        <w:t xml:space="preserve"> </w:t>
      </w:r>
      <w:r>
        <w:rPr>
          <w:sz w:val="22"/>
        </w:rPr>
        <w:t>(Shared Practice, Brighton)</w:t>
      </w:r>
    </w:p>
    <w:p w:rsidR="00E3624B" w:rsidRPr="00627966" w:rsidRDefault="00E3624B" w:rsidP="00E3624B">
      <w:pPr>
        <w:spacing w:line="240" w:lineRule="auto"/>
        <w:ind w:left="567" w:hanging="567"/>
        <w:rPr>
          <w:sz w:val="22"/>
        </w:rPr>
      </w:pPr>
      <w:proofErr w:type="spellStart"/>
      <w:r w:rsidRPr="00627966">
        <w:rPr>
          <w:sz w:val="22"/>
        </w:rPr>
        <w:t>Webler</w:t>
      </w:r>
      <w:proofErr w:type="spellEnd"/>
      <w:r w:rsidRPr="00627966">
        <w:rPr>
          <w:sz w:val="22"/>
        </w:rPr>
        <w:t xml:space="preserve">, T, </w:t>
      </w:r>
      <w:proofErr w:type="spellStart"/>
      <w:r w:rsidRPr="00627966">
        <w:rPr>
          <w:sz w:val="22"/>
        </w:rPr>
        <w:t>Kastenholz</w:t>
      </w:r>
      <w:proofErr w:type="spellEnd"/>
      <w:r w:rsidRPr="00627966">
        <w:rPr>
          <w:sz w:val="22"/>
        </w:rPr>
        <w:t xml:space="preserve">, H &amp; </w:t>
      </w:r>
      <w:proofErr w:type="spellStart"/>
      <w:r w:rsidRPr="00627966">
        <w:rPr>
          <w:sz w:val="22"/>
        </w:rPr>
        <w:t>Renn</w:t>
      </w:r>
      <w:proofErr w:type="spellEnd"/>
      <w:r w:rsidRPr="00627966">
        <w:rPr>
          <w:sz w:val="22"/>
        </w:rPr>
        <w:t>, O</w:t>
      </w:r>
      <w:r>
        <w:rPr>
          <w:sz w:val="22"/>
        </w:rPr>
        <w:t>,</w:t>
      </w:r>
      <w:r w:rsidRPr="00627966">
        <w:rPr>
          <w:sz w:val="22"/>
        </w:rPr>
        <w:t xml:space="preserve"> 1995</w:t>
      </w:r>
      <w:r>
        <w:rPr>
          <w:sz w:val="22"/>
        </w:rPr>
        <w:t>,</w:t>
      </w:r>
      <w:r w:rsidRPr="00627966">
        <w:rPr>
          <w:sz w:val="22"/>
        </w:rPr>
        <w:t xml:space="preserve"> Public participation in impact assessment: a social learning perspective. </w:t>
      </w:r>
      <w:r w:rsidRPr="00627966">
        <w:rPr>
          <w:i/>
          <w:sz w:val="22"/>
        </w:rPr>
        <w:t>Environmental Impact Assessment Review</w:t>
      </w:r>
      <w:r w:rsidRPr="00627966">
        <w:rPr>
          <w:sz w:val="22"/>
        </w:rPr>
        <w:t xml:space="preserve"> </w:t>
      </w:r>
      <w:r w:rsidRPr="00153B12">
        <w:rPr>
          <w:b/>
          <w:sz w:val="22"/>
        </w:rPr>
        <w:t>15</w:t>
      </w:r>
      <w:r w:rsidRPr="00627966">
        <w:rPr>
          <w:sz w:val="22"/>
        </w:rPr>
        <w:t xml:space="preserve"> (5): 443-63.</w:t>
      </w:r>
      <w:bookmarkEnd w:id="32"/>
    </w:p>
    <w:p w:rsidR="00E3624B" w:rsidRPr="00627966" w:rsidRDefault="00E3624B" w:rsidP="00E3624B">
      <w:pPr>
        <w:spacing w:line="240" w:lineRule="auto"/>
        <w:ind w:left="567" w:hanging="567"/>
        <w:rPr>
          <w:sz w:val="22"/>
        </w:rPr>
      </w:pPr>
      <w:bookmarkStart w:id="33" w:name="_ENREF_33"/>
      <w:proofErr w:type="spellStart"/>
      <w:r w:rsidRPr="00627966">
        <w:rPr>
          <w:sz w:val="22"/>
        </w:rPr>
        <w:t>Wilsdon</w:t>
      </w:r>
      <w:proofErr w:type="spellEnd"/>
      <w:r w:rsidRPr="00627966">
        <w:rPr>
          <w:sz w:val="22"/>
        </w:rPr>
        <w:t>, J &amp; Willis, R</w:t>
      </w:r>
      <w:r>
        <w:rPr>
          <w:sz w:val="22"/>
        </w:rPr>
        <w:t>,</w:t>
      </w:r>
      <w:r w:rsidRPr="00627966">
        <w:rPr>
          <w:sz w:val="22"/>
        </w:rPr>
        <w:t xml:space="preserve"> 2004</w:t>
      </w:r>
      <w:r>
        <w:rPr>
          <w:sz w:val="22"/>
        </w:rPr>
        <w:t>,</w:t>
      </w:r>
      <w:r w:rsidRPr="00627966">
        <w:rPr>
          <w:sz w:val="22"/>
        </w:rPr>
        <w:t xml:space="preserve"> </w:t>
      </w:r>
      <w:r w:rsidRPr="00627966">
        <w:rPr>
          <w:i/>
          <w:sz w:val="22"/>
        </w:rPr>
        <w:t>See-through Science: why public engagement needs to move upstream</w:t>
      </w:r>
      <w:r w:rsidRPr="00627966">
        <w:rPr>
          <w:sz w:val="22"/>
        </w:rPr>
        <w:t xml:space="preserve">. </w:t>
      </w:r>
      <w:r>
        <w:rPr>
          <w:sz w:val="22"/>
        </w:rPr>
        <w:t>(</w:t>
      </w:r>
      <w:r w:rsidRPr="00627966">
        <w:rPr>
          <w:sz w:val="22"/>
        </w:rPr>
        <w:t>Demos, London</w:t>
      </w:r>
      <w:bookmarkEnd w:id="33"/>
      <w:r>
        <w:rPr>
          <w:sz w:val="22"/>
        </w:rPr>
        <w:t>)</w:t>
      </w:r>
    </w:p>
    <w:p w:rsidR="00E3624B" w:rsidRPr="00627966" w:rsidRDefault="00E3624B" w:rsidP="00E3624B">
      <w:pPr>
        <w:spacing w:line="240" w:lineRule="auto"/>
        <w:ind w:left="567" w:hanging="567"/>
        <w:rPr>
          <w:sz w:val="22"/>
        </w:rPr>
      </w:pPr>
      <w:bookmarkStart w:id="34" w:name="_ENREF_34"/>
      <w:proofErr w:type="gramStart"/>
      <w:r w:rsidRPr="00627966">
        <w:rPr>
          <w:sz w:val="22"/>
        </w:rPr>
        <w:t>Wynne, B</w:t>
      </w:r>
      <w:r>
        <w:rPr>
          <w:sz w:val="22"/>
        </w:rPr>
        <w:t>,</w:t>
      </w:r>
      <w:r w:rsidRPr="00627966">
        <w:rPr>
          <w:sz w:val="22"/>
        </w:rPr>
        <w:t xml:space="preserve"> 2006</w:t>
      </w:r>
      <w:r>
        <w:rPr>
          <w:sz w:val="22"/>
        </w:rPr>
        <w:t>,</w:t>
      </w:r>
      <w:r w:rsidRPr="00627966">
        <w:rPr>
          <w:sz w:val="22"/>
        </w:rPr>
        <w:t xml:space="preserve"> Public engagement as a means of restoring public trust in science - Hitting the notes, but missing the music?</w:t>
      </w:r>
      <w:proofErr w:type="gramEnd"/>
      <w:r w:rsidRPr="00627966">
        <w:rPr>
          <w:sz w:val="22"/>
        </w:rPr>
        <w:t xml:space="preserve"> </w:t>
      </w:r>
      <w:r w:rsidRPr="00627966">
        <w:rPr>
          <w:i/>
          <w:sz w:val="22"/>
        </w:rPr>
        <w:t>Community Genetics</w:t>
      </w:r>
      <w:r w:rsidRPr="00627966">
        <w:rPr>
          <w:sz w:val="22"/>
        </w:rPr>
        <w:t xml:space="preserve"> </w:t>
      </w:r>
      <w:r w:rsidRPr="00153B12">
        <w:rPr>
          <w:b/>
          <w:sz w:val="22"/>
        </w:rPr>
        <w:t>9</w:t>
      </w:r>
      <w:r w:rsidRPr="00627966">
        <w:rPr>
          <w:sz w:val="22"/>
        </w:rPr>
        <w:t xml:space="preserve"> (3): 211-20.</w:t>
      </w:r>
      <w:bookmarkEnd w:id="34"/>
    </w:p>
    <w:sectPr w:rsidR="00E3624B" w:rsidRPr="00627966" w:rsidSect="00A3687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1F22" w:rsidRDefault="00991F22" w:rsidP="00E3624B">
      <w:pPr>
        <w:spacing w:line="240" w:lineRule="auto"/>
      </w:pPr>
      <w:r>
        <w:separator/>
      </w:r>
    </w:p>
  </w:endnote>
  <w:endnote w:type="continuationSeparator" w:id="0">
    <w:p w:rsidR="00991F22" w:rsidRDefault="00991F22" w:rsidP="00E3624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1344022"/>
      <w:docPartObj>
        <w:docPartGallery w:val="Page Numbers (Bottom of Page)"/>
        <w:docPartUnique/>
      </w:docPartObj>
    </w:sdtPr>
    <w:sdtEndPr>
      <w:rPr>
        <w:noProof/>
      </w:rPr>
    </w:sdtEndPr>
    <w:sdtContent>
      <w:p w:rsidR="00E3624B" w:rsidRDefault="0042008D">
        <w:pPr>
          <w:pStyle w:val="Footer"/>
          <w:jc w:val="right"/>
        </w:pPr>
        <w:r>
          <w:fldChar w:fldCharType="begin"/>
        </w:r>
        <w:r w:rsidR="00E3624B">
          <w:instrText xml:space="preserve"> PAGE   \* MERGEFORMAT </w:instrText>
        </w:r>
        <w:r>
          <w:fldChar w:fldCharType="separate"/>
        </w:r>
        <w:r w:rsidR="005F5E2A">
          <w:rPr>
            <w:noProof/>
          </w:rPr>
          <w:t>1</w:t>
        </w:r>
        <w:r>
          <w:rPr>
            <w:noProof/>
          </w:rPr>
          <w:fldChar w:fldCharType="end"/>
        </w:r>
      </w:p>
    </w:sdtContent>
  </w:sdt>
  <w:p w:rsidR="00E3624B" w:rsidRDefault="00E362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1F22" w:rsidRDefault="00991F22" w:rsidP="00E3624B">
      <w:pPr>
        <w:spacing w:line="240" w:lineRule="auto"/>
      </w:pPr>
      <w:r>
        <w:separator/>
      </w:r>
    </w:p>
  </w:footnote>
  <w:footnote w:type="continuationSeparator" w:id="0">
    <w:p w:rsidR="00991F22" w:rsidRDefault="00991F22" w:rsidP="00E3624B">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2780C"/>
    <w:multiLevelType w:val="hybridMultilevel"/>
    <w:tmpl w:val="73866EC4"/>
    <w:lvl w:ilvl="0" w:tplc="87F66DBE">
      <w:start w:val="1"/>
      <w:numFmt w:val="bullet"/>
      <w:lvlText w:val="-"/>
      <w:lvlJc w:val="left"/>
      <w:pPr>
        <w:ind w:left="720" w:hanging="360"/>
      </w:pPr>
      <w:rPr>
        <w:rFonts w:ascii="Times New Roman" w:eastAsiaTheme="majorEastAsia" w:hAnsi="Times New Roman" w:cstheme="maj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8094436"/>
    <w:multiLevelType w:val="hybridMultilevel"/>
    <w:tmpl w:val="4B84649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5B7438B6"/>
    <w:multiLevelType w:val="hybridMultilevel"/>
    <w:tmpl w:val="C77A29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E82BEB"/>
    <w:rsid w:val="00260DA1"/>
    <w:rsid w:val="00360869"/>
    <w:rsid w:val="0042008D"/>
    <w:rsid w:val="004705BD"/>
    <w:rsid w:val="005F5E2A"/>
    <w:rsid w:val="00606C68"/>
    <w:rsid w:val="00800795"/>
    <w:rsid w:val="00991F22"/>
    <w:rsid w:val="00A36879"/>
    <w:rsid w:val="00E3624B"/>
    <w:rsid w:val="00E82BE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0869"/>
    <w:pPr>
      <w:spacing w:after="0" w:line="360" w:lineRule="auto"/>
    </w:pPr>
    <w:rPr>
      <w:rFonts w:ascii="Times New Roman" w:hAnsi="Times New Roman"/>
      <w:sz w:val="24"/>
    </w:rPr>
  </w:style>
  <w:style w:type="paragraph" w:styleId="Heading1">
    <w:name w:val="heading 1"/>
    <w:basedOn w:val="Normal"/>
    <w:next w:val="Normal"/>
    <w:link w:val="Heading1Char"/>
    <w:uiPriority w:val="9"/>
    <w:qFormat/>
    <w:rsid w:val="00360869"/>
    <w:pPr>
      <w:spacing w:before="480"/>
      <w:ind w:firstLine="720"/>
      <w:contextualSpacing/>
      <w:outlineLvl w:val="0"/>
    </w:pPr>
    <w:rPr>
      <w:rFonts w:eastAsiaTheme="majorEastAsia" w:cstheme="majorBidi"/>
      <w:spacing w:val="5"/>
      <w:sz w:val="32"/>
      <w:szCs w:val="36"/>
    </w:rPr>
  </w:style>
  <w:style w:type="paragraph" w:styleId="Heading2">
    <w:name w:val="heading 2"/>
    <w:basedOn w:val="Normal"/>
    <w:next w:val="Normal"/>
    <w:link w:val="Heading2Char"/>
    <w:uiPriority w:val="9"/>
    <w:unhideWhenUsed/>
    <w:qFormat/>
    <w:rsid w:val="00360869"/>
    <w:pPr>
      <w:spacing w:before="200" w:line="271" w:lineRule="auto"/>
      <w:ind w:firstLine="720"/>
      <w:outlineLvl w:val="1"/>
    </w:pPr>
    <w:rPr>
      <w:rFonts w:eastAsiaTheme="majorEastAsia" w:cstheme="majorBidi"/>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82BEB"/>
    <w:pPr>
      <w:spacing w:after="300" w:line="240" w:lineRule="auto"/>
      <w:ind w:firstLine="720"/>
      <w:contextualSpacing/>
    </w:pPr>
    <w:rPr>
      <w:rFonts w:eastAsiaTheme="majorEastAsia" w:cstheme="majorBidi"/>
      <w:sz w:val="40"/>
      <w:szCs w:val="52"/>
    </w:rPr>
  </w:style>
  <w:style w:type="character" w:customStyle="1" w:styleId="TitleChar">
    <w:name w:val="Title Char"/>
    <w:basedOn w:val="DefaultParagraphFont"/>
    <w:link w:val="Title"/>
    <w:uiPriority w:val="10"/>
    <w:rsid w:val="00E82BEB"/>
    <w:rPr>
      <w:rFonts w:ascii="Times New Roman" w:eastAsiaTheme="majorEastAsia" w:hAnsi="Times New Roman" w:cstheme="majorBidi"/>
      <w:sz w:val="40"/>
      <w:szCs w:val="52"/>
    </w:rPr>
  </w:style>
  <w:style w:type="character" w:styleId="Hyperlink">
    <w:name w:val="Hyperlink"/>
    <w:basedOn w:val="DefaultParagraphFont"/>
    <w:uiPriority w:val="99"/>
    <w:unhideWhenUsed/>
    <w:rsid w:val="00E82BEB"/>
    <w:rPr>
      <w:color w:val="0000FF" w:themeColor="hyperlink"/>
      <w:u w:val="single"/>
    </w:rPr>
  </w:style>
  <w:style w:type="character" w:customStyle="1" w:styleId="Heading1Char">
    <w:name w:val="Heading 1 Char"/>
    <w:basedOn w:val="DefaultParagraphFont"/>
    <w:link w:val="Heading1"/>
    <w:uiPriority w:val="9"/>
    <w:rsid w:val="00360869"/>
    <w:rPr>
      <w:rFonts w:ascii="Times New Roman" w:eastAsiaTheme="majorEastAsia" w:hAnsi="Times New Roman" w:cstheme="majorBidi"/>
      <w:spacing w:val="5"/>
      <w:sz w:val="32"/>
      <w:szCs w:val="36"/>
    </w:rPr>
  </w:style>
  <w:style w:type="character" w:customStyle="1" w:styleId="Heading2Char">
    <w:name w:val="Heading 2 Char"/>
    <w:basedOn w:val="DefaultParagraphFont"/>
    <w:link w:val="Heading2"/>
    <w:uiPriority w:val="9"/>
    <w:rsid w:val="00360869"/>
    <w:rPr>
      <w:rFonts w:ascii="Times New Roman" w:eastAsiaTheme="majorEastAsia" w:hAnsi="Times New Roman" w:cstheme="majorBidi"/>
      <w:i/>
      <w:sz w:val="28"/>
      <w:szCs w:val="28"/>
    </w:rPr>
  </w:style>
  <w:style w:type="character" w:styleId="CommentReference">
    <w:name w:val="annotation reference"/>
    <w:basedOn w:val="DefaultParagraphFont"/>
    <w:uiPriority w:val="99"/>
    <w:semiHidden/>
    <w:unhideWhenUsed/>
    <w:rsid w:val="00360869"/>
    <w:rPr>
      <w:sz w:val="18"/>
      <w:szCs w:val="18"/>
    </w:rPr>
  </w:style>
  <w:style w:type="paragraph" w:styleId="CommentText">
    <w:name w:val="annotation text"/>
    <w:basedOn w:val="Normal"/>
    <w:link w:val="CommentTextChar"/>
    <w:uiPriority w:val="99"/>
    <w:semiHidden/>
    <w:unhideWhenUsed/>
    <w:rsid w:val="00360869"/>
    <w:pPr>
      <w:spacing w:line="240" w:lineRule="auto"/>
      <w:ind w:firstLine="720"/>
    </w:pPr>
    <w:rPr>
      <w:rFonts w:eastAsiaTheme="majorEastAsia" w:cstheme="majorBidi"/>
      <w:szCs w:val="24"/>
    </w:rPr>
  </w:style>
  <w:style w:type="character" w:customStyle="1" w:styleId="CommentTextChar">
    <w:name w:val="Comment Text Char"/>
    <w:basedOn w:val="DefaultParagraphFont"/>
    <w:link w:val="CommentText"/>
    <w:uiPriority w:val="99"/>
    <w:semiHidden/>
    <w:rsid w:val="00360869"/>
    <w:rPr>
      <w:rFonts w:ascii="Times New Roman" w:eastAsiaTheme="majorEastAsia" w:hAnsi="Times New Roman" w:cstheme="majorBidi"/>
      <w:sz w:val="24"/>
      <w:szCs w:val="24"/>
    </w:rPr>
  </w:style>
  <w:style w:type="paragraph" w:styleId="BalloonText">
    <w:name w:val="Balloon Text"/>
    <w:basedOn w:val="Normal"/>
    <w:link w:val="BalloonTextChar"/>
    <w:uiPriority w:val="99"/>
    <w:semiHidden/>
    <w:unhideWhenUsed/>
    <w:rsid w:val="0036086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0869"/>
    <w:rPr>
      <w:rFonts w:ascii="Tahoma" w:hAnsi="Tahoma" w:cs="Tahoma"/>
      <w:sz w:val="16"/>
      <w:szCs w:val="16"/>
    </w:rPr>
  </w:style>
  <w:style w:type="table" w:styleId="MediumShading2">
    <w:name w:val="Medium Shading 2"/>
    <w:basedOn w:val="TableNormal"/>
    <w:uiPriority w:val="64"/>
    <w:rsid w:val="00A36879"/>
    <w:pPr>
      <w:spacing w:after="0" w:line="240" w:lineRule="auto"/>
    </w:pPr>
    <w:rPr>
      <w:rFonts w:asciiTheme="majorHAnsi" w:eastAsiaTheme="majorEastAsia" w:hAnsiTheme="majorHAnsi" w:cstheme="majorBid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List">
    <w:name w:val="Light List"/>
    <w:basedOn w:val="TableNormal"/>
    <w:uiPriority w:val="61"/>
    <w:rsid w:val="00A3687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E3624B"/>
    <w:pPr>
      <w:tabs>
        <w:tab w:val="center" w:pos="4513"/>
        <w:tab w:val="right" w:pos="9026"/>
      </w:tabs>
      <w:spacing w:line="240" w:lineRule="auto"/>
    </w:pPr>
  </w:style>
  <w:style w:type="character" w:customStyle="1" w:styleId="HeaderChar">
    <w:name w:val="Header Char"/>
    <w:basedOn w:val="DefaultParagraphFont"/>
    <w:link w:val="Header"/>
    <w:uiPriority w:val="99"/>
    <w:rsid w:val="00E3624B"/>
    <w:rPr>
      <w:rFonts w:ascii="Times New Roman" w:hAnsi="Times New Roman"/>
      <w:sz w:val="24"/>
    </w:rPr>
  </w:style>
  <w:style w:type="paragraph" w:styleId="Footer">
    <w:name w:val="footer"/>
    <w:basedOn w:val="Normal"/>
    <w:link w:val="FooterChar"/>
    <w:uiPriority w:val="99"/>
    <w:unhideWhenUsed/>
    <w:rsid w:val="00E3624B"/>
    <w:pPr>
      <w:tabs>
        <w:tab w:val="center" w:pos="4513"/>
        <w:tab w:val="right" w:pos="9026"/>
      </w:tabs>
      <w:spacing w:line="240" w:lineRule="auto"/>
    </w:pPr>
  </w:style>
  <w:style w:type="character" w:customStyle="1" w:styleId="FooterChar">
    <w:name w:val="Footer Char"/>
    <w:basedOn w:val="DefaultParagraphFont"/>
    <w:link w:val="Footer"/>
    <w:uiPriority w:val="99"/>
    <w:rsid w:val="00E3624B"/>
    <w:rPr>
      <w:rFonts w:ascii="Times New Roman" w:hAnsi="Times New Roman"/>
      <w:sz w:val="24"/>
    </w:rPr>
  </w:style>
  <w:style w:type="paragraph" w:styleId="DocumentMap">
    <w:name w:val="Document Map"/>
    <w:basedOn w:val="Normal"/>
    <w:link w:val="DocumentMapChar"/>
    <w:uiPriority w:val="99"/>
    <w:semiHidden/>
    <w:unhideWhenUsed/>
    <w:rsid w:val="005F5E2A"/>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5F5E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0869"/>
    <w:pPr>
      <w:spacing w:after="0" w:line="360" w:lineRule="auto"/>
    </w:pPr>
    <w:rPr>
      <w:rFonts w:ascii="Times New Roman" w:hAnsi="Times New Roman"/>
      <w:sz w:val="24"/>
    </w:rPr>
  </w:style>
  <w:style w:type="paragraph" w:styleId="Heading1">
    <w:name w:val="heading 1"/>
    <w:basedOn w:val="Normal"/>
    <w:next w:val="Normal"/>
    <w:link w:val="Heading1Char"/>
    <w:uiPriority w:val="9"/>
    <w:qFormat/>
    <w:rsid w:val="00360869"/>
    <w:pPr>
      <w:spacing w:before="480"/>
      <w:ind w:firstLine="720"/>
      <w:contextualSpacing/>
      <w:outlineLvl w:val="0"/>
    </w:pPr>
    <w:rPr>
      <w:rFonts w:eastAsiaTheme="majorEastAsia" w:cstheme="majorBidi"/>
      <w:spacing w:val="5"/>
      <w:sz w:val="32"/>
      <w:szCs w:val="36"/>
    </w:rPr>
  </w:style>
  <w:style w:type="paragraph" w:styleId="Heading2">
    <w:name w:val="heading 2"/>
    <w:basedOn w:val="Normal"/>
    <w:next w:val="Normal"/>
    <w:link w:val="Heading2Char"/>
    <w:uiPriority w:val="9"/>
    <w:unhideWhenUsed/>
    <w:qFormat/>
    <w:rsid w:val="00360869"/>
    <w:pPr>
      <w:spacing w:before="200" w:line="271" w:lineRule="auto"/>
      <w:ind w:firstLine="720"/>
      <w:outlineLvl w:val="1"/>
    </w:pPr>
    <w:rPr>
      <w:rFonts w:eastAsiaTheme="majorEastAsia" w:cstheme="majorBidi"/>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82BEB"/>
    <w:pPr>
      <w:spacing w:after="300" w:line="240" w:lineRule="auto"/>
      <w:ind w:firstLine="720"/>
      <w:contextualSpacing/>
    </w:pPr>
    <w:rPr>
      <w:rFonts w:eastAsiaTheme="majorEastAsia" w:cstheme="majorBidi"/>
      <w:sz w:val="40"/>
      <w:szCs w:val="52"/>
    </w:rPr>
  </w:style>
  <w:style w:type="character" w:customStyle="1" w:styleId="TitleChar">
    <w:name w:val="Title Char"/>
    <w:basedOn w:val="DefaultParagraphFont"/>
    <w:link w:val="Title"/>
    <w:uiPriority w:val="10"/>
    <w:rsid w:val="00E82BEB"/>
    <w:rPr>
      <w:rFonts w:ascii="Times New Roman" w:eastAsiaTheme="majorEastAsia" w:hAnsi="Times New Roman" w:cstheme="majorBidi"/>
      <w:sz w:val="40"/>
      <w:szCs w:val="52"/>
    </w:rPr>
  </w:style>
  <w:style w:type="character" w:styleId="Hyperlink">
    <w:name w:val="Hyperlink"/>
    <w:basedOn w:val="DefaultParagraphFont"/>
    <w:uiPriority w:val="99"/>
    <w:unhideWhenUsed/>
    <w:rsid w:val="00E82BEB"/>
    <w:rPr>
      <w:color w:val="0000FF" w:themeColor="hyperlink"/>
      <w:u w:val="single"/>
    </w:rPr>
  </w:style>
  <w:style w:type="character" w:customStyle="1" w:styleId="Heading1Char">
    <w:name w:val="Heading 1 Char"/>
    <w:basedOn w:val="DefaultParagraphFont"/>
    <w:link w:val="Heading1"/>
    <w:uiPriority w:val="9"/>
    <w:rsid w:val="00360869"/>
    <w:rPr>
      <w:rFonts w:ascii="Times New Roman" w:eastAsiaTheme="majorEastAsia" w:hAnsi="Times New Roman" w:cstheme="majorBidi"/>
      <w:spacing w:val="5"/>
      <w:sz w:val="32"/>
      <w:szCs w:val="36"/>
    </w:rPr>
  </w:style>
  <w:style w:type="character" w:customStyle="1" w:styleId="Heading2Char">
    <w:name w:val="Heading 2 Char"/>
    <w:basedOn w:val="DefaultParagraphFont"/>
    <w:link w:val="Heading2"/>
    <w:uiPriority w:val="9"/>
    <w:rsid w:val="00360869"/>
    <w:rPr>
      <w:rFonts w:ascii="Times New Roman" w:eastAsiaTheme="majorEastAsia" w:hAnsi="Times New Roman" w:cstheme="majorBidi"/>
      <w:i/>
      <w:sz w:val="28"/>
      <w:szCs w:val="28"/>
    </w:rPr>
  </w:style>
  <w:style w:type="character" w:styleId="CommentReference">
    <w:name w:val="annotation reference"/>
    <w:basedOn w:val="DefaultParagraphFont"/>
    <w:uiPriority w:val="99"/>
    <w:semiHidden/>
    <w:unhideWhenUsed/>
    <w:rsid w:val="00360869"/>
    <w:rPr>
      <w:sz w:val="18"/>
      <w:szCs w:val="18"/>
    </w:rPr>
  </w:style>
  <w:style w:type="paragraph" w:styleId="CommentText">
    <w:name w:val="annotation text"/>
    <w:basedOn w:val="Normal"/>
    <w:link w:val="CommentTextChar"/>
    <w:uiPriority w:val="99"/>
    <w:semiHidden/>
    <w:unhideWhenUsed/>
    <w:rsid w:val="00360869"/>
    <w:pPr>
      <w:spacing w:line="240" w:lineRule="auto"/>
      <w:ind w:firstLine="720"/>
    </w:pPr>
    <w:rPr>
      <w:rFonts w:eastAsiaTheme="majorEastAsia" w:cstheme="majorBidi"/>
      <w:szCs w:val="24"/>
    </w:rPr>
  </w:style>
  <w:style w:type="character" w:customStyle="1" w:styleId="CommentTextChar">
    <w:name w:val="Comment Text Char"/>
    <w:basedOn w:val="DefaultParagraphFont"/>
    <w:link w:val="CommentText"/>
    <w:uiPriority w:val="99"/>
    <w:semiHidden/>
    <w:rsid w:val="00360869"/>
    <w:rPr>
      <w:rFonts w:ascii="Times New Roman" w:eastAsiaTheme="majorEastAsia" w:hAnsi="Times New Roman" w:cstheme="majorBidi"/>
      <w:sz w:val="24"/>
      <w:szCs w:val="24"/>
    </w:rPr>
  </w:style>
  <w:style w:type="paragraph" w:styleId="BalloonText">
    <w:name w:val="Balloon Text"/>
    <w:basedOn w:val="Normal"/>
    <w:link w:val="BalloonTextChar"/>
    <w:uiPriority w:val="99"/>
    <w:semiHidden/>
    <w:unhideWhenUsed/>
    <w:rsid w:val="0036086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0869"/>
    <w:rPr>
      <w:rFonts w:ascii="Tahoma" w:hAnsi="Tahoma" w:cs="Tahoma"/>
      <w:sz w:val="16"/>
      <w:szCs w:val="16"/>
    </w:rPr>
  </w:style>
  <w:style w:type="table" w:styleId="MediumShading2">
    <w:name w:val="Medium Shading 2"/>
    <w:basedOn w:val="TableNormal"/>
    <w:uiPriority w:val="64"/>
    <w:rsid w:val="00A36879"/>
    <w:pPr>
      <w:spacing w:after="0" w:line="240" w:lineRule="auto"/>
    </w:pPr>
    <w:rPr>
      <w:rFonts w:asciiTheme="majorHAnsi" w:eastAsiaTheme="majorEastAsia" w:hAnsiTheme="majorHAnsi" w:cstheme="majorBid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List">
    <w:name w:val="Light List"/>
    <w:basedOn w:val="TableNormal"/>
    <w:uiPriority w:val="61"/>
    <w:rsid w:val="00A3687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E3624B"/>
    <w:pPr>
      <w:tabs>
        <w:tab w:val="center" w:pos="4513"/>
        <w:tab w:val="right" w:pos="9026"/>
      </w:tabs>
      <w:spacing w:line="240" w:lineRule="auto"/>
    </w:pPr>
  </w:style>
  <w:style w:type="character" w:customStyle="1" w:styleId="HeaderChar">
    <w:name w:val="Header Char"/>
    <w:basedOn w:val="DefaultParagraphFont"/>
    <w:link w:val="Header"/>
    <w:uiPriority w:val="99"/>
    <w:rsid w:val="00E3624B"/>
    <w:rPr>
      <w:rFonts w:ascii="Times New Roman" w:hAnsi="Times New Roman"/>
      <w:sz w:val="24"/>
    </w:rPr>
  </w:style>
  <w:style w:type="paragraph" w:styleId="Footer">
    <w:name w:val="footer"/>
    <w:basedOn w:val="Normal"/>
    <w:link w:val="FooterChar"/>
    <w:uiPriority w:val="99"/>
    <w:unhideWhenUsed/>
    <w:rsid w:val="00E3624B"/>
    <w:pPr>
      <w:tabs>
        <w:tab w:val="center" w:pos="4513"/>
        <w:tab w:val="right" w:pos="9026"/>
      </w:tabs>
      <w:spacing w:line="240" w:lineRule="auto"/>
    </w:pPr>
  </w:style>
  <w:style w:type="character" w:customStyle="1" w:styleId="FooterChar">
    <w:name w:val="Footer Char"/>
    <w:basedOn w:val="DefaultParagraphFont"/>
    <w:link w:val="Footer"/>
    <w:uiPriority w:val="99"/>
    <w:rsid w:val="00E3624B"/>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son.chilvers@uea.ac.uk" TargetMode="External"/><Relationship Id="rId3" Type="http://schemas.openxmlformats.org/officeDocument/2006/relationships/settings" Target="settings.xml"/><Relationship Id="rId7" Type="http://schemas.openxmlformats.org/officeDocument/2006/relationships/hyperlink" Target="mailto:h.pallett@uea.ac.uk"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10579</Words>
  <Characters>60304</Characters>
  <Application>Microsoft Office Word</Application>
  <DocSecurity>0</DocSecurity>
  <Lines>502</Lines>
  <Paragraphs>141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70742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Pallett</cp:lastModifiedBy>
  <cp:revision>2</cp:revision>
  <dcterms:created xsi:type="dcterms:W3CDTF">2012-01-05T14:03:00Z</dcterms:created>
  <dcterms:modified xsi:type="dcterms:W3CDTF">2012-01-05T14:03:00Z</dcterms:modified>
</cp:coreProperties>
</file>