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2F61" w:rsidRDefault="00EC2F61" w:rsidP="00031761">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 Manuscript type: article</w:t>
      </w:r>
    </w:p>
    <w:p w:rsidR="00EC2F61" w:rsidRPr="00537744" w:rsidRDefault="00EC2F61" w:rsidP="001B635A">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Title: Towards an explicit justice framing of the social impacts of conservation </w:t>
      </w:r>
    </w:p>
    <w:p w:rsidR="00EC2F61" w:rsidRDefault="00EC2F61" w:rsidP="00031761">
      <w:pPr>
        <w:rPr>
          <w:rFonts w:ascii="Times New Roman" w:hAnsi="Times New Roman" w:cs="Times New Roman"/>
          <w:b/>
          <w:bCs/>
          <w:sz w:val="24"/>
          <w:szCs w:val="24"/>
        </w:rPr>
      </w:pPr>
      <w:r>
        <w:rPr>
          <w:rFonts w:ascii="Times New Roman" w:hAnsi="Times New Roman" w:cs="Times New Roman"/>
          <w:b/>
          <w:bCs/>
          <w:sz w:val="24"/>
          <w:szCs w:val="24"/>
        </w:rPr>
        <w:t>Running head: Conservation and justice</w:t>
      </w:r>
    </w:p>
    <w:p w:rsidR="00EC2F61" w:rsidRDefault="00EC2F61" w:rsidP="00031761">
      <w:pPr>
        <w:rPr>
          <w:rFonts w:ascii="Times New Roman" w:hAnsi="Times New Roman" w:cs="Times New Roman"/>
          <w:b/>
          <w:bCs/>
          <w:sz w:val="24"/>
          <w:szCs w:val="24"/>
        </w:rPr>
      </w:pPr>
    </w:p>
    <w:p w:rsidR="00EC2F61" w:rsidRDefault="00EC2F61" w:rsidP="00031761">
      <w:pPr>
        <w:rPr>
          <w:rFonts w:ascii="Times New Roman" w:hAnsi="Times New Roman" w:cs="Times New Roman"/>
          <w:sz w:val="24"/>
          <w:szCs w:val="24"/>
        </w:rPr>
      </w:pPr>
      <w:r w:rsidRPr="00C45527">
        <w:rPr>
          <w:rFonts w:ascii="Times New Roman" w:hAnsi="Times New Roman" w:cs="Times New Roman"/>
          <w:sz w:val="24"/>
          <w:szCs w:val="24"/>
        </w:rPr>
        <w:t>Adrian Martin</w:t>
      </w:r>
      <w:r>
        <w:rPr>
          <w:rFonts w:ascii="Times New Roman" w:hAnsi="Times New Roman" w:cs="Times New Roman"/>
          <w:sz w:val="24"/>
          <w:szCs w:val="24"/>
        </w:rPr>
        <w:t xml:space="preserve"> (corresponding author) </w:t>
      </w:r>
      <w:r w:rsidRPr="00C45527">
        <w:rPr>
          <w:rFonts w:ascii="Times New Roman" w:hAnsi="Times New Roman" w:cs="Times New Roman"/>
          <w:sz w:val="24"/>
          <w:szCs w:val="24"/>
        </w:rPr>
        <w:t>, School of International Development, University of East Anglia</w:t>
      </w:r>
      <w:r>
        <w:rPr>
          <w:rFonts w:ascii="Times New Roman" w:hAnsi="Times New Roman" w:cs="Times New Roman"/>
          <w:sz w:val="24"/>
          <w:szCs w:val="24"/>
        </w:rPr>
        <w:t xml:space="preserve">, </w:t>
      </w:r>
      <w:hyperlink r:id="rId7" w:history="1">
        <w:r w:rsidRPr="00DB1B5E">
          <w:rPr>
            <w:rStyle w:val="Hyperlink"/>
            <w:sz w:val="24"/>
            <w:szCs w:val="24"/>
          </w:rPr>
          <w:t>adrian.martin@uea.ac.uk</w:t>
        </w:r>
      </w:hyperlink>
    </w:p>
    <w:p w:rsidR="00EC2F61" w:rsidRDefault="00EC2F61" w:rsidP="00031761">
      <w:pPr>
        <w:rPr>
          <w:rFonts w:ascii="Times New Roman" w:hAnsi="Times New Roman" w:cs="Times New Roman"/>
          <w:sz w:val="24"/>
          <w:szCs w:val="24"/>
        </w:rPr>
      </w:pPr>
      <w:r w:rsidRPr="00C45527">
        <w:rPr>
          <w:rFonts w:ascii="Times New Roman" w:hAnsi="Times New Roman" w:cs="Times New Roman"/>
          <w:sz w:val="24"/>
          <w:szCs w:val="24"/>
        </w:rPr>
        <w:t>Anne Akol, Department of Zoology, Makerere University</w:t>
      </w:r>
      <w:r>
        <w:rPr>
          <w:rFonts w:ascii="Times New Roman" w:hAnsi="Times New Roman" w:cs="Times New Roman"/>
          <w:sz w:val="24"/>
          <w:szCs w:val="24"/>
        </w:rPr>
        <w:t xml:space="preserve">, </w:t>
      </w:r>
      <w:hyperlink r:id="rId8" w:history="1">
        <w:r w:rsidRPr="00DB1B5E">
          <w:rPr>
            <w:rStyle w:val="Hyperlink"/>
            <w:sz w:val="24"/>
            <w:szCs w:val="24"/>
          </w:rPr>
          <w:t>aakol@sci.mak.ac.ug</w:t>
        </w:r>
      </w:hyperlink>
    </w:p>
    <w:p w:rsidR="00EC2F61" w:rsidRDefault="00EC2F61" w:rsidP="00C04AA3">
      <w:r w:rsidRPr="00C45527">
        <w:rPr>
          <w:rFonts w:ascii="Times New Roman" w:hAnsi="Times New Roman" w:cs="Times New Roman"/>
          <w:sz w:val="24"/>
          <w:szCs w:val="24"/>
        </w:rPr>
        <w:t>Nicole Gross-Camp, School of International Development, University of East Anglia</w:t>
      </w:r>
      <w:r>
        <w:rPr>
          <w:rFonts w:ascii="Times New Roman" w:hAnsi="Times New Roman" w:cs="Times New Roman"/>
          <w:sz w:val="24"/>
          <w:szCs w:val="24"/>
        </w:rPr>
        <w:t xml:space="preserve">, </w:t>
      </w:r>
      <w:hyperlink r:id="rId9" w:history="1">
        <w:r w:rsidRPr="00DB1B5E">
          <w:rPr>
            <w:rStyle w:val="Hyperlink"/>
            <w:sz w:val="24"/>
            <w:szCs w:val="24"/>
          </w:rPr>
          <w:t>n.gross-camp@uea.ac.uk</w:t>
        </w:r>
      </w:hyperlink>
    </w:p>
    <w:p w:rsidR="00EC2F61" w:rsidRDefault="00EC2F61" w:rsidP="008626C9">
      <w:pPr>
        <w:rPr>
          <w:rFonts w:ascii="Times New Roman" w:hAnsi="Times New Roman" w:cs="Times New Roman"/>
          <w:b/>
          <w:bCs/>
          <w:sz w:val="24"/>
          <w:szCs w:val="24"/>
        </w:rPr>
      </w:pPr>
    </w:p>
    <w:p w:rsidR="00EC2F61" w:rsidRDefault="00EC2F61" w:rsidP="008626C9">
      <w:pP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Abstract</w:t>
      </w:r>
    </w:p>
    <w:p w:rsidR="00EC2F61" w:rsidRDefault="00EC2F61" w:rsidP="009C6654">
      <w:pPr>
        <w:rPr>
          <w:rFonts w:ascii="Times New Roman" w:hAnsi="Times New Roman" w:cs="Times New Roman"/>
          <w:sz w:val="24"/>
          <w:szCs w:val="24"/>
        </w:rPr>
      </w:pPr>
      <w:r>
        <w:rPr>
          <w:rFonts w:ascii="Times New Roman" w:hAnsi="Times New Roman" w:cs="Times New Roman"/>
          <w:sz w:val="24"/>
          <w:szCs w:val="24"/>
        </w:rPr>
        <w:t>This paper proposes that biodiversity conservation practice will benefit from assessment of environmental justice outcomes, especially in contexts of poverty and social marginalisation. Whilst there is an existing body of work that implicitly considers the justices and injustices arising from biodiversity conservation interventions, we suggest that a more explicit justice assessment might complement this work. We develop some general guidelines for such assessment, drawing on traditions of social and environmental justice, highlighting the importance of considering two types of justice outcome: distribution and recognition. We note the non-equivalence of these different justice values, implying that they cannot be traded-off against each other. We try out these guidelines through a case study of the Bwindi Impenetrable National Park in Uganda. We find that the assessment helps us to identify intolerable social impacts of conservation, notably failures to adequately address the long-term impoverishment and domination of the indigenous Batwa people, and offers constructive insight for how conservation can better align with the need for environmental justice.</w:t>
      </w:r>
    </w:p>
    <w:p w:rsidR="00EC2F61" w:rsidRDefault="00EC2F61" w:rsidP="008626C9">
      <w:pPr>
        <w:rPr>
          <w:rFonts w:ascii="Times New Roman" w:hAnsi="Times New Roman" w:cs="Times New Roman"/>
          <w:sz w:val="24"/>
          <w:szCs w:val="24"/>
        </w:rPr>
      </w:pPr>
      <w:r>
        <w:rPr>
          <w:rFonts w:ascii="Times New Roman" w:hAnsi="Times New Roman" w:cs="Times New Roman"/>
          <w:b/>
          <w:bCs/>
          <w:sz w:val="24"/>
          <w:szCs w:val="24"/>
        </w:rPr>
        <w:t xml:space="preserve">Keywords: </w:t>
      </w:r>
      <w:r>
        <w:rPr>
          <w:rFonts w:ascii="Times New Roman" w:hAnsi="Times New Roman" w:cs="Times New Roman"/>
          <w:sz w:val="24"/>
          <w:szCs w:val="24"/>
        </w:rPr>
        <w:t>Environmental justice, bwindi impenetrable national park, revenue sharing, tourism, ecosystem services, recognition</w:t>
      </w:r>
    </w:p>
    <w:p w:rsidR="00EC2F61" w:rsidRPr="00537744" w:rsidRDefault="00EC2F61" w:rsidP="009C6BC7">
      <w:pPr>
        <w:spacing w:line="360" w:lineRule="auto"/>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 xml:space="preserve">Towards an explicit justice framing of the social impacts of conservation </w:t>
      </w:r>
    </w:p>
    <w:p w:rsidR="00EC2F61" w:rsidRPr="00DA40BE" w:rsidRDefault="00EC2F61">
      <w:pPr>
        <w:rPr>
          <w:rFonts w:ascii="Times New Roman" w:hAnsi="Times New Roman" w:cs="Times New Roman"/>
          <w:b/>
          <w:bCs/>
          <w:sz w:val="24"/>
          <w:szCs w:val="24"/>
        </w:rPr>
      </w:pPr>
    </w:p>
    <w:p w:rsidR="00EC2F61" w:rsidRPr="00537744" w:rsidRDefault="00EC2F61" w:rsidP="007E28BB">
      <w:pPr>
        <w:spacing w:line="360" w:lineRule="auto"/>
        <w:rPr>
          <w:rFonts w:ascii="Times New Roman" w:hAnsi="Times New Roman" w:cs="Times New Roman"/>
          <w:b/>
          <w:bCs/>
          <w:sz w:val="24"/>
          <w:szCs w:val="24"/>
        </w:rPr>
      </w:pPr>
      <w:r w:rsidRPr="00537744">
        <w:rPr>
          <w:rFonts w:ascii="Times New Roman" w:hAnsi="Times New Roman" w:cs="Times New Roman"/>
          <w:b/>
          <w:bCs/>
          <w:sz w:val="24"/>
          <w:szCs w:val="24"/>
        </w:rPr>
        <w:t>Introduction</w:t>
      </w:r>
    </w:p>
    <w:p w:rsidR="00EC2F61" w:rsidRDefault="00EC2F61" w:rsidP="004D047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premise for this research is that the conservation community needs to take justice issues seriously and that it cannot claim to be doing this until it has developed ways of assessing justice impacts of conservation interventions. </w:t>
      </w:r>
    </w:p>
    <w:p w:rsidR="00EC2F61" w:rsidRDefault="00EC2F61" w:rsidP="00F426DC">
      <w:pPr>
        <w:spacing w:line="360" w:lineRule="auto"/>
        <w:rPr>
          <w:rFonts w:ascii="Times New Roman" w:hAnsi="Times New Roman" w:cs="Times New Roman"/>
          <w:sz w:val="24"/>
          <w:szCs w:val="24"/>
        </w:rPr>
      </w:pPr>
      <w:r w:rsidRPr="00537744">
        <w:rPr>
          <w:rFonts w:ascii="Times New Roman" w:hAnsi="Times New Roman" w:cs="Times New Roman"/>
          <w:sz w:val="24"/>
          <w:szCs w:val="24"/>
        </w:rPr>
        <w:t>Few would contend the view that stemming current rates of biodiversity loss is an urgent challenge with enormous consequences for future human welfare</w:t>
      </w:r>
      <w:r>
        <w:rPr>
          <w:rFonts w:ascii="Times New Roman" w:hAnsi="Times New Roman" w:cs="Times New Roman"/>
          <w:sz w:val="24"/>
          <w:szCs w:val="24"/>
        </w:rPr>
        <w:t xml:space="preserve"> </w:t>
      </w:r>
      <w:r>
        <w:rPr>
          <w:rFonts w:ascii="Times New Roman" w:hAnsi="Times New Roman" w:cs="Times New Roman"/>
          <w:noProof/>
          <w:sz w:val="24"/>
          <w:szCs w:val="24"/>
        </w:rPr>
        <w:t>(Cardinale et al., 2012)</w:t>
      </w:r>
      <w:r w:rsidRPr="00537744">
        <w:rPr>
          <w:rFonts w:ascii="Times New Roman" w:hAnsi="Times New Roman" w:cs="Times New Roman"/>
          <w:sz w:val="24"/>
          <w:szCs w:val="24"/>
        </w:rPr>
        <w:t>. And yet many of the efforts made to meet this conservation challenge are contested</w:t>
      </w:r>
      <w:r>
        <w:rPr>
          <w:rFonts w:ascii="Times New Roman" w:hAnsi="Times New Roman" w:cs="Times New Roman"/>
          <w:sz w:val="24"/>
          <w:szCs w:val="24"/>
        </w:rPr>
        <w:t xml:space="preserve"> </w:t>
      </w:r>
      <w:r>
        <w:rPr>
          <w:rFonts w:ascii="Times New Roman" w:hAnsi="Times New Roman" w:cs="Times New Roman"/>
          <w:noProof/>
          <w:sz w:val="24"/>
          <w:szCs w:val="24"/>
        </w:rPr>
        <w:t>(Redpath et al., 2013)</w:t>
      </w:r>
      <w:r>
        <w:rPr>
          <w:rFonts w:ascii="Times New Roman" w:hAnsi="Times New Roman" w:cs="Times New Roman"/>
          <w:sz w:val="24"/>
          <w:szCs w:val="24"/>
        </w:rPr>
        <w:t xml:space="preserve">.  </w:t>
      </w:r>
      <w:r w:rsidRPr="00537744">
        <w:rPr>
          <w:rFonts w:ascii="Times New Roman" w:hAnsi="Times New Roman" w:cs="Times New Roman"/>
          <w:sz w:val="24"/>
          <w:szCs w:val="24"/>
        </w:rPr>
        <w:t xml:space="preserve">Such conflict can occur where conservation fails to protect </w:t>
      </w:r>
      <w:r>
        <w:rPr>
          <w:rFonts w:ascii="Times New Roman" w:hAnsi="Times New Roman" w:cs="Times New Roman"/>
          <w:sz w:val="24"/>
          <w:szCs w:val="24"/>
        </w:rPr>
        <w:t>t</w:t>
      </w:r>
      <w:r w:rsidRPr="00537744">
        <w:rPr>
          <w:rFonts w:ascii="Times New Roman" w:hAnsi="Times New Roman" w:cs="Times New Roman"/>
          <w:sz w:val="24"/>
          <w:szCs w:val="24"/>
        </w:rPr>
        <w:t xml:space="preserve">he material wellbeing of the poor, for example where access to subsistence resources is curtailed without adequate deliberation or </w:t>
      </w:r>
      <w:r>
        <w:rPr>
          <w:rFonts w:ascii="Times New Roman" w:hAnsi="Times New Roman" w:cs="Times New Roman"/>
          <w:sz w:val="24"/>
          <w:szCs w:val="24"/>
        </w:rPr>
        <w:t>compensation</w:t>
      </w:r>
      <w:r w:rsidRPr="00537744">
        <w:rPr>
          <w:rFonts w:ascii="Times New Roman" w:hAnsi="Times New Roman" w:cs="Times New Roman"/>
          <w:sz w:val="24"/>
          <w:szCs w:val="24"/>
        </w:rPr>
        <w:t xml:space="preserve">; and it can occur where subjective wellbeing is compromised, for example where local </w:t>
      </w:r>
      <w:r>
        <w:rPr>
          <w:rFonts w:ascii="Times New Roman" w:hAnsi="Times New Roman" w:cs="Times New Roman"/>
          <w:sz w:val="24"/>
          <w:szCs w:val="24"/>
        </w:rPr>
        <w:t>cultural norms</w:t>
      </w:r>
      <w:r w:rsidRPr="00537744">
        <w:rPr>
          <w:rFonts w:ascii="Times New Roman" w:hAnsi="Times New Roman" w:cs="Times New Roman"/>
          <w:sz w:val="24"/>
          <w:szCs w:val="24"/>
        </w:rPr>
        <w:t xml:space="preserve"> are forcefully displaced</w:t>
      </w:r>
      <w:r>
        <w:rPr>
          <w:rFonts w:ascii="Times New Roman" w:hAnsi="Times New Roman" w:cs="Times New Roman"/>
          <w:sz w:val="24"/>
          <w:szCs w:val="24"/>
        </w:rPr>
        <w:t xml:space="preserve"> </w:t>
      </w:r>
      <w:r>
        <w:rPr>
          <w:rFonts w:ascii="Times New Roman" w:hAnsi="Times New Roman" w:cs="Times New Roman"/>
          <w:noProof/>
          <w:sz w:val="24"/>
          <w:szCs w:val="24"/>
        </w:rPr>
        <w:t>(Martin et al., 2013)</w:t>
      </w:r>
      <w:r w:rsidRPr="00537744">
        <w:rPr>
          <w:rFonts w:ascii="Times New Roman" w:hAnsi="Times New Roman" w:cs="Times New Roman"/>
          <w:sz w:val="24"/>
          <w:szCs w:val="24"/>
        </w:rPr>
        <w:t xml:space="preserve">.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Conservation organisation</w:t>
      </w:r>
      <w:r w:rsidRPr="00537744">
        <w:rPr>
          <w:rFonts w:ascii="Times New Roman" w:hAnsi="Times New Roman" w:cs="Times New Roman"/>
          <w:sz w:val="24"/>
          <w:szCs w:val="24"/>
        </w:rPr>
        <w:t>s have increa</w:t>
      </w:r>
      <w:r>
        <w:rPr>
          <w:rFonts w:ascii="Times New Roman" w:hAnsi="Times New Roman" w:cs="Times New Roman"/>
          <w:sz w:val="24"/>
          <w:szCs w:val="24"/>
        </w:rPr>
        <w:t xml:space="preserve">singly tried to address such justice concerns, initially through a shift </w:t>
      </w:r>
      <w:r w:rsidRPr="00537744">
        <w:rPr>
          <w:rFonts w:ascii="Times New Roman" w:hAnsi="Times New Roman" w:cs="Times New Roman"/>
          <w:sz w:val="24"/>
          <w:szCs w:val="24"/>
        </w:rPr>
        <w:t>away from so-called ‘fortress conservation’ to embrace integrated conservation and de</w:t>
      </w:r>
      <w:r>
        <w:rPr>
          <w:rFonts w:ascii="Times New Roman" w:hAnsi="Times New Roman" w:cs="Times New Roman"/>
          <w:sz w:val="24"/>
          <w:szCs w:val="24"/>
        </w:rPr>
        <w:t>velopment projects (ICDPs), as well as various forms of</w:t>
      </w:r>
      <w:r w:rsidRPr="00537744">
        <w:rPr>
          <w:rFonts w:ascii="Times New Roman" w:hAnsi="Times New Roman" w:cs="Times New Roman"/>
          <w:sz w:val="24"/>
          <w:szCs w:val="24"/>
        </w:rPr>
        <w:t xml:space="preserve"> access and benefit sharing  </w:t>
      </w:r>
      <w:r>
        <w:rPr>
          <w:rFonts w:ascii="Times New Roman" w:hAnsi="Times New Roman" w:cs="Times New Roman"/>
          <w:sz w:val="24"/>
          <w:szCs w:val="24"/>
        </w:rPr>
        <w:t xml:space="preserve">under </w:t>
      </w:r>
      <w:r w:rsidRPr="006351B8">
        <w:rPr>
          <w:rFonts w:ascii="Times New Roman" w:hAnsi="Times New Roman" w:cs="Times New Roman"/>
          <w:sz w:val="24"/>
          <w:szCs w:val="24"/>
        </w:rPr>
        <w:t>community conse</w:t>
      </w:r>
      <w:r>
        <w:rPr>
          <w:rFonts w:ascii="Times New Roman" w:hAnsi="Times New Roman" w:cs="Times New Roman"/>
          <w:sz w:val="24"/>
          <w:szCs w:val="24"/>
        </w:rPr>
        <w:t xml:space="preserve">rvation, multiple use zones, </w:t>
      </w:r>
      <w:r w:rsidRPr="006351B8">
        <w:rPr>
          <w:rFonts w:ascii="Times New Roman" w:hAnsi="Times New Roman" w:cs="Times New Roman"/>
          <w:sz w:val="24"/>
          <w:szCs w:val="24"/>
        </w:rPr>
        <w:t>tourism revenue sharing</w:t>
      </w:r>
      <w:r>
        <w:rPr>
          <w:rFonts w:ascii="Times New Roman" w:hAnsi="Times New Roman" w:cs="Times New Roman"/>
          <w:sz w:val="24"/>
          <w:szCs w:val="24"/>
        </w:rPr>
        <w:t xml:space="preserve"> and agreements about intellectual property over genetic resources</w:t>
      </w:r>
      <w:r w:rsidRPr="006351B8">
        <w:rPr>
          <w:rFonts w:ascii="Times New Roman" w:hAnsi="Times New Roman" w:cs="Times New Roman"/>
          <w:sz w:val="24"/>
          <w:szCs w:val="24"/>
        </w:rPr>
        <w:t xml:space="preserve">. With growing concerns  about the apparent inefficiency of ICDPs </w:t>
      </w:r>
      <w:r>
        <w:rPr>
          <w:rFonts w:ascii="Times New Roman" w:hAnsi="Times New Roman" w:cs="Times New Roman"/>
          <w:sz w:val="24"/>
          <w:szCs w:val="24"/>
        </w:rPr>
        <w:t>in particular</w:t>
      </w:r>
      <w:r w:rsidRPr="006351B8">
        <w:rPr>
          <w:rFonts w:ascii="Times New Roman" w:hAnsi="Times New Roman" w:cs="Times New Roman"/>
          <w:sz w:val="24"/>
          <w:szCs w:val="24"/>
        </w:rPr>
        <w:t xml:space="preserve"> </w:t>
      </w:r>
      <w:r w:rsidRPr="006351B8">
        <w:rPr>
          <w:rFonts w:ascii="Times New Roman" w:hAnsi="Times New Roman" w:cs="Times New Roman"/>
          <w:noProof/>
          <w:sz w:val="24"/>
          <w:szCs w:val="24"/>
        </w:rPr>
        <w:t>(Ferraro, 2001)</w:t>
      </w:r>
      <w:r w:rsidRPr="006351B8">
        <w:rPr>
          <w:rFonts w:ascii="Times New Roman" w:hAnsi="Times New Roman" w:cs="Times New Roman"/>
          <w:sz w:val="24"/>
          <w:szCs w:val="24"/>
        </w:rPr>
        <w:t xml:space="preserve"> the focus has shifted somewhat towards</w:t>
      </w:r>
      <w:r>
        <w:rPr>
          <w:rFonts w:ascii="Times New Roman" w:hAnsi="Times New Roman" w:cs="Times New Roman"/>
          <w:sz w:val="24"/>
          <w:szCs w:val="24"/>
        </w:rPr>
        <w:t xml:space="preserve"> more direct </w:t>
      </w:r>
      <w:r w:rsidRPr="006351B8">
        <w:rPr>
          <w:rFonts w:ascii="Times New Roman" w:hAnsi="Times New Roman" w:cs="Times New Roman"/>
          <w:sz w:val="24"/>
          <w:szCs w:val="24"/>
        </w:rPr>
        <w:t xml:space="preserve"> approaches to integrating ecological and social objectives, notably paym</w:t>
      </w:r>
      <w:r>
        <w:rPr>
          <w:rFonts w:ascii="Times New Roman" w:hAnsi="Times New Roman" w:cs="Times New Roman"/>
          <w:sz w:val="24"/>
          <w:szCs w:val="24"/>
        </w:rPr>
        <w:t>ent for ecosystem services</w:t>
      </w:r>
      <w:r w:rsidRPr="006351B8">
        <w:rPr>
          <w:rFonts w:ascii="Times New Roman" w:hAnsi="Times New Roman" w:cs="Times New Roman"/>
          <w:sz w:val="24"/>
          <w:szCs w:val="24"/>
        </w:rPr>
        <w:t xml:space="preserve"> </w:t>
      </w:r>
      <w:r w:rsidRPr="006351B8">
        <w:rPr>
          <w:rFonts w:ascii="Times New Roman" w:hAnsi="Times New Roman" w:cs="Times New Roman"/>
          <w:noProof/>
          <w:sz w:val="24"/>
          <w:szCs w:val="24"/>
        </w:rPr>
        <w:t>(Wunder, 2012)</w:t>
      </w:r>
      <w:r w:rsidRPr="006351B8">
        <w:rPr>
          <w:rFonts w:ascii="Times New Roman" w:hAnsi="Times New Roman" w:cs="Times New Roman"/>
          <w:sz w:val="24"/>
          <w:szCs w:val="24"/>
        </w:rPr>
        <w:t>. Most recently, some of the biggest internati</w:t>
      </w:r>
      <w:r>
        <w:rPr>
          <w:rFonts w:ascii="Times New Roman" w:hAnsi="Times New Roman" w:cs="Times New Roman"/>
          <w:sz w:val="24"/>
          <w:szCs w:val="24"/>
        </w:rPr>
        <w:t>onal conservation NGOs have</w:t>
      </w:r>
      <w:r w:rsidRPr="006351B8">
        <w:rPr>
          <w:rFonts w:ascii="Times New Roman" w:hAnsi="Times New Roman" w:cs="Times New Roman"/>
          <w:sz w:val="24"/>
          <w:szCs w:val="24"/>
        </w:rPr>
        <w:t xml:space="preserve"> </w:t>
      </w:r>
      <w:r>
        <w:rPr>
          <w:rFonts w:ascii="Times New Roman" w:hAnsi="Times New Roman" w:cs="Times New Roman"/>
          <w:sz w:val="24"/>
          <w:szCs w:val="24"/>
        </w:rPr>
        <w:t xml:space="preserve">moved towards a </w:t>
      </w:r>
      <w:r w:rsidRPr="00537744">
        <w:rPr>
          <w:rFonts w:ascii="Times New Roman" w:hAnsi="Times New Roman" w:cs="Times New Roman"/>
          <w:sz w:val="24"/>
          <w:szCs w:val="24"/>
        </w:rPr>
        <w:t xml:space="preserve">rights-based approach connected to the umbrella Conservation Initiative on Human Rights </w:t>
      </w:r>
      <w:r>
        <w:rPr>
          <w:rFonts w:ascii="Times New Roman" w:hAnsi="Times New Roman" w:cs="Times New Roman"/>
          <w:noProof/>
          <w:sz w:val="24"/>
          <w:szCs w:val="24"/>
        </w:rPr>
        <w:t>(CIHR, 2010)</w:t>
      </w:r>
      <w:r>
        <w:rPr>
          <w:rFonts w:ascii="Times New Roman" w:hAnsi="Times New Roman" w:cs="Times New Roman"/>
          <w:sz w:val="24"/>
          <w:szCs w:val="24"/>
        </w:rPr>
        <w:t xml:space="preserve">. Signatories to the CIHR predominantly articulate justice as instrumental to their biological goals, as a pre-requisite for effective biodiversity conservation </w:t>
      </w:r>
      <w:r>
        <w:rPr>
          <w:rFonts w:ascii="Times New Roman" w:hAnsi="Times New Roman" w:cs="Times New Roman"/>
          <w:noProof/>
          <w:sz w:val="24"/>
          <w:szCs w:val="24"/>
        </w:rPr>
        <w:t>(Kashwan, 2013; Martin et al., 2013)</w:t>
      </w:r>
      <w:r>
        <w:rPr>
          <w:rFonts w:ascii="Times New Roman" w:hAnsi="Times New Roman" w:cs="Times New Roman"/>
          <w:sz w:val="24"/>
          <w:szCs w:val="24"/>
        </w:rPr>
        <w:t xml:space="preserve">, for example because it is assumed that this will help conservation interventions to benefit from local cooperation </w:t>
      </w:r>
      <w:r>
        <w:rPr>
          <w:rFonts w:ascii="Times New Roman" w:hAnsi="Times New Roman" w:cs="Times New Roman"/>
          <w:noProof/>
          <w:sz w:val="24"/>
          <w:szCs w:val="24"/>
        </w:rPr>
        <w:t>(BirdLife International, 2011; Greiber et al., 2009; IUCN, 2010; WCS, 2009; WWF, 2008)</w:t>
      </w:r>
      <w:r>
        <w:rPr>
          <w:rFonts w:ascii="Times New Roman" w:hAnsi="Times New Roman" w:cs="Times New Roman"/>
          <w:sz w:val="24"/>
          <w:szCs w:val="24"/>
        </w:rPr>
        <w:t xml:space="preserve">. Such assumptions are increasingly supported by research, such as evidence that participatory management approaches are more often effective than exclusionary ones </w:t>
      </w:r>
      <w:r>
        <w:rPr>
          <w:rFonts w:ascii="Times New Roman" w:hAnsi="Times New Roman" w:cs="Times New Roman"/>
          <w:noProof/>
          <w:sz w:val="24"/>
          <w:szCs w:val="24"/>
        </w:rPr>
        <w:t>(Ellis and Porter-Bolland, 2008; Porter-Bolland et al., 2012)</w:t>
      </w:r>
      <w:r>
        <w:rPr>
          <w:rFonts w:ascii="Times New Roman" w:hAnsi="Times New Roman" w:cs="Times New Roman"/>
          <w:sz w:val="24"/>
          <w:szCs w:val="24"/>
        </w:rPr>
        <w:t xml:space="preserve">.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However, the history of conservation contains many counter-examples of conservation interventions that succeed in their biological objectives despite clear and sustained social injustices </w:t>
      </w:r>
      <w:r>
        <w:rPr>
          <w:rFonts w:ascii="Times New Roman" w:hAnsi="Times New Roman" w:cs="Times New Roman"/>
          <w:noProof/>
          <w:sz w:val="24"/>
          <w:szCs w:val="24"/>
        </w:rPr>
        <w:t>(Brockington et al., 2006)</w:t>
      </w:r>
      <w:r>
        <w:rPr>
          <w:rFonts w:ascii="Times New Roman" w:hAnsi="Times New Roman" w:cs="Times New Roman"/>
          <w:sz w:val="24"/>
          <w:szCs w:val="24"/>
        </w:rPr>
        <w:t xml:space="preserve">. There is also a wealth of evidence to show that efforts to reconcile conservation with procedural or distributional fairness are systematically too timid </w:t>
      </w:r>
      <w:r>
        <w:rPr>
          <w:rFonts w:ascii="Times New Roman" w:hAnsi="Times New Roman" w:cs="Times New Roman"/>
          <w:noProof/>
          <w:sz w:val="24"/>
          <w:szCs w:val="24"/>
        </w:rPr>
        <w:t>(Ribot, 2002)</w:t>
      </w:r>
      <w:r>
        <w:rPr>
          <w:rFonts w:ascii="Times New Roman" w:hAnsi="Times New Roman" w:cs="Times New Roman"/>
          <w:sz w:val="24"/>
          <w:szCs w:val="24"/>
        </w:rPr>
        <w:t>, d</w:t>
      </w:r>
      <w:r w:rsidRPr="00537744">
        <w:rPr>
          <w:rFonts w:ascii="Times New Roman" w:hAnsi="Times New Roman" w:cs="Times New Roman"/>
          <w:sz w:val="24"/>
          <w:szCs w:val="24"/>
        </w:rPr>
        <w:t>o not always reach the right people</w:t>
      </w:r>
      <w:r>
        <w:rPr>
          <w:rFonts w:ascii="Times New Roman" w:hAnsi="Times New Roman" w:cs="Times New Roman"/>
          <w:sz w:val="24"/>
          <w:szCs w:val="24"/>
        </w:rPr>
        <w:t xml:space="preserve"> in the first instance </w:t>
      </w:r>
      <w:r w:rsidRPr="00CF0E96">
        <w:rPr>
          <w:rFonts w:ascii="Times New Roman" w:hAnsi="Times New Roman" w:cs="Times New Roman"/>
          <w:noProof/>
          <w:sz w:val="24"/>
          <w:szCs w:val="24"/>
        </w:rPr>
        <w:t>(Lund and Saito-Jensen, 2013)</w:t>
      </w:r>
      <w:r w:rsidRPr="00CF0E96">
        <w:rPr>
          <w:rFonts w:ascii="Times New Roman" w:hAnsi="Times New Roman" w:cs="Times New Roman"/>
          <w:sz w:val="24"/>
          <w:szCs w:val="24"/>
        </w:rPr>
        <w:t>,</w:t>
      </w:r>
      <w:r>
        <w:rPr>
          <w:rFonts w:ascii="Times New Roman" w:hAnsi="Times New Roman" w:cs="Times New Roman"/>
          <w:sz w:val="24"/>
          <w:szCs w:val="24"/>
        </w:rPr>
        <w:t xml:space="preserve"> </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introduce new forms of coercion </w:t>
      </w:r>
      <w:r>
        <w:rPr>
          <w:rFonts w:ascii="Times New Roman" w:hAnsi="Times New Roman" w:cs="Times New Roman"/>
          <w:noProof/>
          <w:sz w:val="24"/>
          <w:szCs w:val="24"/>
        </w:rPr>
        <w:t>(Neumann, 2004; Schroeder, 2008)</w:t>
      </w:r>
      <w:r>
        <w:rPr>
          <w:rFonts w:ascii="Times New Roman" w:hAnsi="Times New Roman" w:cs="Times New Roman"/>
          <w:sz w:val="24"/>
          <w:szCs w:val="24"/>
        </w:rPr>
        <w:t xml:space="preserve">,  or dispossession </w:t>
      </w:r>
      <w:r>
        <w:rPr>
          <w:rFonts w:ascii="Times New Roman" w:hAnsi="Times New Roman" w:cs="Times New Roman"/>
          <w:noProof/>
          <w:sz w:val="24"/>
          <w:szCs w:val="24"/>
        </w:rPr>
        <w:t>(McAfee, 2012; Peluso and Lund, 2011)</w:t>
      </w:r>
      <w:r>
        <w:rPr>
          <w:rFonts w:ascii="Times New Roman" w:hAnsi="Times New Roman" w:cs="Times New Roman"/>
          <w:sz w:val="24"/>
          <w:szCs w:val="24"/>
        </w:rPr>
        <w:t xml:space="preserve"> and</w:t>
      </w:r>
      <w:r w:rsidRPr="00537744">
        <w:rPr>
          <w:rFonts w:ascii="Times New Roman" w:hAnsi="Times New Roman" w:cs="Times New Roman"/>
          <w:sz w:val="24"/>
          <w:szCs w:val="24"/>
        </w:rPr>
        <w:t xml:space="preserve"> are often not commensurate with the kinds of </w:t>
      </w:r>
      <w:r>
        <w:rPr>
          <w:rFonts w:ascii="Times New Roman" w:hAnsi="Times New Roman" w:cs="Times New Roman"/>
          <w:sz w:val="24"/>
          <w:szCs w:val="24"/>
        </w:rPr>
        <w:t xml:space="preserve">harms </w:t>
      </w:r>
      <w:r w:rsidRPr="00537744">
        <w:rPr>
          <w:rFonts w:ascii="Times New Roman" w:hAnsi="Times New Roman" w:cs="Times New Roman"/>
          <w:sz w:val="24"/>
          <w:szCs w:val="24"/>
        </w:rPr>
        <w:t xml:space="preserve">they are intended to </w:t>
      </w:r>
      <w:r>
        <w:rPr>
          <w:rFonts w:ascii="Times New Roman" w:hAnsi="Times New Roman" w:cs="Times New Roman"/>
          <w:sz w:val="24"/>
          <w:szCs w:val="24"/>
        </w:rPr>
        <w:t>remedy</w:t>
      </w:r>
      <w:r w:rsidRPr="00537744">
        <w:rPr>
          <w:rFonts w:ascii="Times New Roman" w:hAnsi="Times New Roman" w:cs="Times New Roman"/>
          <w:sz w:val="24"/>
          <w:szCs w:val="24"/>
        </w:rPr>
        <w:t xml:space="preserve"> </w:t>
      </w:r>
      <w:r>
        <w:rPr>
          <w:rFonts w:ascii="Times New Roman" w:hAnsi="Times New Roman" w:cs="Times New Roman"/>
          <w:noProof/>
          <w:sz w:val="24"/>
          <w:szCs w:val="24"/>
        </w:rPr>
        <w:t>(Emerton, 2001; Martin et al., 2013)</w:t>
      </w:r>
      <w:r>
        <w:rPr>
          <w:rFonts w:ascii="Times New Roman" w:hAnsi="Times New Roman" w:cs="Times New Roman"/>
          <w:sz w:val="24"/>
          <w:szCs w:val="24"/>
        </w:rPr>
        <w:t xml:space="preserve">.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Political ecologists have sought to understand and address the societal structures that regularly give rise to conservation injustices. This involves analysing</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conservation </w:t>
      </w:r>
      <w:r w:rsidRPr="00537744">
        <w:rPr>
          <w:rFonts w:ascii="Times New Roman" w:hAnsi="Times New Roman" w:cs="Times New Roman"/>
          <w:sz w:val="24"/>
          <w:szCs w:val="24"/>
        </w:rPr>
        <w:t xml:space="preserve">struggles in </w:t>
      </w:r>
      <w:r>
        <w:rPr>
          <w:rFonts w:ascii="Times New Roman" w:hAnsi="Times New Roman" w:cs="Times New Roman"/>
          <w:sz w:val="24"/>
          <w:szCs w:val="24"/>
        </w:rPr>
        <w:t xml:space="preserve">the context of wider political economic processes, rather than restricting analysis to local factors such as population growth and resource dependence </w:t>
      </w:r>
      <w:r>
        <w:rPr>
          <w:rFonts w:ascii="Times New Roman" w:hAnsi="Times New Roman" w:cs="Times New Roman"/>
          <w:noProof/>
          <w:sz w:val="24"/>
          <w:szCs w:val="24"/>
        </w:rPr>
        <w:t>(Peet et al., 2010; Peluso and Watts, 2001; Robbins, 2011)</w:t>
      </w:r>
      <w:r>
        <w:rPr>
          <w:rFonts w:ascii="Times New Roman" w:hAnsi="Times New Roman" w:cs="Times New Roman"/>
          <w:sz w:val="24"/>
          <w:szCs w:val="24"/>
        </w:rPr>
        <w:t xml:space="preserve">. For example, work on the social impacts of parks has raised questions about whose knowledge is represented by prevailing ideas about parks, and the political-economic contexts in which these ideas gain traction and become the models for conservation on the ground </w:t>
      </w:r>
      <w:r>
        <w:rPr>
          <w:rFonts w:ascii="Times New Roman" w:hAnsi="Times New Roman" w:cs="Times New Roman"/>
          <w:noProof/>
          <w:sz w:val="24"/>
          <w:szCs w:val="24"/>
        </w:rPr>
        <w:t>(Brosius and Hitchner, 2010; West and Brockington, 2006; West et al., 2006)</w:t>
      </w:r>
      <w:r>
        <w:rPr>
          <w:rFonts w:ascii="Times New Roman" w:hAnsi="Times New Roman" w:cs="Times New Roman"/>
          <w:sz w:val="24"/>
          <w:szCs w:val="24"/>
        </w:rPr>
        <w:t>. These dominating ideas often serve to frame both the causes and solutions to declining biodiversity, with narratives about population pressure, about local poor people being the main threats, and about the impossibility</w:t>
      </w:r>
      <w:r w:rsidRPr="000963FB">
        <w:rPr>
          <w:rFonts w:ascii="Times New Roman" w:hAnsi="Times New Roman" w:cs="Times New Roman"/>
          <w:sz w:val="24"/>
          <w:szCs w:val="24"/>
        </w:rPr>
        <w:t xml:space="preserve"> for humans and highly v</w:t>
      </w:r>
      <w:r>
        <w:rPr>
          <w:rFonts w:ascii="Times New Roman" w:hAnsi="Times New Roman" w:cs="Times New Roman"/>
          <w:sz w:val="24"/>
          <w:szCs w:val="24"/>
        </w:rPr>
        <w:t xml:space="preserve">alued biodiversity to co-exist </w:t>
      </w:r>
      <w:r>
        <w:rPr>
          <w:rFonts w:ascii="Times New Roman" w:hAnsi="Times New Roman" w:cs="Times New Roman"/>
          <w:noProof/>
          <w:sz w:val="24"/>
          <w:szCs w:val="24"/>
        </w:rPr>
        <w:t>(Brockington and Igoe, 2006; Lele et al., 2010)</w:t>
      </w:r>
      <w:r>
        <w:rPr>
          <w:rFonts w:ascii="Times New Roman" w:hAnsi="Times New Roman" w:cs="Times New Roman"/>
          <w:sz w:val="24"/>
          <w:szCs w:val="24"/>
        </w:rPr>
        <w:t xml:space="preserve">. Such ideas tend to exclude more political analysis of the role of tenure, authority, global markets, and the systemic implications of expanding capitalist relations. The ways in which some knowledges subjugate others has been explored through different but overlapping theoretical lenses including ‘virtualism’ </w:t>
      </w:r>
      <w:r>
        <w:rPr>
          <w:rFonts w:ascii="Times New Roman" w:hAnsi="Times New Roman" w:cs="Times New Roman"/>
          <w:noProof/>
          <w:sz w:val="24"/>
          <w:szCs w:val="24"/>
        </w:rPr>
        <w:t>(West et al., 2006)</w:t>
      </w:r>
      <w:r>
        <w:rPr>
          <w:rFonts w:ascii="Times New Roman" w:hAnsi="Times New Roman" w:cs="Times New Roman"/>
          <w:sz w:val="24"/>
          <w:szCs w:val="24"/>
        </w:rPr>
        <w:t xml:space="preserve">, ‘assemblage’ </w:t>
      </w:r>
      <w:r>
        <w:rPr>
          <w:rFonts w:ascii="Times New Roman" w:hAnsi="Times New Roman" w:cs="Times New Roman"/>
          <w:noProof/>
          <w:sz w:val="24"/>
          <w:szCs w:val="24"/>
        </w:rPr>
        <w:t>(Murray Li, 2007)</w:t>
      </w:r>
      <w:r>
        <w:rPr>
          <w:rFonts w:ascii="Times New Roman" w:hAnsi="Times New Roman" w:cs="Times New Roman"/>
          <w:sz w:val="24"/>
          <w:szCs w:val="24"/>
        </w:rPr>
        <w:t xml:space="preserve">, ‘governmentality’ </w:t>
      </w:r>
      <w:r>
        <w:rPr>
          <w:rFonts w:ascii="Times New Roman" w:hAnsi="Times New Roman" w:cs="Times New Roman"/>
          <w:noProof/>
          <w:sz w:val="24"/>
          <w:szCs w:val="24"/>
        </w:rPr>
        <w:t>(Fletcher, 2010)</w:t>
      </w:r>
      <w:r>
        <w:rPr>
          <w:rFonts w:ascii="Times New Roman" w:hAnsi="Times New Roman" w:cs="Times New Roman"/>
          <w:sz w:val="24"/>
          <w:szCs w:val="24"/>
        </w:rPr>
        <w:t xml:space="preserve"> and ‘environmental statehood’ </w:t>
      </w:r>
      <w:r>
        <w:rPr>
          <w:rFonts w:ascii="Times New Roman" w:hAnsi="Times New Roman" w:cs="Times New Roman"/>
          <w:noProof/>
          <w:sz w:val="24"/>
          <w:szCs w:val="24"/>
        </w:rPr>
        <w:t>(Ioris, 2013)</w:t>
      </w:r>
      <w:r>
        <w:rPr>
          <w:rFonts w:ascii="Times New Roman" w:hAnsi="Times New Roman" w:cs="Times New Roman"/>
          <w:sz w:val="24"/>
          <w:szCs w:val="24"/>
        </w:rPr>
        <w:t xml:space="preserve">. The consensus at the heart of these analyses is the significance of discursive, as well as material forms of power, the complex networks of knowledge and power that connect different actors in conservation landscapes, and associated mechanisms that produce injustices. </w:t>
      </w:r>
    </w:p>
    <w:p w:rsidR="00EC2F61" w:rsidRDefault="00EC2F61" w:rsidP="00F426DC">
      <w:pPr>
        <w:spacing w:line="360" w:lineRule="auto"/>
        <w:rPr>
          <w:rFonts w:ascii="Times New Roman" w:hAnsi="Times New Roman" w:cs="Times New Roman"/>
          <w:sz w:val="24"/>
          <w:szCs w:val="24"/>
        </w:rPr>
      </w:pPr>
      <w:r w:rsidRPr="002B347E">
        <w:rPr>
          <w:rFonts w:ascii="Times New Roman" w:hAnsi="Times New Roman" w:cs="Times New Roman"/>
          <w:sz w:val="24"/>
          <w:szCs w:val="24"/>
        </w:rPr>
        <w:t>Robbins (2011) characterises</w:t>
      </w:r>
      <w:r>
        <w:rPr>
          <w:rFonts w:ascii="Times New Roman" w:hAnsi="Times New Roman" w:cs="Times New Roman"/>
          <w:sz w:val="24"/>
          <w:szCs w:val="24"/>
        </w:rPr>
        <w:t xml:space="preserve"> political ecology as taking an ‘explicitly normative’ stance towards the environment. At one level that is completely correct, because there is a clear concern with what is right and wrong about current conservation discourse and practice </w:t>
      </w:r>
      <w:r>
        <w:rPr>
          <w:rFonts w:ascii="Times New Roman" w:hAnsi="Times New Roman" w:cs="Times New Roman"/>
          <w:noProof/>
          <w:sz w:val="24"/>
          <w:szCs w:val="24"/>
        </w:rPr>
        <w:t>(Duffy, 2010)</w:t>
      </w:r>
      <w:r>
        <w:rPr>
          <w:rFonts w:ascii="Times New Roman" w:hAnsi="Times New Roman" w:cs="Times New Roman"/>
          <w:sz w:val="24"/>
          <w:szCs w:val="24"/>
        </w:rPr>
        <w:t xml:space="preserve">. But we suggest that this concern might best be described as implicit rather than explicit, on the basis that political ecology tends not to draw on the conceptual tools that </w:t>
      </w:r>
      <w:r>
        <w:rPr>
          <w:rFonts w:ascii="Times New Roman" w:hAnsi="Times New Roman" w:cs="Times New Roman"/>
          <w:sz w:val="24"/>
          <w:szCs w:val="24"/>
        </w:rPr>
        <w:lastRenderedPageBreak/>
        <w:t xml:space="preserve">are commonly used in more explicit studies of social and environmental justice. To that end, this paper seeks to introduce a more explicit justice framing into the critical conservation literature, by which we mean drawing on the analytical toolkit of political philosophers who pose direct questions about what constitutes right and wrong (Olson and Sayer, 2007). In particular, we draw on theories of human capability (Sen, 1999) as a means of identifying what should be the central concerns of conservation justice, and how we might start to assess the performance of conservation in relation to these.  The paper explores in more detail what this ‘explicit’ framing of conservation justice might look like, and then applies this to a </w:t>
      </w:r>
      <w:r w:rsidRPr="00615AD2">
        <w:rPr>
          <w:rFonts w:ascii="Times New Roman" w:hAnsi="Times New Roman" w:cs="Times New Roman"/>
          <w:sz w:val="24"/>
          <w:szCs w:val="24"/>
        </w:rPr>
        <w:t>case study of Bwindi</w:t>
      </w:r>
      <w:r w:rsidRPr="00537744">
        <w:rPr>
          <w:rFonts w:ascii="Times New Roman" w:hAnsi="Times New Roman" w:cs="Times New Roman"/>
          <w:sz w:val="24"/>
          <w:szCs w:val="24"/>
        </w:rPr>
        <w:t xml:space="preserve"> Impe</w:t>
      </w:r>
      <w:r>
        <w:rPr>
          <w:rFonts w:ascii="Times New Roman" w:hAnsi="Times New Roman" w:cs="Times New Roman"/>
          <w:sz w:val="24"/>
          <w:szCs w:val="24"/>
        </w:rPr>
        <w:t>netrable National Park (hereafter, Bwindi)</w:t>
      </w:r>
      <w:r w:rsidRPr="00537744">
        <w:rPr>
          <w:rFonts w:ascii="Times New Roman" w:hAnsi="Times New Roman" w:cs="Times New Roman"/>
          <w:sz w:val="24"/>
          <w:szCs w:val="24"/>
        </w:rPr>
        <w:t>.</w:t>
      </w:r>
    </w:p>
    <w:p w:rsidR="00EC2F61" w:rsidRDefault="00EC2F61" w:rsidP="00C344E0">
      <w:pPr>
        <w:spacing w:line="360" w:lineRule="auto"/>
        <w:rPr>
          <w:rFonts w:ascii="Times New Roman" w:hAnsi="Times New Roman" w:cs="Times New Roman"/>
          <w:sz w:val="24"/>
          <w:szCs w:val="24"/>
        </w:rPr>
      </w:pPr>
    </w:p>
    <w:p w:rsidR="00EC2F61" w:rsidRPr="002E2682" w:rsidRDefault="00EC2F61" w:rsidP="007E28BB">
      <w:pPr>
        <w:spacing w:line="360" w:lineRule="auto"/>
        <w:rPr>
          <w:rFonts w:ascii="Times New Roman" w:hAnsi="Times New Roman" w:cs="Times New Roman"/>
          <w:b/>
          <w:bCs/>
          <w:sz w:val="24"/>
          <w:szCs w:val="24"/>
        </w:rPr>
      </w:pPr>
      <w:r>
        <w:rPr>
          <w:rFonts w:ascii="Times New Roman" w:hAnsi="Times New Roman" w:cs="Times New Roman"/>
          <w:b/>
          <w:bCs/>
          <w:sz w:val="24"/>
          <w:szCs w:val="24"/>
        </w:rPr>
        <w:t>Study site</w:t>
      </w:r>
    </w:p>
    <w:p w:rsidR="00EC2F61" w:rsidRPr="00537744" w:rsidRDefault="00EC2F61" w:rsidP="00F426DC">
      <w:pPr>
        <w:spacing w:line="360" w:lineRule="auto"/>
        <w:rPr>
          <w:rFonts w:ascii="Times New Roman" w:hAnsi="Times New Roman" w:cs="Times New Roman"/>
          <w:sz w:val="24"/>
          <w:szCs w:val="24"/>
        </w:rPr>
      </w:pPr>
      <w:r w:rsidRPr="00537744">
        <w:rPr>
          <w:rFonts w:ascii="Times New Roman" w:hAnsi="Times New Roman" w:cs="Times New Roman"/>
          <w:sz w:val="24"/>
          <w:szCs w:val="24"/>
        </w:rPr>
        <w:t>B</w:t>
      </w:r>
      <w:r>
        <w:rPr>
          <w:rFonts w:ascii="Times New Roman" w:hAnsi="Times New Roman" w:cs="Times New Roman"/>
          <w:sz w:val="24"/>
          <w:szCs w:val="24"/>
        </w:rPr>
        <w:t>windi</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is a </w:t>
      </w:r>
      <w:r w:rsidRPr="00537744">
        <w:rPr>
          <w:rFonts w:ascii="Times New Roman" w:hAnsi="Times New Roman" w:cs="Times New Roman"/>
          <w:sz w:val="24"/>
          <w:szCs w:val="24"/>
        </w:rPr>
        <w:t>330</w:t>
      </w:r>
      <w:r>
        <w:rPr>
          <w:rFonts w:ascii="Times New Roman" w:hAnsi="Times New Roman" w:cs="Times New Roman"/>
          <w:sz w:val="24"/>
          <w:szCs w:val="24"/>
        </w:rPr>
        <w:t xml:space="preserve"> </w:t>
      </w:r>
      <w:r w:rsidRPr="00537744">
        <w:rPr>
          <w:rFonts w:ascii="Times New Roman" w:hAnsi="Times New Roman" w:cs="Times New Roman"/>
          <w:sz w:val="24"/>
          <w:szCs w:val="24"/>
        </w:rPr>
        <w:t>km</w:t>
      </w:r>
      <w:r w:rsidRPr="00537744">
        <w:rPr>
          <w:rFonts w:ascii="Times New Roman" w:hAnsi="Times New Roman" w:cs="Times New Roman"/>
          <w:sz w:val="24"/>
          <w:szCs w:val="24"/>
          <w:vertAlign w:val="superscript"/>
        </w:rPr>
        <w:t>2</w:t>
      </w:r>
      <w:r w:rsidRPr="00537744">
        <w:rPr>
          <w:rFonts w:ascii="Times New Roman" w:hAnsi="Times New Roman" w:cs="Times New Roman"/>
          <w:sz w:val="24"/>
          <w:szCs w:val="24"/>
        </w:rPr>
        <w:t xml:space="preserve"> montane rainforest </w:t>
      </w:r>
      <w:r>
        <w:rPr>
          <w:rFonts w:ascii="Times New Roman" w:hAnsi="Times New Roman" w:cs="Times New Roman"/>
          <w:sz w:val="24"/>
          <w:szCs w:val="24"/>
        </w:rPr>
        <w:t xml:space="preserve">located </w:t>
      </w:r>
      <w:r w:rsidRPr="00537744">
        <w:rPr>
          <w:rFonts w:ascii="Times New Roman" w:hAnsi="Times New Roman" w:cs="Times New Roman"/>
          <w:sz w:val="24"/>
          <w:szCs w:val="24"/>
        </w:rPr>
        <w:t>in southwest Uganda</w:t>
      </w:r>
      <w:r>
        <w:rPr>
          <w:rFonts w:ascii="Times New Roman" w:hAnsi="Times New Roman" w:cs="Times New Roman"/>
          <w:sz w:val="24"/>
          <w:szCs w:val="24"/>
        </w:rPr>
        <w:t xml:space="preserve"> (</w:t>
      </w:r>
      <w:r w:rsidRPr="00537744">
        <w:rPr>
          <w:rFonts w:ascii="Times New Roman" w:hAnsi="Times New Roman" w:cs="Times New Roman"/>
          <w:sz w:val="24"/>
          <w:szCs w:val="24"/>
        </w:rPr>
        <w:t>1</w:t>
      </w:r>
      <w:r>
        <w:rPr>
          <w:rFonts w:ascii="Times New Roman" w:hAnsi="Times New Roman" w:cs="Times New Roman"/>
          <w:sz w:val="24"/>
          <w:szCs w:val="24"/>
        </w:rPr>
        <w:t>160 to 2706</w:t>
      </w:r>
      <w:r w:rsidRPr="00537744">
        <w:rPr>
          <w:rFonts w:ascii="Times New Roman" w:hAnsi="Times New Roman" w:cs="Times New Roman"/>
          <w:sz w:val="24"/>
          <w:szCs w:val="24"/>
        </w:rPr>
        <w:t xml:space="preserve"> m</w:t>
      </w:r>
      <w:r>
        <w:rPr>
          <w:rFonts w:ascii="Times New Roman" w:hAnsi="Times New Roman" w:cs="Times New Roman"/>
          <w:sz w:val="24"/>
          <w:szCs w:val="24"/>
        </w:rPr>
        <w:t xml:space="preserve"> ASL)</w:t>
      </w:r>
      <w:r w:rsidRPr="00537744">
        <w:rPr>
          <w:rFonts w:ascii="Times New Roman" w:hAnsi="Times New Roman" w:cs="Times New Roman"/>
          <w:sz w:val="24"/>
          <w:szCs w:val="24"/>
        </w:rPr>
        <w:t xml:space="preserve">. The region has a rich history of human habitation going back 37,000 years, with </w:t>
      </w:r>
      <w:r>
        <w:rPr>
          <w:rFonts w:ascii="Times New Roman" w:hAnsi="Times New Roman" w:cs="Times New Roman"/>
          <w:sz w:val="24"/>
          <w:szCs w:val="24"/>
        </w:rPr>
        <w:t>some of the earliest evidence of cultivation</w:t>
      </w:r>
      <w:r w:rsidRPr="00537744">
        <w:rPr>
          <w:rFonts w:ascii="Times New Roman" w:hAnsi="Times New Roman" w:cs="Times New Roman"/>
          <w:sz w:val="24"/>
          <w:szCs w:val="24"/>
        </w:rPr>
        <w:t xml:space="preserve"> </w:t>
      </w:r>
      <w:r>
        <w:rPr>
          <w:rFonts w:ascii="Times New Roman" w:hAnsi="Times New Roman" w:cs="Times New Roman"/>
          <w:sz w:val="24"/>
          <w:szCs w:val="24"/>
        </w:rPr>
        <w:t>by humans in Africa by the Batwa people and their use of fire to manipulate vegetation composition (UNESCO, 2013)</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Whilst we know little about how the </w:t>
      </w:r>
      <w:r w:rsidRPr="00537744">
        <w:rPr>
          <w:rFonts w:ascii="Times New Roman" w:hAnsi="Times New Roman" w:cs="Times New Roman"/>
          <w:sz w:val="24"/>
          <w:szCs w:val="24"/>
        </w:rPr>
        <w:t xml:space="preserve"> Batwa</w:t>
      </w:r>
      <w:r>
        <w:rPr>
          <w:rFonts w:ascii="Times New Roman" w:hAnsi="Times New Roman" w:cs="Times New Roman"/>
          <w:sz w:val="24"/>
          <w:szCs w:val="24"/>
        </w:rPr>
        <w:t xml:space="preserve"> changed species composition in Bwindi in pre-historical times, what is clearer is that significant external drivers of degradation mounted during  the 20</w:t>
      </w:r>
      <w:r w:rsidRPr="00791487">
        <w:rPr>
          <w:rFonts w:ascii="Times New Roman" w:hAnsi="Times New Roman" w:cs="Times New Roman"/>
          <w:sz w:val="24"/>
          <w:szCs w:val="24"/>
          <w:vertAlign w:val="superscript"/>
        </w:rPr>
        <w:t>th</w:t>
      </w:r>
      <w:r>
        <w:rPr>
          <w:rFonts w:ascii="Times New Roman" w:hAnsi="Times New Roman" w:cs="Times New Roman"/>
          <w:sz w:val="24"/>
          <w:szCs w:val="24"/>
        </w:rPr>
        <w:t xml:space="preserve"> century, with increasing agricultural and timber demand coming from outsiders moving into the area. The</w:t>
      </w:r>
      <w:r w:rsidRPr="00537744">
        <w:rPr>
          <w:rFonts w:ascii="Times New Roman" w:hAnsi="Times New Roman" w:cs="Times New Roman"/>
          <w:sz w:val="24"/>
          <w:szCs w:val="24"/>
        </w:rPr>
        <w:t xml:space="preserve"> forest was first designated as a reserve in 1932, but was heavily hunted (for example buffalo and leopards became extinct in the 1960s) and </w:t>
      </w:r>
      <w:r>
        <w:rPr>
          <w:rFonts w:ascii="Times New Roman" w:hAnsi="Times New Roman" w:cs="Times New Roman"/>
          <w:sz w:val="24"/>
          <w:szCs w:val="24"/>
        </w:rPr>
        <w:t xml:space="preserve">then </w:t>
      </w:r>
      <w:r w:rsidRPr="00537744">
        <w:rPr>
          <w:rFonts w:ascii="Times New Roman" w:hAnsi="Times New Roman" w:cs="Times New Roman"/>
          <w:sz w:val="24"/>
          <w:szCs w:val="24"/>
        </w:rPr>
        <w:t xml:space="preserve">degraded by commercial logging </w:t>
      </w:r>
      <w:r>
        <w:rPr>
          <w:rFonts w:ascii="Times New Roman" w:hAnsi="Times New Roman" w:cs="Times New Roman"/>
          <w:sz w:val="24"/>
          <w:szCs w:val="24"/>
        </w:rPr>
        <w:t>during the 1970s and 80s. Its conservation status was upgraded to National Park</w:t>
      </w:r>
      <w:r w:rsidRPr="00537744">
        <w:rPr>
          <w:rFonts w:ascii="Times New Roman" w:hAnsi="Times New Roman" w:cs="Times New Roman"/>
          <w:sz w:val="24"/>
          <w:szCs w:val="24"/>
        </w:rPr>
        <w:t xml:space="preserve"> in 1991, and </w:t>
      </w:r>
      <w:r>
        <w:rPr>
          <w:rFonts w:ascii="Times New Roman" w:hAnsi="Times New Roman" w:cs="Times New Roman"/>
          <w:sz w:val="24"/>
          <w:szCs w:val="24"/>
        </w:rPr>
        <w:t xml:space="preserve">it </w:t>
      </w:r>
      <w:r w:rsidRPr="00537744">
        <w:rPr>
          <w:rFonts w:ascii="Times New Roman" w:hAnsi="Times New Roman" w:cs="Times New Roman"/>
          <w:sz w:val="24"/>
          <w:szCs w:val="24"/>
        </w:rPr>
        <w:t xml:space="preserve">became a World Heritage Site in 1994. </w:t>
      </w:r>
      <w:r>
        <w:rPr>
          <w:rFonts w:ascii="Times New Roman" w:hAnsi="Times New Roman" w:cs="Times New Roman"/>
          <w:sz w:val="24"/>
          <w:szCs w:val="24"/>
        </w:rPr>
        <w:t xml:space="preserve">Bwindi is considered a high priority for conservation based on its high species diversity and endemism </w:t>
      </w:r>
      <w:r>
        <w:rPr>
          <w:rFonts w:ascii="Times New Roman" w:hAnsi="Times New Roman" w:cs="Times New Roman"/>
          <w:noProof/>
          <w:sz w:val="24"/>
          <w:szCs w:val="24"/>
        </w:rPr>
        <w:t>(Plumptre et al., 2003)</w:t>
      </w:r>
      <w:r>
        <w:rPr>
          <w:rFonts w:ascii="Times New Roman" w:hAnsi="Times New Roman" w:cs="Times New Roman"/>
          <w:sz w:val="24"/>
          <w:szCs w:val="24"/>
        </w:rPr>
        <w:t xml:space="preserve">, and because it is home to almost half of the world’s mountain gorillas. </w:t>
      </w:r>
      <w:r w:rsidRPr="00537744">
        <w:rPr>
          <w:rFonts w:ascii="Times New Roman" w:hAnsi="Times New Roman" w:cs="Times New Roman"/>
          <w:sz w:val="24"/>
          <w:szCs w:val="24"/>
        </w:rPr>
        <w:t xml:space="preserve">  </w:t>
      </w:r>
    </w:p>
    <w:p w:rsidR="00EC2F61" w:rsidRPr="00537744"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Bwindi’s success at protecting the mountain gorilla population and its habitat has brought economic benefits to Uganda but has also come at a cost to some local people. Whilst many had been requested to relocate from the forest </w:t>
      </w:r>
      <w:r w:rsidRPr="00537744">
        <w:rPr>
          <w:rFonts w:ascii="Times New Roman" w:hAnsi="Times New Roman" w:cs="Times New Roman"/>
          <w:sz w:val="24"/>
          <w:szCs w:val="24"/>
        </w:rPr>
        <w:t>following its initial designation as a forest reserve and re-designation as an animal park in 1964, this had not been well enforced and an est</w:t>
      </w:r>
      <w:r>
        <w:rPr>
          <w:rFonts w:ascii="Times New Roman" w:hAnsi="Times New Roman" w:cs="Times New Roman"/>
          <w:sz w:val="24"/>
          <w:szCs w:val="24"/>
        </w:rPr>
        <w:t>imated 2400 people were evicted</w:t>
      </w:r>
      <w:r w:rsidRPr="00537744">
        <w:rPr>
          <w:rFonts w:ascii="Times New Roman" w:hAnsi="Times New Roman" w:cs="Times New Roman"/>
          <w:sz w:val="24"/>
          <w:szCs w:val="24"/>
        </w:rPr>
        <w:t xml:space="preserve"> without compensat</w:t>
      </w:r>
      <w:r>
        <w:rPr>
          <w:rFonts w:ascii="Times New Roman" w:hAnsi="Times New Roman" w:cs="Times New Roman"/>
          <w:sz w:val="24"/>
          <w:szCs w:val="24"/>
        </w:rPr>
        <w:t xml:space="preserve">ion in 1992 </w:t>
      </w:r>
      <w:r>
        <w:rPr>
          <w:rFonts w:ascii="Times New Roman" w:hAnsi="Times New Roman" w:cs="Times New Roman"/>
          <w:noProof/>
          <w:sz w:val="24"/>
          <w:szCs w:val="24"/>
        </w:rPr>
        <w:t>(Adams and Infield, 2001; Blomley, 2003)</w:t>
      </w:r>
      <w:r>
        <w:rPr>
          <w:rFonts w:ascii="Times New Roman" w:hAnsi="Times New Roman" w:cs="Times New Roman"/>
          <w:sz w:val="24"/>
          <w:szCs w:val="24"/>
        </w:rPr>
        <w:t xml:space="preserve">. The </w:t>
      </w:r>
      <w:r w:rsidRPr="00537744">
        <w:rPr>
          <w:rFonts w:ascii="Times New Roman" w:hAnsi="Times New Roman" w:cs="Times New Roman"/>
          <w:sz w:val="24"/>
          <w:szCs w:val="24"/>
        </w:rPr>
        <w:t>Batwa people</w:t>
      </w:r>
      <w:r>
        <w:rPr>
          <w:rFonts w:ascii="Times New Roman" w:hAnsi="Times New Roman" w:cs="Times New Roman"/>
          <w:sz w:val="24"/>
          <w:szCs w:val="24"/>
        </w:rPr>
        <w:t xml:space="preserve"> have been progressively evicted since the 1960s, with many being required to leave in the early 1990s </w:t>
      </w:r>
      <w:r>
        <w:rPr>
          <w:rFonts w:ascii="Times New Roman" w:hAnsi="Times New Roman" w:cs="Times New Roman"/>
          <w:noProof/>
          <w:sz w:val="24"/>
          <w:szCs w:val="24"/>
        </w:rPr>
        <w:t>(Tancau, 2011; Turyatunga, 2010)</w:t>
      </w:r>
      <w:r>
        <w:rPr>
          <w:rFonts w:ascii="Times New Roman" w:hAnsi="Times New Roman" w:cs="Times New Roman"/>
          <w:sz w:val="24"/>
          <w:szCs w:val="24"/>
        </w:rPr>
        <w:t>. More generally, those living near to the park faced reduced a</w:t>
      </w:r>
      <w:r w:rsidRPr="00537744">
        <w:rPr>
          <w:rFonts w:ascii="Times New Roman" w:hAnsi="Times New Roman" w:cs="Times New Roman"/>
          <w:sz w:val="24"/>
          <w:szCs w:val="24"/>
        </w:rPr>
        <w:t xml:space="preserve">ccess to both subsistence and </w:t>
      </w:r>
      <w:r w:rsidRPr="00537744">
        <w:rPr>
          <w:rFonts w:ascii="Times New Roman" w:hAnsi="Times New Roman" w:cs="Times New Roman"/>
          <w:sz w:val="24"/>
          <w:szCs w:val="24"/>
        </w:rPr>
        <w:lastRenderedPageBreak/>
        <w:t>commercial extraction of forest resources</w:t>
      </w:r>
      <w:r>
        <w:rPr>
          <w:rFonts w:ascii="Times New Roman" w:hAnsi="Times New Roman" w:cs="Times New Roman"/>
          <w:sz w:val="24"/>
          <w:szCs w:val="24"/>
        </w:rPr>
        <w:t xml:space="preserve">. This was particularly hard-felt because it </w:t>
      </w:r>
      <w:r w:rsidRPr="00537744">
        <w:rPr>
          <w:rFonts w:ascii="Times New Roman" w:hAnsi="Times New Roman" w:cs="Times New Roman"/>
          <w:sz w:val="24"/>
          <w:szCs w:val="24"/>
        </w:rPr>
        <w:t>coincided with a reduction in availability of other common</w:t>
      </w:r>
      <w:r>
        <w:rPr>
          <w:rFonts w:ascii="Times New Roman" w:hAnsi="Times New Roman" w:cs="Times New Roman"/>
          <w:sz w:val="24"/>
          <w:szCs w:val="24"/>
        </w:rPr>
        <w:t>s</w:t>
      </w:r>
      <w:r w:rsidRPr="00537744">
        <w:rPr>
          <w:rFonts w:ascii="Times New Roman" w:hAnsi="Times New Roman" w:cs="Times New Roman"/>
          <w:sz w:val="24"/>
          <w:szCs w:val="24"/>
        </w:rPr>
        <w:t xml:space="preserve"> resources, including wetlands and non-gazetted forests</w:t>
      </w:r>
      <w:r>
        <w:rPr>
          <w:rFonts w:ascii="Times New Roman" w:hAnsi="Times New Roman" w:cs="Times New Roman"/>
          <w:sz w:val="24"/>
          <w:szCs w:val="24"/>
        </w:rPr>
        <w:t xml:space="preserve"> </w:t>
      </w:r>
      <w:r>
        <w:rPr>
          <w:rFonts w:ascii="Times New Roman" w:hAnsi="Times New Roman" w:cs="Times New Roman"/>
          <w:noProof/>
          <w:sz w:val="24"/>
          <w:szCs w:val="24"/>
        </w:rPr>
        <w:t>(Hamilton et al., 2000)</w:t>
      </w:r>
      <w:r w:rsidRPr="00537744">
        <w:rPr>
          <w:rFonts w:ascii="Times New Roman" w:hAnsi="Times New Roman" w:cs="Times New Roman"/>
          <w:sz w:val="24"/>
          <w:szCs w:val="24"/>
        </w:rPr>
        <w:t xml:space="preserve">. </w:t>
      </w:r>
    </w:p>
    <w:p w:rsidR="00EC2F61" w:rsidRPr="00537744" w:rsidRDefault="00EC2F61" w:rsidP="00F426DC">
      <w:pPr>
        <w:spacing w:line="360" w:lineRule="auto"/>
        <w:rPr>
          <w:rFonts w:ascii="Times New Roman" w:hAnsi="Times New Roman" w:cs="Times New Roman"/>
          <w:sz w:val="24"/>
          <w:szCs w:val="24"/>
        </w:rPr>
      </w:pPr>
      <w:r w:rsidRPr="00537744">
        <w:rPr>
          <w:rFonts w:ascii="Times New Roman" w:hAnsi="Times New Roman" w:cs="Times New Roman"/>
          <w:sz w:val="24"/>
          <w:szCs w:val="24"/>
        </w:rPr>
        <w:t>The process of</w:t>
      </w:r>
      <w:r>
        <w:rPr>
          <w:rFonts w:ascii="Times New Roman" w:hAnsi="Times New Roman" w:cs="Times New Roman"/>
          <w:sz w:val="24"/>
          <w:szCs w:val="24"/>
        </w:rPr>
        <w:t xml:space="preserve"> park formation generated considerable hostility, including</w:t>
      </w:r>
      <w:r w:rsidRPr="00537744">
        <w:rPr>
          <w:rFonts w:ascii="Times New Roman" w:hAnsi="Times New Roman" w:cs="Times New Roman"/>
          <w:sz w:val="24"/>
          <w:szCs w:val="24"/>
        </w:rPr>
        <w:t xml:space="preserve"> violence against park staff, their exclusion from culturally important burial societies, and protests that included deliberate burning of the forest</w:t>
      </w:r>
      <w:r>
        <w:rPr>
          <w:rFonts w:ascii="Times New Roman" w:hAnsi="Times New Roman" w:cs="Times New Roman"/>
          <w:sz w:val="24"/>
          <w:szCs w:val="24"/>
        </w:rPr>
        <w:t xml:space="preserve"> </w:t>
      </w:r>
      <w:r>
        <w:rPr>
          <w:rFonts w:ascii="Times New Roman" w:hAnsi="Times New Roman" w:cs="Times New Roman"/>
          <w:noProof/>
          <w:sz w:val="24"/>
          <w:szCs w:val="24"/>
        </w:rPr>
        <w:t>(Baker et al., 2012; Blomley, 2003; Hamilton et al., 2000)</w:t>
      </w:r>
      <w:r>
        <w:rPr>
          <w:rFonts w:ascii="Times New Roman" w:hAnsi="Times New Roman" w:cs="Times New Roman"/>
          <w:sz w:val="24"/>
          <w:szCs w:val="24"/>
        </w:rPr>
        <w:t>. In response to these</w:t>
      </w:r>
      <w:r w:rsidRPr="00537744">
        <w:rPr>
          <w:rFonts w:ascii="Times New Roman" w:hAnsi="Times New Roman" w:cs="Times New Roman"/>
          <w:sz w:val="24"/>
          <w:szCs w:val="24"/>
        </w:rPr>
        <w:t xml:space="preserve"> conflicts the Uganda Wildlife Authority</w:t>
      </w:r>
      <w:r>
        <w:rPr>
          <w:rFonts w:ascii="Times New Roman" w:hAnsi="Times New Roman" w:cs="Times New Roman"/>
          <w:sz w:val="24"/>
          <w:szCs w:val="24"/>
        </w:rPr>
        <w:t xml:space="preserve"> (UWA)</w:t>
      </w:r>
      <w:r w:rsidRPr="00537744">
        <w:rPr>
          <w:rFonts w:ascii="Times New Roman" w:hAnsi="Times New Roman" w:cs="Times New Roman"/>
          <w:sz w:val="24"/>
          <w:szCs w:val="24"/>
        </w:rPr>
        <w:t xml:space="preserve">, working with </w:t>
      </w:r>
      <w:r>
        <w:rPr>
          <w:rFonts w:ascii="Times New Roman" w:hAnsi="Times New Roman" w:cs="Times New Roman"/>
          <w:sz w:val="24"/>
          <w:szCs w:val="24"/>
        </w:rPr>
        <w:t xml:space="preserve">donors such as the World Bank and USAID, and </w:t>
      </w:r>
      <w:r w:rsidRPr="00537744">
        <w:rPr>
          <w:rFonts w:ascii="Times New Roman" w:hAnsi="Times New Roman" w:cs="Times New Roman"/>
          <w:sz w:val="24"/>
          <w:szCs w:val="24"/>
        </w:rPr>
        <w:t>NGOs</w:t>
      </w:r>
      <w:r>
        <w:rPr>
          <w:rFonts w:ascii="Times New Roman" w:hAnsi="Times New Roman" w:cs="Times New Roman"/>
          <w:sz w:val="24"/>
          <w:szCs w:val="24"/>
        </w:rPr>
        <w:t xml:space="preserve"> such as CARE International</w:t>
      </w:r>
      <w:r w:rsidRPr="00537744">
        <w:rPr>
          <w:rFonts w:ascii="Times New Roman" w:hAnsi="Times New Roman" w:cs="Times New Roman"/>
          <w:sz w:val="24"/>
          <w:szCs w:val="24"/>
        </w:rPr>
        <w:t xml:space="preserve"> establis</w:t>
      </w:r>
      <w:r>
        <w:rPr>
          <w:rFonts w:ascii="Times New Roman" w:hAnsi="Times New Roman" w:cs="Times New Roman"/>
          <w:sz w:val="24"/>
          <w:szCs w:val="24"/>
        </w:rPr>
        <w:t xml:space="preserve">hed a number of ICDPs, including some restricted access to resources and benefit sharing arrangements </w:t>
      </w:r>
      <w:r>
        <w:rPr>
          <w:rFonts w:ascii="Times New Roman" w:hAnsi="Times New Roman" w:cs="Times New Roman"/>
          <w:noProof/>
          <w:sz w:val="24"/>
          <w:szCs w:val="24"/>
        </w:rPr>
        <w:t>(Adams and Infield, 2003; Blomley et al., 2010; Tancau, 2011)</w:t>
      </w:r>
      <w:r w:rsidRPr="001D2D18">
        <w:rPr>
          <w:rFonts w:ascii="Times New Roman" w:hAnsi="Times New Roman" w:cs="Times New Roman"/>
          <w:sz w:val="24"/>
          <w:szCs w:val="24"/>
        </w:rPr>
        <w:t>.</w:t>
      </w:r>
      <w:r w:rsidRPr="00537744">
        <w:rPr>
          <w:rFonts w:ascii="Times New Roman" w:hAnsi="Times New Roman" w:cs="Times New Roman"/>
          <w:sz w:val="24"/>
          <w:szCs w:val="24"/>
        </w:rPr>
        <w:t xml:space="preserve"> Goril</w:t>
      </w:r>
      <w:r>
        <w:rPr>
          <w:rFonts w:ascii="Times New Roman" w:hAnsi="Times New Roman" w:cs="Times New Roman"/>
          <w:sz w:val="24"/>
          <w:szCs w:val="24"/>
        </w:rPr>
        <w:t>la tourism started in 1993 and</w:t>
      </w:r>
      <w:r w:rsidRPr="00537744">
        <w:rPr>
          <w:rFonts w:ascii="Times New Roman" w:hAnsi="Times New Roman" w:cs="Times New Roman"/>
          <w:sz w:val="24"/>
          <w:szCs w:val="24"/>
        </w:rPr>
        <w:t xml:space="preserve"> re</w:t>
      </w:r>
      <w:r>
        <w:rPr>
          <w:rFonts w:ascii="Times New Roman" w:hAnsi="Times New Roman" w:cs="Times New Roman"/>
          <w:sz w:val="24"/>
          <w:szCs w:val="24"/>
        </w:rPr>
        <w:t>venue sharing</w:t>
      </w:r>
      <w:r w:rsidRPr="00537744">
        <w:rPr>
          <w:rFonts w:ascii="Times New Roman" w:hAnsi="Times New Roman" w:cs="Times New Roman"/>
          <w:sz w:val="24"/>
          <w:szCs w:val="24"/>
        </w:rPr>
        <w:t xml:space="preserve"> was initiated in 1994 to provide benefits to parishes that border the park. Multiple Use Zones</w:t>
      </w:r>
      <w:r>
        <w:rPr>
          <w:rFonts w:ascii="Times New Roman" w:hAnsi="Times New Roman" w:cs="Times New Roman"/>
          <w:sz w:val="24"/>
          <w:szCs w:val="24"/>
        </w:rPr>
        <w:t xml:space="preserve"> (MUZ)</w:t>
      </w:r>
      <w:r w:rsidRPr="00537744">
        <w:rPr>
          <w:rFonts w:ascii="Times New Roman" w:hAnsi="Times New Roman" w:cs="Times New Roman"/>
          <w:sz w:val="24"/>
          <w:szCs w:val="24"/>
        </w:rPr>
        <w:t xml:space="preserve"> were established in 1994, now covering 20% of the park, and </w:t>
      </w:r>
      <w:r>
        <w:rPr>
          <w:rFonts w:ascii="Times New Roman" w:hAnsi="Times New Roman" w:cs="Times New Roman"/>
          <w:sz w:val="24"/>
          <w:szCs w:val="24"/>
        </w:rPr>
        <w:t xml:space="preserve">intended to </w:t>
      </w:r>
      <w:r w:rsidRPr="00537744">
        <w:rPr>
          <w:rFonts w:ascii="Times New Roman" w:hAnsi="Times New Roman" w:cs="Times New Roman"/>
          <w:sz w:val="24"/>
          <w:szCs w:val="24"/>
        </w:rPr>
        <w:t xml:space="preserve">benefit those park-adjacent parishes that </w:t>
      </w:r>
      <w:r>
        <w:rPr>
          <w:rFonts w:ascii="Times New Roman" w:hAnsi="Times New Roman" w:cs="Times New Roman"/>
          <w:sz w:val="24"/>
          <w:szCs w:val="24"/>
        </w:rPr>
        <w:t xml:space="preserve">benefited least from </w:t>
      </w:r>
      <w:r w:rsidRPr="00537744">
        <w:rPr>
          <w:rFonts w:ascii="Times New Roman" w:hAnsi="Times New Roman" w:cs="Times New Roman"/>
          <w:sz w:val="24"/>
          <w:szCs w:val="24"/>
        </w:rPr>
        <w:t>gorilla tourism. The Bwindi and Mgahinga Conservation Trust</w:t>
      </w:r>
      <w:r>
        <w:rPr>
          <w:rFonts w:ascii="Times New Roman" w:hAnsi="Times New Roman" w:cs="Times New Roman"/>
          <w:sz w:val="24"/>
          <w:szCs w:val="24"/>
        </w:rPr>
        <w:t xml:space="preserve"> (BMCT)</w:t>
      </w:r>
      <w:r w:rsidRPr="00537744">
        <w:rPr>
          <w:rFonts w:ascii="Times New Roman" w:hAnsi="Times New Roman" w:cs="Times New Roman"/>
          <w:sz w:val="24"/>
          <w:szCs w:val="24"/>
        </w:rPr>
        <w:t xml:space="preserve"> was established in 1996 with </w:t>
      </w:r>
      <w:r>
        <w:rPr>
          <w:rFonts w:ascii="Times New Roman" w:hAnsi="Times New Roman" w:cs="Times New Roman"/>
          <w:sz w:val="24"/>
          <w:szCs w:val="24"/>
        </w:rPr>
        <w:t>USD</w:t>
      </w:r>
      <w:r w:rsidRPr="00537744">
        <w:rPr>
          <w:rFonts w:ascii="Times New Roman" w:hAnsi="Times New Roman" w:cs="Times New Roman"/>
          <w:sz w:val="24"/>
          <w:szCs w:val="24"/>
        </w:rPr>
        <w:t>4</w:t>
      </w:r>
      <w:r>
        <w:rPr>
          <w:rFonts w:ascii="Times New Roman" w:hAnsi="Times New Roman" w:cs="Times New Roman"/>
          <w:sz w:val="24"/>
          <w:szCs w:val="24"/>
        </w:rPr>
        <w:t>.2</w:t>
      </w:r>
      <w:r w:rsidRPr="00537744">
        <w:rPr>
          <w:rFonts w:ascii="Times New Roman" w:hAnsi="Times New Roman" w:cs="Times New Roman"/>
          <w:sz w:val="24"/>
          <w:szCs w:val="24"/>
        </w:rPr>
        <w:t xml:space="preserve"> million of Global Environment Facility </w:t>
      </w:r>
      <w:r>
        <w:rPr>
          <w:rFonts w:ascii="Times New Roman" w:hAnsi="Times New Roman" w:cs="Times New Roman"/>
          <w:sz w:val="24"/>
          <w:szCs w:val="24"/>
        </w:rPr>
        <w:t xml:space="preserve">and World Bank </w:t>
      </w:r>
      <w:r w:rsidRPr="00537744">
        <w:rPr>
          <w:rFonts w:ascii="Times New Roman" w:hAnsi="Times New Roman" w:cs="Times New Roman"/>
          <w:sz w:val="24"/>
          <w:szCs w:val="24"/>
        </w:rPr>
        <w:t>money to provide be</w:t>
      </w:r>
      <w:r>
        <w:rPr>
          <w:rFonts w:ascii="Times New Roman" w:hAnsi="Times New Roman" w:cs="Times New Roman"/>
          <w:sz w:val="24"/>
          <w:szCs w:val="24"/>
        </w:rPr>
        <w:t>nefits to those in a two parish-</w:t>
      </w:r>
      <w:r w:rsidRPr="00537744">
        <w:rPr>
          <w:rFonts w:ascii="Times New Roman" w:hAnsi="Times New Roman" w:cs="Times New Roman"/>
          <w:sz w:val="24"/>
          <w:szCs w:val="24"/>
        </w:rPr>
        <w:t xml:space="preserve">wide band around the park. </w:t>
      </w:r>
      <w:r>
        <w:rPr>
          <w:rFonts w:ascii="Times New Roman" w:hAnsi="Times New Roman" w:cs="Times New Roman"/>
          <w:sz w:val="24"/>
          <w:szCs w:val="24"/>
        </w:rPr>
        <w:t xml:space="preserve">Alongside dedicated NGOs such as the United Organisation for Batwa Development in Uganda (UOBDU), BMCT has also introduced projects specifically targeting the Batwa people, through provision of land and housing. In 1998, the Human Gorilla conflict resolution (HUGO) programme was introduced in which local groups were organised to systematically chase gorillas back into the forest with a view to encouraging sustained behavioural change that would reduce crop losses. </w:t>
      </w:r>
    </w:p>
    <w:p w:rsidR="00EC2F61" w:rsidRPr="00537744" w:rsidRDefault="00EC2F61" w:rsidP="00F426DC">
      <w:pPr>
        <w:spacing w:line="360" w:lineRule="auto"/>
        <w:rPr>
          <w:rFonts w:ascii="Times New Roman" w:hAnsi="Times New Roman" w:cs="Times New Roman"/>
          <w:sz w:val="24"/>
          <w:szCs w:val="24"/>
        </w:rPr>
      </w:pPr>
      <w:r w:rsidRPr="00537744">
        <w:rPr>
          <w:rFonts w:ascii="Times New Roman" w:hAnsi="Times New Roman" w:cs="Times New Roman"/>
          <w:sz w:val="24"/>
          <w:szCs w:val="24"/>
        </w:rPr>
        <w:t xml:space="preserve">There is little doubt that </w:t>
      </w:r>
      <w:r>
        <w:rPr>
          <w:rFonts w:ascii="Times New Roman" w:hAnsi="Times New Roman" w:cs="Times New Roman"/>
          <w:sz w:val="24"/>
          <w:szCs w:val="24"/>
        </w:rPr>
        <w:t xml:space="preserve">these efforts to increase </w:t>
      </w:r>
      <w:r w:rsidRPr="00537744">
        <w:rPr>
          <w:rFonts w:ascii="Times New Roman" w:hAnsi="Times New Roman" w:cs="Times New Roman"/>
          <w:sz w:val="24"/>
          <w:szCs w:val="24"/>
        </w:rPr>
        <w:t>benefit</w:t>
      </w:r>
      <w:r>
        <w:rPr>
          <w:rFonts w:ascii="Times New Roman" w:hAnsi="Times New Roman" w:cs="Times New Roman"/>
          <w:sz w:val="24"/>
          <w:szCs w:val="24"/>
        </w:rPr>
        <w:t>s and reduce costs, together with the healing effects of time and livelihood diversification, have reduced the intensity of</w:t>
      </w:r>
      <w:r w:rsidRPr="00537744">
        <w:rPr>
          <w:rFonts w:ascii="Times New Roman" w:hAnsi="Times New Roman" w:cs="Times New Roman"/>
          <w:sz w:val="24"/>
          <w:szCs w:val="24"/>
        </w:rPr>
        <w:t xml:space="preserve"> conflict</w:t>
      </w:r>
      <w:r>
        <w:rPr>
          <w:rFonts w:ascii="Times New Roman" w:hAnsi="Times New Roman" w:cs="Times New Roman"/>
          <w:sz w:val="24"/>
          <w:szCs w:val="24"/>
        </w:rPr>
        <w:t xml:space="preserve"> </w:t>
      </w:r>
      <w:r>
        <w:rPr>
          <w:rFonts w:ascii="Times New Roman" w:hAnsi="Times New Roman" w:cs="Times New Roman"/>
          <w:noProof/>
          <w:sz w:val="24"/>
          <w:szCs w:val="24"/>
        </w:rPr>
        <w:t>(Baker et al., 2012)</w:t>
      </w:r>
      <w:r w:rsidRPr="00537744">
        <w:rPr>
          <w:rFonts w:ascii="Times New Roman" w:hAnsi="Times New Roman" w:cs="Times New Roman"/>
          <w:sz w:val="24"/>
          <w:szCs w:val="24"/>
        </w:rPr>
        <w:t xml:space="preserve">. However, opinions vary regarding the extent to which underlying conflicts have </w:t>
      </w:r>
      <w:r>
        <w:rPr>
          <w:rFonts w:ascii="Times New Roman" w:hAnsi="Times New Roman" w:cs="Times New Roman"/>
          <w:sz w:val="24"/>
          <w:szCs w:val="24"/>
        </w:rPr>
        <w:t xml:space="preserve">actually </w:t>
      </w:r>
      <w:r w:rsidRPr="00537744">
        <w:rPr>
          <w:rFonts w:ascii="Times New Roman" w:hAnsi="Times New Roman" w:cs="Times New Roman"/>
          <w:sz w:val="24"/>
          <w:szCs w:val="24"/>
        </w:rPr>
        <w:t>been resolved, and about the extent to which twenty year</w:t>
      </w:r>
      <w:r>
        <w:rPr>
          <w:rFonts w:ascii="Times New Roman" w:hAnsi="Times New Roman" w:cs="Times New Roman"/>
          <w:sz w:val="24"/>
          <w:szCs w:val="24"/>
        </w:rPr>
        <w:t>s of ICDPs have delivered</w:t>
      </w:r>
      <w:r w:rsidRPr="00537744">
        <w:rPr>
          <w:rFonts w:ascii="Times New Roman" w:hAnsi="Times New Roman" w:cs="Times New Roman"/>
          <w:sz w:val="24"/>
          <w:szCs w:val="24"/>
        </w:rPr>
        <w:t xml:space="preserve"> justice for local people</w:t>
      </w:r>
      <w:r>
        <w:rPr>
          <w:rFonts w:ascii="Times New Roman" w:hAnsi="Times New Roman" w:cs="Times New Roman"/>
          <w:sz w:val="24"/>
          <w:szCs w:val="24"/>
        </w:rPr>
        <w:t>. On the one hand</w:t>
      </w:r>
      <w:r w:rsidRPr="00537744">
        <w:rPr>
          <w:rFonts w:ascii="Times New Roman" w:hAnsi="Times New Roman" w:cs="Times New Roman"/>
          <w:sz w:val="24"/>
          <w:szCs w:val="24"/>
        </w:rPr>
        <w:t>,</w:t>
      </w:r>
      <w:r>
        <w:rPr>
          <w:rFonts w:ascii="Times New Roman" w:hAnsi="Times New Roman" w:cs="Times New Roman"/>
          <w:sz w:val="24"/>
          <w:szCs w:val="24"/>
        </w:rPr>
        <w:t xml:space="preserve"> the gazetting of the park, together with the development of gorilla tourism, have brought significant new income and infrastructure to the Bwindi area, reducing park-people conflicts </w:t>
      </w:r>
      <w:r>
        <w:rPr>
          <w:rFonts w:ascii="Times New Roman" w:hAnsi="Times New Roman" w:cs="Times New Roman"/>
          <w:noProof/>
          <w:sz w:val="24"/>
          <w:szCs w:val="24"/>
        </w:rPr>
        <w:t>(Baker et al., 2012; Blomley, 2003; Blomley et al., 2010; MacKenzie, 2012; Sandbrook, 2010)</w:t>
      </w:r>
      <w:r w:rsidRPr="00537744">
        <w:rPr>
          <w:rFonts w:ascii="Times New Roman" w:hAnsi="Times New Roman" w:cs="Times New Roman"/>
          <w:sz w:val="24"/>
          <w:szCs w:val="24"/>
        </w:rPr>
        <w:t xml:space="preserve">. On the other hand, </w:t>
      </w:r>
      <w:r>
        <w:rPr>
          <w:rFonts w:ascii="Times New Roman" w:hAnsi="Times New Roman" w:cs="Times New Roman"/>
          <w:sz w:val="24"/>
          <w:szCs w:val="24"/>
        </w:rPr>
        <w:t xml:space="preserve">this growing body of research into the social impacts of Bwindi has also found that the benefits and costs from the park have not been evenly distributed and have therefore created winners and losers </w:t>
      </w:r>
      <w:r>
        <w:rPr>
          <w:rFonts w:ascii="Times New Roman" w:hAnsi="Times New Roman" w:cs="Times New Roman"/>
          <w:noProof/>
          <w:sz w:val="24"/>
          <w:szCs w:val="24"/>
        </w:rPr>
        <w:t>(Ahebwa et al., 2012; Sandbrook and Adams, 2012)</w:t>
      </w:r>
      <w:r>
        <w:rPr>
          <w:rFonts w:ascii="Times New Roman" w:hAnsi="Times New Roman" w:cs="Times New Roman"/>
          <w:sz w:val="24"/>
          <w:szCs w:val="24"/>
        </w:rPr>
        <w:t xml:space="preserve">.  Furthermore, this literature </w:t>
      </w:r>
      <w:r>
        <w:rPr>
          <w:rFonts w:ascii="Times New Roman" w:hAnsi="Times New Roman" w:cs="Times New Roman"/>
          <w:sz w:val="24"/>
          <w:szCs w:val="24"/>
        </w:rPr>
        <w:lastRenderedPageBreak/>
        <w:t xml:space="preserve">points to non-material forms of impact relating to failures to recognise rights to self-determination </w:t>
      </w:r>
      <w:r>
        <w:rPr>
          <w:rFonts w:ascii="Times New Roman" w:hAnsi="Times New Roman" w:cs="Times New Roman"/>
          <w:noProof/>
          <w:sz w:val="24"/>
          <w:szCs w:val="24"/>
        </w:rPr>
        <w:t>(Laudati, 2010; Tumusiime and Svarstad, 2011; Tumusiime and Vedeld, 2012)</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As Namara </w:t>
      </w:r>
      <w:r>
        <w:rPr>
          <w:rFonts w:ascii="Times New Roman" w:hAnsi="Times New Roman" w:cs="Times New Roman"/>
          <w:noProof/>
          <w:sz w:val="24"/>
          <w:szCs w:val="24"/>
        </w:rPr>
        <w:t>(2006)</w:t>
      </w:r>
      <w:r>
        <w:rPr>
          <w:rFonts w:ascii="Times New Roman" w:hAnsi="Times New Roman" w:cs="Times New Roman"/>
          <w:sz w:val="24"/>
          <w:szCs w:val="24"/>
        </w:rPr>
        <w:t xml:space="preserve"> describes in relation to one ICDP project, sometimes the very interventions that intend to improve the distribution of costs and benefits are themselves perceived to be coercively implemented, and to undermine local rights. She describes an apparently benign scheme to allow people to relocate from farmland that was blighted by foraging gorillas, and this became less benign as it left some people with no genuine choice but to sell their land. </w:t>
      </w:r>
    </w:p>
    <w:p w:rsidR="00EC2F61" w:rsidRDefault="00EC2F61" w:rsidP="0093642A">
      <w:pPr>
        <w:spacing w:line="360" w:lineRule="auto"/>
        <w:rPr>
          <w:rFonts w:ascii="Times New Roman" w:hAnsi="Times New Roman" w:cs="Times New Roman"/>
          <w:sz w:val="24"/>
          <w:szCs w:val="24"/>
        </w:rPr>
      </w:pPr>
      <w:r w:rsidRPr="00537744">
        <w:rPr>
          <w:rFonts w:ascii="Times New Roman" w:hAnsi="Times New Roman" w:cs="Times New Roman"/>
          <w:sz w:val="24"/>
          <w:szCs w:val="24"/>
        </w:rPr>
        <w:t xml:space="preserve">Our intention in this article is to look at the same Bwindi case study, but to do so with </w:t>
      </w:r>
      <w:r>
        <w:rPr>
          <w:rFonts w:ascii="Times New Roman" w:hAnsi="Times New Roman" w:cs="Times New Roman"/>
          <w:sz w:val="24"/>
          <w:szCs w:val="24"/>
        </w:rPr>
        <w:t>our more</w:t>
      </w:r>
      <w:r w:rsidRPr="00537744">
        <w:rPr>
          <w:rFonts w:ascii="Times New Roman" w:hAnsi="Times New Roman" w:cs="Times New Roman"/>
          <w:sz w:val="24"/>
          <w:szCs w:val="24"/>
        </w:rPr>
        <w:t xml:space="preserve"> explicit justice focus. The </w:t>
      </w:r>
      <w:r>
        <w:rPr>
          <w:rFonts w:ascii="Times New Roman" w:hAnsi="Times New Roman" w:cs="Times New Roman"/>
          <w:sz w:val="24"/>
          <w:szCs w:val="24"/>
        </w:rPr>
        <w:t xml:space="preserve">purpose of this is not to challenge </w:t>
      </w:r>
      <w:r w:rsidRPr="00537744">
        <w:rPr>
          <w:rFonts w:ascii="Times New Roman" w:hAnsi="Times New Roman" w:cs="Times New Roman"/>
          <w:sz w:val="24"/>
          <w:szCs w:val="24"/>
        </w:rPr>
        <w:t xml:space="preserve">the aforementioned literatures, but to </w:t>
      </w:r>
      <w:r>
        <w:rPr>
          <w:rFonts w:ascii="Times New Roman" w:hAnsi="Times New Roman" w:cs="Times New Roman"/>
          <w:sz w:val="24"/>
          <w:szCs w:val="24"/>
        </w:rPr>
        <w:t xml:space="preserve">explore whether </w:t>
      </w:r>
      <w:r w:rsidRPr="00537744">
        <w:rPr>
          <w:rFonts w:ascii="Times New Roman" w:hAnsi="Times New Roman" w:cs="Times New Roman"/>
          <w:sz w:val="24"/>
          <w:szCs w:val="24"/>
        </w:rPr>
        <w:t xml:space="preserve">a justice analysis </w:t>
      </w:r>
      <w:r>
        <w:rPr>
          <w:rFonts w:ascii="Times New Roman" w:hAnsi="Times New Roman" w:cs="Times New Roman"/>
          <w:sz w:val="24"/>
          <w:szCs w:val="24"/>
        </w:rPr>
        <w:t xml:space="preserve">provides additional and useful insights that might </w:t>
      </w:r>
      <w:r w:rsidRPr="00537744">
        <w:rPr>
          <w:rFonts w:ascii="Times New Roman" w:hAnsi="Times New Roman" w:cs="Times New Roman"/>
          <w:sz w:val="24"/>
          <w:szCs w:val="24"/>
        </w:rPr>
        <w:t>help con</w:t>
      </w:r>
      <w:r>
        <w:rPr>
          <w:rFonts w:ascii="Times New Roman" w:hAnsi="Times New Roman" w:cs="Times New Roman"/>
          <w:sz w:val="24"/>
          <w:szCs w:val="24"/>
        </w:rPr>
        <w:t xml:space="preserve">servation to both define and work towards more just practices. </w:t>
      </w:r>
    </w:p>
    <w:p w:rsidR="00EC2F61" w:rsidRDefault="00EC2F61" w:rsidP="007E28BB">
      <w:pPr>
        <w:spacing w:line="360" w:lineRule="auto"/>
        <w:rPr>
          <w:rFonts w:ascii="Times New Roman" w:hAnsi="Times New Roman" w:cs="Times New Roman"/>
          <w:b/>
          <w:bCs/>
          <w:sz w:val="24"/>
          <w:szCs w:val="24"/>
        </w:rPr>
      </w:pPr>
    </w:p>
    <w:p w:rsidR="00EC2F61" w:rsidRDefault="00EC2F61" w:rsidP="008957CB">
      <w:pPr>
        <w:spacing w:line="360" w:lineRule="auto"/>
        <w:rPr>
          <w:rFonts w:ascii="Times New Roman" w:hAnsi="Times New Roman" w:cs="Times New Roman"/>
          <w:b/>
          <w:bCs/>
          <w:sz w:val="24"/>
          <w:szCs w:val="24"/>
        </w:rPr>
      </w:pPr>
      <w:r>
        <w:rPr>
          <w:rFonts w:ascii="Times New Roman" w:hAnsi="Times New Roman" w:cs="Times New Roman"/>
          <w:b/>
          <w:bCs/>
          <w:sz w:val="24"/>
          <w:szCs w:val="24"/>
        </w:rPr>
        <w:t>Methods and Approach</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We explore the justice </w:t>
      </w:r>
      <w:r w:rsidRPr="00537744">
        <w:rPr>
          <w:rFonts w:ascii="Times New Roman" w:hAnsi="Times New Roman" w:cs="Times New Roman"/>
          <w:sz w:val="24"/>
          <w:szCs w:val="24"/>
        </w:rPr>
        <w:t>outcomes of conservat</w:t>
      </w:r>
      <w:r>
        <w:rPr>
          <w:rFonts w:ascii="Times New Roman" w:hAnsi="Times New Roman" w:cs="Times New Roman"/>
          <w:sz w:val="24"/>
          <w:szCs w:val="24"/>
        </w:rPr>
        <w:t>ion interventions around Bwindi</w:t>
      </w:r>
      <w:r w:rsidRPr="00537744">
        <w:rPr>
          <w:rFonts w:ascii="Times New Roman" w:hAnsi="Times New Roman" w:cs="Times New Roman"/>
          <w:sz w:val="24"/>
          <w:szCs w:val="24"/>
        </w:rPr>
        <w:t xml:space="preserve"> with a view to generating findings about how conservation and social justice outcomes can be better aligned. Field research took place between July and December 2011 and involved three methods. First</w:t>
      </w:r>
      <w:r>
        <w:rPr>
          <w:rFonts w:ascii="Times New Roman" w:hAnsi="Times New Roman" w:cs="Times New Roman"/>
          <w:sz w:val="24"/>
          <w:szCs w:val="24"/>
        </w:rPr>
        <w:t>ly</w:t>
      </w:r>
      <w:r w:rsidRPr="00537744">
        <w:rPr>
          <w:rFonts w:ascii="Times New Roman" w:hAnsi="Times New Roman" w:cs="Times New Roman"/>
          <w:sz w:val="24"/>
          <w:szCs w:val="24"/>
        </w:rPr>
        <w:t>, two</w:t>
      </w:r>
      <w:r>
        <w:rPr>
          <w:rFonts w:ascii="Times New Roman" w:hAnsi="Times New Roman" w:cs="Times New Roman"/>
          <w:sz w:val="24"/>
          <w:szCs w:val="24"/>
        </w:rPr>
        <w:t xml:space="preserve"> ‘expert panel’ </w:t>
      </w:r>
      <w:r w:rsidRPr="00537744">
        <w:rPr>
          <w:rFonts w:ascii="Times New Roman" w:hAnsi="Times New Roman" w:cs="Times New Roman"/>
          <w:sz w:val="24"/>
          <w:szCs w:val="24"/>
        </w:rPr>
        <w:t>meetings were held to identify the issues around which claims about fairness are constructed</w:t>
      </w:r>
      <w:r>
        <w:rPr>
          <w:rFonts w:ascii="Times New Roman" w:hAnsi="Times New Roman" w:cs="Times New Roman"/>
          <w:sz w:val="24"/>
          <w:szCs w:val="24"/>
        </w:rPr>
        <w:t xml:space="preserve"> locally</w:t>
      </w:r>
      <w:r w:rsidRPr="00537744">
        <w:rPr>
          <w:rFonts w:ascii="Times New Roman" w:hAnsi="Times New Roman" w:cs="Times New Roman"/>
          <w:sz w:val="24"/>
          <w:szCs w:val="24"/>
        </w:rPr>
        <w:t>. Second, we undertook a household survey (</w:t>
      </w:r>
      <w:r>
        <w:rPr>
          <w:rFonts w:ascii="Times New Roman" w:hAnsi="Times New Roman" w:cs="Times New Roman"/>
          <w:sz w:val="24"/>
          <w:szCs w:val="24"/>
        </w:rPr>
        <w:t>N = 146)</w:t>
      </w:r>
      <w:r w:rsidRPr="00537744">
        <w:rPr>
          <w:rFonts w:ascii="Times New Roman" w:hAnsi="Times New Roman" w:cs="Times New Roman"/>
          <w:sz w:val="24"/>
          <w:szCs w:val="24"/>
        </w:rPr>
        <w:t xml:space="preserve"> with a mixture of closed and open questions. Surveys were conducted in villages in four locations, selected according to distance from the park (near </w:t>
      </w:r>
      <w:r>
        <w:rPr>
          <w:rFonts w:ascii="Times New Roman" w:hAnsi="Times New Roman" w:cs="Times New Roman"/>
          <w:sz w:val="24"/>
          <w:szCs w:val="24"/>
        </w:rPr>
        <w:t>=</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up to </w:t>
      </w:r>
      <w:r w:rsidRPr="00537744">
        <w:rPr>
          <w:rFonts w:ascii="Times New Roman" w:hAnsi="Times New Roman" w:cs="Times New Roman"/>
          <w:sz w:val="24"/>
          <w:szCs w:val="24"/>
        </w:rPr>
        <w:t>5</w:t>
      </w:r>
      <w:r>
        <w:rPr>
          <w:rFonts w:ascii="Times New Roman" w:hAnsi="Times New Roman" w:cs="Times New Roman"/>
          <w:sz w:val="24"/>
          <w:szCs w:val="24"/>
        </w:rPr>
        <w:t xml:space="preserve"> </w:t>
      </w:r>
      <w:r w:rsidRPr="00537744">
        <w:rPr>
          <w:rFonts w:ascii="Times New Roman" w:hAnsi="Times New Roman" w:cs="Times New Roman"/>
          <w:sz w:val="24"/>
          <w:szCs w:val="24"/>
        </w:rPr>
        <w:t>km, far = 5</w:t>
      </w:r>
      <w:r>
        <w:rPr>
          <w:rFonts w:ascii="Times New Roman" w:hAnsi="Times New Roman" w:cs="Times New Roman"/>
          <w:sz w:val="24"/>
          <w:szCs w:val="24"/>
        </w:rPr>
        <w:t>+</w:t>
      </w:r>
      <w:r w:rsidRPr="00537744">
        <w:rPr>
          <w:rFonts w:ascii="Times New Roman" w:hAnsi="Times New Roman" w:cs="Times New Roman"/>
          <w:sz w:val="24"/>
          <w:szCs w:val="24"/>
        </w:rPr>
        <w:t xml:space="preserve">km) and the presence </w:t>
      </w:r>
      <w:r w:rsidRPr="00DD745D">
        <w:rPr>
          <w:rFonts w:ascii="Times New Roman" w:hAnsi="Times New Roman" w:cs="Times New Roman"/>
          <w:sz w:val="24"/>
          <w:szCs w:val="24"/>
        </w:rPr>
        <w:t>of the tourism industry (tourism areas, TA; and no tourism areas, NTA). Questions about</w:t>
      </w:r>
      <w:r w:rsidRPr="00537744">
        <w:rPr>
          <w:rFonts w:ascii="Times New Roman" w:hAnsi="Times New Roman" w:cs="Times New Roman"/>
          <w:sz w:val="24"/>
          <w:szCs w:val="24"/>
        </w:rPr>
        <w:t xml:space="preserve"> distribu</w:t>
      </w:r>
      <w:r>
        <w:rPr>
          <w:rFonts w:ascii="Times New Roman" w:hAnsi="Times New Roman" w:cs="Times New Roman"/>
          <w:sz w:val="24"/>
          <w:szCs w:val="24"/>
        </w:rPr>
        <w:t>tive outcomes</w:t>
      </w:r>
      <w:r w:rsidRPr="00537744">
        <w:rPr>
          <w:rFonts w:ascii="Times New Roman" w:hAnsi="Times New Roman" w:cs="Times New Roman"/>
          <w:sz w:val="24"/>
          <w:szCs w:val="24"/>
        </w:rPr>
        <w:t xml:space="preserve"> were based on the household as the unit of assessment, so for example gender disaggregation could only be considered by comparing female and male headed households. </w:t>
      </w:r>
      <w:r>
        <w:rPr>
          <w:rFonts w:ascii="Times New Roman" w:hAnsi="Times New Roman" w:cs="Times New Roman"/>
          <w:sz w:val="24"/>
          <w:szCs w:val="24"/>
        </w:rPr>
        <w:t>By contrast, q</w:t>
      </w:r>
      <w:r w:rsidRPr="00537744">
        <w:rPr>
          <w:rFonts w:ascii="Times New Roman" w:hAnsi="Times New Roman" w:cs="Times New Roman"/>
          <w:sz w:val="24"/>
          <w:szCs w:val="24"/>
        </w:rPr>
        <w:t>uestions that probed subjective opinions</w:t>
      </w:r>
      <w:r>
        <w:rPr>
          <w:rFonts w:ascii="Times New Roman" w:hAnsi="Times New Roman" w:cs="Times New Roman"/>
          <w:sz w:val="24"/>
          <w:szCs w:val="24"/>
        </w:rPr>
        <w:t xml:space="preserve"> were aimed at individuals</w:t>
      </w:r>
      <w:r w:rsidRPr="00537744">
        <w:rPr>
          <w:rFonts w:ascii="Times New Roman" w:hAnsi="Times New Roman" w:cs="Times New Roman"/>
          <w:sz w:val="24"/>
          <w:szCs w:val="24"/>
        </w:rPr>
        <w:t>. T</w:t>
      </w:r>
      <w:r>
        <w:rPr>
          <w:rFonts w:ascii="Times New Roman" w:hAnsi="Times New Roman" w:cs="Times New Roman"/>
          <w:sz w:val="24"/>
          <w:szCs w:val="24"/>
        </w:rPr>
        <w:t>hirdly, we conducted f</w:t>
      </w:r>
      <w:r w:rsidRPr="00537744">
        <w:rPr>
          <w:rFonts w:ascii="Times New Roman" w:hAnsi="Times New Roman" w:cs="Times New Roman"/>
          <w:sz w:val="24"/>
          <w:szCs w:val="24"/>
        </w:rPr>
        <w:t>ocus groups organised along ethnic lines,</w:t>
      </w:r>
      <w:r>
        <w:rPr>
          <w:rFonts w:ascii="Times New Roman" w:hAnsi="Times New Roman" w:cs="Times New Roman"/>
          <w:sz w:val="24"/>
          <w:szCs w:val="24"/>
        </w:rPr>
        <w:t xml:space="preserve"> with the </w:t>
      </w:r>
      <w:r w:rsidRPr="00537744">
        <w:rPr>
          <w:rFonts w:ascii="Times New Roman" w:hAnsi="Times New Roman" w:cs="Times New Roman"/>
          <w:sz w:val="24"/>
          <w:szCs w:val="24"/>
        </w:rPr>
        <w:t xml:space="preserve">Bakiga </w:t>
      </w:r>
      <w:r>
        <w:rPr>
          <w:rFonts w:ascii="Times New Roman" w:hAnsi="Times New Roman" w:cs="Times New Roman"/>
          <w:sz w:val="24"/>
          <w:szCs w:val="24"/>
        </w:rPr>
        <w:t>(the majority ethnic group) and the Batwa</w:t>
      </w:r>
      <w:r w:rsidRPr="00CE725B">
        <w:rPr>
          <w:rFonts w:ascii="Times New Roman" w:hAnsi="Times New Roman" w:cs="Times New Roman"/>
          <w:sz w:val="24"/>
          <w:szCs w:val="24"/>
        </w:rPr>
        <w:t xml:space="preserve">. </w:t>
      </w:r>
      <w:r>
        <w:rPr>
          <w:rFonts w:ascii="Times New Roman" w:hAnsi="Times New Roman" w:cs="Times New Roman"/>
          <w:sz w:val="24"/>
          <w:szCs w:val="24"/>
        </w:rPr>
        <w:t xml:space="preserve">Injustices, such as failures of recognition (defined below) typically occur along arbitrary social fault-lines. In addition to gender, ethnicity, and proximity to the park and tourism operations, we also examined material wealth as a determinant of household experience of conservation. This was based on a count of durable assets as a basis for a simple subdivision into economically poor and less poor households. Whilst simplistic, counts of locally relevant assets can provide a reasonable </w:t>
      </w:r>
      <w:r>
        <w:rPr>
          <w:rFonts w:ascii="Times New Roman" w:hAnsi="Times New Roman" w:cs="Times New Roman"/>
          <w:sz w:val="24"/>
          <w:szCs w:val="24"/>
        </w:rPr>
        <w:lastRenderedPageBreak/>
        <w:t xml:space="preserve">proxy for wealth inequalities without the cost of collecting detailed income or expenditure data </w:t>
      </w:r>
      <w:r>
        <w:rPr>
          <w:rFonts w:ascii="Times New Roman" w:hAnsi="Times New Roman" w:cs="Times New Roman"/>
          <w:noProof/>
          <w:sz w:val="24"/>
          <w:szCs w:val="24"/>
        </w:rPr>
        <w:t>(Davies and Smith, 1998; McKenzie, 2005)</w:t>
      </w:r>
      <w:r>
        <w:rPr>
          <w:rFonts w:ascii="Times New Roman" w:hAnsi="Times New Roman" w:cs="Times New Roman"/>
          <w:sz w:val="24"/>
          <w:szCs w:val="24"/>
        </w:rPr>
        <w:t>.</w:t>
      </w:r>
    </w:p>
    <w:p w:rsidR="00EC2F61" w:rsidRPr="00DD745D" w:rsidRDefault="00EC2F61" w:rsidP="008957CB">
      <w:pPr>
        <w:spacing w:line="360" w:lineRule="auto"/>
        <w:rPr>
          <w:rFonts w:ascii="Times New Roman" w:hAnsi="Times New Roman" w:cs="Times New Roman"/>
          <w:b/>
          <w:bCs/>
          <w:sz w:val="24"/>
          <w:szCs w:val="24"/>
        </w:rPr>
      </w:pPr>
    </w:p>
    <w:tbl>
      <w:tblPr>
        <w:tblW w:w="5860" w:type="dxa"/>
        <w:tblInd w:w="108" w:type="dxa"/>
        <w:tblLook w:val="00A0" w:firstRow="1" w:lastRow="0" w:firstColumn="1" w:lastColumn="0" w:noHBand="0" w:noVBand="0"/>
      </w:tblPr>
      <w:tblGrid>
        <w:gridCol w:w="2279"/>
        <w:gridCol w:w="1985"/>
        <w:gridCol w:w="1596"/>
      </w:tblGrid>
      <w:tr w:rsidR="00EC2F61" w:rsidRPr="00686BAD" w:rsidTr="008957CB">
        <w:trPr>
          <w:trHeight w:val="600"/>
        </w:trPr>
        <w:tc>
          <w:tcPr>
            <w:tcW w:w="2279" w:type="dxa"/>
            <w:tcBorders>
              <w:top w:val="single" w:sz="4" w:space="0" w:color="auto"/>
              <w:left w:val="single" w:sz="4" w:space="0" w:color="auto"/>
              <w:bottom w:val="single" w:sz="4" w:space="0" w:color="auto"/>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Sub-groupings</w:t>
            </w:r>
          </w:p>
        </w:tc>
        <w:tc>
          <w:tcPr>
            <w:tcW w:w="1985" w:type="dxa"/>
            <w:tcBorders>
              <w:top w:val="single" w:sz="4" w:space="0" w:color="auto"/>
              <w:left w:val="nil"/>
              <w:bottom w:val="single" w:sz="4" w:space="0" w:color="auto"/>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p>
        </w:tc>
        <w:tc>
          <w:tcPr>
            <w:tcW w:w="1596" w:type="dxa"/>
            <w:tcBorders>
              <w:top w:val="single" w:sz="4" w:space="0" w:color="auto"/>
              <w:left w:val="nil"/>
              <w:bottom w:val="single" w:sz="4" w:space="0" w:color="auto"/>
              <w:right w:val="single" w:sz="4" w:space="0" w:color="auto"/>
            </w:tcBorders>
            <w:vAlign w:val="bottom"/>
          </w:tcPr>
          <w:p w:rsidR="00EC2F61" w:rsidRDefault="00EC2F61" w:rsidP="008957CB">
            <w:pPr>
              <w:spacing w:after="0" w:line="240" w:lineRule="auto"/>
              <w:rPr>
                <w:rFonts w:eastAsia="Times New Roman" w:cs="Arial"/>
                <w:b/>
                <w:bCs/>
                <w:color w:val="000000"/>
                <w:lang w:eastAsia="en-GB"/>
              </w:rPr>
            </w:pPr>
            <w:r>
              <w:rPr>
                <w:rFonts w:eastAsia="Times New Roman" w:cs="Arial"/>
                <w:b/>
                <w:bCs/>
                <w:color w:val="000000"/>
                <w:lang w:eastAsia="en-GB"/>
              </w:rPr>
              <w:t>Respondents</w:t>
            </w:r>
          </w:p>
          <w:p w:rsidR="00EC2F61" w:rsidRPr="00106F35" w:rsidRDefault="00EC2F61" w:rsidP="008957CB">
            <w:pPr>
              <w:spacing w:after="0" w:line="240" w:lineRule="auto"/>
              <w:rPr>
                <w:rFonts w:eastAsia="Times New Roman" w:cs="Arial"/>
                <w:b/>
                <w:bCs/>
                <w:color w:val="000000"/>
                <w:lang w:eastAsia="en-GB"/>
              </w:rPr>
            </w:pPr>
            <w:r>
              <w:rPr>
                <w:rFonts w:eastAsia="Times New Roman" w:cs="Arial"/>
                <w:b/>
                <w:bCs/>
                <w:color w:val="000000"/>
                <w:lang w:eastAsia="en-GB"/>
              </w:rPr>
              <w:t>(count)</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Distance to forest</w:t>
            </w: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near (up to 5 km)</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127</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far (5+ km)</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18</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Tourism</w:t>
            </w: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presence</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75</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absence</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70</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Gender</w:t>
            </w: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male</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90</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female</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55</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Ethnicity</w:t>
            </w: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 xml:space="preserve">Batwa </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19</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Pr>
                <w:rFonts w:eastAsia="Times New Roman" w:cs="Arial"/>
                <w:color w:val="000000"/>
                <w:lang w:eastAsia="en-GB"/>
              </w:rPr>
              <w:t>Bakiga</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127</w:t>
            </w:r>
          </w:p>
        </w:tc>
      </w:tr>
      <w:tr w:rsidR="00EC2F61" w:rsidRPr="00686BAD" w:rsidTr="008957CB">
        <w:trPr>
          <w:trHeight w:val="300"/>
        </w:trPr>
        <w:tc>
          <w:tcPr>
            <w:tcW w:w="2279" w:type="dxa"/>
            <w:tcBorders>
              <w:top w:val="nil"/>
              <w:left w:val="single" w:sz="4" w:space="0" w:color="auto"/>
              <w:bottom w:val="nil"/>
              <w:right w:val="nil"/>
            </w:tcBorders>
            <w:noWrap/>
            <w:vAlign w:val="bottom"/>
          </w:tcPr>
          <w:p w:rsidR="00EC2F61" w:rsidRPr="00106F35" w:rsidRDefault="00EC2F61" w:rsidP="008957CB">
            <w:pPr>
              <w:spacing w:after="0" w:line="240" w:lineRule="auto"/>
              <w:rPr>
                <w:rFonts w:eastAsia="Times New Roman" w:cs="Arial"/>
                <w:b/>
                <w:bCs/>
                <w:color w:val="000000"/>
                <w:lang w:eastAsia="en-GB"/>
              </w:rPr>
            </w:pPr>
            <w:r w:rsidRPr="00106F35">
              <w:rPr>
                <w:rFonts w:eastAsia="Times New Roman" w:cs="Arial"/>
                <w:b/>
                <w:bCs/>
                <w:color w:val="000000"/>
                <w:lang w:eastAsia="en-GB"/>
              </w:rPr>
              <w:t xml:space="preserve">Wealth </w:t>
            </w:r>
          </w:p>
        </w:tc>
        <w:tc>
          <w:tcPr>
            <w:tcW w:w="1985" w:type="dxa"/>
            <w:tcBorders>
              <w:top w:val="nil"/>
              <w:left w:val="nil"/>
              <w:bottom w:val="nil"/>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poor</w:t>
            </w:r>
          </w:p>
        </w:tc>
        <w:tc>
          <w:tcPr>
            <w:tcW w:w="1596" w:type="dxa"/>
            <w:tcBorders>
              <w:top w:val="nil"/>
              <w:left w:val="nil"/>
              <w:bottom w:val="nil"/>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73</w:t>
            </w:r>
          </w:p>
        </w:tc>
      </w:tr>
      <w:tr w:rsidR="00EC2F61" w:rsidRPr="00686BAD" w:rsidTr="008957CB">
        <w:trPr>
          <w:trHeight w:val="300"/>
        </w:trPr>
        <w:tc>
          <w:tcPr>
            <w:tcW w:w="2279" w:type="dxa"/>
            <w:tcBorders>
              <w:top w:val="nil"/>
              <w:left w:val="single" w:sz="4" w:space="0" w:color="auto"/>
              <w:bottom w:val="single" w:sz="4" w:space="0" w:color="auto"/>
              <w:right w:val="nil"/>
            </w:tcBorders>
            <w:noWrap/>
            <w:vAlign w:val="bottom"/>
          </w:tcPr>
          <w:p w:rsidR="00EC2F61" w:rsidRPr="00106F35" w:rsidRDefault="00EC2F61" w:rsidP="008957CB">
            <w:pPr>
              <w:spacing w:after="0" w:line="240" w:lineRule="auto"/>
              <w:rPr>
                <w:rFonts w:eastAsia="Times New Roman" w:cs="Arial"/>
                <w:color w:val="000000"/>
                <w:lang w:eastAsia="en-GB"/>
              </w:rPr>
            </w:pPr>
          </w:p>
        </w:tc>
        <w:tc>
          <w:tcPr>
            <w:tcW w:w="1985" w:type="dxa"/>
            <w:tcBorders>
              <w:top w:val="nil"/>
              <w:left w:val="nil"/>
              <w:bottom w:val="single" w:sz="4" w:space="0" w:color="auto"/>
              <w:right w:val="nil"/>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non-poor</w:t>
            </w:r>
          </w:p>
        </w:tc>
        <w:tc>
          <w:tcPr>
            <w:tcW w:w="1596" w:type="dxa"/>
            <w:tcBorders>
              <w:top w:val="nil"/>
              <w:left w:val="nil"/>
              <w:bottom w:val="single" w:sz="4" w:space="0" w:color="auto"/>
              <w:right w:val="single" w:sz="4" w:space="0" w:color="auto"/>
            </w:tcBorders>
            <w:noWrap/>
            <w:vAlign w:val="bottom"/>
          </w:tcPr>
          <w:p w:rsidR="00EC2F61" w:rsidRPr="00106F35" w:rsidRDefault="00EC2F61" w:rsidP="008957CB">
            <w:pPr>
              <w:spacing w:after="0" w:line="240" w:lineRule="auto"/>
              <w:rPr>
                <w:rFonts w:eastAsia="Times New Roman" w:cs="Arial"/>
                <w:color w:val="000000"/>
                <w:lang w:eastAsia="en-GB"/>
              </w:rPr>
            </w:pPr>
            <w:r w:rsidRPr="00106F35">
              <w:rPr>
                <w:rFonts w:eastAsia="Times New Roman" w:cs="Arial"/>
                <w:color w:val="000000"/>
                <w:lang w:eastAsia="en-GB"/>
              </w:rPr>
              <w:t>73</w:t>
            </w:r>
          </w:p>
        </w:tc>
      </w:tr>
    </w:tbl>
    <w:p w:rsidR="00EC2F61" w:rsidRPr="00537744" w:rsidRDefault="00EC2F61" w:rsidP="008957CB">
      <w:pPr>
        <w:spacing w:line="360" w:lineRule="auto"/>
        <w:rPr>
          <w:rFonts w:ascii="Times New Roman" w:hAnsi="Times New Roman" w:cs="Times New Roman"/>
          <w:sz w:val="24"/>
          <w:szCs w:val="24"/>
        </w:rPr>
      </w:pPr>
      <w:r w:rsidRPr="00DD745D">
        <w:rPr>
          <w:rFonts w:ascii="Times New Roman" w:hAnsi="Times New Roman" w:cs="Times New Roman"/>
          <w:b/>
          <w:bCs/>
          <w:sz w:val="24"/>
          <w:szCs w:val="24"/>
        </w:rPr>
        <w:t>Table 1. List of sub-groupings for analysis</w:t>
      </w:r>
    </w:p>
    <w:p w:rsidR="00EC2F61" w:rsidRDefault="00EC2F61" w:rsidP="008957CB">
      <w:pPr>
        <w:spacing w:line="360" w:lineRule="auto"/>
        <w:rPr>
          <w:rFonts w:ascii="Times New Roman" w:hAnsi="Times New Roman" w:cs="Times New Roman"/>
          <w:b/>
          <w:bCs/>
          <w:sz w:val="24"/>
          <w:szCs w:val="24"/>
        </w:rPr>
      </w:pP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An important part of our research approach was the development of a justice framework and we describe this in detail here. This framework was largely derived from literature review although the details (Figure 1) were in part influenced by the case work itself, an example of which is mentioned below.  Development of the framework  is guided by two key decisions. Firstly, we accept that justice claims are contextual and plural, rather than transcendental and universal. There are not only multiple justice values or dimensions (distribution, participation, recognition) but also a multiplicity of reasoned ways of thinking about these dimensions. </w:t>
      </w:r>
      <w:r w:rsidRPr="002E41DB">
        <w:rPr>
          <w:rFonts w:ascii="Times New Roman" w:hAnsi="Times New Roman" w:cs="Times New Roman"/>
          <w:sz w:val="24"/>
          <w:szCs w:val="24"/>
        </w:rPr>
        <w:t xml:space="preserve">Secondly, </w:t>
      </w:r>
      <w:r>
        <w:rPr>
          <w:rFonts w:ascii="Times New Roman" w:hAnsi="Times New Roman" w:cs="Times New Roman"/>
          <w:sz w:val="24"/>
          <w:szCs w:val="24"/>
        </w:rPr>
        <w:t xml:space="preserve">however, we suggest that there is considerable overlap in some of the basic conditions that allow humans to live lives worth living. In other words, our pluralism is tempered by some normative generalisations about what constitutes the ‘good’ for human beings. In that sense, we embrace Olson and Sayer’s </w:t>
      </w:r>
      <w:r>
        <w:rPr>
          <w:rFonts w:ascii="Times New Roman" w:hAnsi="Times New Roman" w:cs="Times New Roman"/>
          <w:noProof/>
          <w:sz w:val="24"/>
          <w:szCs w:val="24"/>
        </w:rPr>
        <w:t>(2009)</w:t>
      </w:r>
      <w:r>
        <w:rPr>
          <w:rFonts w:ascii="Times New Roman" w:hAnsi="Times New Roman" w:cs="Times New Roman"/>
          <w:sz w:val="24"/>
          <w:szCs w:val="24"/>
        </w:rPr>
        <w:t xml:space="preserve"> challenge to overcome the seemingly powerful aversion to normative thinking within the critical social sciences, and the associated belief that empirical facts and normative values can and should be compartmentalised </w:t>
      </w:r>
      <w:r>
        <w:rPr>
          <w:rFonts w:ascii="Times New Roman" w:hAnsi="Times New Roman" w:cs="Times New Roman"/>
          <w:noProof/>
          <w:sz w:val="24"/>
          <w:szCs w:val="24"/>
        </w:rPr>
        <w:t>(Jasanoff, 2004)</w:t>
      </w:r>
      <w:r>
        <w:rPr>
          <w:rFonts w:ascii="Times New Roman" w:hAnsi="Times New Roman" w:cs="Times New Roman"/>
          <w:sz w:val="24"/>
          <w:szCs w:val="24"/>
        </w:rPr>
        <w:t xml:space="preserve">. To help bridge the gap between an empirical and normative approach to environmental justice we look to theories of human capabilities, wellbeing and need (Figure 1) </w:t>
      </w:r>
      <w:r>
        <w:rPr>
          <w:rFonts w:ascii="Times New Roman" w:hAnsi="Times New Roman" w:cs="Times New Roman"/>
          <w:noProof/>
          <w:sz w:val="24"/>
          <w:szCs w:val="24"/>
        </w:rPr>
        <w:t>(Doyal and Gough, 1991; Nussbaum, 2011; Sen, 1999)</w:t>
      </w:r>
      <w:r>
        <w:rPr>
          <w:rFonts w:ascii="Times New Roman" w:hAnsi="Times New Roman" w:cs="Times New Roman"/>
          <w:sz w:val="24"/>
          <w:szCs w:val="24"/>
        </w:rPr>
        <w:t>.</w:t>
      </w:r>
    </w:p>
    <w:p w:rsidR="00EC2F61" w:rsidRPr="00567510" w:rsidRDefault="00EC2F61" w:rsidP="001D0E78">
      <w:pPr>
        <w:spacing w:line="360" w:lineRule="auto"/>
        <w:rPr>
          <w:rFonts w:ascii="Times New Roman" w:hAnsi="Times New Roman" w:cs="Times New Roman"/>
          <w:i/>
          <w:iCs/>
          <w:sz w:val="24"/>
          <w:szCs w:val="24"/>
        </w:rPr>
      </w:pPr>
      <w:r w:rsidRPr="00567510">
        <w:rPr>
          <w:rFonts w:ascii="Times New Roman" w:hAnsi="Times New Roman" w:cs="Times New Roman"/>
          <w:i/>
          <w:iCs/>
          <w:sz w:val="24"/>
          <w:szCs w:val="24"/>
        </w:rPr>
        <w:t>Figure 1 hereabouts</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Pluralism has a number of possible and overlapping facets. Firstly, it refers to the idea that claims about justice are multivalent – that they are constructed with different and arguably non-commensurate sets of values. In this sense, there can be no single metric of justice, even when this is a sophisticated one such as ‘utility’. Secondly, different people are likely to employ different principles to think about each of these values, thus for example a utilitarian might present a good case for prioritising distribution of a sum of money to the poor (because they will gain more additional utility from a dollar than will rich people), whilst some others might present an equally reasonable case for equal distribution, or distribution according to merit </w:t>
      </w:r>
      <w:r>
        <w:rPr>
          <w:rFonts w:ascii="Times New Roman" w:hAnsi="Times New Roman" w:cs="Times New Roman"/>
          <w:noProof/>
          <w:sz w:val="24"/>
          <w:szCs w:val="24"/>
        </w:rPr>
        <w:t>(Sen, 2009)</w:t>
      </w:r>
      <w:r>
        <w:rPr>
          <w:rFonts w:ascii="Times New Roman" w:hAnsi="Times New Roman" w:cs="Times New Roman"/>
          <w:sz w:val="24"/>
          <w:szCs w:val="24"/>
        </w:rPr>
        <w:t xml:space="preserve">. Thirdly, each of us is likely to think differently about justice principles depending on the particular situation facing us. For example, we might consider that an equal share is the best way to distribute votes, but merit a better way to distribute jobs </w:t>
      </w:r>
      <w:r>
        <w:rPr>
          <w:rFonts w:ascii="Times New Roman" w:hAnsi="Times New Roman" w:cs="Times New Roman"/>
          <w:noProof/>
          <w:sz w:val="24"/>
          <w:szCs w:val="24"/>
        </w:rPr>
        <w:t>(Deutsch, 2011)</w:t>
      </w:r>
      <w:r>
        <w:rPr>
          <w:rFonts w:ascii="Times New Roman" w:hAnsi="Times New Roman" w:cs="Times New Roman"/>
          <w:sz w:val="24"/>
          <w:szCs w:val="24"/>
        </w:rPr>
        <w:t xml:space="preserve">. We might also feel compelled to think very differently about the right way to act in relation to those spatially or emotionally close to us, compared to those who are more distant </w:t>
      </w:r>
      <w:r>
        <w:rPr>
          <w:rFonts w:ascii="Times New Roman" w:hAnsi="Times New Roman" w:cs="Times New Roman"/>
          <w:noProof/>
          <w:sz w:val="24"/>
          <w:szCs w:val="24"/>
        </w:rPr>
        <w:t>(Corbridge, 1993; Miller, 2013)</w:t>
      </w:r>
      <w:r>
        <w:rPr>
          <w:rFonts w:ascii="Times New Roman" w:hAnsi="Times New Roman" w:cs="Times New Roman"/>
          <w:sz w:val="24"/>
          <w:szCs w:val="24"/>
        </w:rPr>
        <w:t>.</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In making the case for a plurality of justice values, we accept that the distribution of material goods and bads is a key dimension of conservation justice, but also acknowledge other,  social dimensions, that might be equally strongly experienced (Figure 1).  A focus on distribution is observed in the framing of ‘fairness’ in </w:t>
      </w:r>
      <w:r w:rsidRPr="00537744">
        <w:rPr>
          <w:rFonts w:ascii="Times New Roman" w:hAnsi="Times New Roman" w:cs="Times New Roman"/>
          <w:sz w:val="24"/>
          <w:szCs w:val="24"/>
        </w:rPr>
        <w:t>the Convention</w:t>
      </w:r>
      <w:r>
        <w:rPr>
          <w:rFonts w:ascii="Times New Roman" w:hAnsi="Times New Roman" w:cs="Times New Roman"/>
          <w:sz w:val="24"/>
          <w:szCs w:val="24"/>
        </w:rPr>
        <w:t xml:space="preserve"> on Biological Diversity and associated</w:t>
      </w:r>
      <w:r w:rsidRPr="00537744">
        <w:rPr>
          <w:rFonts w:ascii="Times New Roman" w:hAnsi="Times New Roman" w:cs="Times New Roman"/>
          <w:sz w:val="24"/>
          <w:szCs w:val="24"/>
        </w:rPr>
        <w:t xml:space="preserve"> Nagoya Protocols</w:t>
      </w:r>
      <w:r>
        <w:rPr>
          <w:rFonts w:ascii="Times New Roman" w:hAnsi="Times New Roman" w:cs="Times New Roman"/>
          <w:sz w:val="24"/>
          <w:szCs w:val="24"/>
        </w:rPr>
        <w:t xml:space="preserve"> </w:t>
      </w:r>
      <w:r>
        <w:rPr>
          <w:rFonts w:ascii="Times New Roman" w:hAnsi="Times New Roman" w:cs="Times New Roman"/>
          <w:noProof/>
          <w:sz w:val="24"/>
          <w:szCs w:val="24"/>
        </w:rPr>
        <w:t>(De Jonge, 2011; Martin et al., 2013; McAfee, 1999)</w:t>
      </w:r>
      <w:r>
        <w:rPr>
          <w:rFonts w:ascii="Times New Roman" w:hAnsi="Times New Roman" w:cs="Times New Roman"/>
          <w:sz w:val="24"/>
          <w:szCs w:val="24"/>
        </w:rPr>
        <w:t xml:space="preserve">. It is also prominent in the dominant strand of ecosystem services thinking that often reduces nature’s values to economic ones (Garmendia and Pascual 2013), and more generally in the influential view that poverty and related injustices are predominantly a shortage of income (Sen 1999).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Value pluralism is represented in Figure 1 as a </w:t>
      </w:r>
      <w:r w:rsidRPr="00537744">
        <w:rPr>
          <w:rFonts w:ascii="Times New Roman" w:hAnsi="Times New Roman" w:cs="Times New Roman"/>
          <w:sz w:val="24"/>
          <w:szCs w:val="24"/>
        </w:rPr>
        <w:t>three-fold classification of the salient aspects of environmental justice: distribution, procedure and recognition</w:t>
      </w:r>
      <w:r>
        <w:rPr>
          <w:rFonts w:ascii="Times New Roman" w:hAnsi="Times New Roman" w:cs="Times New Roman"/>
          <w:sz w:val="24"/>
          <w:szCs w:val="24"/>
        </w:rPr>
        <w:t xml:space="preserve"> </w:t>
      </w:r>
      <w:r>
        <w:rPr>
          <w:rFonts w:ascii="Times New Roman" w:hAnsi="Times New Roman" w:cs="Times New Roman"/>
          <w:noProof/>
          <w:sz w:val="24"/>
          <w:szCs w:val="24"/>
        </w:rPr>
        <w:t>(Schlosberg, 2004; Sikor, 2013; Walker, 2012)</w:t>
      </w:r>
      <w:r w:rsidRPr="00537744">
        <w:rPr>
          <w:rFonts w:ascii="Times New Roman" w:hAnsi="Times New Roman" w:cs="Times New Roman"/>
          <w:sz w:val="24"/>
          <w:szCs w:val="24"/>
        </w:rPr>
        <w:t xml:space="preserve">. Distribution refers to both costs and benefits and can be disaggregated across a range of scales and social categories. </w:t>
      </w:r>
      <w:r>
        <w:rPr>
          <w:rFonts w:ascii="Times New Roman" w:hAnsi="Times New Roman" w:cs="Times New Roman"/>
          <w:sz w:val="24"/>
          <w:szCs w:val="24"/>
        </w:rPr>
        <w:t xml:space="preserve">In our case study, examples of the costs of conservation include damage to crops from wild animals, and benefits include the sharing of revenues from tourism. </w:t>
      </w:r>
      <w:r w:rsidRPr="00537744">
        <w:rPr>
          <w:rFonts w:ascii="Times New Roman" w:hAnsi="Times New Roman" w:cs="Times New Roman"/>
          <w:sz w:val="24"/>
          <w:szCs w:val="24"/>
        </w:rPr>
        <w:t>Procedure refers to how decisions are made, and who is included in the proce</w:t>
      </w:r>
      <w:r>
        <w:rPr>
          <w:rFonts w:ascii="Times New Roman" w:hAnsi="Times New Roman" w:cs="Times New Roman"/>
          <w:sz w:val="24"/>
          <w:szCs w:val="24"/>
        </w:rPr>
        <w:t xml:space="preserve">ss – for the current analysis it is considered as an antecedent to distribution and recognition outcomes, indicated by its appearance in a mediating position between these two categories of outcome. This is one example of how the development of the framework was partly iterative between front-end theoretical reading and later learning from the case itself. </w:t>
      </w:r>
      <w:r>
        <w:rPr>
          <w:rFonts w:ascii="Times New Roman" w:hAnsi="Times New Roman" w:cs="Times New Roman"/>
          <w:sz w:val="24"/>
          <w:szCs w:val="24"/>
        </w:rPr>
        <w:lastRenderedPageBreak/>
        <w:t xml:space="preserve">Procedure was initially treated as an independent category but this was adjusted as, in particular, we found that respondents’ concerns about procedure were often determinants of their concerns about recognition. Following the work of </w:t>
      </w:r>
      <w:r w:rsidRPr="00537744">
        <w:rPr>
          <w:rFonts w:ascii="Times New Roman" w:hAnsi="Times New Roman" w:cs="Times New Roman"/>
          <w:sz w:val="24"/>
          <w:szCs w:val="24"/>
        </w:rPr>
        <w:t xml:space="preserve">Fraser </w:t>
      </w:r>
      <w:r>
        <w:rPr>
          <w:rFonts w:ascii="Times New Roman" w:hAnsi="Times New Roman" w:cs="Times New Roman"/>
          <w:noProof/>
          <w:sz w:val="24"/>
          <w:szCs w:val="24"/>
        </w:rPr>
        <w:t>(2001)</w:t>
      </w:r>
      <w:r w:rsidRPr="00537744">
        <w:rPr>
          <w:rFonts w:ascii="Times New Roman" w:hAnsi="Times New Roman" w:cs="Times New Roman"/>
          <w:sz w:val="24"/>
          <w:szCs w:val="24"/>
        </w:rPr>
        <w:t xml:space="preserve"> we think about recognition in structural terms – as the societal structures that produce injustices in the form of lack of respect, discrimination and domination across social fault-lines such as gender, sexuality and ethnicity. </w:t>
      </w:r>
      <w:r>
        <w:rPr>
          <w:rFonts w:ascii="Times New Roman" w:hAnsi="Times New Roman" w:cs="Times New Roman"/>
          <w:sz w:val="24"/>
          <w:szCs w:val="24"/>
        </w:rPr>
        <w:t xml:space="preserve">In our case study, issues of recognition include apparent discrimination against an indigenous ethnic group, the Batwa. </w:t>
      </w:r>
    </w:p>
    <w:p w:rsidR="00EC2F61" w:rsidRPr="009B1679" w:rsidRDefault="00EC2F61" w:rsidP="00F426DC">
      <w:pPr>
        <w:spacing w:line="360" w:lineRule="auto"/>
        <w:rPr>
          <w:rFonts w:ascii="Times New Roman" w:hAnsi="Times New Roman" w:cs="Times New Roman"/>
          <w:sz w:val="24"/>
          <w:szCs w:val="24"/>
        </w:rPr>
      </w:pPr>
      <w:r w:rsidRPr="003D41A9">
        <w:rPr>
          <w:rFonts w:ascii="Times New Roman" w:hAnsi="Times New Roman" w:cs="Times New Roman"/>
          <w:sz w:val="24"/>
          <w:szCs w:val="24"/>
        </w:rPr>
        <w:t xml:space="preserve">For some social theorists, justice </w:t>
      </w:r>
      <w:r>
        <w:rPr>
          <w:rFonts w:ascii="Times New Roman" w:hAnsi="Times New Roman" w:cs="Times New Roman"/>
          <w:sz w:val="24"/>
          <w:szCs w:val="24"/>
        </w:rPr>
        <w:t xml:space="preserve">consists of meeting an irreducibly plural set of values, an outcome that </w:t>
      </w:r>
      <w:r w:rsidRPr="003D41A9">
        <w:rPr>
          <w:rFonts w:ascii="Times New Roman" w:hAnsi="Times New Roman" w:cs="Times New Roman"/>
          <w:sz w:val="24"/>
          <w:szCs w:val="24"/>
        </w:rPr>
        <w:t xml:space="preserve">cannot be achieved by offsetting losses in one domain with benefits in another. As Nussbaum </w:t>
      </w:r>
      <w:r>
        <w:rPr>
          <w:rFonts w:ascii="Times New Roman" w:hAnsi="Times New Roman" w:cs="Times New Roman"/>
          <w:noProof/>
          <w:sz w:val="24"/>
          <w:szCs w:val="24"/>
        </w:rPr>
        <w:t>(2011)</w:t>
      </w:r>
      <w:r w:rsidRPr="003D41A9">
        <w:rPr>
          <w:rFonts w:ascii="Times New Roman" w:hAnsi="Times New Roman" w:cs="Times New Roman"/>
          <w:sz w:val="24"/>
          <w:szCs w:val="24"/>
        </w:rPr>
        <w:t xml:space="preserve"> argues, failure to protect one basic requirement for living a dignified life, such as self-determination, cannot be corrected through enhancement of a different requirement such as healthcare, albeit that the latter might be desirable in its own right.</w:t>
      </w:r>
      <w:r>
        <w:rPr>
          <w:rFonts w:ascii="Times New Roman" w:hAnsi="Times New Roman" w:cs="Times New Roman"/>
          <w:sz w:val="24"/>
          <w:szCs w:val="24"/>
        </w:rPr>
        <w:t xml:space="preserve"> This commitment to pluralism compels us to reject a utilitarian approach to assessing justice in favour of a rights and needs-based one.</w:t>
      </w:r>
      <w:r w:rsidRPr="00B23631">
        <w:rPr>
          <w:rFonts w:ascii="Times New Roman" w:hAnsi="Times New Roman" w:cs="Times New Roman"/>
          <w:sz w:val="24"/>
          <w:szCs w:val="24"/>
        </w:rPr>
        <w:t xml:space="preserve"> Utilitarianism built from the premise that defining what is good is a matter of identifying individual utility or preference satisfaction. According to</w:t>
      </w:r>
      <w:r>
        <w:rPr>
          <w:rFonts w:ascii="Times New Roman" w:hAnsi="Times New Roman" w:cs="Times New Roman"/>
          <w:sz w:val="24"/>
          <w:szCs w:val="24"/>
        </w:rPr>
        <w:t xml:space="preserve"> an influential rendering of this</w:t>
      </w:r>
      <w:r w:rsidRPr="00B23631">
        <w:rPr>
          <w:rFonts w:ascii="Times New Roman" w:hAnsi="Times New Roman" w:cs="Times New Roman"/>
          <w:sz w:val="24"/>
          <w:szCs w:val="24"/>
        </w:rPr>
        <w:t xml:space="preserve">, justice could then be achieved through pursuit of the greatest </w:t>
      </w:r>
      <w:r>
        <w:rPr>
          <w:rFonts w:ascii="Times New Roman" w:hAnsi="Times New Roman" w:cs="Times New Roman"/>
          <w:sz w:val="24"/>
          <w:szCs w:val="24"/>
        </w:rPr>
        <w:t>happiness</w:t>
      </w:r>
      <w:r w:rsidRPr="00B23631">
        <w:rPr>
          <w:rFonts w:ascii="Times New Roman" w:hAnsi="Times New Roman" w:cs="Times New Roman"/>
          <w:sz w:val="24"/>
          <w:szCs w:val="24"/>
        </w:rPr>
        <w:t xml:space="preserve"> for the greatest number </w:t>
      </w:r>
      <w:r>
        <w:rPr>
          <w:rFonts w:ascii="Times New Roman" w:hAnsi="Times New Roman" w:cs="Times New Roman"/>
          <w:noProof/>
          <w:sz w:val="24"/>
          <w:szCs w:val="24"/>
        </w:rPr>
        <w:t>(Bentham, 1789)</w:t>
      </w:r>
      <w:r w:rsidRPr="00B23631">
        <w:rPr>
          <w:rFonts w:ascii="Times New Roman" w:hAnsi="Times New Roman" w:cs="Times New Roman"/>
          <w:sz w:val="24"/>
          <w:szCs w:val="24"/>
        </w:rPr>
        <w:t>. Th</w:t>
      </w:r>
      <w:r>
        <w:rPr>
          <w:rFonts w:ascii="Times New Roman" w:hAnsi="Times New Roman" w:cs="Times New Roman"/>
          <w:sz w:val="24"/>
          <w:szCs w:val="24"/>
        </w:rPr>
        <w:t xml:space="preserve">is focus on aggregate welfare is unsuitable for two main reasons. </w:t>
      </w:r>
      <w:r w:rsidRPr="00B23631">
        <w:rPr>
          <w:rFonts w:ascii="Times New Roman" w:hAnsi="Times New Roman" w:cs="Times New Roman"/>
          <w:sz w:val="24"/>
          <w:szCs w:val="24"/>
        </w:rPr>
        <w:t xml:space="preserve">Firstly, </w:t>
      </w:r>
      <w:r>
        <w:rPr>
          <w:rFonts w:ascii="Times New Roman" w:hAnsi="Times New Roman" w:cs="Times New Roman"/>
          <w:sz w:val="24"/>
          <w:szCs w:val="24"/>
        </w:rPr>
        <w:t>it</w:t>
      </w:r>
      <w:r w:rsidRPr="00B23631">
        <w:rPr>
          <w:rFonts w:ascii="Times New Roman" w:hAnsi="Times New Roman" w:cs="Times New Roman"/>
          <w:sz w:val="24"/>
          <w:szCs w:val="24"/>
        </w:rPr>
        <w:t xml:space="preserve"> potentially allows for intolerable h</w:t>
      </w:r>
      <w:r>
        <w:rPr>
          <w:rFonts w:ascii="Times New Roman" w:hAnsi="Times New Roman" w:cs="Times New Roman"/>
          <w:sz w:val="24"/>
          <w:szCs w:val="24"/>
        </w:rPr>
        <w:t>arm to some people</w:t>
      </w:r>
      <w:r w:rsidRPr="00B23631">
        <w:rPr>
          <w:rFonts w:ascii="Times New Roman" w:hAnsi="Times New Roman" w:cs="Times New Roman"/>
          <w:sz w:val="24"/>
          <w:szCs w:val="24"/>
        </w:rPr>
        <w:t xml:space="preserve">. In the case of conservation, there is a large literature that shows that those more likely to be rendered worse off are the poor, </w:t>
      </w:r>
      <w:r>
        <w:rPr>
          <w:rFonts w:ascii="Times New Roman" w:hAnsi="Times New Roman" w:cs="Times New Roman"/>
          <w:sz w:val="24"/>
          <w:szCs w:val="24"/>
        </w:rPr>
        <w:t>an outcome that might predict that even if ‘many’ people benefit from a park such as Bwindi, the ‘few’ who bear costs will be those who will feel harm the most (and perhaps deserve it least)</w:t>
      </w:r>
      <w:r w:rsidRPr="00B23631">
        <w:rPr>
          <w:rFonts w:ascii="Times New Roman" w:hAnsi="Times New Roman" w:cs="Times New Roman"/>
          <w:sz w:val="24"/>
          <w:szCs w:val="24"/>
        </w:rPr>
        <w:t xml:space="preserve">. </w:t>
      </w:r>
      <w:r>
        <w:rPr>
          <w:rFonts w:ascii="Times New Roman" w:hAnsi="Times New Roman" w:cs="Times New Roman"/>
          <w:sz w:val="24"/>
          <w:szCs w:val="24"/>
        </w:rPr>
        <w:t xml:space="preserve">Secondly, utilitarianism seeks to aggregate different, incommensurate, </w:t>
      </w:r>
      <w:r w:rsidRPr="00B23631">
        <w:rPr>
          <w:rFonts w:ascii="Times New Roman" w:hAnsi="Times New Roman" w:cs="Times New Roman"/>
          <w:sz w:val="24"/>
          <w:szCs w:val="24"/>
        </w:rPr>
        <w:t>components of life</w:t>
      </w:r>
      <w:r>
        <w:rPr>
          <w:rFonts w:ascii="Times New Roman" w:hAnsi="Times New Roman" w:cs="Times New Roman"/>
          <w:sz w:val="24"/>
          <w:szCs w:val="24"/>
        </w:rPr>
        <w:t xml:space="preserve"> </w:t>
      </w:r>
      <w:r>
        <w:rPr>
          <w:rFonts w:ascii="Times New Roman" w:hAnsi="Times New Roman" w:cs="Times New Roman"/>
          <w:noProof/>
          <w:sz w:val="24"/>
          <w:szCs w:val="24"/>
        </w:rPr>
        <w:t>(Nussbaum, 2007)</w:t>
      </w:r>
      <w:r w:rsidRPr="00B23631">
        <w:rPr>
          <w:rFonts w:ascii="Times New Roman" w:hAnsi="Times New Roman" w:cs="Times New Roman"/>
          <w:sz w:val="24"/>
          <w:szCs w:val="24"/>
        </w:rPr>
        <w:t xml:space="preserve">. </w:t>
      </w:r>
      <w:r>
        <w:rPr>
          <w:rFonts w:ascii="Times New Roman" w:hAnsi="Times New Roman" w:cs="Times New Roman"/>
          <w:sz w:val="24"/>
          <w:szCs w:val="24"/>
        </w:rPr>
        <w:t xml:space="preserve">It </w:t>
      </w:r>
      <w:r w:rsidRPr="00B23631">
        <w:rPr>
          <w:rFonts w:ascii="Times New Roman" w:hAnsi="Times New Roman" w:cs="Times New Roman"/>
          <w:sz w:val="24"/>
          <w:szCs w:val="24"/>
        </w:rPr>
        <w:t>would have us take material satisfaction and social identity-based satisfactions and somehow reduce these to a single metric</w:t>
      </w:r>
      <w:r>
        <w:rPr>
          <w:rFonts w:ascii="Times New Roman" w:hAnsi="Times New Roman" w:cs="Times New Roman"/>
          <w:sz w:val="24"/>
          <w:szCs w:val="24"/>
        </w:rPr>
        <w:t xml:space="preserve"> – to a net balance. But empirical studies find that this is not how people tend to experience or express justice outcomes </w:t>
      </w:r>
      <w:r>
        <w:rPr>
          <w:rFonts w:ascii="Times New Roman" w:hAnsi="Times New Roman" w:cs="Times New Roman"/>
          <w:noProof/>
          <w:sz w:val="24"/>
          <w:szCs w:val="24"/>
        </w:rPr>
        <w:t>(Sikor, 2013)</w:t>
      </w:r>
      <w:r>
        <w:rPr>
          <w:rFonts w:ascii="Times New Roman" w:hAnsi="Times New Roman" w:cs="Times New Roman"/>
          <w:sz w:val="24"/>
          <w:szCs w:val="24"/>
        </w:rPr>
        <w:t>.</w:t>
      </w:r>
    </w:p>
    <w:p w:rsidR="00EC2F61" w:rsidRPr="00FC78A0" w:rsidRDefault="00EC2F61" w:rsidP="000F062F">
      <w:pPr>
        <w:spacing w:line="360" w:lineRule="auto"/>
        <w:rPr>
          <w:rFonts w:ascii="Times New Roman" w:hAnsi="Times New Roman" w:cs="Times New Roman"/>
          <w:sz w:val="24"/>
          <w:szCs w:val="24"/>
        </w:rPr>
      </w:pPr>
      <w:r>
        <w:rPr>
          <w:rFonts w:ascii="Times New Roman" w:hAnsi="Times New Roman" w:cs="Times New Roman"/>
          <w:sz w:val="24"/>
          <w:szCs w:val="24"/>
        </w:rPr>
        <w:t>The</w:t>
      </w:r>
      <w:r w:rsidRPr="005B47AB">
        <w:rPr>
          <w:rFonts w:ascii="Times New Roman" w:hAnsi="Times New Roman" w:cs="Times New Roman"/>
          <w:sz w:val="24"/>
          <w:szCs w:val="24"/>
        </w:rPr>
        <w:t xml:space="preserve"> key alternative to utilitarianism </w:t>
      </w:r>
      <w:r>
        <w:rPr>
          <w:rFonts w:ascii="Times New Roman" w:hAnsi="Times New Roman" w:cs="Times New Roman"/>
          <w:sz w:val="24"/>
          <w:szCs w:val="24"/>
        </w:rPr>
        <w:t xml:space="preserve">– at least as applied to conservation controversies - </w:t>
      </w:r>
      <w:r w:rsidRPr="005B47AB">
        <w:rPr>
          <w:rFonts w:ascii="Times New Roman" w:hAnsi="Times New Roman" w:cs="Times New Roman"/>
          <w:sz w:val="24"/>
          <w:szCs w:val="24"/>
        </w:rPr>
        <w:t>is a rights-based or deontological approach</w:t>
      </w:r>
      <w:r>
        <w:rPr>
          <w:rFonts w:ascii="Times New Roman" w:hAnsi="Times New Roman" w:cs="Times New Roman"/>
          <w:sz w:val="24"/>
          <w:szCs w:val="24"/>
        </w:rPr>
        <w:t>, often</w:t>
      </w:r>
      <w:r w:rsidRPr="005B47AB">
        <w:rPr>
          <w:rFonts w:ascii="Times New Roman" w:hAnsi="Times New Roman" w:cs="Times New Roman"/>
          <w:sz w:val="24"/>
          <w:szCs w:val="24"/>
        </w:rPr>
        <w:t xml:space="preserve"> </w:t>
      </w:r>
      <w:r>
        <w:rPr>
          <w:rFonts w:ascii="Times New Roman" w:hAnsi="Times New Roman" w:cs="Times New Roman"/>
          <w:sz w:val="24"/>
          <w:szCs w:val="24"/>
        </w:rPr>
        <w:t xml:space="preserve">but not exclusively </w:t>
      </w:r>
      <w:r w:rsidRPr="005B47AB">
        <w:rPr>
          <w:rFonts w:ascii="Times New Roman" w:hAnsi="Times New Roman" w:cs="Times New Roman"/>
          <w:sz w:val="24"/>
          <w:szCs w:val="24"/>
        </w:rPr>
        <w:t xml:space="preserve">linked to </w:t>
      </w:r>
      <w:r>
        <w:rPr>
          <w:rFonts w:ascii="Times New Roman" w:hAnsi="Times New Roman" w:cs="Times New Roman"/>
          <w:sz w:val="24"/>
          <w:szCs w:val="24"/>
        </w:rPr>
        <w:t xml:space="preserve">liberal political philosophies, and focusing not so much on the consequences of ones actions, but on the motives. </w:t>
      </w:r>
      <w:r w:rsidRPr="00FC78A0">
        <w:rPr>
          <w:rFonts w:ascii="Times New Roman" w:hAnsi="Times New Roman" w:cs="Times New Roman"/>
          <w:sz w:val="24"/>
          <w:szCs w:val="24"/>
        </w:rPr>
        <w:t>In direct contrast to utilitarian</w:t>
      </w:r>
      <w:r>
        <w:rPr>
          <w:rFonts w:ascii="Times New Roman" w:hAnsi="Times New Roman" w:cs="Times New Roman"/>
          <w:sz w:val="24"/>
          <w:szCs w:val="24"/>
        </w:rPr>
        <w:t>ism</w:t>
      </w:r>
      <w:r w:rsidRPr="00FC78A0">
        <w:rPr>
          <w:rFonts w:ascii="Times New Roman" w:hAnsi="Times New Roman" w:cs="Times New Roman"/>
          <w:sz w:val="24"/>
          <w:szCs w:val="24"/>
        </w:rPr>
        <w:t>, this approach tends</w:t>
      </w:r>
      <w:r>
        <w:rPr>
          <w:rFonts w:ascii="Times New Roman" w:hAnsi="Times New Roman" w:cs="Times New Roman"/>
          <w:sz w:val="24"/>
          <w:szCs w:val="24"/>
        </w:rPr>
        <w:t xml:space="preserve"> to assert the </w:t>
      </w:r>
      <w:r w:rsidRPr="00FC78A0">
        <w:rPr>
          <w:rFonts w:ascii="Times New Roman" w:hAnsi="Times New Roman" w:cs="Times New Roman"/>
          <w:sz w:val="24"/>
          <w:szCs w:val="24"/>
        </w:rPr>
        <w:t xml:space="preserve">sanctity of certain individual rights, </w:t>
      </w:r>
      <w:r>
        <w:rPr>
          <w:rFonts w:ascii="Times New Roman" w:hAnsi="Times New Roman" w:cs="Times New Roman"/>
          <w:sz w:val="24"/>
          <w:szCs w:val="24"/>
        </w:rPr>
        <w:t>and the corresponding duty to strive to protect these.</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We draw on a particular variation of</w:t>
      </w:r>
      <w:r w:rsidRPr="00FC78A0">
        <w:rPr>
          <w:rFonts w:ascii="Times New Roman" w:hAnsi="Times New Roman" w:cs="Times New Roman"/>
          <w:sz w:val="24"/>
          <w:szCs w:val="24"/>
        </w:rPr>
        <w:t xml:space="preserve"> rights-based </w:t>
      </w:r>
      <w:r>
        <w:rPr>
          <w:rFonts w:ascii="Times New Roman" w:hAnsi="Times New Roman" w:cs="Times New Roman"/>
          <w:sz w:val="24"/>
          <w:szCs w:val="24"/>
        </w:rPr>
        <w:t>thinking</w:t>
      </w:r>
      <w:r w:rsidRPr="00FC78A0">
        <w:rPr>
          <w:rFonts w:ascii="Times New Roman" w:hAnsi="Times New Roman" w:cs="Times New Roman"/>
          <w:sz w:val="24"/>
          <w:szCs w:val="24"/>
        </w:rPr>
        <w:t xml:space="preserve"> </w:t>
      </w:r>
      <w:r>
        <w:rPr>
          <w:rFonts w:ascii="Times New Roman" w:hAnsi="Times New Roman" w:cs="Times New Roman"/>
          <w:sz w:val="24"/>
          <w:szCs w:val="24"/>
        </w:rPr>
        <w:t xml:space="preserve">that </w:t>
      </w:r>
      <w:r w:rsidRPr="00FC78A0">
        <w:rPr>
          <w:rFonts w:ascii="Times New Roman" w:hAnsi="Times New Roman" w:cs="Times New Roman"/>
          <w:sz w:val="24"/>
          <w:szCs w:val="24"/>
        </w:rPr>
        <w:t>frame</w:t>
      </w:r>
      <w:r>
        <w:rPr>
          <w:rFonts w:ascii="Times New Roman" w:hAnsi="Times New Roman" w:cs="Times New Roman"/>
          <w:sz w:val="24"/>
          <w:szCs w:val="24"/>
        </w:rPr>
        <w:t>s</w:t>
      </w:r>
      <w:r w:rsidRPr="00FC78A0">
        <w:rPr>
          <w:rFonts w:ascii="Times New Roman" w:hAnsi="Times New Roman" w:cs="Times New Roman"/>
          <w:sz w:val="24"/>
          <w:szCs w:val="24"/>
        </w:rPr>
        <w:t xml:space="preserve"> justice</w:t>
      </w:r>
      <w:r>
        <w:rPr>
          <w:rFonts w:ascii="Times New Roman" w:hAnsi="Times New Roman" w:cs="Times New Roman"/>
          <w:sz w:val="24"/>
          <w:szCs w:val="24"/>
        </w:rPr>
        <w:t xml:space="preserve"> in terms of meeting thresholds of needs </w:t>
      </w:r>
      <w:r w:rsidRPr="00FC78A0">
        <w:rPr>
          <w:rFonts w:ascii="Times New Roman" w:hAnsi="Times New Roman" w:cs="Times New Roman"/>
          <w:sz w:val="24"/>
          <w:szCs w:val="24"/>
        </w:rPr>
        <w:t>that enable individual</w:t>
      </w:r>
      <w:r>
        <w:rPr>
          <w:rFonts w:ascii="Times New Roman" w:hAnsi="Times New Roman" w:cs="Times New Roman"/>
          <w:sz w:val="24"/>
          <w:szCs w:val="24"/>
        </w:rPr>
        <w:t>s (but also communities)</w:t>
      </w:r>
      <w:r w:rsidRPr="00FC78A0">
        <w:rPr>
          <w:rFonts w:ascii="Times New Roman" w:hAnsi="Times New Roman" w:cs="Times New Roman"/>
          <w:sz w:val="24"/>
          <w:szCs w:val="24"/>
        </w:rPr>
        <w:t xml:space="preserve"> to pursue ends that they value.</w:t>
      </w:r>
      <w:r>
        <w:rPr>
          <w:rFonts w:ascii="Times New Roman" w:hAnsi="Times New Roman" w:cs="Times New Roman"/>
          <w:sz w:val="24"/>
          <w:szCs w:val="24"/>
        </w:rPr>
        <w:t xml:space="preserve"> This stems from a ‘capabilities’ approach to justice thinking that is increasingly influential in environmental justice thinking </w:t>
      </w:r>
      <w:r>
        <w:rPr>
          <w:rFonts w:ascii="Times New Roman" w:hAnsi="Times New Roman" w:cs="Times New Roman"/>
          <w:noProof/>
          <w:sz w:val="24"/>
          <w:szCs w:val="24"/>
        </w:rPr>
        <w:t>(Schlosberg, 2013)</w:t>
      </w:r>
      <w:r>
        <w:rPr>
          <w:rFonts w:ascii="Times New Roman" w:hAnsi="Times New Roman" w:cs="Times New Roman"/>
          <w:sz w:val="24"/>
          <w:szCs w:val="24"/>
        </w:rPr>
        <w:t>.</w:t>
      </w:r>
      <w:r w:rsidRPr="00FC78A0">
        <w:rPr>
          <w:rFonts w:ascii="Times New Roman" w:hAnsi="Times New Roman" w:cs="Times New Roman"/>
          <w:sz w:val="24"/>
          <w:szCs w:val="24"/>
        </w:rPr>
        <w:t xml:space="preserve"> </w:t>
      </w:r>
      <w:r>
        <w:rPr>
          <w:rFonts w:ascii="Times New Roman" w:hAnsi="Times New Roman" w:cs="Times New Roman"/>
          <w:sz w:val="24"/>
          <w:szCs w:val="24"/>
        </w:rPr>
        <w:t>Whilst this does not constitute a single, cohesive body of theory, it tends to share the idea that ‘sufficiency’ is important to justice – that justice is not so much about ensuring that people have the same, but that certain basic needs thresholds are met. A thresholds approach differs in an important respect to another widely used principle of distributive justice. Rawls</w:t>
      </w:r>
      <w:r w:rsidRPr="00FC78A0">
        <w:rPr>
          <w:rFonts w:ascii="Times New Roman" w:hAnsi="Times New Roman" w:cs="Times New Roman"/>
          <w:sz w:val="24"/>
          <w:szCs w:val="24"/>
        </w:rPr>
        <w:t xml:space="preserve"> (1971)</w:t>
      </w:r>
      <w:r>
        <w:rPr>
          <w:rFonts w:ascii="Times New Roman" w:hAnsi="Times New Roman" w:cs="Times New Roman"/>
          <w:sz w:val="24"/>
          <w:szCs w:val="24"/>
        </w:rPr>
        <w:t xml:space="preserve"> arrived at the ‘difference principle’ which prioritises equality of treatment but allows that inequality can be just when it favours the poor. In other words, distributive justice for Rawls is about equalising difference rather than meeting thresholds.  </w:t>
      </w:r>
    </w:p>
    <w:p w:rsidR="00EC2F61" w:rsidRPr="005B47AB" w:rsidRDefault="00EC2F61" w:rsidP="00384A94">
      <w:pPr>
        <w:spacing w:line="360" w:lineRule="auto"/>
        <w:rPr>
          <w:rFonts w:ascii="Times New Roman" w:hAnsi="Times New Roman" w:cs="Times New Roman"/>
          <w:sz w:val="24"/>
          <w:szCs w:val="24"/>
        </w:rPr>
      </w:pPr>
      <w:r w:rsidRPr="005B47AB">
        <w:rPr>
          <w:rFonts w:ascii="Times New Roman" w:hAnsi="Times New Roman" w:cs="Times New Roman"/>
          <w:sz w:val="24"/>
          <w:szCs w:val="24"/>
        </w:rPr>
        <w:t xml:space="preserve">We see </w:t>
      </w:r>
      <w:r>
        <w:rPr>
          <w:rFonts w:ascii="Times New Roman" w:hAnsi="Times New Roman" w:cs="Times New Roman"/>
          <w:sz w:val="24"/>
          <w:szCs w:val="24"/>
        </w:rPr>
        <w:t xml:space="preserve">two </w:t>
      </w:r>
      <w:r w:rsidRPr="005B47AB">
        <w:rPr>
          <w:rFonts w:ascii="Times New Roman" w:hAnsi="Times New Roman" w:cs="Times New Roman"/>
          <w:sz w:val="24"/>
          <w:szCs w:val="24"/>
        </w:rPr>
        <w:t xml:space="preserve">benefits </w:t>
      </w:r>
      <w:r>
        <w:rPr>
          <w:rFonts w:ascii="Times New Roman" w:hAnsi="Times New Roman" w:cs="Times New Roman"/>
          <w:sz w:val="24"/>
          <w:szCs w:val="24"/>
        </w:rPr>
        <w:t xml:space="preserve">in </w:t>
      </w:r>
      <w:r w:rsidRPr="005B47AB">
        <w:rPr>
          <w:rFonts w:ascii="Times New Roman" w:hAnsi="Times New Roman" w:cs="Times New Roman"/>
          <w:sz w:val="24"/>
          <w:szCs w:val="24"/>
        </w:rPr>
        <w:t>defining justice</w:t>
      </w:r>
      <w:r>
        <w:rPr>
          <w:rFonts w:ascii="Times New Roman" w:hAnsi="Times New Roman" w:cs="Times New Roman"/>
          <w:sz w:val="24"/>
          <w:szCs w:val="24"/>
        </w:rPr>
        <w:t xml:space="preserve"> in terms of rights and thresholds. Firstly, </w:t>
      </w:r>
      <w:r w:rsidRPr="005B47AB">
        <w:rPr>
          <w:rFonts w:ascii="Times New Roman" w:hAnsi="Times New Roman" w:cs="Times New Roman"/>
          <w:sz w:val="24"/>
          <w:szCs w:val="24"/>
        </w:rPr>
        <w:t>it tie</w:t>
      </w:r>
      <w:r>
        <w:rPr>
          <w:rFonts w:ascii="Times New Roman" w:hAnsi="Times New Roman" w:cs="Times New Roman"/>
          <w:sz w:val="24"/>
          <w:szCs w:val="24"/>
        </w:rPr>
        <w:t>s</w:t>
      </w:r>
      <w:r w:rsidRPr="005B47AB">
        <w:rPr>
          <w:rFonts w:ascii="Times New Roman" w:hAnsi="Times New Roman" w:cs="Times New Roman"/>
          <w:sz w:val="24"/>
          <w:szCs w:val="24"/>
        </w:rPr>
        <w:t xml:space="preserve"> with empirical studies of </w:t>
      </w:r>
      <w:r>
        <w:rPr>
          <w:rFonts w:ascii="Times New Roman" w:hAnsi="Times New Roman" w:cs="Times New Roman"/>
          <w:sz w:val="24"/>
          <w:szCs w:val="24"/>
        </w:rPr>
        <w:t xml:space="preserve">everyday conceptions of justice. </w:t>
      </w:r>
      <w:r w:rsidRPr="00FC78A0">
        <w:rPr>
          <w:rFonts w:ascii="Times New Roman" w:hAnsi="Times New Roman" w:cs="Times New Roman"/>
          <w:sz w:val="24"/>
          <w:szCs w:val="24"/>
        </w:rPr>
        <w:t xml:space="preserve">Brock (2009) reviews empirical studies of conceptions of distributive justice and finds that people </w:t>
      </w:r>
      <w:r>
        <w:rPr>
          <w:rFonts w:ascii="Times New Roman" w:hAnsi="Times New Roman" w:cs="Times New Roman"/>
          <w:sz w:val="24"/>
          <w:szCs w:val="24"/>
        </w:rPr>
        <w:t xml:space="preserve">– across different cultures - </w:t>
      </w:r>
      <w:r w:rsidRPr="00FC78A0">
        <w:rPr>
          <w:rFonts w:ascii="Times New Roman" w:hAnsi="Times New Roman" w:cs="Times New Roman"/>
          <w:sz w:val="24"/>
          <w:szCs w:val="24"/>
        </w:rPr>
        <w:t xml:space="preserve">often consider thresholds (such as minimum level of nutritional entitlements) </w:t>
      </w:r>
      <w:r>
        <w:rPr>
          <w:rFonts w:ascii="Times New Roman" w:hAnsi="Times New Roman" w:cs="Times New Roman"/>
          <w:sz w:val="24"/>
          <w:szCs w:val="24"/>
        </w:rPr>
        <w:t xml:space="preserve">to be more important benchmarks for the assessment </w:t>
      </w:r>
      <w:r w:rsidRPr="00FC78A0">
        <w:rPr>
          <w:rFonts w:ascii="Times New Roman" w:hAnsi="Times New Roman" w:cs="Times New Roman"/>
          <w:sz w:val="24"/>
          <w:szCs w:val="24"/>
        </w:rPr>
        <w:t>of justice than equality</w:t>
      </w:r>
      <w:r>
        <w:rPr>
          <w:rFonts w:ascii="Times New Roman" w:hAnsi="Times New Roman" w:cs="Times New Roman"/>
          <w:sz w:val="24"/>
          <w:szCs w:val="24"/>
        </w:rPr>
        <w:t xml:space="preserve"> per se. </w:t>
      </w:r>
      <w:r w:rsidRPr="005B47AB">
        <w:rPr>
          <w:rFonts w:ascii="Times New Roman" w:hAnsi="Times New Roman" w:cs="Times New Roman"/>
          <w:sz w:val="24"/>
          <w:szCs w:val="24"/>
        </w:rPr>
        <w:t>That is not to say that there is a universal set of thresholds simply ‘out there’ to be observed, but</w:t>
      </w:r>
      <w:r>
        <w:rPr>
          <w:rFonts w:ascii="Times New Roman" w:hAnsi="Times New Roman" w:cs="Times New Roman"/>
          <w:sz w:val="24"/>
          <w:szCs w:val="24"/>
        </w:rPr>
        <w:t xml:space="preserve"> only</w:t>
      </w:r>
      <w:r w:rsidRPr="005B47AB">
        <w:rPr>
          <w:rFonts w:ascii="Times New Roman" w:hAnsi="Times New Roman" w:cs="Times New Roman"/>
          <w:sz w:val="24"/>
          <w:szCs w:val="24"/>
        </w:rPr>
        <w:t xml:space="preserve"> that there is a large consensus regarding the</w:t>
      </w:r>
      <w:r>
        <w:rPr>
          <w:rFonts w:ascii="Times New Roman" w:hAnsi="Times New Roman" w:cs="Times New Roman"/>
          <w:sz w:val="24"/>
          <w:szCs w:val="24"/>
        </w:rPr>
        <w:t xml:space="preserve"> moral</w:t>
      </w:r>
      <w:r w:rsidRPr="005B47AB">
        <w:rPr>
          <w:rFonts w:ascii="Times New Roman" w:hAnsi="Times New Roman" w:cs="Times New Roman"/>
          <w:sz w:val="24"/>
          <w:szCs w:val="24"/>
        </w:rPr>
        <w:t xml:space="preserve"> imperative to meet thresholds. Secondly, and related to this, a threshold approach delivers a clear political agenda to states and others who take on sovereign functions</w:t>
      </w:r>
      <w:r>
        <w:rPr>
          <w:rFonts w:ascii="Times New Roman" w:hAnsi="Times New Roman" w:cs="Times New Roman"/>
          <w:sz w:val="24"/>
          <w:szCs w:val="24"/>
        </w:rPr>
        <w:t xml:space="preserve"> (Nussbaum 2011)</w:t>
      </w:r>
      <w:r w:rsidRPr="005B47AB">
        <w:rPr>
          <w:rFonts w:ascii="Times New Roman" w:hAnsi="Times New Roman" w:cs="Times New Roman"/>
          <w:sz w:val="24"/>
          <w:szCs w:val="24"/>
        </w:rPr>
        <w:t>. A state</w:t>
      </w:r>
      <w:r>
        <w:rPr>
          <w:rFonts w:ascii="Times New Roman" w:hAnsi="Times New Roman" w:cs="Times New Roman"/>
          <w:sz w:val="24"/>
          <w:szCs w:val="24"/>
        </w:rPr>
        <w:t xml:space="preserve"> or other actor with a sovereign mandate that is not delivering or striving to deliver </w:t>
      </w:r>
      <w:r w:rsidRPr="005B47AB">
        <w:rPr>
          <w:rFonts w:ascii="Times New Roman" w:hAnsi="Times New Roman" w:cs="Times New Roman"/>
          <w:sz w:val="24"/>
          <w:szCs w:val="24"/>
        </w:rPr>
        <w:t xml:space="preserve">key thresholds is not acting justly.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Sen </w:t>
      </w:r>
      <w:r>
        <w:rPr>
          <w:rFonts w:ascii="Times New Roman" w:hAnsi="Times New Roman" w:cs="Times New Roman"/>
          <w:noProof/>
          <w:sz w:val="24"/>
          <w:szCs w:val="24"/>
        </w:rPr>
        <w:t>(2009)</w:t>
      </w:r>
      <w:r>
        <w:rPr>
          <w:rFonts w:ascii="Times New Roman" w:hAnsi="Times New Roman" w:cs="Times New Roman"/>
          <w:sz w:val="24"/>
          <w:szCs w:val="24"/>
        </w:rPr>
        <w:t xml:space="preserve"> considers</w:t>
      </w:r>
      <w:r w:rsidRPr="005B47AB">
        <w:rPr>
          <w:rFonts w:ascii="Times New Roman" w:hAnsi="Times New Roman" w:cs="Times New Roman"/>
          <w:sz w:val="24"/>
          <w:szCs w:val="24"/>
        </w:rPr>
        <w:t xml:space="preserve"> thresholds in terms of the capabilities or substan</w:t>
      </w:r>
      <w:r>
        <w:rPr>
          <w:rFonts w:ascii="Times New Roman" w:hAnsi="Times New Roman" w:cs="Times New Roman"/>
          <w:sz w:val="24"/>
          <w:szCs w:val="24"/>
        </w:rPr>
        <w:t xml:space="preserve">tive freedoms that individuals </w:t>
      </w:r>
      <w:r w:rsidRPr="005B47AB">
        <w:rPr>
          <w:rFonts w:ascii="Times New Roman" w:hAnsi="Times New Roman" w:cs="Times New Roman"/>
          <w:sz w:val="24"/>
          <w:szCs w:val="24"/>
        </w:rPr>
        <w:t xml:space="preserve">have, </w:t>
      </w:r>
      <w:r>
        <w:rPr>
          <w:rFonts w:ascii="Times New Roman" w:hAnsi="Times New Roman" w:cs="Times New Roman"/>
          <w:sz w:val="24"/>
          <w:szCs w:val="24"/>
        </w:rPr>
        <w:t xml:space="preserve">that </w:t>
      </w:r>
      <w:r w:rsidRPr="005B47AB">
        <w:rPr>
          <w:rFonts w:ascii="Times New Roman" w:hAnsi="Times New Roman" w:cs="Times New Roman"/>
          <w:sz w:val="24"/>
          <w:szCs w:val="24"/>
        </w:rPr>
        <w:t>define what they are able to choose to do and to be. Capabilities are a combination of the internal abilities of a person and the external social and political context in which they exercise these</w:t>
      </w:r>
      <w:r>
        <w:rPr>
          <w:rFonts w:ascii="Times New Roman" w:hAnsi="Times New Roman" w:cs="Times New Roman"/>
          <w:sz w:val="24"/>
          <w:szCs w:val="24"/>
        </w:rPr>
        <w:t xml:space="preserve"> </w:t>
      </w:r>
      <w:r>
        <w:rPr>
          <w:rFonts w:ascii="Times New Roman" w:hAnsi="Times New Roman" w:cs="Times New Roman"/>
          <w:noProof/>
          <w:sz w:val="24"/>
          <w:szCs w:val="24"/>
        </w:rPr>
        <w:t>(Nussbaum, 2011)</w:t>
      </w:r>
      <w:r>
        <w:rPr>
          <w:rFonts w:ascii="Times New Roman" w:hAnsi="Times New Roman" w:cs="Times New Roman"/>
          <w:sz w:val="24"/>
          <w:szCs w:val="24"/>
        </w:rPr>
        <w:t>. F</w:t>
      </w:r>
      <w:r w:rsidRPr="005B47AB">
        <w:rPr>
          <w:rFonts w:ascii="Times New Roman" w:hAnsi="Times New Roman" w:cs="Times New Roman"/>
          <w:sz w:val="24"/>
          <w:szCs w:val="24"/>
        </w:rPr>
        <w:t>or example, a state education system might nurture a person’s internal ability to articulate political thought, but this might be curtailed by a political environment in which freed</w:t>
      </w:r>
      <w:r>
        <w:rPr>
          <w:rFonts w:ascii="Times New Roman" w:hAnsi="Times New Roman" w:cs="Times New Roman"/>
          <w:sz w:val="24"/>
          <w:szCs w:val="24"/>
        </w:rPr>
        <w:t>om of speech is denied. For Sen</w:t>
      </w:r>
      <w:r w:rsidRPr="005B47AB">
        <w:rPr>
          <w:rFonts w:ascii="Times New Roman" w:hAnsi="Times New Roman" w:cs="Times New Roman"/>
          <w:sz w:val="24"/>
          <w:szCs w:val="24"/>
        </w:rPr>
        <w:t xml:space="preserve"> (</w:t>
      </w:r>
      <w:r>
        <w:rPr>
          <w:rFonts w:ascii="Times New Roman" w:hAnsi="Times New Roman" w:cs="Times New Roman"/>
          <w:sz w:val="24"/>
          <w:szCs w:val="24"/>
        </w:rPr>
        <w:t>1999, 2009) certain capabilities such as education</w:t>
      </w:r>
      <w:r w:rsidRPr="005B47AB">
        <w:rPr>
          <w:rFonts w:ascii="Times New Roman" w:hAnsi="Times New Roman" w:cs="Times New Roman"/>
          <w:sz w:val="24"/>
          <w:szCs w:val="24"/>
        </w:rPr>
        <w:t xml:space="preserve"> are</w:t>
      </w:r>
      <w:r>
        <w:rPr>
          <w:rFonts w:ascii="Times New Roman" w:hAnsi="Times New Roman" w:cs="Times New Roman"/>
          <w:sz w:val="24"/>
          <w:szCs w:val="24"/>
        </w:rPr>
        <w:t xml:space="preserve"> fundamentally and universally relevant to </w:t>
      </w:r>
      <w:r w:rsidRPr="005B47AB">
        <w:rPr>
          <w:rFonts w:ascii="Times New Roman" w:hAnsi="Times New Roman" w:cs="Times New Roman"/>
          <w:sz w:val="24"/>
          <w:szCs w:val="24"/>
        </w:rPr>
        <w:t xml:space="preserve">human wellbeing. </w:t>
      </w:r>
      <w:r>
        <w:rPr>
          <w:rFonts w:ascii="Times New Roman" w:hAnsi="Times New Roman" w:cs="Times New Roman"/>
          <w:sz w:val="24"/>
          <w:szCs w:val="24"/>
        </w:rPr>
        <w:t xml:space="preserve">However, Sen and Nussbaum part company over how ‘thick’ a description of the human good is possible or desirable – to what extent it is useful and credible </w:t>
      </w:r>
      <w:r w:rsidRPr="005B47AB">
        <w:rPr>
          <w:rFonts w:ascii="Times New Roman" w:hAnsi="Times New Roman" w:cs="Times New Roman"/>
          <w:sz w:val="24"/>
          <w:szCs w:val="24"/>
        </w:rPr>
        <w:t xml:space="preserve">to identify a set of essential </w:t>
      </w:r>
      <w:r>
        <w:rPr>
          <w:rFonts w:ascii="Times New Roman" w:hAnsi="Times New Roman" w:cs="Times New Roman"/>
          <w:sz w:val="24"/>
          <w:szCs w:val="24"/>
        </w:rPr>
        <w:t xml:space="preserve">thresholds </w:t>
      </w:r>
      <w:r w:rsidRPr="005B47AB">
        <w:rPr>
          <w:rFonts w:ascii="Times New Roman" w:hAnsi="Times New Roman" w:cs="Times New Roman"/>
          <w:sz w:val="24"/>
          <w:szCs w:val="24"/>
        </w:rPr>
        <w:t xml:space="preserve">that </w:t>
      </w:r>
      <w:r>
        <w:rPr>
          <w:rFonts w:ascii="Times New Roman" w:hAnsi="Times New Roman" w:cs="Times New Roman"/>
          <w:sz w:val="24"/>
          <w:szCs w:val="24"/>
        </w:rPr>
        <w:t>define the content of justice</w:t>
      </w:r>
      <w:r w:rsidRPr="005B47AB">
        <w:rPr>
          <w:rFonts w:ascii="Times New Roman" w:hAnsi="Times New Roman" w:cs="Times New Roman"/>
          <w:sz w:val="24"/>
          <w:szCs w:val="24"/>
        </w:rPr>
        <w:t>.</w:t>
      </w:r>
      <w:r>
        <w:rPr>
          <w:rFonts w:ascii="Times New Roman" w:hAnsi="Times New Roman" w:cs="Times New Roman"/>
          <w:sz w:val="24"/>
          <w:szCs w:val="24"/>
        </w:rPr>
        <w:t xml:space="preserve"> Nussbaum identifies a list of 10 central capabilities that provide a comparatively ‘thick’ normative content for social justice assessment; Sen prefers a thinner, more abstract normative content, maintaining that a </w:t>
      </w:r>
      <w:r>
        <w:rPr>
          <w:rFonts w:ascii="Times New Roman" w:hAnsi="Times New Roman" w:cs="Times New Roman"/>
          <w:sz w:val="24"/>
          <w:szCs w:val="24"/>
        </w:rPr>
        <w:lastRenderedPageBreak/>
        <w:t>practical justice must stem from democratic deliberation of more detailed content. For our framework, we sit somewhere between the two. We do not find it useful – or within our abilities - to conceive a universal list of capabilities or associated needs. But we do agree with Nussbaum that it is possible – and pragmatic – to identify some areas of capability that are ‘so central that</w:t>
      </w:r>
      <w:r w:rsidRPr="005B47AB">
        <w:rPr>
          <w:rFonts w:ascii="Times New Roman" w:hAnsi="Times New Roman" w:cs="Times New Roman"/>
          <w:sz w:val="24"/>
          <w:szCs w:val="24"/>
        </w:rPr>
        <w:t xml:space="preserve"> </w:t>
      </w:r>
      <w:r>
        <w:rPr>
          <w:rFonts w:ascii="Times New Roman" w:hAnsi="Times New Roman" w:cs="Times New Roman"/>
          <w:sz w:val="24"/>
          <w:szCs w:val="24"/>
        </w:rPr>
        <w:t xml:space="preserve">their removal makes a life not worthy of human dignity’ (2011, p.31). Such normative assessments of human good may be open to criticisms of ethnocentrism, essentialism, imperialism and so on </w:t>
      </w:r>
      <w:r>
        <w:rPr>
          <w:rFonts w:ascii="Times New Roman" w:hAnsi="Times New Roman" w:cs="Times New Roman"/>
          <w:noProof/>
          <w:sz w:val="24"/>
          <w:szCs w:val="24"/>
        </w:rPr>
        <w:t>(e.g. Davis and Ruddle, 2012)</w:t>
      </w:r>
      <w:r>
        <w:rPr>
          <w:rFonts w:ascii="Times New Roman" w:hAnsi="Times New Roman" w:cs="Times New Roman"/>
          <w:sz w:val="24"/>
          <w:szCs w:val="24"/>
        </w:rPr>
        <w:t xml:space="preserve">. But human suffering is a real, empirical experience, often with identifiable, proximate conditions such as loss of liberty or loss of shelter </w:t>
      </w:r>
      <w:r>
        <w:rPr>
          <w:rFonts w:ascii="Times New Roman" w:hAnsi="Times New Roman" w:cs="Times New Roman"/>
          <w:noProof/>
          <w:sz w:val="24"/>
          <w:szCs w:val="24"/>
        </w:rPr>
        <w:t>(Gough, 2004; Olson and Sayer, 2009)</w:t>
      </w:r>
      <w:r>
        <w:rPr>
          <w:rFonts w:ascii="Times New Roman" w:hAnsi="Times New Roman" w:cs="Times New Roman"/>
          <w:sz w:val="24"/>
          <w:szCs w:val="24"/>
        </w:rPr>
        <w:t>. Even where contexts are complex, as conservation conflicts so often are, it seems to us untenable to hold that we cannot or should not make judgments about the human good and the corresponding circumstances of human suffering.</w:t>
      </w:r>
    </w:p>
    <w:p w:rsidR="00EC2F61" w:rsidRPr="00246509"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So</w:t>
      </w:r>
      <w:r w:rsidRPr="00246509">
        <w:rPr>
          <w:rFonts w:ascii="Times New Roman" w:hAnsi="Times New Roman" w:cs="Times New Roman"/>
          <w:sz w:val="24"/>
          <w:szCs w:val="24"/>
        </w:rPr>
        <w:t xml:space="preserve"> what do we prop</w:t>
      </w:r>
      <w:r>
        <w:rPr>
          <w:rFonts w:ascii="Times New Roman" w:hAnsi="Times New Roman" w:cs="Times New Roman"/>
          <w:sz w:val="24"/>
          <w:szCs w:val="24"/>
        </w:rPr>
        <w:t xml:space="preserve">ose as the central content of a </w:t>
      </w:r>
      <w:r w:rsidRPr="00246509">
        <w:rPr>
          <w:rFonts w:ascii="Times New Roman" w:hAnsi="Times New Roman" w:cs="Times New Roman"/>
          <w:sz w:val="24"/>
          <w:szCs w:val="24"/>
        </w:rPr>
        <w:t xml:space="preserve">conservation justice assessment? The principles that guide us here are: </w:t>
      </w:r>
    </w:p>
    <w:p w:rsidR="00EC2F61" w:rsidRPr="00246509" w:rsidRDefault="00EC2F61" w:rsidP="00E172F7">
      <w:pPr>
        <w:pStyle w:val="ListParagraph"/>
        <w:numPr>
          <w:ilvl w:val="0"/>
          <w:numId w:val="6"/>
        </w:numPr>
        <w:spacing w:line="360" w:lineRule="auto"/>
        <w:rPr>
          <w:rFonts w:ascii="Times New Roman" w:hAnsi="Times New Roman" w:cs="Times New Roman"/>
          <w:sz w:val="24"/>
          <w:szCs w:val="24"/>
        </w:rPr>
      </w:pPr>
      <w:r w:rsidRPr="00246509">
        <w:rPr>
          <w:rFonts w:ascii="Times New Roman" w:hAnsi="Times New Roman" w:cs="Times New Roman"/>
          <w:sz w:val="24"/>
          <w:szCs w:val="24"/>
        </w:rPr>
        <w:t>Following</w:t>
      </w:r>
      <w:r>
        <w:rPr>
          <w:rFonts w:ascii="Times New Roman" w:hAnsi="Times New Roman" w:cs="Times New Roman"/>
          <w:sz w:val="24"/>
          <w:szCs w:val="24"/>
        </w:rPr>
        <w:t xml:space="preserve"> the</w:t>
      </w:r>
      <w:r w:rsidRPr="00246509">
        <w:rPr>
          <w:rFonts w:ascii="Times New Roman" w:hAnsi="Times New Roman" w:cs="Times New Roman"/>
          <w:sz w:val="24"/>
          <w:szCs w:val="24"/>
        </w:rPr>
        <w:t xml:space="preserve"> needs and capabilities approaches</w:t>
      </w:r>
      <w:r>
        <w:rPr>
          <w:rFonts w:ascii="Times New Roman" w:hAnsi="Times New Roman" w:cs="Times New Roman"/>
          <w:sz w:val="24"/>
          <w:szCs w:val="24"/>
        </w:rPr>
        <w:t xml:space="preserve"> described above</w:t>
      </w:r>
      <w:r w:rsidRPr="00246509">
        <w:rPr>
          <w:rFonts w:ascii="Times New Roman" w:hAnsi="Times New Roman" w:cs="Times New Roman"/>
          <w:sz w:val="24"/>
          <w:szCs w:val="24"/>
        </w:rPr>
        <w:t xml:space="preserve">, we associate justice with meeting the </w:t>
      </w:r>
      <w:r>
        <w:rPr>
          <w:rFonts w:ascii="Times New Roman" w:hAnsi="Times New Roman" w:cs="Times New Roman"/>
          <w:sz w:val="24"/>
          <w:szCs w:val="24"/>
        </w:rPr>
        <w:t xml:space="preserve">threshold </w:t>
      </w:r>
      <w:r w:rsidRPr="00246509">
        <w:rPr>
          <w:rFonts w:ascii="Times New Roman" w:hAnsi="Times New Roman" w:cs="Times New Roman"/>
          <w:sz w:val="24"/>
          <w:szCs w:val="24"/>
        </w:rPr>
        <w:t>conditions for</w:t>
      </w:r>
      <w:r>
        <w:rPr>
          <w:rFonts w:ascii="Times New Roman" w:hAnsi="Times New Roman" w:cs="Times New Roman"/>
          <w:sz w:val="24"/>
          <w:szCs w:val="24"/>
        </w:rPr>
        <w:t xml:space="preserve"> living a dignified life</w:t>
      </w:r>
      <w:r w:rsidRPr="00246509">
        <w:rPr>
          <w:rFonts w:ascii="Times New Roman" w:hAnsi="Times New Roman" w:cs="Times New Roman"/>
          <w:sz w:val="24"/>
          <w:szCs w:val="24"/>
        </w:rPr>
        <w:t xml:space="preserve">. </w:t>
      </w:r>
    </w:p>
    <w:p w:rsidR="00EC2F61" w:rsidRDefault="00EC2F61" w:rsidP="00820319">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Following the discussion of pluralism, we note that the determinants of wellbeing and dignity might vary across individuals and communities.</w:t>
      </w:r>
    </w:p>
    <w:p w:rsidR="00EC2F61" w:rsidRDefault="00EC2F61" w:rsidP="00820319">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 xml:space="preserve"> But we also adopt a more generalised framing from Nussbaum, Gough and others, namely that there are some common freedoms or capabilities that are necessary requirements for people to have adequate life choices to pursue these plural ends.</w:t>
      </w:r>
    </w:p>
    <w:p w:rsidR="00EC2F61" w:rsidRPr="00246509" w:rsidRDefault="00EC2F61" w:rsidP="00F426DC">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Following Brock, Nussbaum and others we understand that these essential capabilities cover both material and</w:t>
      </w:r>
      <w:r w:rsidRPr="00246509">
        <w:rPr>
          <w:rFonts w:ascii="Times New Roman" w:hAnsi="Times New Roman" w:cs="Times New Roman"/>
          <w:sz w:val="24"/>
          <w:szCs w:val="24"/>
        </w:rPr>
        <w:t xml:space="preserve"> social entitlements</w:t>
      </w:r>
      <w:r>
        <w:rPr>
          <w:rFonts w:ascii="Times New Roman" w:hAnsi="Times New Roman" w:cs="Times New Roman"/>
          <w:sz w:val="24"/>
          <w:szCs w:val="24"/>
        </w:rPr>
        <w:t xml:space="preserve">. </w:t>
      </w:r>
    </w:p>
    <w:p w:rsidR="00EC2F61" w:rsidRDefault="00EC2F61" w:rsidP="00820319">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 xml:space="preserve">We draw on the environmental justice work of Schlosberg, Walker and others to associate material entitlements with ‘distribution’ of environmental goods and bads and social entitlements with ‘recognition’ of different knowledges and cultural attachments to nature. </w:t>
      </w:r>
    </w:p>
    <w:p w:rsidR="00EC2F61" w:rsidRPr="007C10AF" w:rsidRDefault="00EC2F61" w:rsidP="00820319">
      <w:pPr>
        <w:pStyle w:val="ListParagraph"/>
        <w:numPr>
          <w:ilvl w:val="0"/>
          <w:numId w:val="6"/>
        </w:numPr>
        <w:spacing w:line="360" w:lineRule="auto"/>
        <w:rPr>
          <w:rFonts w:ascii="Times New Roman" w:hAnsi="Times New Roman" w:cs="Times New Roman"/>
          <w:sz w:val="24"/>
          <w:szCs w:val="24"/>
        </w:rPr>
      </w:pPr>
      <w:r>
        <w:rPr>
          <w:rFonts w:ascii="Times New Roman" w:hAnsi="Times New Roman" w:cs="Times New Roman"/>
          <w:sz w:val="24"/>
          <w:szCs w:val="24"/>
        </w:rPr>
        <w:t>We draw on critiques of utilitarian aggregation to insist that t</w:t>
      </w:r>
      <w:r w:rsidRPr="00BD09A9">
        <w:rPr>
          <w:rFonts w:ascii="Times New Roman" w:hAnsi="Times New Roman" w:cs="Times New Roman"/>
          <w:sz w:val="24"/>
          <w:szCs w:val="24"/>
        </w:rPr>
        <w:t xml:space="preserve">hese </w:t>
      </w:r>
      <w:r>
        <w:rPr>
          <w:rFonts w:ascii="Times New Roman" w:hAnsi="Times New Roman" w:cs="Times New Roman"/>
          <w:sz w:val="24"/>
          <w:szCs w:val="24"/>
        </w:rPr>
        <w:t xml:space="preserve">social and material </w:t>
      </w:r>
      <w:r w:rsidRPr="00BD09A9">
        <w:rPr>
          <w:rFonts w:ascii="Times New Roman" w:hAnsi="Times New Roman" w:cs="Times New Roman"/>
          <w:sz w:val="24"/>
          <w:szCs w:val="24"/>
        </w:rPr>
        <w:t xml:space="preserve"> categories of justice (and their sub-content) </w:t>
      </w:r>
      <w:r>
        <w:rPr>
          <w:rFonts w:ascii="Times New Roman" w:hAnsi="Times New Roman" w:cs="Times New Roman"/>
          <w:sz w:val="24"/>
          <w:szCs w:val="24"/>
        </w:rPr>
        <w:t xml:space="preserve">remain </w:t>
      </w:r>
      <w:r w:rsidRPr="00BD09A9">
        <w:rPr>
          <w:rFonts w:ascii="Times New Roman" w:hAnsi="Times New Roman" w:cs="Times New Roman"/>
          <w:sz w:val="24"/>
          <w:szCs w:val="24"/>
        </w:rPr>
        <w:t xml:space="preserve">resolutely plural. </w:t>
      </w:r>
      <w:r>
        <w:rPr>
          <w:rFonts w:ascii="Times New Roman" w:hAnsi="Times New Roman" w:cs="Times New Roman"/>
          <w:sz w:val="24"/>
          <w:szCs w:val="24"/>
        </w:rPr>
        <w:t xml:space="preserve">Unlike a </w:t>
      </w:r>
      <w:r>
        <w:rPr>
          <w:rFonts w:ascii="Times New Roman" w:hAnsi="Times New Roman" w:cs="Times New Roman"/>
          <w:sz w:val="24"/>
          <w:szCs w:val="24"/>
        </w:rPr>
        <w:lastRenderedPageBreak/>
        <w:t>utilitarian system of aggregation, j</w:t>
      </w:r>
      <w:r w:rsidRPr="00BD09A9">
        <w:rPr>
          <w:rFonts w:ascii="Times New Roman" w:hAnsi="Times New Roman" w:cs="Times New Roman"/>
          <w:sz w:val="24"/>
          <w:szCs w:val="24"/>
        </w:rPr>
        <w:t>ustice cannot be done by denying social freedoms whilst compensating with mater</w:t>
      </w:r>
      <w:r>
        <w:rPr>
          <w:rFonts w:ascii="Times New Roman" w:hAnsi="Times New Roman" w:cs="Times New Roman"/>
          <w:sz w:val="24"/>
          <w:szCs w:val="24"/>
        </w:rPr>
        <w:t>ial ones.</w:t>
      </w:r>
    </w:p>
    <w:p w:rsidR="00EC2F61" w:rsidRDefault="00EC2F61" w:rsidP="00145B21">
      <w:pPr>
        <w:spacing w:line="360" w:lineRule="auto"/>
        <w:rPr>
          <w:rFonts w:ascii="Times New Roman" w:hAnsi="Times New Roman" w:cs="Times New Roman"/>
          <w:sz w:val="24"/>
          <w:szCs w:val="24"/>
        </w:rPr>
      </w:pPr>
      <w:r>
        <w:rPr>
          <w:rFonts w:ascii="Times New Roman" w:hAnsi="Times New Roman" w:cs="Times New Roman"/>
          <w:sz w:val="24"/>
          <w:szCs w:val="24"/>
        </w:rPr>
        <w:t>Figure 1 outlines this</w:t>
      </w:r>
      <w:r w:rsidRPr="00537744">
        <w:rPr>
          <w:rFonts w:ascii="Times New Roman" w:hAnsi="Times New Roman" w:cs="Times New Roman"/>
          <w:sz w:val="24"/>
          <w:szCs w:val="24"/>
        </w:rPr>
        <w:t xml:space="preserve"> basic analytical framework, relating the multiple aspects of environmental justice (distribution, procedure, recognition) to the material and social aspects of wellbeing. The </w:t>
      </w:r>
      <w:r w:rsidRPr="00537744">
        <w:rPr>
          <w:rFonts w:ascii="Times New Roman" w:hAnsi="Times New Roman" w:cs="Times New Roman"/>
          <w:i/>
          <w:iCs/>
          <w:sz w:val="24"/>
          <w:szCs w:val="24"/>
        </w:rPr>
        <w:t>distribution</w:t>
      </w:r>
      <w:r w:rsidRPr="00537744">
        <w:rPr>
          <w:rFonts w:ascii="Times New Roman" w:hAnsi="Times New Roman" w:cs="Times New Roman"/>
          <w:sz w:val="24"/>
          <w:szCs w:val="24"/>
        </w:rPr>
        <w:t xml:space="preserve"> of environmental goods and bads is thus considered important because it contributes to the material conditions for a good life, such as good health. Such material requirements are of course context-dependent and may vary</w:t>
      </w:r>
      <w:r>
        <w:rPr>
          <w:rFonts w:ascii="Times New Roman" w:hAnsi="Times New Roman" w:cs="Times New Roman"/>
          <w:sz w:val="24"/>
          <w:szCs w:val="24"/>
        </w:rPr>
        <w:t>.</w:t>
      </w:r>
      <w:r w:rsidRPr="00537744">
        <w:rPr>
          <w:rFonts w:ascii="Times New Roman" w:hAnsi="Times New Roman" w:cs="Times New Roman"/>
          <w:sz w:val="24"/>
          <w:szCs w:val="24"/>
        </w:rPr>
        <w:t xml:space="preserve"> </w:t>
      </w:r>
      <w:r w:rsidRPr="00537744">
        <w:rPr>
          <w:rFonts w:ascii="Times New Roman" w:hAnsi="Times New Roman" w:cs="Times New Roman"/>
          <w:i/>
          <w:iCs/>
          <w:sz w:val="24"/>
          <w:szCs w:val="24"/>
        </w:rPr>
        <w:t>Recognition</w:t>
      </w:r>
      <w:r w:rsidRPr="00537744">
        <w:rPr>
          <w:rFonts w:ascii="Times New Roman" w:hAnsi="Times New Roman" w:cs="Times New Roman"/>
          <w:sz w:val="24"/>
          <w:szCs w:val="24"/>
        </w:rPr>
        <w:t xml:space="preserve"> is important because it contributes to the basic social conditions for wellbeing, including autonomy. As</w:t>
      </w:r>
      <w:r>
        <w:rPr>
          <w:rFonts w:ascii="Times New Roman" w:hAnsi="Times New Roman" w:cs="Times New Roman"/>
          <w:sz w:val="24"/>
          <w:szCs w:val="24"/>
        </w:rPr>
        <w:t xml:space="preserve"> Brock</w:t>
      </w:r>
      <w:r w:rsidRPr="00537744">
        <w:rPr>
          <w:rFonts w:ascii="Times New Roman" w:hAnsi="Times New Roman" w:cs="Times New Roman"/>
          <w:sz w:val="24"/>
          <w:szCs w:val="24"/>
        </w:rPr>
        <w:t xml:space="preserve"> </w:t>
      </w:r>
      <w:r>
        <w:rPr>
          <w:rFonts w:ascii="Times New Roman" w:hAnsi="Times New Roman" w:cs="Times New Roman"/>
          <w:noProof/>
          <w:sz w:val="24"/>
          <w:szCs w:val="24"/>
        </w:rPr>
        <w:t>(2009)</w:t>
      </w:r>
      <w:r>
        <w:rPr>
          <w:rFonts w:ascii="Times New Roman" w:hAnsi="Times New Roman" w:cs="Times New Roman"/>
          <w:sz w:val="24"/>
          <w:szCs w:val="24"/>
        </w:rPr>
        <w:t xml:space="preserve"> </w:t>
      </w:r>
      <w:r w:rsidRPr="00537744">
        <w:rPr>
          <w:rFonts w:ascii="Times New Roman" w:hAnsi="Times New Roman" w:cs="Times New Roman"/>
          <w:sz w:val="24"/>
          <w:szCs w:val="24"/>
        </w:rPr>
        <w:t xml:space="preserve">argues, both material and social aspects of wellbeing are requirements for human agency, </w:t>
      </w:r>
      <w:r>
        <w:rPr>
          <w:rFonts w:ascii="Times New Roman" w:hAnsi="Times New Roman" w:cs="Times New Roman"/>
          <w:sz w:val="24"/>
          <w:szCs w:val="24"/>
        </w:rPr>
        <w:t xml:space="preserve">a concept we employ here to distil an essential capability that </w:t>
      </w:r>
      <w:r w:rsidRPr="00537744">
        <w:rPr>
          <w:rFonts w:ascii="Times New Roman" w:hAnsi="Times New Roman" w:cs="Times New Roman"/>
          <w:sz w:val="24"/>
          <w:szCs w:val="24"/>
        </w:rPr>
        <w:t xml:space="preserve">enables people ‘to do and to be’ what they conceive as a good life. We position participation and agency in central, cross-cutting roles, both as determinant, product and link between the two more distinct, material and social, dimensions of environmental justice and social need. Just as Brock highlights that agency is a product of social need provision, so too it is a determinant of </w:t>
      </w:r>
      <w:r>
        <w:rPr>
          <w:rFonts w:ascii="Times New Roman" w:hAnsi="Times New Roman" w:cs="Times New Roman"/>
          <w:sz w:val="24"/>
          <w:szCs w:val="24"/>
        </w:rPr>
        <w:t>meeting material needs. Figure 1</w:t>
      </w:r>
      <w:r w:rsidRPr="00537744">
        <w:rPr>
          <w:rFonts w:ascii="Times New Roman" w:hAnsi="Times New Roman" w:cs="Times New Roman"/>
          <w:sz w:val="24"/>
          <w:szCs w:val="24"/>
        </w:rPr>
        <w:t xml:space="preserve"> acknowledges the parallel with environmental justice dimensions, whereby participation can be a product of having ones culture or knowledge system recognised which in turn is a determinant of distributional outcomes. </w:t>
      </w:r>
    </w:p>
    <w:p w:rsidR="00EC2F61" w:rsidRDefault="00EC2F61" w:rsidP="00145B21">
      <w:pPr>
        <w:spacing w:line="360" w:lineRule="auto"/>
        <w:rPr>
          <w:rFonts w:ascii="Times New Roman" w:hAnsi="Times New Roman" w:cs="Times New Roman"/>
          <w:sz w:val="24"/>
          <w:szCs w:val="24"/>
        </w:rPr>
      </w:pPr>
      <w:r>
        <w:rPr>
          <w:rFonts w:ascii="Times New Roman" w:hAnsi="Times New Roman" w:cs="Times New Roman"/>
          <w:sz w:val="24"/>
          <w:szCs w:val="24"/>
        </w:rPr>
        <w:t>This is intended as a broad and open framework for adaptation to specific contexts of interest. For our present context</w:t>
      </w:r>
      <w:r w:rsidRPr="00537744">
        <w:rPr>
          <w:rFonts w:ascii="Times New Roman" w:hAnsi="Times New Roman" w:cs="Times New Roman"/>
          <w:sz w:val="24"/>
          <w:szCs w:val="24"/>
        </w:rPr>
        <w:t xml:space="preserve">, the distribution aspect is about </w:t>
      </w:r>
      <w:r>
        <w:rPr>
          <w:rFonts w:ascii="Times New Roman" w:hAnsi="Times New Roman" w:cs="Times New Roman"/>
          <w:sz w:val="24"/>
          <w:szCs w:val="24"/>
        </w:rPr>
        <w:t xml:space="preserve">the flows of </w:t>
      </w:r>
      <w:r w:rsidRPr="00537744">
        <w:rPr>
          <w:rFonts w:ascii="Times New Roman" w:hAnsi="Times New Roman" w:cs="Times New Roman"/>
          <w:sz w:val="24"/>
          <w:szCs w:val="24"/>
        </w:rPr>
        <w:t xml:space="preserve">conservation </w:t>
      </w:r>
      <w:r>
        <w:rPr>
          <w:rFonts w:ascii="Times New Roman" w:hAnsi="Times New Roman" w:cs="Times New Roman"/>
          <w:sz w:val="24"/>
          <w:szCs w:val="24"/>
        </w:rPr>
        <w:t>costs and benefit and especially how these effect the already poor</w:t>
      </w:r>
      <w:r w:rsidRPr="00537744">
        <w:rPr>
          <w:rFonts w:ascii="Times New Roman" w:hAnsi="Times New Roman" w:cs="Times New Roman"/>
          <w:sz w:val="24"/>
          <w:szCs w:val="24"/>
        </w:rPr>
        <w:t>.</w:t>
      </w:r>
      <w:r>
        <w:rPr>
          <w:rFonts w:ascii="Times New Roman" w:hAnsi="Times New Roman" w:cs="Times New Roman"/>
          <w:sz w:val="24"/>
          <w:szCs w:val="24"/>
        </w:rPr>
        <w:t xml:space="preserve"> Uganda is a low income country with 38% of the population living below the income poverty line of 1.25 USD per day</w:t>
      </w:r>
      <w:r w:rsidRPr="00243903">
        <w:rPr>
          <w:rFonts w:ascii="Times New Roman" w:hAnsi="Times New Roman" w:cs="Times New Roman"/>
          <w:sz w:val="24"/>
          <w:szCs w:val="24"/>
        </w:rPr>
        <w:t xml:space="preserve">. We assume then that the poorest among our sample are already below </w:t>
      </w:r>
      <w:r>
        <w:rPr>
          <w:rFonts w:ascii="Times New Roman" w:hAnsi="Times New Roman" w:cs="Times New Roman"/>
          <w:sz w:val="24"/>
          <w:szCs w:val="24"/>
        </w:rPr>
        <w:t xml:space="preserve">or near to </w:t>
      </w:r>
      <w:r w:rsidRPr="00243903">
        <w:rPr>
          <w:rFonts w:ascii="Times New Roman" w:hAnsi="Times New Roman" w:cs="Times New Roman"/>
          <w:sz w:val="24"/>
          <w:szCs w:val="24"/>
        </w:rPr>
        <w:t xml:space="preserve">a material threshold required for wellbeing and </w:t>
      </w:r>
      <w:r>
        <w:rPr>
          <w:rFonts w:ascii="Times New Roman" w:hAnsi="Times New Roman" w:cs="Times New Roman"/>
          <w:sz w:val="24"/>
          <w:szCs w:val="24"/>
        </w:rPr>
        <w:t xml:space="preserve">that </w:t>
      </w:r>
      <w:r w:rsidRPr="00243903">
        <w:rPr>
          <w:rFonts w:ascii="Times New Roman" w:hAnsi="Times New Roman" w:cs="Times New Roman"/>
          <w:sz w:val="24"/>
          <w:szCs w:val="24"/>
        </w:rPr>
        <w:t xml:space="preserve">justice </w:t>
      </w:r>
      <w:r>
        <w:rPr>
          <w:rFonts w:ascii="Times New Roman" w:hAnsi="Times New Roman" w:cs="Times New Roman"/>
          <w:sz w:val="24"/>
          <w:szCs w:val="24"/>
        </w:rPr>
        <w:t xml:space="preserve">therefore </w:t>
      </w:r>
      <w:r w:rsidRPr="00243903">
        <w:rPr>
          <w:rFonts w:ascii="Times New Roman" w:hAnsi="Times New Roman" w:cs="Times New Roman"/>
          <w:sz w:val="24"/>
          <w:szCs w:val="24"/>
        </w:rPr>
        <w:t xml:space="preserve">requires any </w:t>
      </w:r>
      <w:r>
        <w:rPr>
          <w:rFonts w:ascii="Times New Roman" w:hAnsi="Times New Roman" w:cs="Times New Roman"/>
          <w:sz w:val="24"/>
          <w:szCs w:val="24"/>
        </w:rPr>
        <w:t>intervention to at least do no harm.</w:t>
      </w:r>
      <w:r w:rsidRPr="00243903">
        <w:rPr>
          <w:rFonts w:ascii="Times New Roman" w:hAnsi="Times New Roman" w:cs="Times New Roman"/>
          <w:sz w:val="24"/>
          <w:szCs w:val="24"/>
        </w:rPr>
        <w:t xml:space="preserve"> Whilst harder to measure in practice, a threshold approach would also require that benefits are distributed in ways that strive to assist those for whom essential thresholds are not met. We see this justice ‘content’</w:t>
      </w:r>
      <w:r>
        <w:rPr>
          <w:rFonts w:ascii="Times New Roman" w:hAnsi="Times New Roman" w:cs="Times New Roman"/>
          <w:sz w:val="24"/>
          <w:szCs w:val="24"/>
        </w:rPr>
        <w:t xml:space="preserve"> as relatively uncontroversial because it corresponds with the pro-poor outcomes that many of Bwindi’s conservation stakeholders publicly aspire to. </w:t>
      </w:r>
      <w:r w:rsidRPr="00112E5A">
        <w:rPr>
          <w:rFonts w:ascii="Times New Roman" w:hAnsi="Times New Roman" w:cs="Times New Roman"/>
          <w:sz w:val="24"/>
          <w:szCs w:val="24"/>
        </w:rPr>
        <w:t>For r</w:t>
      </w:r>
      <w:r>
        <w:rPr>
          <w:rFonts w:ascii="Times New Roman" w:hAnsi="Times New Roman" w:cs="Times New Roman"/>
          <w:sz w:val="24"/>
          <w:szCs w:val="24"/>
        </w:rPr>
        <w:t>ecognition, we adopt a similar</w:t>
      </w:r>
      <w:r w:rsidRPr="00112E5A">
        <w:rPr>
          <w:rFonts w:ascii="Times New Roman" w:hAnsi="Times New Roman" w:cs="Times New Roman"/>
          <w:sz w:val="24"/>
          <w:szCs w:val="24"/>
        </w:rPr>
        <w:t xml:space="preserve"> </w:t>
      </w:r>
      <w:r>
        <w:rPr>
          <w:rFonts w:ascii="Times New Roman" w:hAnsi="Times New Roman" w:cs="Times New Roman"/>
          <w:sz w:val="24"/>
          <w:szCs w:val="24"/>
        </w:rPr>
        <w:t xml:space="preserve">approach, </w:t>
      </w:r>
      <w:r w:rsidRPr="00112E5A">
        <w:rPr>
          <w:rFonts w:ascii="Times New Roman" w:hAnsi="Times New Roman" w:cs="Times New Roman"/>
          <w:sz w:val="24"/>
          <w:szCs w:val="24"/>
        </w:rPr>
        <w:t>namely that the socially vulnerable should have similar opportunities to others to act freely in accordance with what is v</w:t>
      </w:r>
      <w:r>
        <w:rPr>
          <w:rFonts w:ascii="Times New Roman" w:hAnsi="Times New Roman" w:cs="Times New Roman"/>
          <w:sz w:val="24"/>
          <w:szCs w:val="24"/>
        </w:rPr>
        <w:t xml:space="preserve">alued within their own culture. Importantly, the relevance of this rendering of recognition is validated by our observations of the lives that people are actually living </w:t>
      </w:r>
      <w:r>
        <w:rPr>
          <w:rFonts w:ascii="Times New Roman" w:hAnsi="Times New Roman" w:cs="Times New Roman"/>
          <w:noProof/>
          <w:sz w:val="24"/>
          <w:szCs w:val="24"/>
        </w:rPr>
        <w:t>(Miller, 2013; Nussbaum, 2011; Olson and Sayer, 2009; Sen, 2009)</w:t>
      </w:r>
      <w:r>
        <w:rPr>
          <w:rFonts w:ascii="Times New Roman" w:hAnsi="Times New Roman" w:cs="Times New Roman"/>
          <w:sz w:val="24"/>
          <w:szCs w:val="24"/>
        </w:rPr>
        <w:t xml:space="preserve">. In this respect we observe that already marginalised </w:t>
      </w:r>
      <w:r>
        <w:rPr>
          <w:rFonts w:ascii="Times New Roman" w:hAnsi="Times New Roman" w:cs="Times New Roman"/>
          <w:sz w:val="24"/>
          <w:szCs w:val="24"/>
        </w:rPr>
        <w:lastRenderedPageBreak/>
        <w:t xml:space="preserve">groups such as the indigenous Batwa people in our case, are already in positions where their wellbeing is curtailed by inadequate recognition – we don’t need to rely solely on theory to conclude that such groups require special protection against harm from mal-recognition. </w:t>
      </w:r>
    </w:p>
    <w:p w:rsidR="00EC2F61" w:rsidRDefault="00EC2F61" w:rsidP="007E28BB">
      <w:pPr>
        <w:spacing w:line="360" w:lineRule="auto"/>
        <w:rPr>
          <w:rFonts w:ascii="Times New Roman" w:hAnsi="Times New Roman" w:cs="Times New Roman"/>
          <w:b/>
          <w:bCs/>
          <w:sz w:val="24"/>
          <w:szCs w:val="24"/>
        </w:rPr>
      </w:pPr>
    </w:p>
    <w:p w:rsidR="00EC2F61" w:rsidRPr="00537744" w:rsidRDefault="00EC2F61" w:rsidP="007E28BB">
      <w:pPr>
        <w:spacing w:line="360" w:lineRule="auto"/>
        <w:rPr>
          <w:rFonts w:ascii="Times New Roman" w:hAnsi="Times New Roman" w:cs="Times New Roman"/>
          <w:b/>
          <w:bCs/>
          <w:sz w:val="24"/>
          <w:szCs w:val="24"/>
        </w:rPr>
      </w:pPr>
      <w:r w:rsidRPr="00537744">
        <w:rPr>
          <w:rFonts w:ascii="Times New Roman" w:hAnsi="Times New Roman" w:cs="Times New Roman"/>
          <w:b/>
          <w:bCs/>
          <w:sz w:val="24"/>
          <w:szCs w:val="24"/>
        </w:rPr>
        <w:t>Results</w:t>
      </w:r>
    </w:p>
    <w:p w:rsidR="00EC2F61" w:rsidRPr="006A33E7" w:rsidRDefault="00EC2F61" w:rsidP="007E28BB">
      <w:pPr>
        <w:spacing w:line="360" w:lineRule="auto"/>
        <w:rPr>
          <w:rFonts w:ascii="Times New Roman" w:hAnsi="Times New Roman" w:cs="Times New Roman"/>
          <w:b/>
          <w:bCs/>
          <w:i/>
          <w:iCs/>
          <w:sz w:val="24"/>
          <w:szCs w:val="24"/>
        </w:rPr>
      </w:pPr>
      <w:r w:rsidRPr="006A33E7">
        <w:rPr>
          <w:rFonts w:ascii="Times New Roman" w:hAnsi="Times New Roman" w:cs="Times New Roman"/>
          <w:b/>
          <w:bCs/>
          <w:i/>
          <w:iCs/>
          <w:sz w:val="24"/>
          <w:szCs w:val="24"/>
        </w:rPr>
        <w:t>Recognition Justice</w:t>
      </w:r>
    </w:p>
    <w:p w:rsidR="00EC2F61" w:rsidRPr="00537744" w:rsidRDefault="00EC2F61" w:rsidP="005E6086">
      <w:pPr>
        <w:spacing w:line="360" w:lineRule="auto"/>
        <w:rPr>
          <w:rFonts w:ascii="Times New Roman" w:hAnsi="Times New Roman" w:cs="Times New Roman"/>
          <w:sz w:val="24"/>
          <w:szCs w:val="24"/>
        </w:rPr>
      </w:pPr>
      <w:r>
        <w:rPr>
          <w:rFonts w:ascii="Times New Roman" w:hAnsi="Times New Roman" w:cs="Times New Roman"/>
          <w:sz w:val="24"/>
          <w:szCs w:val="24"/>
        </w:rPr>
        <w:t xml:space="preserve">In what ways has the conservation of Bwindi denied choices for </w:t>
      </w:r>
      <w:r w:rsidRPr="00112E5A">
        <w:rPr>
          <w:rFonts w:ascii="Times New Roman" w:hAnsi="Times New Roman" w:cs="Times New Roman"/>
          <w:sz w:val="24"/>
          <w:szCs w:val="24"/>
        </w:rPr>
        <w:t xml:space="preserve">socially vulnerable </w:t>
      </w:r>
      <w:r>
        <w:rPr>
          <w:rFonts w:ascii="Times New Roman" w:hAnsi="Times New Roman" w:cs="Times New Roman"/>
          <w:sz w:val="24"/>
          <w:szCs w:val="24"/>
        </w:rPr>
        <w:t xml:space="preserve">groups to </w:t>
      </w:r>
      <w:r w:rsidRPr="00112E5A">
        <w:rPr>
          <w:rFonts w:ascii="Times New Roman" w:hAnsi="Times New Roman" w:cs="Times New Roman"/>
          <w:sz w:val="24"/>
          <w:szCs w:val="24"/>
        </w:rPr>
        <w:t>act freely in accordance with what is v</w:t>
      </w:r>
      <w:r>
        <w:rPr>
          <w:rFonts w:ascii="Times New Roman" w:hAnsi="Times New Roman" w:cs="Times New Roman"/>
          <w:sz w:val="24"/>
          <w:szCs w:val="24"/>
        </w:rPr>
        <w:t xml:space="preserve">alued within their own </w:t>
      </w:r>
      <w:r w:rsidRPr="009C2539">
        <w:rPr>
          <w:rFonts w:ascii="Times New Roman" w:hAnsi="Times New Roman" w:cs="Times New Roman"/>
          <w:sz w:val="24"/>
          <w:szCs w:val="24"/>
        </w:rPr>
        <w:t>culture</w:t>
      </w:r>
      <w:r>
        <w:rPr>
          <w:rFonts w:ascii="Times New Roman" w:hAnsi="Times New Roman" w:cs="Times New Roman"/>
          <w:sz w:val="24"/>
          <w:szCs w:val="24"/>
        </w:rPr>
        <w:t xml:space="preserve">? </w:t>
      </w:r>
      <w:r w:rsidRPr="009C2539">
        <w:rPr>
          <w:rFonts w:ascii="Times New Roman" w:hAnsi="Times New Roman" w:cs="Times New Roman"/>
          <w:sz w:val="24"/>
          <w:szCs w:val="24"/>
        </w:rPr>
        <w:t>Since Bwindi was gazetted as a park in 1991, park-people conflicts have gradually reduced in intensity as households have diversified their livelihoods</w:t>
      </w:r>
      <w:r>
        <w:rPr>
          <w:rFonts w:ascii="Times New Roman" w:hAnsi="Times New Roman" w:cs="Times New Roman"/>
          <w:sz w:val="24"/>
          <w:szCs w:val="24"/>
        </w:rPr>
        <w:t xml:space="preserve"> in ways that render park resources less important to the fulfilment of life choices. Diversification has been rapid and widespread, with 4</w:t>
      </w:r>
      <w:r w:rsidRPr="00537744">
        <w:rPr>
          <w:rFonts w:ascii="Times New Roman" w:hAnsi="Times New Roman" w:cs="Times New Roman"/>
          <w:sz w:val="24"/>
          <w:szCs w:val="24"/>
        </w:rPr>
        <w:t>5% now report</w:t>
      </w:r>
      <w:r>
        <w:rPr>
          <w:rFonts w:ascii="Times New Roman" w:hAnsi="Times New Roman" w:cs="Times New Roman"/>
          <w:sz w:val="24"/>
          <w:szCs w:val="24"/>
        </w:rPr>
        <w:t>ing two</w:t>
      </w:r>
      <w:r w:rsidRPr="00537744">
        <w:rPr>
          <w:rFonts w:ascii="Times New Roman" w:hAnsi="Times New Roman" w:cs="Times New Roman"/>
          <w:sz w:val="24"/>
          <w:szCs w:val="24"/>
        </w:rPr>
        <w:t xml:space="preserve"> or more main sources of livelihood compared to </w:t>
      </w:r>
      <w:r>
        <w:rPr>
          <w:rFonts w:ascii="Times New Roman" w:hAnsi="Times New Roman" w:cs="Times New Roman"/>
          <w:sz w:val="24"/>
          <w:szCs w:val="24"/>
        </w:rPr>
        <w:t xml:space="preserve">only </w:t>
      </w:r>
      <w:r w:rsidRPr="00537744">
        <w:rPr>
          <w:rFonts w:ascii="Times New Roman" w:hAnsi="Times New Roman" w:cs="Times New Roman"/>
          <w:sz w:val="24"/>
          <w:szCs w:val="24"/>
        </w:rPr>
        <w:t>14%</w:t>
      </w:r>
      <w:r>
        <w:rPr>
          <w:rFonts w:ascii="Times New Roman" w:hAnsi="Times New Roman" w:cs="Times New Roman"/>
          <w:sz w:val="24"/>
          <w:szCs w:val="24"/>
        </w:rPr>
        <w:t xml:space="preserve"> 20 years ago</w:t>
      </w:r>
      <w:r w:rsidRPr="00537744">
        <w:rPr>
          <w:rFonts w:ascii="Times New Roman" w:hAnsi="Times New Roman" w:cs="Times New Roman"/>
          <w:sz w:val="24"/>
          <w:szCs w:val="24"/>
        </w:rPr>
        <w:t>.</w:t>
      </w:r>
      <w:r>
        <w:rPr>
          <w:rFonts w:ascii="Times New Roman" w:hAnsi="Times New Roman" w:cs="Times New Roman"/>
          <w:sz w:val="24"/>
          <w:szCs w:val="24"/>
        </w:rPr>
        <w:t xml:space="preserve"> This change has involved a reduction in dependence on park resources, and thus some closing of the gap between the economic interests of park authorities and local residents.</w:t>
      </w:r>
      <w:r w:rsidRPr="00537744">
        <w:rPr>
          <w:rFonts w:ascii="Times New Roman" w:hAnsi="Times New Roman" w:cs="Times New Roman"/>
          <w:sz w:val="24"/>
          <w:szCs w:val="24"/>
        </w:rPr>
        <w:t xml:space="preserve"> However, latent conflict </w:t>
      </w:r>
      <w:r>
        <w:rPr>
          <w:rFonts w:ascii="Times New Roman" w:hAnsi="Times New Roman" w:cs="Times New Roman"/>
          <w:sz w:val="24"/>
          <w:szCs w:val="24"/>
        </w:rPr>
        <w:t xml:space="preserve">is still </w:t>
      </w:r>
      <w:r w:rsidRPr="00537744">
        <w:rPr>
          <w:rFonts w:ascii="Times New Roman" w:hAnsi="Times New Roman" w:cs="Times New Roman"/>
          <w:sz w:val="24"/>
          <w:szCs w:val="24"/>
        </w:rPr>
        <w:t>widespread,</w:t>
      </w:r>
      <w:r>
        <w:rPr>
          <w:rFonts w:ascii="Times New Roman" w:hAnsi="Times New Roman" w:cs="Times New Roman"/>
          <w:sz w:val="24"/>
          <w:szCs w:val="24"/>
        </w:rPr>
        <w:t xml:space="preserve"> especially</w:t>
      </w:r>
      <w:r w:rsidRPr="00537744">
        <w:rPr>
          <w:rFonts w:ascii="Times New Roman" w:hAnsi="Times New Roman" w:cs="Times New Roman"/>
          <w:sz w:val="24"/>
          <w:szCs w:val="24"/>
        </w:rPr>
        <w:t xml:space="preserve"> among those who have found it hard to</w:t>
      </w:r>
      <w:r>
        <w:rPr>
          <w:rFonts w:ascii="Times New Roman" w:hAnsi="Times New Roman" w:cs="Times New Roman"/>
          <w:sz w:val="24"/>
          <w:szCs w:val="24"/>
        </w:rPr>
        <w:t xml:space="preserve"> diversify</w:t>
      </w:r>
      <w:r w:rsidRPr="00537744">
        <w:rPr>
          <w:rFonts w:ascii="Times New Roman" w:hAnsi="Times New Roman" w:cs="Times New Roman"/>
          <w:sz w:val="24"/>
          <w:szCs w:val="24"/>
        </w:rPr>
        <w:t xml:space="preserve">, and </w:t>
      </w:r>
      <w:r>
        <w:rPr>
          <w:rFonts w:ascii="Times New Roman" w:hAnsi="Times New Roman" w:cs="Times New Roman"/>
          <w:sz w:val="24"/>
          <w:szCs w:val="24"/>
        </w:rPr>
        <w:t xml:space="preserve">among </w:t>
      </w:r>
      <w:r w:rsidRPr="00537744">
        <w:rPr>
          <w:rFonts w:ascii="Times New Roman" w:hAnsi="Times New Roman" w:cs="Times New Roman"/>
          <w:sz w:val="24"/>
          <w:szCs w:val="24"/>
        </w:rPr>
        <w:t>th</w:t>
      </w:r>
      <w:r>
        <w:rPr>
          <w:rFonts w:ascii="Times New Roman" w:hAnsi="Times New Roman" w:cs="Times New Roman"/>
          <w:sz w:val="24"/>
          <w:szCs w:val="24"/>
        </w:rPr>
        <w:t xml:space="preserve">ose whose justice claims are primarily procedural, related to the way they are </w:t>
      </w:r>
      <w:r w:rsidRPr="00537744">
        <w:rPr>
          <w:rFonts w:ascii="Times New Roman" w:hAnsi="Times New Roman" w:cs="Times New Roman"/>
          <w:sz w:val="24"/>
          <w:szCs w:val="24"/>
        </w:rPr>
        <w:t>treated by</w:t>
      </w:r>
      <w:r>
        <w:rPr>
          <w:rFonts w:ascii="Times New Roman" w:hAnsi="Times New Roman" w:cs="Times New Roman"/>
          <w:sz w:val="24"/>
          <w:szCs w:val="24"/>
        </w:rPr>
        <w:t xml:space="preserve"> the Uganda Wildlife Authority (</w:t>
      </w:r>
      <w:r w:rsidRPr="00537744">
        <w:rPr>
          <w:rFonts w:ascii="Times New Roman" w:hAnsi="Times New Roman" w:cs="Times New Roman"/>
          <w:sz w:val="24"/>
          <w:szCs w:val="24"/>
        </w:rPr>
        <w:t>UWA</w:t>
      </w:r>
      <w:r>
        <w:rPr>
          <w:rFonts w:ascii="Times New Roman" w:hAnsi="Times New Roman" w:cs="Times New Roman"/>
          <w:sz w:val="24"/>
          <w:szCs w:val="24"/>
        </w:rPr>
        <w:t>)</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When we posed a simple question about relations with UWA, </w:t>
      </w:r>
      <w:r w:rsidRPr="00537744">
        <w:rPr>
          <w:rFonts w:ascii="Times New Roman" w:hAnsi="Times New Roman" w:cs="Times New Roman"/>
          <w:sz w:val="24"/>
          <w:szCs w:val="24"/>
        </w:rPr>
        <w:t>8</w:t>
      </w:r>
      <w:r>
        <w:rPr>
          <w:rFonts w:ascii="Times New Roman" w:hAnsi="Times New Roman" w:cs="Times New Roman"/>
          <w:sz w:val="24"/>
          <w:szCs w:val="24"/>
        </w:rPr>
        <w:t>2</w:t>
      </w:r>
      <w:r w:rsidRPr="00537744">
        <w:rPr>
          <w:rFonts w:ascii="Times New Roman" w:hAnsi="Times New Roman" w:cs="Times New Roman"/>
          <w:sz w:val="24"/>
          <w:szCs w:val="24"/>
        </w:rPr>
        <w:t>% of respondents agree</w:t>
      </w:r>
      <w:r>
        <w:rPr>
          <w:rFonts w:ascii="Times New Roman" w:hAnsi="Times New Roman" w:cs="Times New Roman"/>
          <w:sz w:val="24"/>
          <w:szCs w:val="24"/>
        </w:rPr>
        <w:t>d</w:t>
      </w:r>
      <w:r w:rsidRPr="00537744">
        <w:rPr>
          <w:rFonts w:ascii="Times New Roman" w:hAnsi="Times New Roman" w:cs="Times New Roman"/>
          <w:sz w:val="24"/>
          <w:szCs w:val="24"/>
        </w:rPr>
        <w:t xml:space="preserve"> that UWA needs to </w:t>
      </w:r>
      <w:r>
        <w:rPr>
          <w:rFonts w:ascii="Times New Roman" w:hAnsi="Times New Roman" w:cs="Times New Roman"/>
          <w:sz w:val="24"/>
          <w:szCs w:val="24"/>
        </w:rPr>
        <w:t xml:space="preserve">better </w:t>
      </w:r>
      <w:r w:rsidRPr="00537744">
        <w:rPr>
          <w:rFonts w:ascii="Times New Roman" w:hAnsi="Times New Roman" w:cs="Times New Roman"/>
          <w:sz w:val="24"/>
          <w:szCs w:val="24"/>
        </w:rPr>
        <w:t xml:space="preserve">recognise </w:t>
      </w:r>
      <w:r>
        <w:rPr>
          <w:rFonts w:ascii="Times New Roman" w:hAnsi="Times New Roman" w:cs="Times New Roman"/>
          <w:sz w:val="24"/>
          <w:szCs w:val="24"/>
        </w:rPr>
        <w:t>local people’s views about the park</w:t>
      </w:r>
      <w:r w:rsidRPr="00537744">
        <w:rPr>
          <w:rFonts w:ascii="Times New Roman" w:hAnsi="Times New Roman" w:cs="Times New Roman"/>
          <w:sz w:val="24"/>
          <w:szCs w:val="24"/>
        </w:rPr>
        <w:t xml:space="preserve">. </w:t>
      </w:r>
      <w:r>
        <w:rPr>
          <w:rFonts w:ascii="Times New Roman" w:hAnsi="Times New Roman" w:cs="Times New Roman"/>
          <w:sz w:val="24"/>
          <w:szCs w:val="24"/>
        </w:rPr>
        <w:t>When we pursued this view in less structured discussion, r</w:t>
      </w:r>
      <w:r w:rsidRPr="00537744">
        <w:rPr>
          <w:rFonts w:ascii="Times New Roman" w:hAnsi="Times New Roman" w:cs="Times New Roman"/>
          <w:sz w:val="24"/>
          <w:szCs w:val="24"/>
        </w:rPr>
        <w:t xml:space="preserve">espondents </w:t>
      </w:r>
      <w:r>
        <w:rPr>
          <w:rFonts w:ascii="Times New Roman" w:hAnsi="Times New Roman" w:cs="Times New Roman"/>
          <w:sz w:val="24"/>
          <w:szCs w:val="24"/>
        </w:rPr>
        <w:t xml:space="preserve">reported </w:t>
      </w:r>
      <w:r w:rsidRPr="00537744">
        <w:rPr>
          <w:rFonts w:ascii="Times New Roman" w:hAnsi="Times New Roman" w:cs="Times New Roman"/>
          <w:sz w:val="24"/>
          <w:szCs w:val="24"/>
        </w:rPr>
        <w:t>a basic power asymmetry whereby UWA sets the parameters of what is up for discussion, an</w:t>
      </w:r>
      <w:r>
        <w:rPr>
          <w:rFonts w:ascii="Times New Roman" w:hAnsi="Times New Roman" w:cs="Times New Roman"/>
          <w:sz w:val="24"/>
          <w:szCs w:val="24"/>
        </w:rPr>
        <w:t xml:space="preserve">d in doing so, </w:t>
      </w:r>
      <w:r w:rsidRPr="00537744">
        <w:rPr>
          <w:rFonts w:ascii="Times New Roman" w:hAnsi="Times New Roman" w:cs="Times New Roman"/>
          <w:sz w:val="24"/>
          <w:szCs w:val="24"/>
        </w:rPr>
        <w:t xml:space="preserve">excludes </w:t>
      </w:r>
      <w:r>
        <w:rPr>
          <w:rFonts w:ascii="Times New Roman" w:hAnsi="Times New Roman" w:cs="Times New Roman"/>
          <w:sz w:val="24"/>
          <w:szCs w:val="24"/>
        </w:rPr>
        <w:t>from the agenda those issues that are most important to many local people</w:t>
      </w:r>
      <w:r w:rsidRPr="00537744">
        <w:rPr>
          <w:rFonts w:ascii="Times New Roman" w:hAnsi="Times New Roman" w:cs="Times New Roman"/>
          <w:sz w:val="24"/>
          <w:szCs w:val="24"/>
        </w:rPr>
        <w:t xml:space="preserve">. </w:t>
      </w:r>
      <w:r>
        <w:rPr>
          <w:rFonts w:ascii="Times New Roman" w:hAnsi="Times New Roman" w:cs="Times New Roman"/>
          <w:sz w:val="24"/>
          <w:szCs w:val="24"/>
        </w:rPr>
        <w:t>In particular, those we interviewed would want to negotiate</w:t>
      </w:r>
      <w:r w:rsidRPr="00537744">
        <w:rPr>
          <w:rFonts w:ascii="Times New Roman" w:hAnsi="Times New Roman" w:cs="Times New Roman"/>
          <w:sz w:val="24"/>
          <w:szCs w:val="24"/>
        </w:rPr>
        <w:t xml:space="preserve"> wider access </w:t>
      </w:r>
      <w:r>
        <w:rPr>
          <w:rFonts w:ascii="Times New Roman" w:hAnsi="Times New Roman" w:cs="Times New Roman"/>
          <w:sz w:val="24"/>
          <w:szCs w:val="24"/>
        </w:rPr>
        <w:t xml:space="preserve">to </w:t>
      </w:r>
      <w:r w:rsidRPr="00537744">
        <w:rPr>
          <w:rFonts w:ascii="Times New Roman" w:hAnsi="Times New Roman" w:cs="Times New Roman"/>
          <w:sz w:val="24"/>
          <w:szCs w:val="24"/>
        </w:rPr>
        <w:t>and control over the park</w:t>
      </w:r>
      <w:r>
        <w:rPr>
          <w:rFonts w:ascii="Times New Roman" w:hAnsi="Times New Roman" w:cs="Times New Roman"/>
          <w:sz w:val="24"/>
          <w:szCs w:val="24"/>
        </w:rPr>
        <w:t>. Thus some local people want to frame discussions about what is fair in terms of challenging the current model for park governance, and to articulate a co-determination model based more on co-existence with the park and its wildlife. UWA, by contrast remain committed to the existing conservation</w:t>
      </w:r>
      <w:r w:rsidRPr="00537744">
        <w:rPr>
          <w:rFonts w:ascii="Times New Roman" w:hAnsi="Times New Roman" w:cs="Times New Roman"/>
          <w:sz w:val="24"/>
          <w:szCs w:val="24"/>
        </w:rPr>
        <w:t xml:space="preserve"> model </w:t>
      </w:r>
      <w:r>
        <w:rPr>
          <w:rFonts w:ascii="Times New Roman" w:hAnsi="Times New Roman" w:cs="Times New Roman"/>
          <w:sz w:val="24"/>
          <w:szCs w:val="24"/>
        </w:rPr>
        <w:t xml:space="preserve">that separates people from the park (except in prescribed MUZs), and therefore prefer to frame concerns about fairness in terms of benefit sharing from existing arrangements. As one respondent put it, </w:t>
      </w:r>
      <w:r w:rsidRPr="00537744">
        <w:rPr>
          <w:rFonts w:ascii="Times New Roman" w:hAnsi="Times New Roman" w:cs="Times New Roman"/>
          <w:sz w:val="24"/>
          <w:szCs w:val="24"/>
        </w:rPr>
        <w:t>“they preserv</w:t>
      </w:r>
      <w:r>
        <w:rPr>
          <w:rFonts w:ascii="Times New Roman" w:hAnsi="Times New Roman" w:cs="Times New Roman"/>
          <w:sz w:val="24"/>
          <w:szCs w:val="24"/>
        </w:rPr>
        <w:t>e the park we want to access” (</w:t>
      </w:r>
      <w:r w:rsidRPr="00537744">
        <w:rPr>
          <w:rFonts w:ascii="Times New Roman" w:hAnsi="Times New Roman" w:cs="Times New Roman"/>
          <w:sz w:val="24"/>
          <w:szCs w:val="24"/>
        </w:rPr>
        <w:t>TAF19).</w:t>
      </w:r>
    </w:p>
    <w:p w:rsidR="00EC2F61" w:rsidRPr="00537744" w:rsidRDefault="00EC2F61" w:rsidP="00957B76">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is a difficult line for the UWA to cross. They have good reason to believe that uncontrolled access would pose real dangers to the park’s wildlife, for example the spread of </w:t>
      </w:r>
      <w:r>
        <w:rPr>
          <w:rFonts w:ascii="Times New Roman" w:hAnsi="Times New Roman" w:cs="Times New Roman"/>
          <w:sz w:val="24"/>
          <w:szCs w:val="24"/>
        </w:rPr>
        <w:lastRenderedPageBreak/>
        <w:t>human diseases to mountain gorillas. And they consider controlled access to be difficult to manage, based on their experience with MUZs. A situation therefore exists in which the prevailing package of ideas and institutions serves to foreclose on the kind of debates that some local people think they should be allowed to have. It is a situation that leads many local people to perceive a highly asymmetrical – and unfair - relationship with UWA, in which their views are not entertained:</w:t>
      </w:r>
    </w:p>
    <w:p w:rsidR="00EC2F61" w:rsidRPr="00537744" w:rsidRDefault="00EC2F61" w:rsidP="007E28BB">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“They want me to listen to them</w:t>
      </w:r>
      <w:r>
        <w:rPr>
          <w:rFonts w:ascii="Times New Roman" w:hAnsi="Times New Roman" w:cs="Times New Roman"/>
          <w:sz w:val="24"/>
          <w:szCs w:val="24"/>
        </w:rPr>
        <w:t xml:space="preserve"> but they don’t listen to me” (</w:t>
      </w:r>
      <w:r w:rsidRPr="00537744">
        <w:rPr>
          <w:rFonts w:ascii="Times New Roman" w:hAnsi="Times New Roman" w:cs="Times New Roman"/>
          <w:sz w:val="24"/>
          <w:szCs w:val="24"/>
        </w:rPr>
        <w:t>TAF12)</w:t>
      </w:r>
    </w:p>
    <w:p w:rsidR="00EC2F61" w:rsidRPr="00537744" w:rsidRDefault="00EC2F61" w:rsidP="007E28BB">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“They don’t agree with whatever the villagers say” (NTAF1)</w:t>
      </w:r>
    </w:p>
    <w:p w:rsidR="00EC2F61" w:rsidRPr="00537744" w:rsidRDefault="00EC2F61" w:rsidP="007E28BB">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“UWA just think about its policies without considering ours” (NTAF20)</w:t>
      </w:r>
    </w:p>
    <w:p w:rsidR="00EC2F61" w:rsidRPr="00537744"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Thus, whilst public acts of resistance have declined in frequency, private but widespread disaffection persists. Complaints are grounded in concerns about access to resources, but equally they are articulated in terms of the procedural and interactional conduct of park business and the subjugation of their knowledge by a more powerful coalition of stakeholders. There is </w:t>
      </w:r>
      <w:r w:rsidRPr="00537744">
        <w:rPr>
          <w:rFonts w:ascii="Times New Roman" w:hAnsi="Times New Roman" w:cs="Times New Roman"/>
          <w:sz w:val="24"/>
          <w:szCs w:val="24"/>
        </w:rPr>
        <w:t>a strong perception that UWA’s efforts at consultation are tokenistic</w:t>
      </w:r>
      <w:r>
        <w:rPr>
          <w:rFonts w:ascii="Times New Roman" w:hAnsi="Times New Roman" w:cs="Times New Roman"/>
          <w:sz w:val="24"/>
          <w:szCs w:val="24"/>
        </w:rPr>
        <w:t xml:space="preserve"> and truncated</w:t>
      </w:r>
      <w:r w:rsidRPr="00537744">
        <w:rPr>
          <w:rFonts w:ascii="Times New Roman" w:hAnsi="Times New Roman" w:cs="Times New Roman"/>
          <w:sz w:val="24"/>
          <w:szCs w:val="24"/>
        </w:rPr>
        <w:t xml:space="preserve"> – </w:t>
      </w:r>
      <w:r>
        <w:rPr>
          <w:rFonts w:ascii="Times New Roman" w:hAnsi="Times New Roman" w:cs="Times New Roman"/>
          <w:sz w:val="24"/>
          <w:szCs w:val="24"/>
        </w:rPr>
        <w:t>many respondents comment that UWA</w:t>
      </w:r>
      <w:r w:rsidRPr="00537744">
        <w:rPr>
          <w:rFonts w:ascii="Times New Roman" w:hAnsi="Times New Roman" w:cs="Times New Roman"/>
          <w:sz w:val="24"/>
          <w:szCs w:val="24"/>
        </w:rPr>
        <w:t xml:space="preserve"> don’t listen, they don’t write things down, they make promises that they don’t keep and they are not transparent. </w:t>
      </w:r>
      <w:r>
        <w:rPr>
          <w:rFonts w:ascii="Times New Roman" w:hAnsi="Times New Roman" w:cs="Times New Roman"/>
          <w:sz w:val="24"/>
          <w:szCs w:val="24"/>
        </w:rPr>
        <w:t xml:space="preserve">This finding resonates with that of Ahebwa et al. </w:t>
      </w:r>
      <w:r>
        <w:rPr>
          <w:rFonts w:ascii="Times New Roman" w:hAnsi="Times New Roman" w:cs="Times New Roman"/>
          <w:noProof/>
          <w:sz w:val="24"/>
          <w:szCs w:val="24"/>
        </w:rPr>
        <w:t>(2012)</w:t>
      </w:r>
      <w:r>
        <w:rPr>
          <w:rFonts w:ascii="Times New Roman" w:hAnsi="Times New Roman" w:cs="Times New Roman"/>
          <w:sz w:val="24"/>
          <w:szCs w:val="24"/>
        </w:rPr>
        <w:t xml:space="preserve"> who found widespread disillusion arising from UWA’s exploitation of power asymmetry to pursue its own agendas whilst foreclosing on others.  </w:t>
      </w:r>
    </w:p>
    <w:p w:rsidR="00EC2F61" w:rsidRDefault="00EC2F61" w:rsidP="004F5CAA">
      <w:pPr>
        <w:spacing w:line="360" w:lineRule="auto"/>
        <w:rPr>
          <w:rFonts w:ascii="Times New Roman" w:hAnsi="Times New Roman" w:cs="Times New Roman"/>
          <w:sz w:val="24"/>
          <w:szCs w:val="24"/>
        </w:rPr>
      </w:pPr>
      <w:r>
        <w:rPr>
          <w:rFonts w:ascii="Times New Roman" w:hAnsi="Times New Roman" w:cs="Times New Roman"/>
          <w:sz w:val="24"/>
          <w:szCs w:val="24"/>
        </w:rPr>
        <w:t xml:space="preserve">In our analysis of the impacts of conservation we distinguish between material economic impacts and intangible cultural ones. This distinction is not straight forward because the use of material resources is often itself cultural. We take an empirical stance to this distinction, asking respondents to identify those material practices that they consider to be culturally important and, by association, important to collective wellbeing. 70% of respondents, including over 90% of Batwa respondents, agreed that the park prevents them from passing on traditions to their children. Perhaps surprisingly, however, </w:t>
      </w:r>
      <w:r w:rsidRPr="00957B76">
        <w:rPr>
          <w:rFonts w:ascii="Times New Roman" w:hAnsi="Times New Roman" w:cs="Times New Roman"/>
          <w:sz w:val="24"/>
          <w:szCs w:val="24"/>
        </w:rPr>
        <w:t xml:space="preserve">few </w:t>
      </w:r>
      <w:r>
        <w:rPr>
          <w:rFonts w:ascii="Times New Roman" w:hAnsi="Times New Roman" w:cs="Times New Roman"/>
          <w:sz w:val="24"/>
          <w:szCs w:val="24"/>
        </w:rPr>
        <w:t xml:space="preserve">went on to </w:t>
      </w:r>
      <w:r w:rsidRPr="00957B76">
        <w:rPr>
          <w:rFonts w:ascii="Times New Roman" w:hAnsi="Times New Roman" w:cs="Times New Roman"/>
          <w:sz w:val="24"/>
          <w:szCs w:val="24"/>
        </w:rPr>
        <w:t>express this in terms of cultural</w:t>
      </w:r>
      <w:r>
        <w:rPr>
          <w:rFonts w:ascii="Times New Roman" w:hAnsi="Times New Roman" w:cs="Times New Roman"/>
          <w:sz w:val="24"/>
          <w:szCs w:val="24"/>
        </w:rPr>
        <w:t xml:space="preserve"> loss; rather they see it as the decline of certain livelihood practices and skills, such as hunting and mat-making, that they feel economically but do not perceive as  culturally important</w:t>
      </w:r>
      <w:r w:rsidRPr="00957B76">
        <w:rPr>
          <w:rFonts w:ascii="Times New Roman" w:hAnsi="Times New Roman" w:cs="Times New Roman"/>
          <w:sz w:val="24"/>
          <w:szCs w:val="24"/>
        </w:rPr>
        <w:t xml:space="preserve">. </w:t>
      </w:r>
      <w:r>
        <w:rPr>
          <w:rFonts w:ascii="Times New Roman" w:hAnsi="Times New Roman" w:cs="Times New Roman"/>
          <w:sz w:val="24"/>
          <w:szCs w:val="24"/>
        </w:rPr>
        <w:t>Whilst 76% agreed that ‘poachers’ are no longer</w:t>
      </w:r>
      <w:r w:rsidRPr="00537744">
        <w:rPr>
          <w:rFonts w:ascii="Times New Roman" w:hAnsi="Times New Roman" w:cs="Times New Roman"/>
          <w:sz w:val="24"/>
          <w:szCs w:val="24"/>
        </w:rPr>
        <w:t xml:space="preserve"> respected, discussion around this point suggests that few express this as an injustice. One respondent described poachers as ‘heroes’ for providing cheap meat (NTAF26), but </w:t>
      </w:r>
      <w:r>
        <w:rPr>
          <w:rFonts w:ascii="Times New Roman" w:hAnsi="Times New Roman" w:cs="Times New Roman"/>
          <w:sz w:val="24"/>
          <w:szCs w:val="24"/>
        </w:rPr>
        <w:t xml:space="preserve">such </w:t>
      </w:r>
      <w:r w:rsidRPr="00537744">
        <w:rPr>
          <w:rFonts w:ascii="Times New Roman" w:hAnsi="Times New Roman" w:cs="Times New Roman"/>
          <w:sz w:val="24"/>
          <w:szCs w:val="24"/>
        </w:rPr>
        <w:t>view</w:t>
      </w:r>
      <w:r>
        <w:rPr>
          <w:rFonts w:ascii="Times New Roman" w:hAnsi="Times New Roman" w:cs="Times New Roman"/>
          <w:sz w:val="24"/>
          <w:szCs w:val="24"/>
        </w:rPr>
        <w:t>s are</w:t>
      </w:r>
      <w:r w:rsidRPr="00537744">
        <w:rPr>
          <w:rFonts w:ascii="Times New Roman" w:hAnsi="Times New Roman" w:cs="Times New Roman"/>
          <w:sz w:val="24"/>
          <w:szCs w:val="24"/>
        </w:rPr>
        <w:t xml:space="preserve"> now unusual. </w:t>
      </w:r>
      <w:r>
        <w:rPr>
          <w:rFonts w:ascii="Times New Roman" w:hAnsi="Times New Roman" w:cs="Times New Roman"/>
          <w:sz w:val="24"/>
          <w:szCs w:val="24"/>
        </w:rPr>
        <w:t xml:space="preserve">We should point out that these findings are highly context-specific and there are many </w:t>
      </w:r>
      <w:r>
        <w:rPr>
          <w:rFonts w:ascii="Times New Roman" w:hAnsi="Times New Roman" w:cs="Times New Roman"/>
          <w:sz w:val="24"/>
          <w:szCs w:val="24"/>
        </w:rPr>
        <w:lastRenderedPageBreak/>
        <w:t>communities for whom loss of hunting rights or loss of access to craft materials might well be perceived as a significant cultural loss. Here, t</w:t>
      </w:r>
      <w:r w:rsidRPr="00537744">
        <w:rPr>
          <w:rFonts w:ascii="Times New Roman" w:hAnsi="Times New Roman" w:cs="Times New Roman"/>
          <w:sz w:val="24"/>
          <w:szCs w:val="24"/>
        </w:rPr>
        <w:t xml:space="preserve">here is a shift towards conservation-mindedness that arises from the perceived benefits of tourism (even given the </w:t>
      </w:r>
      <w:r>
        <w:rPr>
          <w:rFonts w:ascii="Times New Roman" w:hAnsi="Times New Roman" w:cs="Times New Roman"/>
          <w:sz w:val="24"/>
          <w:szCs w:val="24"/>
        </w:rPr>
        <w:t>inadequacies of distribution described below), long-running ‘</w:t>
      </w:r>
      <w:r w:rsidRPr="00537744">
        <w:rPr>
          <w:rFonts w:ascii="Times New Roman" w:hAnsi="Times New Roman" w:cs="Times New Roman"/>
          <w:sz w:val="24"/>
          <w:szCs w:val="24"/>
        </w:rPr>
        <w:t>sensitisation</w:t>
      </w:r>
      <w:r>
        <w:rPr>
          <w:rFonts w:ascii="Times New Roman" w:hAnsi="Times New Roman" w:cs="Times New Roman"/>
          <w:sz w:val="24"/>
          <w:szCs w:val="24"/>
        </w:rPr>
        <w:t>’</w:t>
      </w:r>
      <w:r w:rsidRPr="00537744">
        <w:rPr>
          <w:rFonts w:ascii="Times New Roman" w:hAnsi="Times New Roman" w:cs="Times New Roman"/>
          <w:sz w:val="24"/>
          <w:szCs w:val="24"/>
        </w:rPr>
        <w:t xml:space="preserve"> programmes</w:t>
      </w:r>
      <w:r>
        <w:rPr>
          <w:rFonts w:ascii="Times New Roman" w:hAnsi="Times New Roman" w:cs="Times New Roman"/>
          <w:sz w:val="24"/>
          <w:szCs w:val="24"/>
        </w:rPr>
        <w:t xml:space="preserve"> from UWA and conservation NGOs and, more speculatively, a shift in aspirations as an adaptation to the reality of exclusion from park access. </w:t>
      </w:r>
      <w:r w:rsidRPr="00537744">
        <w:rPr>
          <w:rFonts w:ascii="Times New Roman" w:hAnsi="Times New Roman" w:cs="Times New Roman"/>
          <w:sz w:val="24"/>
          <w:szCs w:val="24"/>
        </w:rPr>
        <w:t xml:space="preserve"> </w:t>
      </w:r>
    </w:p>
    <w:p w:rsidR="00EC2F61" w:rsidRDefault="00EC2F61" w:rsidP="007733FE">
      <w:pPr>
        <w:spacing w:line="360" w:lineRule="auto"/>
        <w:rPr>
          <w:rFonts w:ascii="Times New Roman" w:hAnsi="Times New Roman" w:cs="Times New Roman"/>
          <w:sz w:val="24"/>
          <w:szCs w:val="24"/>
        </w:rPr>
      </w:pPr>
      <w:r>
        <w:rPr>
          <w:rFonts w:ascii="Times New Roman" w:hAnsi="Times New Roman" w:cs="Times New Roman"/>
          <w:sz w:val="24"/>
          <w:szCs w:val="24"/>
        </w:rPr>
        <w:t>The Batwa are the one group that stood out for expressing concerns about the cultural impacts of current park management priorities. All of those we interviewed stated that UWA needed to recognise their views about the park and respect difference. Most were also able to articulate social practices that could not be passed on to the next generation. Whilst this obstacle to cultural reproduction was of more concern to the Batwa than other groups, respondents tended to articulate their concerns in relational terms and it was clear that the lived experience of these impacts varied considerably. For some, persistent sensitisation against hunting and other uses of park resources was felt to undermine respect for them – because the Batwa are widely perceived to be highly dependent on park resources, this sensitisation in effect paints them in a bad light – criminalises them - and fuels existing discrimination. Others, however, experience such impacts the other way around, essentially arguing that conservation might have changed their lifestyles against their will, but that this change has ultimately helped to improve their status and relationships with other groups.</w:t>
      </w:r>
    </w:p>
    <w:p w:rsidR="00EC2F61" w:rsidRDefault="00EC2F61" w:rsidP="007733FE">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is a version of events that is also evident among the majority ethnic group, the Bakiga, for example stating that </w:t>
      </w:r>
      <w:r w:rsidRPr="00537744">
        <w:rPr>
          <w:rFonts w:ascii="Times New Roman" w:hAnsi="Times New Roman" w:cs="Times New Roman"/>
          <w:sz w:val="24"/>
          <w:szCs w:val="24"/>
        </w:rPr>
        <w:t xml:space="preserve">“The Batwa are now respected like the Bakiga. We used to think they were animals” (NTAF8). This view of the Batwa as sub-human persists even today, resulting in everyday discrimination, for example through differential wage rates and exclusion from local political affairs. Even at election times, they report that the Bakiga people are bribed to vote for existing leaders whilst the </w:t>
      </w:r>
      <w:r w:rsidRPr="00074374">
        <w:rPr>
          <w:rFonts w:ascii="Times New Roman" w:hAnsi="Times New Roman" w:cs="Times New Roman"/>
          <w:sz w:val="24"/>
          <w:szCs w:val="24"/>
        </w:rPr>
        <w:t>Batwa have to vote to avoid being beaten. The fact that conservation has forced the Batwa out of the forest and to live more ‘like humans’ is seen</w:t>
      </w:r>
      <w:r>
        <w:rPr>
          <w:rFonts w:ascii="Times New Roman" w:hAnsi="Times New Roman" w:cs="Times New Roman"/>
          <w:sz w:val="24"/>
          <w:szCs w:val="24"/>
        </w:rPr>
        <w:t xml:space="preserve"> by some</w:t>
      </w:r>
      <w:r w:rsidRPr="00074374">
        <w:rPr>
          <w:rFonts w:ascii="Times New Roman" w:hAnsi="Times New Roman" w:cs="Times New Roman"/>
          <w:sz w:val="24"/>
          <w:szCs w:val="24"/>
        </w:rPr>
        <w:t xml:space="preserve"> </w:t>
      </w:r>
      <w:r>
        <w:rPr>
          <w:rFonts w:ascii="Times New Roman" w:hAnsi="Times New Roman" w:cs="Times New Roman"/>
          <w:sz w:val="24"/>
          <w:szCs w:val="24"/>
        </w:rPr>
        <w:t xml:space="preserve">– across both ethnic groups - </w:t>
      </w:r>
      <w:r w:rsidRPr="00074374">
        <w:rPr>
          <w:rFonts w:ascii="Times New Roman" w:hAnsi="Times New Roman" w:cs="Times New Roman"/>
          <w:sz w:val="24"/>
          <w:szCs w:val="24"/>
        </w:rPr>
        <w:t>as leading to g</w:t>
      </w:r>
      <w:r>
        <w:rPr>
          <w:rFonts w:ascii="Times New Roman" w:hAnsi="Times New Roman" w:cs="Times New Roman"/>
          <w:sz w:val="24"/>
          <w:szCs w:val="24"/>
        </w:rPr>
        <w:t>reater integration and mutual</w:t>
      </w:r>
      <w:r w:rsidRPr="00074374">
        <w:rPr>
          <w:rFonts w:ascii="Times New Roman" w:hAnsi="Times New Roman" w:cs="Times New Roman"/>
          <w:sz w:val="24"/>
          <w:szCs w:val="24"/>
        </w:rPr>
        <w:t xml:space="preserve"> respect.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But of course, it would be wrong to conclude </w:t>
      </w:r>
      <w:r w:rsidRPr="00074374">
        <w:rPr>
          <w:rFonts w:ascii="Times New Roman" w:hAnsi="Times New Roman" w:cs="Times New Roman"/>
          <w:sz w:val="24"/>
          <w:szCs w:val="24"/>
        </w:rPr>
        <w:t>that</w:t>
      </w:r>
      <w:r w:rsidRPr="00537744">
        <w:rPr>
          <w:rFonts w:ascii="Times New Roman" w:hAnsi="Times New Roman" w:cs="Times New Roman"/>
          <w:sz w:val="24"/>
          <w:szCs w:val="24"/>
        </w:rPr>
        <w:t xml:space="preserve"> conservation has been positive for Batwa recognition</w:t>
      </w:r>
      <w:r>
        <w:rPr>
          <w:rFonts w:ascii="Times New Roman" w:hAnsi="Times New Roman" w:cs="Times New Roman"/>
          <w:sz w:val="24"/>
          <w:szCs w:val="24"/>
        </w:rPr>
        <w:t xml:space="preserve"> or that denying the Batwa choice about their own future can somehow be re-interpreted as the right thing to have done</w:t>
      </w:r>
      <w:r w:rsidRPr="00537744">
        <w:rPr>
          <w:rFonts w:ascii="Times New Roman" w:hAnsi="Times New Roman" w:cs="Times New Roman"/>
          <w:sz w:val="24"/>
          <w:szCs w:val="24"/>
        </w:rPr>
        <w:t xml:space="preserve">. </w:t>
      </w:r>
      <w:r>
        <w:rPr>
          <w:rFonts w:ascii="Times New Roman" w:hAnsi="Times New Roman" w:cs="Times New Roman"/>
          <w:sz w:val="24"/>
          <w:szCs w:val="24"/>
        </w:rPr>
        <w:t>Based on our prior framing of conservation justice, r</w:t>
      </w:r>
      <w:r w:rsidRPr="00537744">
        <w:rPr>
          <w:rFonts w:ascii="Times New Roman" w:hAnsi="Times New Roman" w:cs="Times New Roman"/>
          <w:sz w:val="24"/>
          <w:szCs w:val="24"/>
        </w:rPr>
        <w:t xml:space="preserve">ecognition for an </w:t>
      </w:r>
      <w:r>
        <w:rPr>
          <w:rFonts w:ascii="Times New Roman" w:hAnsi="Times New Roman" w:cs="Times New Roman"/>
          <w:sz w:val="24"/>
          <w:szCs w:val="24"/>
        </w:rPr>
        <w:t>indigenous people</w:t>
      </w:r>
      <w:r w:rsidRPr="00537744">
        <w:rPr>
          <w:rFonts w:ascii="Times New Roman" w:hAnsi="Times New Roman" w:cs="Times New Roman"/>
          <w:sz w:val="24"/>
          <w:szCs w:val="24"/>
        </w:rPr>
        <w:t xml:space="preserve"> cannot be contingent on their assimilation to another group’s values any more than recognition for women could be contingent on their </w:t>
      </w:r>
      <w:r w:rsidRPr="00537744">
        <w:rPr>
          <w:rFonts w:ascii="Times New Roman" w:hAnsi="Times New Roman" w:cs="Times New Roman"/>
          <w:sz w:val="24"/>
          <w:szCs w:val="24"/>
        </w:rPr>
        <w:lastRenderedPageBreak/>
        <w:t>assimilation to male values</w:t>
      </w:r>
      <w:r>
        <w:rPr>
          <w:rFonts w:ascii="Times New Roman" w:hAnsi="Times New Roman" w:cs="Times New Roman"/>
          <w:sz w:val="24"/>
          <w:szCs w:val="24"/>
        </w:rPr>
        <w:t xml:space="preserve"> – even if some follow that familiar human trait of adapting to seeing the brighter side</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This is a case where bringing some pre-conception of justice to the analysis is clearly helpful, as it guards against the well-known phenomena of ‘adaptive </w:t>
      </w:r>
      <w:r w:rsidRPr="00E9215A">
        <w:rPr>
          <w:rFonts w:ascii="Times New Roman" w:hAnsi="Times New Roman" w:cs="Times New Roman"/>
          <w:sz w:val="24"/>
          <w:szCs w:val="24"/>
        </w:rPr>
        <w:t xml:space="preserve">preferences’ </w:t>
      </w:r>
      <w:r w:rsidRPr="00E9215A">
        <w:rPr>
          <w:rFonts w:ascii="Times New Roman" w:hAnsi="Times New Roman" w:cs="Times New Roman"/>
          <w:noProof/>
          <w:sz w:val="24"/>
          <w:szCs w:val="24"/>
        </w:rPr>
        <w:t>(Teschl and Comim, 2005)</w:t>
      </w:r>
      <w:r w:rsidRPr="00E9215A">
        <w:rPr>
          <w:rFonts w:ascii="Times New Roman" w:hAnsi="Times New Roman" w:cs="Times New Roman"/>
          <w:sz w:val="24"/>
          <w:szCs w:val="24"/>
        </w:rPr>
        <w:t>, in</w:t>
      </w:r>
      <w:r>
        <w:rPr>
          <w:rFonts w:ascii="Times New Roman" w:hAnsi="Times New Roman" w:cs="Times New Roman"/>
          <w:sz w:val="24"/>
          <w:szCs w:val="24"/>
        </w:rPr>
        <w:t xml:space="preserve"> which people adapt and update their preferences to fit with the (unjust) circumstances they find themselves in. </w:t>
      </w:r>
    </w:p>
    <w:p w:rsidR="00EC2F61" w:rsidRDefault="00EC2F61" w:rsidP="00ED2DEF">
      <w:pPr>
        <w:spacing w:line="360" w:lineRule="auto"/>
        <w:rPr>
          <w:rFonts w:ascii="Times New Roman" w:hAnsi="Times New Roman" w:cs="Times New Roman"/>
          <w:sz w:val="24"/>
          <w:szCs w:val="24"/>
        </w:rPr>
      </w:pPr>
      <w:r w:rsidRPr="00537744">
        <w:rPr>
          <w:rFonts w:ascii="Times New Roman" w:hAnsi="Times New Roman" w:cs="Times New Roman"/>
          <w:sz w:val="24"/>
          <w:szCs w:val="24"/>
        </w:rPr>
        <w:t xml:space="preserve">The </w:t>
      </w:r>
      <w:r>
        <w:rPr>
          <w:rFonts w:ascii="Times New Roman" w:hAnsi="Times New Roman" w:cs="Times New Roman"/>
          <w:sz w:val="24"/>
          <w:szCs w:val="24"/>
        </w:rPr>
        <w:t>B</w:t>
      </w:r>
      <w:r w:rsidRPr="00537744">
        <w:rPr>
          <w:rFonts w:ascii="Times New Roman" w:hAnsi="Times New Roman" w:cs="Times New Roman"/>
          <w:sz w:val="24"/>
          <w:szCs w:val="24"/>
        </w:rPr>
        <w:t xml:space="preserve">atwa, women and the asset poor </w:t>
      </w:r>
      <w:r>
        <w:rPr>
          <w:rFonts w:ascii="Times New Roman" w:hAnsi="Times New Roman" w:cs="Times New Roman"/>
          <w:sz w:val="24"/>
          <w:szCs w:val="24"/>
        </w:rPr>
        <w:t xml:space="preserve">were those who </w:t>
      </w:r>
      <w:r w:rsidRPr="00537744">
        <w:rPr>
          <w:rFonts w:ascii="Times New Roman" w:hAnsi="Times New Roman" w:cs="Times New Roman"/>
          <w:sz w:val="24"/>
          <w:szCs w:val="24"/>
        </w:rPr>
        <w:t xml:space="preserve">more often expressed concerns about cultural reproduction, including loss of particular skills such as traditional medicine and crafts. For </w:t>
      </w:r>
      <w:r>
        <w:rPr>
          <w:rFonts w:ascii="Times New Roman" w:hAnsi="Times New Roman" w:cs="Times New Roman"/>
          <w:sz w:val="24"/>
          <w:szCs w:val="24"/>
        </w:rPr>
        <w:t>some B</w:t>
      </w:r>
      <w:r w:rsidRPr="00537744">
        <w:rPr>
          <w:rFonts w:ascii="Times New Roman" w:hAnsi="Times New Roman" w:cs="Times New Roman"/>
          <w:sz w:val="24"/>
          <w:szCs w:val="24"/>
        </w:rPr>
        <w:t xml:space="preserve">atwa, hunting skills are </w:t>
      </w:r>
      <w:r>
        <w:rPr>
          <w:rFonts w:ascii="Times New Roman" w:hAnsi="Times New Roman" w:cs="Times New Roman"/>
          <w:sz w:val="24"/>
          <w:szCs w:val="24"/>
        </w:rPr>
        <w:t xml:space="preserve">still </w:t>
      </w:r>
      <w:r w:rsidRPr="00537744">
        <w:rPr>
          <w:rFonts w:ascii="Times New Roman" w:hAnsi="Times New Roman" w:cs="Times New Roman"/>
          <w:sz w:val="24"/>
          <w:szCs w:val="24"/>
        </w:rPr>
        <w:t>important as well as specialist knowledge such as that needed to collect hone</w:t>
      </w:r>
      <w:r>
        <w:rPr>
          <w:rFonts w:ascii="Times New Roman" w:hAnsi="Times New Roman" w:cs="Times New Roman"/>
          <w:sz w:val="24"/>
          <w:szCs w:val="24"/>
        </w:rPr>
        <w:t xml:space="preserve">y from stingless bees. We also found one more </w:t>
      </w:r>
      <w:r w:rsidRPr="00537744">
        <w:rPr>
          <w:rFonts w:ascii="Times New Roman" w:hAnsi="Times New Roman" w:cs="Times New Roman"/>
          <w:sz w:val="24"/>
          <w:szCs w:val="24"/>
        </w:rPr>
        <w:t xml:space="preserve">common concern </w:t>
      </w:r>
      <w:r>
        <w:rPr>
          <w:rFonts w:ascii="Times New Roman" w:hAnsi="Times New Roman" w:cs="Times New Roman"/>
          <w:sz w:val="24"/>
          <w:szCs w:val="24"/>
        </w:rPr>
        <w:t xml:space="preserve">that cut </w:t>
      </w:r>
      <w:r w:rsidRPr="00537744">
        <w:rPr>
          <w:rFonts w:ascii="Times New Roman" w:hAnsi="Times New Roman" w:cs="Times New Roman"/>
          <w:sz w:val="24"/>
          <w:szCs w:val="24"/>
        </w:rPr>
        <w:t>across</w:t>
      </w:r>
      <w:r>
        <w:rPr>
          <w:rFonts w:ascii="Times New Roman" w:hAnsi="Times New Roman" w:cs="Times New Roman"/>
          <w:sz w:val="24"/>
          <w:szCs w:val="24"/>
        </w:rPr>
        <w:t xml:space="preserve"> all of our</w:t>
      </w:r>
      <w:r w:rsidRPr="00537744">
        <w:rPr>
          <w:rFonts w:ascii="Times New Roman" w:hAnsi="Times New Roman" w:cs="Times New Roman"/>
          <w:sz w:val="24"/>
          <w:szCs w:val="24"/>
        </w:rPr>
        <w:t xml:space="preserve"> </w:t>
      </w:r>
      <w:r>
        <w:rPr>
          <w:rFonts w:ascii="Times New Roman" w:hAnsi="Times New Roman" w:cs="Times New Roman"/>
          <w:sz w:val="24"/>
          <w:szCs w:val="24"/>
        </w:rPr>
        <w:t>social categories. This is that</w:t>
      </w:r>
      <w:r w:rsidRPr="00537744">
        <w:rPr>
          <w:rFonts w:ascii="Times New Roman" w:hAnsi="Times New Roman" w:cs="Times New Roman"/>
          <w:sz w:val="24"/>
          <w:szCs w:val="24"/>
        </w:rPr>
        <w:t xml:space="preserve"> children don’t have any opportunity to see the forest and its wildlife, with a sense of loss, for example, that many have never seen a chimpanzee</w:t>
      </w:r>
      <w:r>
        <w:rPr>
          <w:rFonts w:ascii="Times New Roman" w:hAnsi="Times New Roman" w:cs="Times New Roman"/>
          <w:sz w:val="24"/>
          <w:szCs w:val="24"/>
        </w:rPr>
        <w:t>. The reasons for this are interesting. For some it is expressed within a conservationist paradigm – that if local people are alienated from the park it will threaten the</w:t>
      </w:r>
      <w:r w:rsidRPr="00537744">
        <w:rPr>
          <w:rFonts w:ascii="Times New Roman" w:hAnsi="Times New Roman" w:cs="Times New Roman"/>
          <w:sz w:val="24"/>
          <w:szCs w:val="24"/>
        </w:rPr>
        <w:t xml:space="preserve"> long-term basis for conservation. </w:t>
      </w:r>
      <w:r>
        <w:rPr>
          <w:rFonts w:ascii="Times New Roman" w:hAnsi="Times New Roman" w:cs="Times New Roman"/>
          <w:sz w:val="24"/>
          <w:szCs w:val="24"/>
        </w:rPr>
        <w:t xml:space="preserve">But for others there seems to be a feeling of more personal and communal loss arising from a disassociation from nature, including a feeling that a person’s education will be incomplete without such association (Worthy, 2013, explores this theme in detail). </w:t>
      </w:r>
      <w:r w:rsidRPr="00537744">
        <w:rPr>
          <w:rFonts w:ascii="Times New Roman" w:hAnsi="Times New Roman" w:cs="Times New Roman"/>
          <w:sz w:val="24"/>
          <w:szCs w:val="24"/>
        </w:rPr>
        <w:t xml:space="preserve">Such concerns appear to add to the sense of injustice felt in response to UWA’s foreclosure of any discussion of what we called a co-existence model for the park. </w:t>
      </w:r>
    </w:p>
    <w:p w:rsidR="00EC2F61" w:rsidRDefault="00EC2F61" w:rsidP="00906E11">
      <w:pPr>
        <w:spacing w:line="360" w:lineRule="auto"/>
        <w:rPr>
          <w:rFonts w:ascii="Times New Roman" w:hAnsi="Times New Roman" w:cs="Times New Roman"/>
          <w:sz w:val="24"/>
          <w:szCs w:val="24"/>
        </w:rPr>
      </w:pPr>
      <w:r>
        <w:rPr>
          <w:rFonts w:ascii="Times New Roman" w:hAnsi="Times New Roman" w:cs="Times New Roman"/>
          <w:sz w:val="24"/>
          <w:szCs w:val="24"/>
        </w:rPr>
        <w:t xml:space="preserve">As we will detail below, we found that the Batwa do benefit from the tourism Revenue Sharing scheme (though not from the more significant benefits such as employment). But even if these benefits were very large (which they currently are not), this would not influence our analysis of recognition injustice. </w:t>
      </w:r>
      <w:r w:rsidRPr="00537744">
        <w:rPr>
          <w:rFonts w:ascii="Times New Roman" w:hAnsi="Times New Roman" w:cs="Times New Roman"/>
          <w:sz w:val="24"/>
          <w:szCs w:val="24"/>
        </w:rPr>
        <w:t>As we</w:t>
      </w:r>
      <w:r>
        <w:rPr>
          <w:rFonts w:ascii="Times New Roman" w:hAnsi="Times New Roman" w:cs="Times New Roman"/>
          <w:sz w:val="24"/>
          <w:szCs w:val="24"/>
        </w:rPr>
        <w:t xml:space="preserve"> argued in our framing of conservation justice, </w:t>
      </w:r>
      <w:r w:rsidRPr="00537744">
        <w:rPr>
          <w:rFonts w:ascii="Times New Roman" w:hAnsi="Times New Roman" w:cs="Times New Roman"/>
          <w:sz w:val="24"/>
          <w:szCs w:val="24"/>
        </w:rPr>
        <w:t xml:space="preserve">we don’t consider that failures of recognition can be offset by corresponding gains in other aspects of wellbeing. </w:t>
      </w:r>
      <w:r>
        <w:rPr>
          <w:rFonts w:ascii="Times New Roman" w:hAnsi="Times New Roman" w:cs="Times New Roman"/>
          <w:sz w:val="24"/>
          <w:szCs w:val="24"/>
        </w:rPr>
        <w:t>Justice values and thresholds remain plural and f</w:t>
      </w:r>
      <w:r w:rsidRPr="00537744">
        <w:rPr>
          <w:rFonts w:ascii="Times New Roman" w:hAnsi="Times New Roman" w:cs="Times New Roman"/>
          <w:sz w:val="24"/>
          <w:szCs w:val="24"/>
        </w:rPr>
        <w:t xml:space="preserve">ailures of recognition are not commensurate or tradable with material benefits. </w:t>
      </w:r>
      <w:r>
        <w:rPr>
          <w:rFonts w:ascii="Times New Roman" w:hAnsi="Times New Roman" w:cs="Times New Roman"/>
          <w:sz w:val="24"/>
          <w:szCs w:val="24"/>
        </w:rPr>
        <w:t xml:space="preserve">This is not a case against compensation – indeed groups struggling for conservation justice frequently request compensation and retribution – but rather it is a case that compensation (in various guises) may be necessary but is rarely sufficient (e.g. Norwich Declaration 2013). At the same time, our framing also cautions us against any form of aggregation across a wider set of people whose views and preferences are recognised in this model of conservation. According to our way of viewing conservation justice, failures to maintain adequate thresholds of freedom for the Batwa cannot be rendered just through appeal to the benefits gained by others. We would </w:t>
      </w:r>
      <w:r>
        <w:rPr>
          <w:rFonts w:ascii="Times New Roman" w:hAnsi="Times New Roman" w:cs="Times New Roman"/>
          <w:sz w:val="24"/>
          <w:szCs w:val="24"/>
        </w:rPr>
        <w:lastRenderedPageBreak/>
        <w:t xml:space="preserve">concede that such dilemmas can exist, e.g. where it appears that the essential freedoms of a few serve as a barrier to the preferences of many. But in such unfortunate circumstances, the political message would be clear – that sovereign agents would be compelled to act vigorously and deliberatively to find the more just outcome. </w:t>
      </w:r>
    </w:p>
    <w:p w:rsidR="00EC2F61" w:rsidRPr="00537744" w:rsidRDefault="00EC2F61" w:rsidP="00DF0B53">
      <w:pPr>
        <w:spacing w:line="360" w:lineRule="auto"/>
        <w:rPr>
          <w:rFonts w:ascii="Times New Roman" w:hAnsi="Times New Roman" w:cs="Times New Roman"/>
          <w:sz w:val="24"/>
          <w:szCs w:val="24"/>
        </w:rPr>
      </w:pPr>
    </w:p>
    <w:p w:rsidR="00EC2F61" w:rsidRPr="00C65980" w:rsidRDefault="00EC2F61" w:rsidP="00A91F3D">
      <w:pPr>
        <w:spacing w:line="360" w:lineRule="auto"/>
        <w:rPr>
          <w:rFonts w:ascii="Times New Roman" w:hAnsi="Times New Roman" w:cs="Times New Roman"/>
          <w:i/>
          <w:iCs/>
          <w:sz w:val="24"/>
          <w:szCs w:val="24"/>
        </w:rPr>
      </w:pPr>
      <w:r w:rsidRPr="00C65980">
        <w:rPr>
          <w:rFonts w:ascii="Times New Roman" w:hAnsi="Times New Roman" w:cs="Times New Roman"/>
          <w:i/>
          <w:iCs/>
          <w:sz w:val="24"/>
          <w:szCs w:val="24"/>
        </w:rPr>
        <w:t>Distributional justice</w:t>
      </w:r>
    </w:p>
    <w:p w:rsidR="00EC2F61" w:rsidRPr="00537744"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From both focus groups and interviews, it is clear that the distribution of tangible costs and benefits from the park is central to local conceptions of fairness and justice. </w:t>
      </w:r>
      <w:r w:rsidRPr="00537744">
        <w:rPr>
          <w:rFonts w:ascii="Times New Roman" w:hAnsi="Times New Roman" w:cs="Times New Roman"/>
          <w:sz w:val="24"/>
          <w:szCs w:val="24"/>
        </w:rPr>
        <w:t xml:space="preserve">From 1996 to 2006, revenue sharing has been set at 20% of the </w:t>
      </w:r>
      <w:r>
        <w:rPr>
          <w:rFonts w:ascii="Times New Roman" w:hAnsi="Times New Roman" w:cs="Times New Roman"/>
          <w:sz w:val="24"/>
          <w:szCs w:val="24"/>
        </w:rPr>
        <w:t xml:space="preserve">USD </w:t>
      </w:r>
      <w:r w:rsidRPr="00537744">
        <w:rPr>
          <w:rFonts w:ascii="Times New Roman" w:hAnsi="Times New Roman" w:cs="Times New Roman"/>
          <w:sz w:val="24"/>
          <w:szCs w:val="24"/>
        </w:rPr>
        <w:t>30</w:t>
      </w:r>
      <w:r>
        <w:rPr>
          <w:rFonts w:ascii="Times New Roman" w:hAnsi="Times New Roman" w:cs="Times New Roman"/>
          <w:sz w:val="24"/>
          <w:szCs w:val="24"/>
        </w:rPr>
        <w:t xml:space="preserve"> </w:t>
      </w:r>
      <w:r w:rsidRPr="00537744">
        <w:rPr>
          <w:rFonts w:ascii="Times New Roman" w:hAnsi="Times New Roman" w:cs="Times New Roman"/>
          <w:sz w:val="24"/>
          <w:szCs w:val="24"/>
        </w:rPr>
        <w:t xml:space="preserve">park entrance fee </w:t>
      </w:r>
      <w:r>
        <w:rPr>
          <w:rFonts w:ascii="Times New Roman" w:hAnsi="Times New Roman" w:cs="Times New Roman"/>
          <w:sz w:val="24"/>
          <w:szCs w:val="24"/>
        </w:rPr>
        <w:t xml:space="preserve">and none of the USD </w:t>
      </w:r>
      <w:r w:rsidRPr="00537744">
        <w:rPr>
          <w:rFonts w:ascii="Times New Roman" w:hAnsi="Times New Roman" w:cs="Times New Roman"/>
          <w:sz w:val="24"/>
          <w:szCs w:val="24"/>
        </w:rPr>
        <w:t xml:space="preserve">500 gorilla trekking permit. Since 2006 this has been supplemented by an additional </w:t>
      </w:r>
      <w:r>
        <w:rPr>
          <w:rFonts w:ascii="Times New Roman" w:hAnsi="Times New Roman" w:cs="Times New Roman"/>
          <w:sz w:val="24"/>
          <w:szCs w:val="24"/>
        </w:rPr>
        <w:t xml:space="preserve">USD </w:t>
      </w:r>
      <w:r w:rsidRPr="00537744">
        <w:rPr>
          <w:rFonts w:ascii="Times New Roman" w:hAnsi="Times New Roman" w:cs="Times New Roman"/>
          <w:sz w:val="24"/>
          <w:szCs w:val="24"/>
        </w:rPr>
        <w:t xml:space="preserve">5 ‘Gorilla Levy’. For the typical gorilla tourist then, 2% </w:t>
      </w:r>
      <w:r>
        <w:rPr>
          <w:rFonts w:ascii="Times New Roman" w:hAnsi="Times New Roman" w:cs="Times New Roman"/>
          <w:sz w:val="24"/>
          <w:szCs w:val="24"/>
        </w:rPr>
        <w:t xml:space="preserve">(USD11 out of USD530) </w:t>
      </w:r>
      <w:r w:rsidRPr="00537744">
        <w:rPr>
          <w:rFonts w:ascii="Times New Roman" w:hAnsi="Times New Roman" w:cs="Times New Roman"/>
          <w:sz w:val="24"/>
          <w:szCs w:val="24"/>
        </w:rPr>
        <w:t xml:space="preserve">of payment to the park authority is </w:t>
      </w:r>
      <w:r>
        <w:rPr>
          <w:rFonts w:ascii="Times New Roman" w:hAnsi="Times New Roman" w:cs="Times New Roman"/>
          <w:sz w:val="24"/>
          <w:szCs w:val="24"/>
        </w:rPr>
        <w:t xml:space="preserve">now </w:t>
      </w:r>
      <w:r w:rsidRPr="00537744">
        <w:rPr>
          <w:rFonts w:ascii="Times New Roman" w:hAnsi="Times New Roman" w:cs="Times New Roman"/>
          <w:sz w:val="24"/>
          <w:szCs w:val="24"/>
        </w:rPr>
        <w:t>shared with local communities. During expert panel discussions, some concerns were also raised about the additionality of this money, with concern that it actually displaces local government spending on infrastructure and social development</w:t>
      </w:r>
      <w:r>
        <w:rPr>
          <w:rFonts w:ascii="Times New Roman" w:hAnsi="Times New Roman" w:cs="Times New Roman"/>
          <w:sz w:val="24"/>
          <w:szCs w:val="24"/>
        </w:rPr>
        <w:t xml:space="preserve"> rather than adding to it (though this situation was seen to be improving). In addition to payments to park authorities for </w:t>
      </w:r>
      <w:r w:rsidRPr="00537744">
        <w:rPr>
          <w:rFonts w:ascii="Times New Roman" w:hAnsi="Times New Roman" w:cs="Times New Roman"/>
          <w:sz w:val="24"/>
          <w:szCs w:val="24"/>
        </w:rPr>
        <w:t xml:space="preserve">permits, tourists also spend on subsistence and souvenirs. Sandbrook (2010) </w:t>
      </w:r>
      <w:r>
        <w:rPr>
          <w:rFonts w:ascii="Times New Roman" w:hAnsi="Times New Roman" w:cs="Times New Roman"/>
          <w:sz w:val="24"/>
          <w:szCs w:val="24"/>
        </w:rPr>
        <w:t>found</w:t>
      </w:r>
      <w:r w:rsidRPr="00537744">
        <w:rPr>
          <w:rFonts w:ascii="Times New Roman" w:hAnsi="Times New Roman" w:cs="Times New Roman"/>
          <w:sz w:val="24"/>
          <w:szCs w:val="24"/>
        </w:rPr>
        <w:t xml:space="preserve"> that 24% of such revenue is retained locally which in his study locations outweighed by four times other forms of non-farm income.</w:t>
      </w:r>
      <w:r>
        <w:rPr>
          <w:rFonts w:ascii="Times New Roman" w:hAnsi="Times New Roman" w:cs="Times New Roman"/>
          <w:sz w:val="24"/>
          <w:szCs w:val="24"/>
        </w:rPr>
        <w:t xml:space="preserve"> There is wide access to nonmonetary benefits resulting from tourism such as improvements to schools and roads, and much more constrained access to benefits with direct monetary value, notably tourism employment </w:t>
      </w:r>
      <w:r>
        <w:rPr>
          <w:rFonts w:ascii="Times New Roman" w:hAnsi="Times New Roman" w:cs="Times New Roman"/>
          <w:noProof/>
          <w:sz w:val="24"/>
          <w:szCs w:val="24"/>
        </w:rPr>
        <w:t>(Sandbrook and Adams, 2012)</w:t>
      </w:r>
      <w:r>
        <w:rPr>
          <w:rFonts w:ascii="Times New Roman" w:hAnsi="Times New Roman" w:cs="Times New Roman"/>
          <w:sz w:val="24"/>
          <w:szCs w:val="24"/>
        </w:rPr>
        <w:t>. Bush and Mwesiga</w:t>
      </w:r>
      <w:r w:rsidRPr="00537744">
        <w:rPr>
          <w:rFonts w:ascii="Times New Roman" w:hAnsi="Times New Roman" w:cs="Times New Roman"/>
          <w:sz w:val="24"/>
          <w:szCs w:val="24"/>
        </w:rPr>
        <w:t xml:space="preserve"> </w:t>
      </w:r>
      <w:r>
        <w:rPr>
          <w:rFonts w:ascii="Times New Roman" w:hAnsi="Times New Roman" w:cs="Times New Roman"/>
          <w:noProof/>
          <w:sz w:val="24"/>
          <w:szCs w:val="24"/>
        </w:rPr>
        <w:t>(2008)</w:t>
      </w:r>
      <w:r w:rsidRPr="00537744">
        <w:rPr>
          <w:rFonts w:ascii="Times New Roman" w:hAnsi="Times New Roman" w:cs="Times New Roman"/>
          <w:sz w:val="24"/>
          <w:szCs w:val="24"/>
        </w:rPr>
        <w:t xml:space="preserve"> attempt</w:t>
      </w:r>
      <w:r>
        <w:rPr>
          <w:rFonts w:ascii="Times New Roman" w:hAnsi="Times New Roman" w:cs="Times New Roman"/>
          <w:sz w:val="24"/>
          <w:szCs w:val="24"/>
        </w:rPr>
        <w:t>ed</w:t>
      </w:r>
      <w:r w:rsidRPr="00537744">
        <w:rPr>
          <w:rFonts w:ascii="Times New Roman" w:hAnsi="Times New Roman" w:cs="Times New Roman"/>
          <w:sz w:val="24"/>
          <w:szCs w:val="24"/>
        </w:rPr>
        <w:t xml:space="preserve"> to compare such economic benefits with the costs of crop-raiding, finding that on average, costs outweigh benefits and that this is more likely to be true for the poorest. </w:t>
      </w:r>
    </w:p>
    <w:p w:rsidR="00EC2F61" w:rsidRPr="00BB5CC0" w:rsidRDefault="00EC2F61" w:rsidP="00D421EC">
      <w:pPr>
        <w:spacing w:line="360" w:lineRule="auto"/>
        <w:rPr>
          <w:rFonts w:ascii="Times New Roman" w:hAnsi="Times New Roman" w:cs="Times New Roman"/>
          <w:sz w:val="24"/>
          <w:szCs w:val="24"/>
        </w:rPr>
      </w:pPr>
      <w:r w:rsidRPr="00537744">
        <w:rPr>
          <w:rFonts w:ascii="Times New Roman" w:hAnsi="Times New Roman" w:cs="Times New Roman"/>
          <w:sz w:val="24"/>
          <w:szCs w:val="24"/>
        </w:rPr>
        <w:t>The small size of revenue sharing benefits contribute to generally negative assessments by our respondents. Using a simple 3-point Likert scale</w:t>
      </w:r>
      <w:r>
        <w:rPr>
          <w:rFonts w:ascii="Times New Roman" w:hAnsi="Times New Roman" w:cs="Times New Roman"/>
          <w:sz w:val="24"/>
          <w:szCs w:val="24"/>
        </w:rPr>
        <w:t xml:space="preserve"> (1 = agree and 3 = disagree)</w:t>
      </w:r>
      <w:r w:rsidRPr="00537744">
        <w:rPr>
          <w:rFonts w:ascii="Times New Roman" w:hAnsi="Times New Roman" w:cs="Times New Roman"/>
          <w:sz w:val="24"/>
          <w:szCs w:val="24"/>
        </w:rPr>
        <w:t>, we asked resp</w:t>
      </w:r>
      <w:r>
        <w:rPr>
          <w:rFonts w:ascii="Times New Roman" w:hAnsi="Times New Roman" w:cs="Times New Roman"/>
          <w:sz w:val="24"/>
          <w:szCs w:val="24"/>
        </w:rPr>
        <w:t>ondents whether they agreed with the statement that</w:t>
      </w:r>
      <w:r w:rsidRPr="00537744">
        <w:rPr>
          <w:rFonts w:ascii="Times New Roman" w:hAnsi="Times New Roman" w:cs="Times New Roman"/>
          <w:sz w:val="24"/>
          <w:szCs w:val="24"/>
        </w:rPr>
        <w:t xml:space="preserve"> </w:t>
      </w:r>
      <w:r>
        <w:rPr>
          <w:rFonts w:ascii="Times New Roman" w:hAnsi="Times New Roman" w:cs="Times New Roman"/>
          <w:sz w:val="24"/>
          <w:szCs w:val="24"/>
        </w:rPr>
        <w:t>‘</w:t>
      </w:r>
      <w:r w:rsidRPr="00537744">
        <w:rPr>
          <w:rFonts w:ascii="Times New Roman" w:hAnsi="Times New Roman" w:cs="Times New Roman"/>
          <w:sz w:val="24"/>
          <w:szCs w:val="24"/>
        </w:rPr>
        <w:t>the benefits of living near the</w:t>
      </w:r>
      <w:r>
        <w:rPr>
          <w:rFonts w:ascii="Times New Roman" w:hAnsi="Times New Roman" w:cs="Times New Roman"/>
          <w:sz w:val="24"/>
          <w:szCs w:val="24"/>
        </w:rPr>
        <w:t xml:space="preserve"> forest are greater than the costs’</w:t>
      </w:r>
      <w:r w:rsidRPr="00537744">
        <w:rPr>
          <w:rFonts w:ascii="Times New Roman" w:hAnsi="Times New Roman" w:cs="Times New Roman"/>
          <w:sz w:val="24"/>
          <w:szCs w:val="24"/>
        </w:rPr>
        <w:t>.</w:t>
      </w:r>
      <w:r>
        <w:rPr>
          <w:rFonts w:ascii="Times New Roman" w:hAnsi="Times New Roman" w:cs="Times New Roman"/>
          <w:sz w:val="24"/>
          <w:szCs w:val="24"/>
        </w:rPr>
        <w:t xml:space="preserve"> We found significantly higher levels of disagreement to this statement in areas without tourism than in areas with tourism, </w:t>
      </w:r>
      <w:r w:rsidRPr="00BB5CC0">
        <w:rPr>
          <w:rFonts w:ascii="Times New Roman" w:hAnsi="Times New Roman" w:cs="Times New Roman"/>
          <w:sz w:val="24"/>
          <w:szCs w:val="24"/>
        </w:rPr>
        <w:t xml:space="preserve">(mean+SE = 2.45+.11 and </w:t>
      </w:r>
      <w:r w:rsidRPr="00072A96">
        <w:rPr>
          <w:rFonts w:ascii="Times New Roman" w:hAnsi="Times New Roman" w:cs="Times New Roman"/>
          <w:sz w:val="24"/>
          <w:szCs w:val="24"/>
        </w:rPr>
        <w:t xml:space="preserve">1.92+.11, respectively, </w:t>
      </w:r>
      <w:r>
        <w:rPr>
          <w:rFonts w:ascii="Times New Roman" w:hAnsi="Times New Roman" w:cs="Times New Roman"/>
          <w:sz w:val="24"/>
          <w:szCs w:val="24"/>
        </w:rPr>
        <w:t>U=1643, p = 0.001</w:t>
      </w:r>
      <w:r w:rsidRPr="00072A96">
        <w:rPr>
          <w:rFonts w:ascii="Times New Roman" w:hAnsi="Times New Roman" w:cs="Times New Roman"/>
          <w:sz w:val="24"/>
          <w:szCs w:val="24"/>
        </w:rPr>
        <w:t xml:space="preserve">). When asked whether everybody benefits from tourism, there was general disagreement with </w:t>
      </w:r>
      <w:r>
        <w:rPr>
          <w:rFonts w:ascii="Times New Roman" w:hAnsi="Times New Roman" w:cs="Times New Roman"/>
          <w:sz w:val="24"/>
          <w:szCs w:val="24"/>
        </w:rPr>
        <w:t>no significant difference in areas with versus without tourism</w:t>
      </w:r>
      <w:r w:rsidRPr="00072A96">
        <w:rPr>
          <w:rFonts w:ascii="Times New Roman" w:hAnsi="Times New Roman" w:cs="Times New Roman"/>
          <w:sz w:val="24"/>
          <w:szCs w:val="24"/>
        </w:rPr>
        <w:t xml:space="preserve"> (mean+SE = 2.98</w:t>
      </w:r>
      <w:r w:rsidRPr="00072A96">
        <w:rPr>
          <w:rFonts w:ascii="Times New Roman" w:hAnsi="Times New Roman" w:cs="Times New Roman"/>
          <w:sz w:val="24"/>
          <w:szCs w:val="24"/>
          <w:u w:val="single"/>
        </w:rPr>
        <w:t>+</w:t>
      </w:r>
      <w:r w:rsidRPr="00072A96">
        <w:rPr>
          <w:rFonts w:ascii="Times New Roman" w:hAnsi="Times New Roman" w:cs="Times New Roman"/>
          <w:sz w:val="24"/>
          <w:szCs w:val="24"/>
        </w:rPr>
        <w:t>.02 and 2.51</w:t>
      </w:r>
      <w:r w:rsidRPr="00072A96">
        <w:rPr>
          <w:rFonts w:ascii="Times New Roman" w:hAnsi="Times New Roman" w:cs="Times New Roman"/>
          <w:sz w:val="24"/>
          <w:szCs w:val="24"/>
          <w:u w:val="single"/>
        </w:rPr>
        <w:t>+</w:t>
      </w:r>
      <w:r w:rsidRPr="00072A96">
        <w:rPr>
          <w:rFonts w:ascii="Times New Roman" w:hAnsi="Times New Roman" w:cs="Times New Roman"/>
          <w:sz w:val="24"/>
          <w:szCs w:val="24"/>
        </w:rPr>
        <w:t xml:space="preserve"> .10, </w:t>
      </w:r>
      <w:r>
        <w:rPr>
          <w:rFonts w:ascii="Times New Roman" w:hAnsi="Times New Roman" w:cs="Times New Roman"/>
          <w:sz w:val="24"/>
          <w:szCs w:val="24"/>
        </w:rPr>
        <w:t>U=1938, p=0.29</w:t>
      </w:r>
      <w:r w:rsidRPr="00072A96">
        <w:rPr>
          <w:rFonts w:ascii="Times New Roman" w:hAnsi="Times New Roman" w:cs="Times New Roman"/>
          <w:sz w:val="24"/>
          <w:szCs w:val="24"/>
        </w:rPr>
        <w:t xml:space="preserve">). </w:t>
      </w:r>
      <w:r>
        <w:rPr>
          <w:rFonts w:ascii="Times New Roman" w:hAnsi="Times New Roman" w:cs="Times New Roman"/>
          <w:sz w:val="24"/>
          <w:szCs w:val="24"/>
        </w:rPr>
        <w:t>Lastly</w:t>
      </w:r>
      <w:r w:rsidRPr="00BB5CC0">
        <w:rPr>
          <w:rFonts w:ascii="Times New Roman" w:hAnsi="Times New Roman" w:cs="Times New Roman"/>
          <w:sz w:val="24"/>
          <w:szCs w:val="24"/>
        </w:rPr>
        <w:t xml:space="preserve"> areas with and without tourism disagree with the statement that everybody benefits from conservation </w:t>
      </w:r>
      <w:r w:rsidRPr="00BB5CC0">
        <w:rPr>
          <w:rFonts w:ascii="Times New Roman" w:hAnsi="Times New Roman" w:cs="Times New Roman"/>
          <w:sz w:val="24"/>
          <w:szCs w:val="24"/>
        </w:rPr>
        <w:lastRenderedPageBreak/>
        <w:t xml:space="preserve">with </w:t>
      </w:r>
      <w:r>
        <w:rPr>
          <w:rFonts w:ascii="Times New Roman" w:hAnsi="Times New Roman" w:cs="Times New Roman"/>
          <w:sz w:val="24"/>
          <w:szCs w:val="24"/>
        </w:rPr>
        <w:t>areas without tourism disagreeing significantly more than areas with tourism</w:t>
      </w:r>
      <w:r w:rsidRPr="00BB5CC0">
        <w:rPr>
          <w:rFonts w:ascii="Times New Roman" w:hAnsi="Times New Roman" w:cs="Times New Roman"/>
          <w:sz w:val="24"/>
          <w:szCs w:val="24"/>
        </w:rPr>
        <w:t xml:space="preserve">, (mean+SE = 2.27+.11 and 2.43+.11, </w:t>
      </w:r>
      <w:r>
        <w:rPr>
          <w:rFonts w:ascii="Times New Roman" w:hAnsi="Times New Roman" w:cs="Times New Roman"/>
          <w:sz w:val="24"/>
          <w:szCs w:val="24"/>
        </w:rPr>
        <w:t>U=1734, p=&lt;0.0001</w:t>
      </w:r>
      <w:r w:rsidRPr="00BB5CC0">
        <w:rPr>
          <w:rFonts w:ascii="Times New Roman" w:hAnsi="Times New Roman" w:cs="Times New Roman"/>
          <w:sz w:val="24"/>
          <w:szCs w:val="24"/>
        </w:rPr>
        <w:t xml:space="preserve">).  </w:t>
      </w:r>
    </w:p>
    <w:p w:rsidR="00EC2F61" w:rsidRDefault="00211C03" w:rsidP="00A91F3D">
      <w:pPr>
        <w:spacing w:line="360" w:lineRule="auto"/>
        <w:rPr>
          <w:rFonts w:ascii="Times New Roman" w:hAnsi="Times New Roman" w:cs="Times New Roman"/>
          <w:b/>
          <w:bCs/>
          <w:sz w:val="20"/>
          <w:szCs w:val="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i1025" type="#_x0000_t75" style="width:142.5pt;height:140.25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">
            <v:imagedata r:id="rId10" o:title=""/>
            <o:lock v:ext="edit" aspectratio="f"/>
          </v:shape>
        </w:pict>
      </w:r>
      <w:r w:rsidR="00EC2F61">
        <w:rPr>
          <w:noProof/>
        </w:rPr>
        <w:t xml:space="preserve"> </w:t>
      </w:r>
      <w:r>
        <w:rPr>
          <w:noProof/>
        </w:rPr>
        <w:pict>
          <v:shape id="_x0000_i1026" type="#_x0000_t75" style="width:142.5pt;height:140.25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">
            <v:imagedata r:id="rId11" o:title=""/>
            <o:lock v:ext="edit" aspectratio="f"/>
          </v:shape>
        </w:pict>
      </w:r>
      <w:r w:rsidR="00EC2F61">
        <w:rPr>
          <w:noProof/>
        </w:rPr>
        <w:t xml:space="preserve"> </w:t>
      </w:r>
      <w:r>
        <w:rPr>
          <w:noProof/>
        </w:rPr>
        <w:pict>
          <v:shape id="_x0000_i1027" type="#_x0000_t75" style="width:142.5pt;height:140.25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">
            <v:imagedata r:id="rId12" o:title=""/>
            <o:lock v:ext="edit" aspectratio="f"/>
          </v:shape>
        </w:pict>
      </w:r>
    </w:p>
    <w:p w:rsidR="00EC2F61" w:rsidRPr="009533D7" w:rsidRDefault="00EC2F61" w:rsidP="00A91F3D">
      <w:pPr>
        <w:spacing w:line="360" w:lineRule="auto"/>
        <w:rPr>
          <w:rFonts w:ascii="Times New Roman" w:hAnsi="Times New Roman" w:cs="Times New Roman"/>
          <w:b/>
          <w:bCs/>
          <w:sz w:val="20"/>
          <w:szCs w:val="20"/>
        </w:rPr>
      </w:pPr>
      <w:r w:rsidRPr="009533D7">
        <w:rPr>
          <w:rFonts w:ascii="Times New Roman" w:hAnsi="Times New Roman" w:cs="Times New Roman"/>
          <w:b/>
          <w:bCs/>
          <w:sz w:val="20"/>
          <w:szCs w:val="20"/>
        </w:rPr>
        <w:t xml:space="preserve">Figures 2a, b and c. Views about park benefits by distance from </w:t>
      </w:r>
      <w:r>
        <w:rPr>
          <w:rFonts w:ascii="Times New Roman" w:hAnsi="Times New Roman" w:cs="Times New Roman"/>
          <w:b/>
          <w:bCs/>
          <w:sz w:val="20"/>
          <w:szCs w:val="20"/>
        </w:rPr>
        <w:t>forest</w:t>
      </w:r>
      <w:r w:rsidRPr="009533D7">
        <w:rPr>
          <w:rFonts w:ascii="Times New Roman" w:hAnsi="Times New Roman" w:cs="Times New Roman"/>
          <w:b/>
          <w:bCs/>
          <w:sz w:val="20"/>
          <w:szCs w:val="20"/>
        </w:rPr>
        <w:t xml:space="preserve"> edge (n = 146)</w:t>
      </w:r>
      <w:r>
        <w:rPr>
          <w:rFonts w:ascii="Times New Roman" w:hAnsi="Times New Roman" w:cs="Times New Roman"/>
          <w:b/>
          <w:bCs/>
          <w:sz w:val="20"/>
          <w:szCs w:val="20"/>
        </w:rPr>
        <w:t xml:space="preserve"> where 1 = agree and 3 = disagree with standard error bars.</w:t>
      </w:r>
      <w:r w:rsidRPr="009533D7">
        <w:rPr>
          <w:rFonts w:ascii="Times New Roman" w:hAnsi="Times New Roman" w:cs="Times New Roman"/>
          <w:b/>
          <w:bCs/>
          <w:sz w:val="20"/>
          <w:szCs w:val="20"/>
        </w:rPr>
        <w:t xml:space="preserve"> </w:t>
      </w:r>
    </w:p>
    <w:p w:rsidR="00EC2F61" w:rsidRPr="00537744" w:rsidRDefault="00EC2F61" w:rsidP="00190A55">
      <w:pPr>
        <w:spacing w:line="360" w:lineRule="auto"/>
        <w:rPr>
          <w:rFonts w:ascii="Times New Roman" w:hAnsi="Times New Roman" w:cs="Times New Roman"/>
          <w:sz w:val="24"/>
          <w:szCs w:val="24"/>
        </w:rPr>
      </w:pPr>
      <w:r>
        <w:rPr>
          <w:rFonts w:ascii="Times New Roman" w:hAnsi="Times New Roman" w:cs="Times New Roman"/>
          <w:sz w:val="24"/>
          <w:szCs w:val="24"/>
        </w:rPr>
        <w:t xml:space="preserve">Those living closest to the forest (CTF) appear slightly </w:t>
      </w:r>
      <w:r w:rsidRPr="00537744">
        <w:rPr>
          <w:rFonts w:ascii="Times New Roman" w:hAnsi="Times New Roman" w:cs="Times New Roman"/>
          <w:sz w:val="24"/>
          <w:szCs w:val="24"/>
        </w:rPr>
        <w:t xml:space="preserve">more likely to consider themselves </w:t>
      </w:r>
      <w:r>
        <w:rPr>
          <w:rFonts w:ascii="Times New Roman" w:hAnsi="Times New Roman" w:cs="Times New Roman"/>
          <w:sz w:val="24"/>
          <w:szCs w:val="24"/>
        </w:rPr>
        <w:t xml:space="preserve">as </w:t>
      </w:r>
      <w:r w:rsidRPr="00537744">
        <w:rPr>
          <w:rFonts w:ascii="Times New Roman" w:hAnsi="Times New Roman" w:cs="Times New Roman"/>
          <w:sz w:val="24"/>
          <w:szCs w:val="24"/>
        </w:rPr>
        <w:t>losers</w:t>
      </w:r>
      <w:r>
        <w:rPr>
          <w:rFonts w:ascii="Times New Roman" w:hAnsi="Times New Roman" w:cs="Times New Roman"/>
          <w:sz w:val="24"/>
          <w:szCs w:val="24"/>
        </w:rPr>
        <w:t xml:space="preserve"> (Figures 2a, b, c</w:t>
      </w:r>
      <w:r w:rsidRPr="00537744">
        <w:rPr>
          <w:rFonts w:ascii="Times New Roman" w:hAnsi="Times New Roman" w:cs="Times New Roman"/>
          <w:sz w:val="24"/>
          <w:szCs w:val="24"/>
        </w:rPr>
        <w:t>), in the sense that the costs outweigh the benefits,</w:t>
      </w:r>
      <w:r>
        <w:rPr>
          <w:rFonts w:ascii="Times New Roman" w:hAnsi="Times New Roman" w:cs="Times New Roman"/>
          <w:sz w:val="24"/>
          <w:szCs w:val="24"/>
        </w:rPr>
        <w:t xml:space="preserve"> however the differences are not statistically significant (Mann-Whitney a: U = 878, p = 0.18, b: 886 and 0.30, c: 964 and 0.31).</w:t>
      </w:r>
    </w:p>
    <w:p w:rsidR="00EC2F61" w:rsidRPr="00537744" w:rsidRDefault="00EC2F61" w:rsidP="00A91F3D">
      <w:pPr>
        <w:spacing w:line="360" w:lineRule="auto"/>
        <w:rPr>
          <w:rFonts w:ascii="Times New Roman" w:hAnsi="Times New Roman" w:cs="Times New Roman"/>
          <w:sz w:val="24"/>
          <w:szCs w:val="24"/>
        </w:rPr>
      </w:pPr>
      <w:r w:rsidRPr="00537744">
        <w:rPr>
          <w:rFonts w:ascii="Times New Roman" w:hAnsi="Times New Roman" w:cs="Times New Roman"/>
          <w:sz w:val="24"/>
          <w:szCs w:val="24"/>
        </w:rPr>
        <w:t>More positively, respondents report an increase in benefits from the park o</w:t>
      </w:r>
      <w:r>
        <w:rPr>
          <w:rFonts w:ascii="Times New Roman" w:hAnsi="Times New Roman" w:cs="Times New Roman"/>
          <w:sz w:val="24"/>
          <w:szCs w:val="24"/>
        </w:rPr>
        <w:t>ver the last 20 years (Figure 3</w:t>
      </w:r>
      <w:r w:rsidRPr="00537744">
        <w:rPr>
          <w:rFonts w:ascii="Times New Roman" w:hAnsi="Times New Roman" w:cs="Times New Roman"/>
          <w:sz w:val="24"/>
          <w:szCs w:val="24"/>
        </w:rPr>
        <w:t xml:space="preserve">). Whilst we have to treat data based on long-term recall with some caution, the finding that expanding numbers have benefited from revenue sharing and NGO activities squares with expert panel assessments. </w:t>
      </w:r>
    </w:p>
    <w:p w:rsidR="00EC2F61" w:rsidRPr="00537744" w:rsidRDefault="00211C03" w:rsidP="00A91F3D">
      <w:pPr>
        <w:spacing w:line="360" w:lineRule="auto"/>
        <w:rPr>
          <w:rFonts w:ascii="Times New Roman" w:hAnsi="Times New Roman" w:cs="Times New Roman"/>
          <w:b/>
          <w:bCs/>
          <w:sz w:val="24"/>
          <w:szCs w:val="24"/>
        </w:rPr>
      </w:pPr>
      <w:r>
        <w:rPr>
          <w:rFonts w:ascii="Times New Roman" w:hAnsi="Times New Roman" w:cs="Times New Roman"/>
          <w:noProof/>
          <w:sz w:val="24"/>
          <w:szCs w:val="24"/>
          <w:lang w:eastAsia="en-GB"/>
        </w:rPr>
        <w:pict>
          <v:shape id="_x0000_i1028" type="#_x0000_t75" style="width:441.75pt;height:165pt;visibility:visible">
            <v:imagedata r:id="rId13" o:title=""/>
            <o:lock v:ext="edit" aspectratio="f"/>
          </v:shape>
        </w:pict>
      </w:r>
    </w:p>
    <w:p w:rsidR="00EC2F61" w:rsidRPr="009533D7" w:rsidRDefault="00EC2F61" w:rsidP="00A91F3D">
      <w:pPr>
        <w:spacing w:line="360" w:lineRule="auto"/>
        <w:rPr>
          <w:rFonts w:ascii="Times New Roman" w:hAnsi="Times New Roman" w:cs="Times New Roman"/>
          <w:b/>
          <w:bCs/>
          <w:sz w:val="20"/>
          <w:szCs w:val="20"/>
        </w:rPr>
      </w:pPr>
      <w:r w:rsidRPr="009533D7">
        <w:rPr>
          <w:rFonts w:ascii="Times New Roman" w:hAnsi="Times New Roman" w:cs="Times New Roman"/>
          <w:b/>
          <w:bCs/>
          <w:sz w:val="20"/>
          <w:szCs w:val="20"/>
        </w:rPr>
        <w:t>Figure 3</w:t>
      </w:r>
      <w:r>
        <w:rPr>
          <w:rFonts w:ascii="Times New Roman" w:hAnsi="Times New Roman" w:cs="Times New Roman"/>
          <w:b/>
          <w:bCs/>
          <w:sz w:val="20"/>
          <w:szCs w:val="20"/>
        </w:rPr>
        <w:t>.</w:t>
      </w:r>
      <w:r w:rsidRPr="009533D7">
        <w:rPr>
          <w:rFonts w:ascii="Times New Roman" w:hAnsi="Times New Roman" w:cs="Times New Roman"/>
          <w:b/>
          <w:bCs/>
          <w:sz w:val="20"/>
          <w:szCs w:val="20"/>
        </w:rPr>
        <w:t xml:space="preserve"> </w:t>
      </w:r>
      <w:r>
        <w:rPr>
          <w:rFonts w:ascii="Times New Roman" w:hAnsi="Times New Roman" w:cs="Times New Roman"/>
          <w:b/>
          <w:bCs/>
          <w:sz w:val="20"/>
          <w:szCs w:val="20"/>
        </w:rPr>
        <w:t xml:space="preserve">Percentage of households reporting different </w:t>
      </w:r>
      <w:r w:rsidRPr="009533D7">
        <w:rPr>
          <w:rFonts w:ascii="Times New Roman" w:hAnsi="Times New Roman" w:cs="Times New Roman"/>
          <w:b/>
          <w:bCs/>
          <w:sz w:val="20"/>
          <w:szCs w:val="20"/>
        </w:rPr>
        <w:t>benefits from the park, now and in the past</w:t>
      </w:r>
      <w:r>
        <w:rPr>
          <w:rFonts w:ascii="Times New Roman" w:hAnsi="Times New Roman" w:cs="Times New Roman"/>
          <w:b/>
          <w:bCs/>
          <w:sz w:val="20"/>
          <w:szCs w:val="20"/>
        </w:rPr>
        <w:t xml:space="preserve"> (N = 146)</w:t>
      </w:r>
      <w:r w:rsidRPr="009533D7">
        <w:rPr>
          <w:rFonts w:ascii="Times New Roman" w:hAnsi="Times New Roman" w:cs="Times New Roman"/>
          <w:b/>
          <w:bCs/>
          <w:sz w:val="20"/>
          <w:szCs w:val="20"/>
        </w:rPr>
        <w:t>.</w:t>
      </w:r>
      <w:r>
        <w:rPr>
          <w:rFonts w:ascii="Times New Roman" w:hAnsi="Times New Roman" w:cs="Times New Roman"/>
          <w:b/>
          <w:bCs/>
          <w:sz w:val="20"/>
          <w:szCs w:val="20"/>
        </w:rPr>
        <w:t xml:space="preserve"> </w:t>
      </w:r>
    </w:p>
    <w:p w:rsidR="00EC2F61" w:rsidRDefault="00EC2F61" w:rsidP="00413932">
      <w:pPr>
        <w:spacing w:line="360" w:lineRule="auto"/>
        <w:rPr>
          <w:rFonts w:ascii="Times New Roman" w:hAnsi="Times New Roman" w:cs="Times New Roman"/>
          <w:sz w:val="24"/>
          <w:szCs w:val="24"/>
        </w:rPr>
      </w:pPr>
      <w:r w:rsidRPr="00537744">
        <w:rPr>
          <w:rFonts w:ascii="Times New Roman" w:hAnsi="Times New Roman" w:cs="Times New Roman"/>
          <w:sz w:val="24"/>
          <w:szCs w:val="24"/>
        </w:rPr>
        <w:lastRenderedPageBreak/>
        <w:t>Disaggregation of this data reveals some interesting findings.</w:t>
      </w:r>
      <w:r>
        <w:rPr>
          <w:rFonts w:ascii="Times New Roman" w:hAnsi="Times New Roman" w:cs="Times New Roman"/>
          <w:sz w:val="24"/>
          <w:szCs w:val="24"/>
        </w:rPr>
        <w:t xml:space="preserve"> Significantly, when asked to state whether not their household had benefited from access to MUZs, more households in areas with tourism responded ‘yes’ than in areas without tourism, 29 versus 7%, respectively (t(113)=2.77, p=.007).</w:t>
      </w:r>
      <w:r w:rsidRPr="00537744">
        <w:rPr>
          <w:rFonts w:ascii="Times New Roman" w:hAnsi="Times New Roman" w:cs="Times New Roman"/>
          <w:sz w:val="24"/>
          <w:szCs w:val="24"/>
        </w:rPr>
        <w:t xml:space="preserve"> Th</w:t>
      </w:r>
      <w:r>
        <w:rPr>
          <w:rFonts w:ascii="Times New Roman" w:hAnsi="Times New Roman" w:cs="Times New Roman"/>
          <w:sz w:val="24"/>
          <w:szCs w:val="24"/>
        </w:rPr>
        <w:t xml:space="preserve">is </w:t>
      </w:r>
      <w:r w:rsidRPr="00537744">
        <w:rPr>
          <w:rFonts w:ascii="Times New Roman" w:hAnsi="Times New Roman" w:cs="Times New Roman"/>
          <w:sz w:val="24"/>
          <w:szCs w:val="24"/>
        </w:rPr>
        <w:t>is completely unexpected and may help to explain why those in NTAs are less likely to think that the benefits of the park outweigh the costs. MUZs were intended to provide benefits in locations that were not fortunate enough to benefit directly from tourism</w:t>
      </w:r>
      <w:r>
        <w:rPr>
          <w:rFonts w:ascii="Times New Roman" w:hAnsi="Times New Roman" w:cs="Times New Roman"/>
          <w:sz w:val="24"/>
          <w:szCs w:val="24"/>
        </w:rPr>
        <w:t xml:space="preserve">. However, </w:t>
      </w:r>
      <w:r w:rsidRPr="00537744">
        <w:rPr>
          <w:rFonts w:ascii="Times New Roman" w:hAnsi="Times New Roman" w:cs="Times New Roman"/>
          <w:sz w:val="24"/>
          <w:szCs w:val="24"/>
        </w:rPr>
        <w:t>in ou</w:t>
      </w:r>
      <w:r>
        <w:rPr>
          <w:rFonts w:ascii="Times New Roman" w:hAnsi="Times New Roman" w:cs="Times New Roman"/>
          <w:sz w:val="24"/>
          <w:szCs w:val="24"/>
        </w:rPr>
        <w:t>r research locations, that intention has not been achieved in practice</w:t>
      </w:r>
      <w:r w:rsidRPr="00537744">
        <w:rPr>
          <w:rFonts w:ascii="Times New Roman" w:hAnsi="Times New Roman" w:cs="Times New Roman"/>
          <w:sz w:val="24"/>
          <w:szCs w:val="24"/>
        </w:rPr>
        <w:t xml:space="preserve">.  Also for our sample, we find that Batwa households are </w:t>
      </w:r>
      <w:r>
        <w:rPr>
          <w:rFonts w:ascii="Times New Roman" w:hAnsi="Times New Roman" w:cs="Times New Roman"/>
          <w:sz w:val="24"/>
          <w:szCs w:val="24"/>
        </w:rPr>
        <w:t xml:space="preserve">significantly </w:t>
      </w:r>
      <w:r w:rsidRPr="00537744">
        <w:rPr>
          <w:rFonts w:ascii="Times New Roman" w:hAnsi="Times New Roman" w:cs="Times New Roman"/>
          <w:sz w:val="24"/>
          <w:szCs w:val="24"/>
        </w:rPr>
        <w:t xml:space="preserve">more likely to have benefited from Revenue Sharing projects, </w:t>
      </w:r>
      <w:r>
        <w:rPr>
          <w:rFonts w:ascii="Times New Roman" w:hAnsi="Times New Roman" w:cs="Times New Roman"/>
          <w:sz w:val="24"/>
          <w:szCs w:val="24"/>
        </w:rPr>
        <w:t>and</w:t>
      </w:r>
      <w:r w:rsidRPr="00537744">
        <w:rPr>
          <w:rFonts w:ascii="Times New Roman" w:hAnsi="Times New Roman" w:cs="Times New Roman"/>
          <w:sz w:val="24"/>
          <w:szCs w:val="24"/>
        </w:rPr>
        <w:t xml:space="preserve"> that women-headed households are </w:t>
      </w:r>
      <w:r>
        <w:rPr>
          <w:rFonts w:ascii="Times New Roman" w:hAnsi="Times New Roman" w:cs="Times New Roman"/>
          <w:sz w:val="24"/>
          <w:szCs w:val="24"/>
        </w:rPr>
        <w:t>significantly</w:t>
      </w:r>
      <w:r w:rsidRPr="00537744">
        <w:rPr>
          <w:rFonts w:ascii="Times New Roman" w:hAnsi="Times New Roman" w:cs="Times New Roman"/>
          <w:sz w:val="24"/>
          <w:szCs w:val="24"/>
        </w:rPr>
        <w:t xml:space="preserve"> less likely to benefit from MUZ access</w:t>
      </w:r>
      <w:r>
        <w:rPr>
          <w:rFonts w:ascii="Times New Roman" w:hAnsi="Times New Roman" w:cs="Times New Roman"/>
          <w:sz w:val="24"/>
          <w:szCs w:val="24"/>
        </w:rPr>
        <w:t xml:space="preserve"> (Mann Whitney p=.003 and .023)</w:t>
      </w:r>
      <w:r w:rsidRPr="00537744">
        <w:rPr>
          <w:rFonts w:ascii="Times New Roman" w:hAnsi="Times New Roman" w:cs="Times New Roman"/>
          <w:sz w:val="24"/>
          <w:szCs w:val="24"/>
        </w:rPr>
        <w:t xml:space="preserve">. Poorer households (based on durable asset counts) are </w:t>
      </w:r>
      <w:r>
        <w:rPr>
          <w:rFonts w:ascii="Times New Roman" w:hAnsi="Times New Roman" w:cs="Times New Roman"/>
          <w:sz w:val="24"/>
          <w:szCs w:val="24"/>
        </w:rPr>
        <w:t>no</w:t>
      </w:r>
      <w:r w:rsidRPr="00537744">
        <w:rPr>
          <w:rFonts w:ascii="Times New Roman" w:hAnsi="Times New Roman" w:cs="Times New Roman"/>
          <w:sz w:val="24"/>
          <w:szCs w:val="24"/>
        </w:rPr>
        <w:t xml:space="preserve"> less likely to benefit from MUZs </w:t>
      </w:r>
      <w:r>
        <w:rPr>
          <w:rFonts w:ascii="Times New Roman" w:hAnsi="Times New Roman" w:cs="Times New Roman"/>
          <w:sz w:val="24"/>
          <w:szCs w:val="24"/>
        </w:rPr>
        <w:t>nor</w:t>
      </w:r>
      <w:r w:rsidRPr="00537744">
        <w:rPr>
          <w:rFonts w:ascii="Times New Roman" w:hAnsi="Times New Roman" w:cs="Times New Roman"/>
          <w:sz w:val="24"/>
          <w:szCs w:val="24"/>
        </w:rPr>
        <w:t xml:space="preserve"> revenue sharing</w:t>
      </w:r>
      <w:r>
        <w:rPr>
          <w:rFonts w:ascii="Times New Roman" w:hAnsi="Times New Roman" w:cs="Times New Roman"/>
          <w:sz w:val="24"/>
          <w:szCs w:val="24"/>
        </w:rPr>
        <w:t>, Mann Whitney p=.096 and .657.</w:t>
      </w:r>
      <w:r w:rsidRPr="00537744">
        <w:rPr>
          <w:rFonts w:ascii="Times New Roman" w:hAnsi="Times New Roman" w:cs="Times New Roman"/>
          <w:sz w:val="24"/>
          <w:szCs w:val="24"/>
        </w:rPr>
        <w:t xml:space="preserve"> </w:t>
      </w:r>
    </w:p>
    <w:p w:rsidR="00EC2F61" w:rsidRPr="00537744" w:rsidRDefault="00EC2F61" w:rsidP="00A91F3D">
      <w:pPr>
        <w:spacing w:line="360" w:lineRule="auto"/>
        <w:rPr>
          <w:rFonts w:ascii="Times New Roman" w:hAnsi="Times New Roman" w:cs="Times New Roman"/>
          <w:sz w:val="24"/>
          <w:szCs w:val="24"/>
        </w:rPr>
      </w:pPr>
      <w:r>
        <w:rPr>
          <w:rFonts w:ascii="Times New Roman" w:hAnsi="Times New Roman" w:cs="Times New Roman"/>
          <w:sz w:val="24"/>
          <w:szCs w:val="24"/>
        </w:rPr>
        <w:t>Local people have experienced a number of costs of con</w:t>
      </w:r>
      <w:r w:rsidRPr="00537744">
        <w:rPr>
          <w:rFonts w:ascii="Times New Roman" w:hAnsi="Times New Roman" w:cs="Times New Roman"/>
          <w:sz w:val="24"/>
          <w:szCs w:val="24"/>
        </w:rPr>
        <w:t>servation</w:t>
      </w:r>
      <w:r>
        <w:rPr>
          <w:rFonts w:ascii="Times New Roman" w:hAnsi="Times New Roman" w:cs="Times New Roman"/>
          <w:sz w:val="24"/>
          <w:szCs w:val="24"/>
        </w:rPr>
        <w:t xml:space="preserve">. First, there are those households who were evicted at the time of park formation. Second, there have been a smaller </w:t>
      </w:r>
      <w:r w:rsidRPr="00537744">
        <w:rPr>
          <w:rFonts w:ascii="Times New Roman" w:hAnsi="Times New Roman" w:cs="Times New Roman"/>
          <w:sz w:val="24"/>
          <w:szCs w:val="24"/>
        </w:rPr>
        <w:t>number of what we might term ‘constructive evictions’, where circumstances become such that keepi</w:t>
      </w:r>
      <w:r>
        <w:rPr>
          <w:rFonts w:ascii="Times New Roman" w:hAnsi="Times New Roman" w:cs="Times New Roman"/>
          <w:sz w:val="24"/>
          <w:szCs w:val="24"/>
        </w:rPr>
        <w:t xml:space="preserve">ng one’s land becomes untenable. In particular, this occurred in the Nkuringo area where a buffer zone was created to accommodate gorilla groups that were regularly nesting outside the park. Third, a much larger number of households have lost </w:t>
      </w:r>
      <w:r w:rsidRPr="00537744">
        <w:rPr>
          <w:rFonts w:ascii="Times New Roman" w:hAnsi="Times New Roman" w:cs="Times New Roman"/>
          <w:sz w:val="24"/>
          <w:szCs w:val="24"/>
        </w:rPr>
        <w:t>access to forest provisioning services</w:t>
      </w:r>
      <w:r>
        <w:rPr>
          <w:rFonts w:ascii="Times New Roman" w:hAnsi="Times New Roman" w:cs="Times New Roman"/>
          <w:sz w:val="24"/>
          <w:szCs w:val="24"/>
        </w:rPr>
        <w:t xml:space="preserve"> such as timber and bushmeat</w:t>
      </w:r>
      <w:r w:rsidRPr="00537744">
        <w:rPr>
          <w:rFonts w:ascii="Times New Roman" w:hAnsi="Times New Roman" w:cs="Times New Roman"/>
          <w:sz w:val="24"/>
          <w:szCs w:val="24"/>
        </w:rPr>
        <w:t xml:space="preserve">.  </w:t>
      </w:r>
      <w:r>
        <w:rPr>
          <w:rFonts w:ascii="Times New Roman" w:hAnsi="Times New Roman" w:cs="Times New Roman"/>
          <w:sz w:val="24"/>
          <w:szCs w:val="24"/>
        </w:rPr>
        <w:t xml:space="preserve">Fourth, </w:t>
      </w:r>
      <w:r w:rsidRPr="00537744">
        <w:rPr>
          <w:rFonts w:ascii="Times New Roman" w:hAnsi="Times New Roman" w:cs="Times New Roman"/>
          <w:sz w:val="24"/>
          <w:szCs w:val="24"/>
        </w:rPr>
        <w:t>so</w:t>
      </w:r>
      <w:r>
        <w:rPr>
          <w:rFonts w:ascii="Times New Roman" w:hAnsi="Times New Roman" w:cs="Times New Roman"/>
          <w:sz w:val="24"/>
          <w:szCs w:val="24"/>
        </w:rPr>
        <w:t>me forest species</w:t>
      </w:r>
      <w:r w:rsidRPr="00537744">
        <w:rPr>
          <w:rFonts w:ascii="Times New Roman" w:hAnsi="Times New Roman" w:cs="Times New Roman"/>
          <w:sz w:val="24"/>
          <w:szCs w:val="24"/>
        </w:rPr>
        <w:t xml:space="preserve"> bring both services and disservices. Mammals and birds bring economic benefits via tourism (and to a lesser extent now bushmeat), whilst flying insects assist with pollination but can also bring zoon</w:t>
      </w:r>
      <w:r>
        <w:rPr>
          <w:rFonts w:ascii="Times New Roman" w:hAnsi="Times New Roman" w:cs="Times New Roman"/>
          <w:sz w:val="24"/>
          <w:szCs w:val="24"/>
        </w:rPr>
        <w:t>otic diseases, notably Onchocerc</w:t>
      </w:r>
      <w:r w:rsidRPr="00537744">
        <w:rPr>
          <w:rFonts w:ascii="Times New Roman" w:hAnsi="Times New Roman" w:cs="Times New Roman"/>
          <w:sz w:val="24"/>
          <w:szCs w:val="24"/>
        </w:rPr>
        <w:t>iasis in this location. The poor</w:t>
      </w:r>
      <w:r>
        <w:rPr>
          <w:rFonts w:ascii="Times New Roman" w:hAnsi="Times New Roman" w:cs="Times New Roman"/>
          <w:sz w:val="24"/>
          <w:szCs w:val="24"/>
        </w:rPr>
        <w:t xml:space="preserve"> more frequently</w:t>
      </w:r>
      <w:r w:rsidRPr="00537744">
        <w:rPr>
          <w:rFonts w:ascii="Times New Roman" w:hAnsi="Times New Roman" w:cs="Times New Roman"/>
          <w:sz w:val="24"/>
          <w:szCs w:val="24"/>
        </w:rPr>
        <w:t xml:space="preserve"> report</w:t>
      </w:r>
      <w:r>
        <w:rPr>
          <w:rFonts w:ascii="Times New Roman" w:hAnsi="Times New Roman" w:cs="Times New Roman"/>
          <w:sz w:val="24"/>
          <w:szCs w:val="24"/>
        </w:rPr>
        <w:t>ed</w:t>
      </w:r>
      <w:r w:rsidRPr="00537744">
        <w:rPr>
          <w:rFonts w:ascii="Times New Roman" w:hAnsi="Times New Roman" w:cs="Times New Roman"/>
          <w:sz w:val="24"/>
          <w:szCs w:val="24"/>
        </w:rPr>
        <w:t xml:space="preserve"> health problems arising from forest wildlife than the non-poor (23% to 19%) </w:t>
      </w:r>
      <w:r>
        <w:rPr>
          <w:rFonts w:ascii="Times New Roman" w:hAnsi="Times New Roman" w:cs="Times New Roman"/>
          <w:sz w:val="24"/>
          <w:szCs w:val="24"/>
        </w:rPr>
        <w:t xml:space="preserve">but not significantly so (p=.205).  </w:t>
      </w:r>
    </w:p>
    <w:p w:rsidR="00EC2F61" w:rsidRDefault="00EC2F61" w:rsidP="00030BF2">
      <w:pPr>
        <w:spacing w:line="360" w:lineRule="auto"/>
        <w:rPr>
          <w:rFonts w:ascii="Times New Roman" w:hAnsi="Times New Roman" w:cs="Times New Roman"/>
          <w:sz w:val="24"/>
          <w:szCs w:val="24"/>
        </w:rPr>
      </w:pPr>
      <w:r>
        <w:rPr>
          <w:rFonts w:ascii="Times New Roman" w:hAnsi="Times New Roman" w:cs="Times New Roman"/>
          <w:sz w:val="24"/>
          <w:szCs w:val="24"/>
        </w:rPr>
        <w:t xml:space="preserve">One picture that is </w:t>
      </w:r>
      <w:r w:rsidRPr="00537744">
        <w:rPr>
          <w:rFonts w:ascii="Times New Roman" w:hAnsi="Times New Roman" w:cs="Times New Roman"/>
          <w:sz w:val="24"/>
          <w:szCs w:val="24"/>
        </w:rPr>
        <w:t xml:space="preserve">emerging </w:t>
      </w:r>
      <w:r>
        <w:rPr>
          <w:rFonts w:ascii="Times New Roman" w:hAnsi="Times New Roman" w:cs="Times New Roman"/>
          <w:sz w:val="24"/>
          <w:szCs w:val="24"/>
        </w:rPr>
        <w:t xml:space="preserve">is that </w:t>
      </w:r>
      <w:r w:rsidRPr="00537744">
        <w:rPr>
          <w:rFonts w:ascii="Times New Roman" w:hAnsi="Times New Roman" w:cs="Times New Roman"/>
          <w:sz w:val="24"/>
          <w:szCs w:val="24"/>
        </w:rPr>
        <w:t xml:space="preserve">those living in tourism areas are receiving benefits but those outside these areas are overlooked. In principle, revenue sharing should benefit </w:t>
      </w:r>
      <w:r>
        <w:rPr>
          <w:rFonts w:ascii="Times New Roman" w:hAnsi="Times New Roman" w:cs="Times New Roman"/>
          <w:sz w:val="24"/>
          <w:szCs w:val="24"/>
        </w:rPr>
        <w:t>tourism and non-tourism areas</w:t>
      </w:r>
      <w:r w:rsidRPr="00537744">
        <w:rPr>
          <w:rFonts w:ascii="Times New Roman" w:hAnsi="Times New Roman" w:cs="Times New Roman"/>
          <w:sz w:val="24"/>
          <w:szCs w:val="24"/>
        </w:rPr>
        <w:t xml:space="preserve"> equally whilst MUZs should mainly benefit </w:t>
      </w:r>
      <w:r>
        <w:rPr>
          <w:rFonts w:ascii="Times New Roman" w:hAnsi="Times New Roman" w:cs="Times New Roman"/>
          <w:sz w:val="24"/>
          <w:szCs w:val="24"/>
        </w:rPr>
        <w:t>non-tourism areas</w:t>
      </w:r>
      <w:r w:rsidRPr="00537744">
        <w:rPr>
          <w:rFonts w:ascii="Times New Roman" w:hAnsi="Times New Roman" w:cs="Times New Roman"/>
          <w:sz w:val="24"/>
          <w:szCs w:val="24"/>
        </w:rPr>
        <w:t xml:space="preserve">. In practice both of these </w:t>
      </w:r>
      <w:r>
        <w:rPr>
          <w:rFonts w:ascii="Times New Roman" w:hAnsi="Times New Roman" w:cs="Times New Roman"/>
          <w:sz w:val="24"/>
          <w:szCs w:val="24"/>
        </w:rPr>
        <w:t>interventions appear heavily stacked towards tourism areas</w:t>
      </w:r>
      <w:r w:rsidRPr="00537744">
        <w:rPr>
          <w:rFonts w:ascii="Times New Roman" w:hAnsi="Times New Roman" w:cs="Times New Roman"/>
          <w:sz w:val="24"/>
          <w:szCs w:val="24"/>
        </w:rPr>
        <w:t xml:space="preserve">, likely due to differences in physical accessibility, levels of direct engagement with park staff and gorilla-oriented NGOs, and associated empowerment to effectively apply for scarce resources. </w:t>
      </w:r>
    </w:p>
    <w:p w:rsidR="00EC2F61" w:rsidRPr="00537744" w:rsidRDefault="00EC2F61" w:rsidP="0015621C">
      <w:pPr>
        <w:spacing w:line="360" w:lineRule="auto"/>
        <w:rPr>
          <w:rFonts w:ascii="Times New Roman" w:hAnsi="Times New Roman" w:cs="Times New Roman"/>
          <w:sz w:val="24"/>
          <w:szCs w:val="24"/>
        </w:rPr>
      </w:pPr>
      <w:r w:rsidRPr="00537744">
        <w:rPr>
          <w:rFonts w:ascii="Times New Roman" w:hAnsi="Times New Roman" w:cs="Times New Roman"/>
          <w:sz w:val="24"/>
          <w:szCs w:val="24"/>
        </w:rPr>
        <w:t xml:space="preserve">In addition to those in NTAs, the Batwa emerges as another group of concern. Whilst we have found that they are </w:t>
      </w:r>
      <w:r>
        <w:rPr>
          <w:rFonts w:ascii="Times New Roman" w:hAnsi="Times New Roman" w:cs="Times New Roman"/>
          <w:sz w:val="24"/>
          <w:szCs w:val="24"/>
        </w:rPr>
        <w:t>more</w:t>
      </w:r>
      <w:r w:rsidRPr="00537744">
        <w:rPr>
          <w:rFonts w:ascii="Times New Roman" w:hAnsi="Times New Roman" w:cs="Times New Roman"/>
          <w:sz w:val="24"/>
          <w:szCs w:val="24"/>
        </w:rPr>
        <w:t xml:space="preserve"> likely </w:t>
      </w:r>
      <w:r>
        <w:rPr>
          <w:rFonts w:ascii="Times New Roman" w:hAnsi="Times New Roman" w:cs="Times New Roman"/>
          <w:sz w:val="24"/>
          <w:szCs w:val="24"/>
        </w:rPr>
        <w:t>than</w:t>
      </w:r>
      <w:r w:rsidRPr="00537744">
        <w:rPr>
          <w:rFonts w:ascii="Times New Roman" w:hAnsi="Times New Roman" w:cs="Times New Roman"/>
          <w:sz w:val="24"/>
          <w:szCs w:val="24"/>
        </w:rPr>
        <w:t xml:space="preserve"> other groups to benefit from revenue sharing</w:t>
      </w:r>
      <w:r>
        <w:rPr>
          <w:rFonts w:ascii="Times New Roman" w:hAnsi="Times New Roman" w:cs="Times New Roman"/>
          <w:sz w:val="24"/>
          <w:szCs w:val="24"/>
        </w:rPr>
        <w:t xml:space="preserve"> and </w:t>
      </w:r>
      <w:r>
        <w:rPr>
          <w:rFonts w:ascii="Times New Roman" w:hAnsi="Times New Roman" w:cs="Times New Roman"/>
          <w:sz w:val="24"/>
          <w:szCs w:val="24"/>
        </w:rPr>
        <w:lastRenderedPageBreak/>
        <w:t>equally likely to gain access to MUZs</w:t>
      </w:r>
      <w:r w:rsidRPr="00537744">
        <w:rPr>
          <w:rFonts w:ascii="Times New Roman" w:hAnsi="Times New Roman" w:cs="Times New Roman"/>
          <w:sz w:val="24"/>
          <w:szCs w:val="24"/>
        </w:rPr>
        <w:t xml:space="preserve">, the </w:t>
      </w:r>
      <w:r>
        <w:rPr>
          <w:rFonts w:ascii="Times New Roman" w:hAnsi="Times New Roman" w:cs="Times New Roman"/>
          <w:sz w:val="24"/>
          <w:szCs w:val="24"/>
        </w:rPr>
        <w:t xml:space="preserve">accompanying </w:t>
      </w:r>
      <w:r w:rsidRPr="00537744">
        <w:rPr>
          <w:rFonts w:ascii="Times New Roman" w:hAnsi="Times New Roman" w:cs="Times New Roman"/>
          <w:sz w:val="24"/>
          <w:szCs w:val="24"/>
        </w:rPr>
        <w:t xml:space="preserve">loss of access during the last 20 years has been more acutely impoverishing, suffering the indignity of racial discrimination and </w:t>
      </w:r>
      <w:r>
        <w:rPr>
          <w:rFonts w:ascii="Times New Roman" w:hAnsi="Times New Roman" w:cs="Times New Roman"/>
          <w:sz w:val="24"/>
          <w:szCs w:val="24"/>
        </w:rPr>
        <w:t xml:space="preserve">high prevalence of health problems from </w:t>
      </w:r>
      <w:r w:rsidRPr="00537744">
        <w:rPr>
          <w:rFonts w:ascii="Times New Roman" w:hAnsi="Times New Roman" w:cs="Times New Roman"/>
          <w:sz w:val="24"/>
          <w:szCs w:val="24"/>
        </w:rPr>
        <w:t xml:space="preserve">malnutrition and diseases such as HIV/AIDS and malaria. The loss of access to food and forest medicines is still a major problem for the Batwa and viewed as a source of their health problems. </w:t>
      </w:r>
    </w:p>
    <w:p w:rsidR="00EC2F61" w:rsidRPr="00537744" w:rsidRDefault="00EC2F61" w:rsidP="00A91F3D">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‘When we were in the forest we would not fall sick because of eating meat and honey which would keep us well’ (NTAC32)</w:t>
      </w:r>
    </w:p>
    <w:p w:rsidR="00EC2F61" w:rsidRPr="00537744" w:rsidRDefault="00EC2F61" w:rsidP="00A91F3D">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 xml:space="preserve"> ‘We had to learn to eat the food of the Bakiga, otherwise we would die from hunger’</w:t>
      </w:r>
      <w:r>
        <w:rPr>
          <w:rFonts w:ascii="Times New Roman" w:hAnsi="Times New Roman" w:cs="Times New Roman"/>
          <w:sz w:val="24"/>
          <w:szCs w:val="24"/>
        </w:rPr>
        <w:t xml:space="preserve">. </w:t>
      </w:r>
      <w:r w:rsidRPr="00537744">
        <w:rPr>
          <w:rFonts w:ascii="Times New Roman" w:hAnsi="Times New Roman" w:cs="Times New Roman"/>
          <w:sz w:val="24"/>
          <w:szCs w:val="24"/>
        </w:rPr>
        <w:t>‘Many died and lost weight tremendously’ (NTAC31)</w:t>
      </w:r>
    </w:p>
    <w:p w:rsidR="00EC2F61" w:rsidRDefault="00EC2F61" w:rsidP="00E02E27">
      <w:pPr>
        <w:spacing w:line="360" w:lineRule="auto"/>
        <w:rPr>
          <w:rFonts w:ascii="Times New Roman" w:hAnsi="Times New Roman" w:cs="Times New Roman"/>
          <w:sz w:val="24"/>
          <w:szCs w:val="24"/>
        </w:rPr>
      </w:pPr>
      <w:r w:rsidRPr="00537744">
        <w:rPr>
          <w:rFonts w:ascii="Times New Roman" w:hAnsi="Times New Roman" w:cs="Times New Roman"/>
          <w:sz w:val="24"/>
          <w:szCs w:val="24"/>
        </w:rPr>
        <w:t>Crop raiding is, not surprisingly</w:t>
      </w:r>
      <w:r>
        <w:rPr>
          <w:rFonts w:ascii="Times New Roman" w:hAnsi="Times New Roman" w:cs="Times New Roman"/>
          <w:sz w:val="24"/>
          <w:szCs w:val="24"/>
        </w:rPr>
        <w:t>,</w:t>
      </w:r>
      <w:r w:rsidRPr="00537744">
        <w:rPr>
          <w:rFonts w:ascii="Times New Roman" w:hAnsi="Times New Roman" w:cs="Times New Roman"/>
          <w:sz w:val="24"/>
          <w:szCs w:val="24"/>
        </w:rPr>
        <w:t xml:space="preserve"> more of a problem for those living close to the </w:t>
      </w:r>
      <w:r>
        <w:rPr>
          <w:rFonts w:ascii="Times New Roman" w:hAnsi="Times New Roman" w:cs="Times New Roman"/>
          <w:sz w:val="24"/>
          <w:szCs w:val="24"/>
        </w:rPr>
        <w:t xml:space="preserve">forest with 18% (n=17) households located far from the forest reporting some loss due to crop raiding in </w:t>
      </w:r>
      <w:r w:rsidRPr="00496B0C">
        <w:rPr>
          <w:rFonts w:ascii="Times New Roman" w:hAnsi="Times New Roman" w:cs="Times New Roman"/>
          <w:sz w:val="24"/>
          <w:szCs w:val="24"/>
        </w:rPr>
        <w:t xml:space="preserve">contrast to 71% (n=114) of the households living near the forest (Chi-square=18.34, df=1, p=&lt;.0001). </w:t>
      </w:r>
      <w:r>
        <w:rPr>
          <w:rFonts w:ascii="Times New Roman" w:hAnsi="Times New Roman" w:cs="Times New Roman"/>
          <w:sz w:val="24"/>
          <w:szCs w:val="24"/>
        </w:rPr>
        <w:t>T</w:t>
      </w:r>
      <w:r w:rsidRPr="00496B0C">
        <w:rPr>
          <w:rFonts w:ascii="Times New Roman" w:hAnsi="Times New Roman" w:cs="Times New Roman"/>
          <w:sz w:val="24"/>
          <w:szCs w:val="24"/>
        </w:rPr>
        <w:t xml:space="preserve">hose with fewer </w:t>
      </w:r>
      <w:r>
        <w:rPr>
          <w:rFonts w:ascii="Times New Roman" w:hAnsi="Times New Roman" w:cs="Times New Roman"/>
          <w:sz w:val="24"/>
          <w:szCs w:val="24"/>
        </w:rPr>
        <w:t xml:space="preserve">economic </w:t>
      </w:r>
      <w:r w:rsidRPr="00496B0C">
        <w:rPr>
          <w:rFonts w:ascii="Times New Roman" w:hAnsi="Times New Roman" w:cs="Times New Roman"/>
          <w:sz w:val="24"/>
          <w:szCs w:val="24"/>
        </w:rPr>
        <w:t>assets are also significantly more likely to lose crops to wild animals (74% poor versus 55% non-poor respondents reported losing something to crop raiding, Chi-square=5.2, df=1, p=.02).</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A second picture that is</w:t>
      </w:r>
      <w:r w:rsidRPr="00537744">
        <w:rPr>
          <w:rFonts w:ascii="Times New Roman" w:hAnsi="Times New Roman" w:cs="Times New Roman"/>
          <w:sz w:val="24"/>
          <w:szCs w:val="24"/>
        </w:rPr>
        <w:t xml:space="preserve"> emerging is that some groups are bearing more of a burden than others, namely those close to the forest, the asset poor, and the Batwa. And some groups are receiving less of the benefits: namely those in NTAs and the poor.</w:t>
      </w:r>
      <w:r>
        <w:rPr>
          <w:rFonts w:ascii="Times New Roman" w:hAnsi="Times New Roman" w:cs="Times New Roman"/>
          <w:sz w:val="24"/>
          <w:szCs w:val="24"/>
        </w:rPr>
        <w:t xml:space="preserve"> Sandbrook and Adams </w:t>
      </w:r>
      <w:r>
        <w:rPr>
          <w:rFonts w:ascii="Times New Roman" w:hAnsi="Times New Roman" w:cs="Times New Roman"/>
          <w:noProof/>
          <w:sz w:val="24"/>
          <w:szCs w:val="24"/>
        </w:rPr>
        <w:t>(2012)</w:t>
      </w:r>
      <w:r>
        <w:rPr>
          <w:rFonts w:ascii="Times New Roman" w:hAnsi="Times New Roman" w:cs="Times New Roman"/>
          <w:sz w:val="24"/>
          <w:szCs w:val="24"/>
        </w:rPr>
        <w:t xml:space="preserve"> also found that poverty serves as a barrier to highly valued benefits such as employment, and that wealth and location also play some role in determining access to  public good benefits.</w:t>
      </w:r>
      <w:r w:rsidRPr="00537744">
        <w:rPr>
          <w:rFonts w:ascii="Times New Roman" w:hAnsi="Times New Roman" w:cs="Times New Roman"/>
          <w:sz w:val="24"/>
          <w:szCs w:val="24"/>
        </w:rPr>
        <w:t xml:space="preserve"> The Batwa consider that park designation has left them so poor that they cannot meet their most basic requirement of sufficient nutritious food for good health, a situation that has persisted f</w:t>
      </w:r>
      <w:r>
        <w:rPr>
          <w:rFonts w:ascii="Times New Roman" w:hAnsi="Times New Roman" w:cs="Times New Roman"/>
          <w:sz w:val="24"/>
          <w:szCs w:val="24"/>
        </w:rPr>
        <w:t>or more than twenty years. In light of our conceptual emphasis on meeting essential thresholds, efforts to right this wrong should be considered woefully inadequate – there has been an injustice.</w:t>
      </w:r>
      <w:r w:rsidRPr="00537744">
        <w:rPr>
          <w:rFonts w:ascii="Times New Roman" w:hAnsi="Times New Roman" w:cs="Times New Roman"/>
          <w:sz w:val="24"/>
          <w:szCs w:val="24"/>
        </w:rPr>
        <w:t xml:space="preserve"> Remembering the time of eviction, members of a Batwa community in Remera parish, said </w:t>
      </w:r>
      <w:r>
        <w:rPr>
          <w:rFonts w:ascii="Times New Roman" w:hAnsi="Times New Roman" w:cs="Times New Roman"/>
          <w:sz w:val="24"/>
          <w:szCs w:val="24"/>
        </w:rPr>
        <w:t xml:space="preserve">that </w:t>
      </w:r>
      <w:r w:rsidRPr="00537744">
        <w:rPr>
          <w:rFonts w:ascii="Times New Roman" w:hAnsi="Times New Roman" w:cs="Times New Roman"/>
          <w:sz w:val="24"/>
          <w:szCs w:val="24"/>
        </w:rPr>
        <w:t xml:space="preserve">they were even left without firewood or blankets and </w:t>
      </w:r>
      <w:r>
        <w:rPr>
          <w:rFonts w:ascii="Times New Roman" w:hAnsi="Times New Roman" w:cs="Times New Roman"/>
          <w:sz w:val="24"/>
          <w:szCs w:val="24"/>
        </w:rPr>
        <w:t xml:space="preserve">therefore </w:t>
      </w:r>
      <w:r w:rsidRPr="00537744">
        <w:rPr>
          <w:rFonts w:ascii="Times New Roman" w:hAnsi="Times New Roman" w:cs="Times New Roman"/>
          <w:sz w:val="24"/>
          <w:szCs w:val="24"/>
        </w:rPr>
        <w:t xml:space="preserve">fell ill from </w:t>
      </w:r>
      <w:r>
        <w:rPr>
          <w:rFonts w:ascii="Times New Roman" w:hAnsi="Times New Roman" w:cs="Times New Roman"/>
          <w:sz w:val="24"/>
          <w:szCs w:val="24"/>
        </w:rPr>
        <w:t>cold as well as</w:t>
      </w:r>
      <w:r w:rsidRPr="00537744">
        <w:rPr>
          <w:rFonts w:ascii="Times New Roman" w:hAnsi="Times New Roman" w:cs="Times New Roman"/>
          <w:sz w:val="24"/>
          <w:szCs w:val="24"/>
        </w:rPr>
        <w:t xml:space="preserve"> hunger. They had more recently been provided some land by the B</w:t>
      </w:r>
      <w:r>
        <w:rPr>
          <w:rFonts w:ascii="Times New Roman" w:hAnsi="Times New Roman" w:cs="Times New Roman"/>
          <w:sz w:val="24"/>
          <w:szCs w:val="24"/>
        </w:rPr>
        <w:t>M</w:t>
      </w:r>
      <w:r w:rsidRPr="00537744">
        <w:rPr>
          <w:rFonts w:ascii="Times New Roman" w:hAnsi="Times New Roman" w:cs="Times New Roman"/>
          <w:sz w:val="24"/>
          <w:szCs w:val="24"/>
        </w:rPr>
        <w:t>CT</w:t>
      </w:r>
      <w:r>
        <w:rPr>
          <w:rFonts w:ascii="Times New Roman" w:hAnsi="Times New Roman" w:cs="Times New Roman"/>
          <w:sz w:val="24"/>
          <w:szCs w:val="24"/>
        </w:rPr>
        <w:t>, and house construction through UOBDU although</w:t>
      </w:r>
      <w:r w:rsidRPr="00537744">
        <w:rPr>
          <w:rFonts w:ascii="Times New Roman" w:hAnsi="Times New Roman" w:cs="Times New Roman"/>
          <w:sz w:val="24"/>
          <w:szCs w:val="24"/>
        </w:rPr>
        <w:t xml:space="preserve"> inspection </w:t>
      </w:r>
      <w:r>
        <w:rPr>
          <w:rFonts w:ascii="Times New Roman" w:hAnsi="Times New Roman" w:cs="Times New Roman"/>
          <w:sz w:val="24"/>
          <w:szCs w:val="24"/>
        </w:rPr>
        <w:t>confirmed that the land, whilst fit for dwellings, was not well suited to agriculture</w:t>
      </w:r>
      <w:r w:rsidRPr="00537744">
        <w:rPr>
          <w:rFonts w:ascii="Times New Roman" w:hAnsi="Times New Roman" w:cs="Times New Roman"/>
          <w:sz w:val="24"/>
          <w:szCs w:val="24"/>
        </w:rPr>
        <w:t xml:space="preserve">. </w:t>
      </w:r>
    </w:p>
    <w:p w:rsidR="00EC2F61" w:rsidRPr="00537744" w:rsidRDefault="00EC2F61" w:rsidP="00A91F3D">
      <w:pPr>
        <w:spacing w:line="360" w:lineRule="auto"/>
        <w:rPr>
          <w:rFonts w:ascii="Times New Roman" w:hAnsi="Times New Roman" w:cs="Times New Roman"/>
          <w:sz w:val="24"/>
          <w:szCs w:val="24"/>
        </w:rPr>
      </w:pPr>
      <w:r>
        <w:rPr>
          <w:rFonts w:ascii="Times New Roman" w:hAnsi="Times New Roman" w:cs="Times New Roman"/>
          <w:sz w:val="24"/>
          <w:szCs w:val="24"/>
        </w:rPr>
        <w:t>Inhabitants of areas with no tourism</w:t>
      </w:r>
      <w:r w:rsidRPr="00537744">
        <w:rPr>
          <w:rFonts w:ascii="Times New Roman" w:hAnsi="Times New Roman" w:cs="Times New Roman"/>
          <w:sz w:val="24"/>
          <w:szCs w:val="24"/>
        </w:rPr>
        <w:t xml:space="preserve"> describe the tourism business and park management more generally as unfair in its distribution</w:t>
      </w:r>
      <w:r>
        <w:rPr>
          <w:rFonts w:ascii="Times New Roman" w:hAnsi="Times New Roman" w:cs="Times New Roman"/>
          <w:sz w:val="24"/>
          <w:szCs w:val="24"/>
        </w:rPr>
        <w:t xml:space="preserve"> of costs and benefits</w:t>
      </w:r>
      <w:r w:rsidRPr="00537744">
        <w:rPr>
          <w:rFonts w:ascii="Times New Roman" w:hAnsi="Times New Roman" w:cs="Times New Roman"/>
          <w:sz w:val="24"/>
          <w:szCs w:val="24"/>
        </w:rPr>
        <w:t xml:space="preserve">. Only one NTA respondent </w:t>
      </w:r>
      <w:r w:rsidRPr="00537744">
        <w:rPr>
          <w:rFonts w:ascii="Times New Roman" w:hAnsi="Times New Roman" w:cs="Times New Roman"/>
          <w:sz w:val="24"/>
          <w:szCs w:val="24"/>
        </w:rPr>
        <w:lastRenderedPageBreak/>
        <w:t xml:space="preserve">said anything that could be </w:t>
      </w:r>
      <w:r>
        <w:rPr>
          <w:rFonts w:ascii="Times New Roman" w:hAnsi="Times New Roman" w:cs="Times New Roman"/>
          <w:sz w:val="24"/>
          <w:szCs w:val="24"/>
        </w:rPr>
        <w:t>considered</w:t>
      </w:r>
      <w:r w:rsidRPr="00537744">
        <w:rPr>
          <w:rFonts w:ascii="Times New Roman" w:hAnsi="Times New Roman" w:cs="Times New Roman"/>
          <w:sz w:val="24"/>
          <w:szCs w:val="24"/>
        </w:rPr>
        <w:t xml:space="preserve"> as finding benefit distribution to be satisfactory, with many simply pointing out that they don’t receive any benefits and others claiming that fund distribution suffers from elite capture.  Loss of access to forest resources appears to also have gendered impacts, although our findings are equivocal on this. Some women, especially in tourism areas, report that men had been most dependent on park-based activities for disposable income and prestige</w:t>
      </w:r>
      <w:r>
        <w:rPr>
          <w:rFonts w:ascii="Times New Roman" w:hAnsi="Times New Roman" w:cs="Times New Roman"/>
          <w:sz w:val="24"/>
          <w:szCs w:val="24"/>
        </w:rPr>
        <w:t xml:space="preserve"> (</w:t>
      </w:r>
      <w:r w:rsidRPr="00537744">
        <w:rPr>
          <w:rFonts w:ascii="Times New Roman" w:hAnsi="Times New Roman" w:cs="Times New Roman"/>
          <w:sz w:val="24"/>
          <w:szCs w:val="24"/>
        </w:rPr>
        <w:t>TAF 11, 13, 15). Others, especially in areas without tourism and close to the park see things quite differently, for example stating that:</w:t>
      </w:r>
    </w:p>
    <w:p w:rsidR="00EC2F61" w:rsidRPr="00537744" w:rsidRDefault="00EC2F61" w:rsidP="00A91F3D">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 xml:space="preserve"> “women who are bread winners whose activities most especially depend on the park have lost status in the community” (NTAC23)</w:t>
      </w:r>
    </w:p>
    <w:p w:rsidR="00EC2F61" w:rsidRPr="00537744" w:rsidRDefault="00EC2F61" w:rsidP="00A91F3D">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 xml:space="preserve">“women were very much valued due to the fact that they went to the park, cultivated there, collected firewood etc.. This has since stopped and given men the upper hand” (NTAC1). </w:t>
      </w:r>
    </w:p>
    <w:p w:rsidR="00EC2F61" w:rsidRPr="00537744" w:rsidRDefault="00EC2F61" w:rsidP="00E9215A">
      <w:pPr>
        <w:spacing w:line="360" w:lineRule="auto"/>
        <w:ind w:left="720"/>
        <w:rPr>
          <w:rFonts w:ascii="Times New Roman" w:hAnsi="Times New Roman" w:cs="Times New Roman"/>
          <w:sz w:val="24"/>
          <w:szCs w:val="24"/>
        </w:rPr>
      </w:pPr>
      <w:r w:rsidRPr="00537744">
        <w:rPr>
          <w:rFonts w:ascii="Times New Roman" w:hAnsi="Times New Roman" w:cs="Times New Roman"/>
          <w:sz w:val="24"/>
          <w:szCs w:val="24"/>
        </w:rPr>
        <w:t>“increased poverty especially among women thereby increas</w:t>
      </w:r>
      <w:r>
        <w:rPr>
          <w:rFonts w:ascii="Times New Roman" w:hAnsi="Times New Roman" w:cs="Times New Roman"/>
          <w:sz w:val="24"/>
          <w:szCs w:val="24"/>
        </w:rPr>
        <w:t>ed dependency upon men” (NTAC2)</w:t>
      </w:r>
    </w:p>
    <w:p w:rsidR="00EC2F61" w:rsidRPr="00537744" w:rsidRDefault="00EC2F61" w:rsidP="007E28BB">
      <w:pPr>
        <w:spacing w:line="360" w:lineRule="auto"/>
        <w:rPr>
          <w:rFonts w:ascii="Times New Roman" w:hAnsi="Times New Roman" w:cs="Times New Roman"/>
          <w:sz w:val="24"/>
          <w:szCs w:val="24"/>
        </w:rPr>
      </w:pPr>
    </w:p>
    <w:p w:rsidR="00EC2F61" w:rsidRPr="00754F79" w:rsidRDefault="00EC2F61" w:rsidP="007E28BB">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Discussion and </w:t>
      </w:r>
      <w:r w:rsidRPr="00754F79">
        <w:rPr>
          <w:rFonts w:ascii="Times New Roman" w:hAnsi="Times New Roman" w:cs="Times New Roman"/>
          <w:b/>
          <w:bCs/>
          <w:sz w:val="24"/>
          <w:szCs w:val="24"/>
        </w:rPr>
        <w:t>Conclusions</w:t>
      </w:r>
    </w:p>
    <w:p w:rsidR="00EC2F61" w:rsidRPr="00537744" w:rsidRDefault="00EC2F61" w:rsidP="007E28BB">
      <w:pPr>
        <w:spacing w:line="360" w:lineRule="auto"/>
        <w:rPr>
          <w:rFonts w:ascii="Times New Roman" w:hAnsi="Times New Roman" w:cs="Times New Roman"/>
          <w:sz w:val="24"/>
          <w:szCs w:val="24"/>
        </w:rPr>
      </w:pPr>
      <w:r>
        <w:rPr>
          <w:rFonts w:ascii="Times New Roman" w:hAnsi="Times New Roman" w:cs="Times New Roman"/>
          <w:sz w:val="24"/>
          <w:szCs w:val="24"/>
        </w:rPr>
        <w:t xml:space="preserve">Tourism is thought to bring a range of benefits to the area, and those living near to and benefiting from tourism operations are better disposed towards the park. On the other hand, the share of the benefits from tourism is small and, according to our framing of justice, not fairly distributed. Those living away from tourism centres and the asset poor, are not benefiting proportionally. The latter is a particular concern in relation to the high poverty levels in the area and the fact that the poorest here are, by most definitions, living below the necessary material thresholds to support adequate life choices. Furthermore the intention to use Multiple Use Zones to benefit those outside of tourism areas seems to have mis-fired in our study locations. The result is that the poor, and especially those in areas without tourism, are bearing the costs of conservation but not enjoying a proportional share of the benefits. The Batwa have lost most and even now describe their situation as one in which they are unable to secure sufficient nutrition to maintain good health. </w:t>
      </w:r>
    </w:p>
    <w:p w:rsidR="00EC2F61" w:rsidRDefault="00EC2F61" w:rsidP="005958AB">
      <w:pPr>
        <w:spacing w:line="360" w:lineRule="auto"/>
        <w:rPr>
          <w:rFonts w:ascii="Times New Roman" w:hAnsi="Times New Roman" w:cs="Times New Roman"/>
          <w:sz w:val="24"/>
          <w:szCs w:val="24"/>
        </w:rPr>
      </w:pPr>
      <w:r>
        <w:rPr>
          <w:rFonts w:ascii="Times New Roman" w:hAnsi="Times New Roman" w:cs="Times New Roman"/>
          <w:sz w:val="24"/>
          <w:szCs w:val="24"/>
        </w:rPr>
        <w:t xml:space="preserve">Even among those living in tourism areas, there is a widespread concern about the power asymmetries in relationships with park authorities, revealed in unsatisfactory consultation </w:t>
      </w:r>
      <w:r>
        <w:rPr>
          <w:rFonts w:ascii="Times New Roman" w:hAnsi="Times New Roman" w:cs="Times New Roman"/>
          <w:sz w:val="24"/>
          <w:szCs w:val="24"/>
        </w:rPr>
        <w:lastRenderedPageBreak/>
        <w:t xml:space="preserve">procedures marked by prior framings of what is open for discussion. In particular, the dominant discourse is that conservation can only be served by exclusion of people from the park and more extensive access is therefore not a matter for discussion.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Expressions of cultural loss are less common than we had expected, especially outside of the Batwa community. Loss of access to materials for crafts, for example, is not generally seen as a major loss for the future wellbeing of the community. But our interviews did reveal quite widespread concern with the simple fact that children are not getting to experience the forest first hand and, in particular, some of its more charismatic animals. Batwa elders continue to talk about cultural loss as a wellbeing issue, but also express some satisfaction with improving relationships with the Bakiga community.  Assessing the justice implications of such outcomes is clearly a complex matter that would benefit from a more dedicated and sophisticated study of local wellbeing. A crude utilitarian interpretation might point at expressions of social satisfaction to conclude that just ends have been achieved. But work on adaptive preferences would caution us against giving too much credence to expressed satisfaction by showing that those who endure injustice tend to adjust their subjective thresholds downwards, rendering self-assessments of wellbeing unsafe </w:t>
      </w:r>
      <w:r>
        <w:rPr>
          <w:rFonts w:ascii="Times New Roman" w:hAnsi="Times New Roman" w:cs="Times New Roman"/>
          <w:noProof/>
          <w:sz w:val="24"/>
          <w:szCs w:val="24"/>
        </w:rPr>
        <w:t>(Teschl and Comim, 2005)</w:t>
      </w:r>
      <w:r>
        <w:rPr>
          <w:rFonts w:ascii="Times New Roman" w:hAnsi="Times New Roman" w:cs="Times New Roman"/>
          <w:sz w:val="24"/>
          <w:szCs w:val="24"/>
        </w:rPr>
        <w:t xml:space="preserve">. This might explain, for example, why the Batwa express satisfaction with improving relationships with the Bakiga but do not (to us at least) complain that this improvement is dependent on their assimilating to Bakiga social norms. But as recent work on wellbeing has also shown, people’s subjective feelings about what they have and what they do remains an important determinant of their wellbeing </w:t>
      </w:r>
      <w:r>
        <w:rPr>
          <w:rFonts w:ascii="Times New Roman" w:hAnsi="Times New Roman" w:cs="Times New Roman"/>
          <w:noProof/>
          <w:sz w:val="24"/>
          <w:szCs w:val="24"/>
        </w:rPr>
        <w:t>(McGregor et al., 2009)</w:t>
      </w:r>
      <w:r>
        <w:rPr>
          <w:rFonts w:ascii="Times New Roman" w:hAnsi="Times New Roman" w:cs="Times New Roman"/>
          <w:sz w:val="24"/>
          <w:szCs w:val="24"/>
        </w:rPr>
        <w:t>. Further research would be needed to explore this complex relationship between wellbeing and justice thresholds. But for now, we think we can agree that conservation has contributed to producing some injustices for the Batwa, including the loss of essential freedoms for self-determination and current difficulties with meeting basic requirements for good physical health.</w:t>
      </w:r>
    </w:p>
    <w:p w:rsidR="00EC2F61" w:rsidRDefault="00EC2F61" w:rsidP="00454631">
      <w:pPr>
        <w:spacing w:line="360" w:lineRule="auto"/>
        <w:rPr>
          <w:rFonts w:ascii="Times New Roman" w:hAnsi="Times New Roman" w:cs="Times New Roman"/>
          <w:sz w:val="24"/>
          <w:szCs w:val="24"/>
        </w:rPr>
      </w:pPr>
      <w:r>
        <w:rPr>
          <w:rFonts w:ascii="Times New Roman" w:hAnsi="Times New Roman" w:cs="Times New Roman"/>
          <w:sz w:val="24"/>
          <w:szCs w:val="24"/>
        </w:rPr>
        <w:t xml:space="preserve">We might raise a utilitarian type objection here, by pointing to a greater good that is a consequence of successful conservation.  For example, the 2011 mountain gorilla census estimated a population of 400 in Bwindi, up from 300 in 1997. But seen through our framing of environmental justice it is hard to see how this in itself could be a satisfactory justification for </w:t>
      </w:r>
      <w:r w:rsidRPr="00454631">
        <w:rPr>
          <w:rFonts w:ascii="Times New Roman" w:hAnsi="Times New Roman" w:cs="Times New Roman"/>
          <w:i/>
          <w:iCs/>
          <w:sz w:val="24"/>
          <w:szCs w:val="24"/>
        </w:rPr>
        <w:t>allowing</w:t>
      </w:r>
      <w:r>
        <w:rPr>
          <w:rFonts w:ascii="Times New Roman" w:hAnsi="Times New Roman" w:cs="Times New Roman"/>
          <w:sz w:val="24"/>
          <w:szCs w:val="24"/>
        </w:rPr>
        <w:t xml:space="preserve"> harm to some local people. Contra utilitarianism, we have argued that aggregation of consequences does not make sense – that gains in utility for those who value gorilla conservation (or for gorillas themselves) cannot simply be aggregated with harms to local people to somehow argue that a net good has been achieved. To claim that the overall </w:t>
      </w:r>
      <w:r>
        <w:rPr>
          <w:rFonts w:ascii="Times New Roman" w:hAnsi="Times New Roman" w:cs="Times New Roman"/>
          <w:sz w:val="24"/>
          <w:szCs w:val="24"/>
        </w:rPr>
        <w:lastRenderedPageBreak/>
        <w:t xml:space="preserve">consequence is good is hard to argue rationally and a more sound conclusion is that </w:t>
      </w:r>
      <w:r w:rsidRPr="001D73EB">
        <w:rPr>
          <w:rFonts w:ascii="Times New Roman" w:hAnsi="Times New Roman" w:cs="Times New Roman"/>
          <w:sz w:val="24"/>
          <w:szCs w:val="24"/>
        </w:rPr>
        <w:t xml:space="preserve">conservation actions have simultaneously produced justices and injustices. </w:t>
      </w:r>
      <w:r>
        <w:rPr>
          <w:rFonts w:ascii="Times New Roman" w:hAnsi="Times New Roman" w:cs="Times New Roman"/>
          <w:sz w:val="24"/>
          <w:szCs w:val="24"/>
        </w:rPr>
        <w:t xml:space="preserve">We might even take this a step further and suggest that utilitarian framings of justice are implicated in the production of those injustices in the first place. At least in our experience, conservation interventions are generally conducted in good faith by professionals driven by a sense of doing right. This sense appears to be driven by faith in a particular (utilitarian) model of justice that holds that conservation consequences justify their means. It is this model of justice that has allowed government and NGO conservation agencies to not strive to protect the rights of some local people, even when such striving could surely have been done – and still could be - without detriment to the conservation cause. </w:t>
      </w:r>
    </w:p>
    <w:p w:rsidR="00EC2F61" w:rsidRDefault="00EC2F61" w:rsidP="00F54FFE">
      <w:pPr>
        <w:spacing w:line="360" w:lineRule="auto"/>
        <w:rPr>
          <w:rFonts w:ascii="Times New Roman" w:hAnsi="Times New Roman" w:cs="Times New Roman"/>
          <w:sz w:val="24"/>
          <w:szCs w:val="24"/>
        </w:rPr>
      </w:pPr>
      <w:r>
        <w:rPr>
          <w:rFonts w:ascii="Times New Roman" w:hAnsi="Times New Roman" w:cs="Times New Roman"/>
          <w:sz w:val="24"/>
          <w:szCs w:val="24"/>
        </w:rPr>
        <w:t xml:space="preserve">Responding to injustices will require some deep-seated transformations in the way that conservation operates in locations such as Bwindi, including attention to the fundamental question of whose ideas about justice dominate and at whose expense. But we also see some relatively straight forward ways in which injustices can be addressed. One example from our case study is to ensure that alternatives to tourism benefits (such as MUZs) are properly targeted. Another is to invest more in the level and quality of consultation activities. For the Batwa, we would say that there is a case for greatly scaling up attempts to improve both material and social conditions. This will require material resources linked to support for community decision-making about solutions to current problems, and a more open approach to deliberations about Batwa access to park resources and spiritual sites. </w:t>
      </w:r>
    </w:p>
    <w:p w:rsidR="00EC2F61" w:rsidRDefault="00EC2F61" w:rsidP="00F426DC">
      <w:pPr>
        <w:spacing w:line="360" w:lineRule="auto"/>
        <w:rPr>
          <w:rFonts w:ascii="Times New Roman" w:hAnsi="Times New Roman" w:cs="Times New Roman"/>
          <w:sz w:val="24"/>
          <w:szCs w:val="24"/>
        </w:rPr>
      </w:pPr>
      <w:r>
        <w:rPr>
          <w:rFonts w:ascii="Times New Roman" w:hAnsi="Times New Roman" w:cs="Times New Roman"/>
          <w:sz w:val="24"/>
          <w:szCs w:val="24"/>
        </w:rPr>
        <w:t xml:space="preserve">There is now widespread support for incorporating justice concerns into conservation practice, as reflected for example in the so-called ‘new conservation’ debate  </w:t>
      </w:r>
      <w:r>
        <w:rPr>
          <w:rFonts w:ascii="Times New Roman" w:hAnsi="Times New Roman" w:cs="Times New Roman"/>
          <w:noProof/>
          <w:sz w:val="24"/>
          <w:szCs w:val="24"/>
        </w:rPr>
        <w:t>(Minteer and Miller, 2011)</w:t>
      </w:r>
      <w:r>
        <w:rPr>
          <w:rFonts w:ascii="Times New Roman" w:hAnsi="Times New Roman" w:cs="Times New Roman"/>
          <w:sz w:val="24"/>
          <w:szCs w:val="24"/>
        </w:rPr>
        <w:t xml:space="preserve">, and in the interest in rights-based approaches amongst practitioners </w:t>
      </w:r>
      <w:r>
        <w:rPr>
          <w:rFonts w:ascii="Times New Roman" w:hAnsi="Times New Roman" w:cs="Times New Roman"/>
          <w:noProof/>
          <w:sz w:val="24"/>
          <w:szCs w:val="24"/>
        </w:rPr>
        <w:t>(Kashwan, 2013)</w:t>
      </w:r>
      <w:r>
        <w:rPr>
          <w:rFonts w:ascii="Times New Roman" w:hAnsi="Times New Roman" w:cs="Times New Roman"/>
          <w:sz w:val="24"/>
          <w:szCs w:val="24"/>
        </w:rPr>
        <w:t xml:space="preserve">. But the political ecology literature still reveals a need for conservation to get serious about environmental justice. We believe that this will require, amongst other things, progress towards developing frameworks and tools that will help practitioners, activists and scholars to render explicit the relevant justice dimensions and principles at play in particular contexts. Whilst this is challenging due to the context-specific and plural nature of justice thinking, such framings are necessary if we are to develop useful ways of assessing justice in conservation. Indeed, as we began this paper saying, the conservation community cannot really claim to take justice seriously until it has developed approaches for assessing justice impacts. This paper has contributed to this challenge, by bringing literatures on environmental justice and political philosophy into a framing of the social impacts of </w:t>
      </w:r>
      <w:r>
        <w:rPr>
          <w:rFonts w:ascii="Times New Roman" w:hAnsi="Times New Roman" w:cs="Times New Roman"/>
          <w:sz w:val="24"/>
          <w:szCs w:val="24"/>
        </w:rPr>
        <w:lastRenderedPageBreak/>
        <w:t>conservation and demonstrating the utility of this framework through a case application. This may prove to be only a first cut at the problem at hand, but hopefully one that will stimulate debate about how we make progress in operationalising current commitment to a more just conservation.</w:t>
      </w:r>
    </w:p>
    <w:p w:rsidR="00211C03" w:rsidRDefault="00EC2F61" w:rsidP="004F55FB">
      <w:pPr>
        <w:spacing w:line="360" w:lineRule="auto"/>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Figure 1. Environmental Justice and Wellbeing</w:t>
      </w:r>
    </w:p>
    <w:p w:rsidR="00EC2F61" w:rsidRDefault="00211C03" w:rsidP="004F55FB">
      <w:pPr>
        <w:spacing w:line="360" w:lineRule="auto"/>
        <w:rPr>
          <w:rFonts w:ascii="Arial" w:hAnsi="Arial" w:cs="Arial"/>
          <w:color w:val="222222"/>
          <w:sz w:val="20"/>
          <w:szCs w:val="20"/>
        </w:rPr>
      </w:pPr>
      <w:r w:rsidRPr="00211C03">
        <w:rPr>
          <w:rFonts w:ascii="Times New Roman" w:hAnsi="Times New Roman" w:cs="Times New Roman"/>
          <w:noProof/>
          <w:sz w:val="24"/>
          <w:szCs w:val="24"/>
          <w:lang w:eastAsia="en-GB"/>
        </w:rPr>
        <w:drawing>
          <wp:inline distT="0" distB="0" distL="0" distR="0">
            <wp:extent cx="5731510" cy="2190226"/>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2190226"/>
                    </a:xfrm>
                    <a:prstGeom prst="rect">
                      <a:avLst/>
                    </a:prstGeom>
                    <a:noFill/>
                    <a:ln>
                      <a:noFill/>
                    </a:ln>
                  </pic:spPr>
                </pic:pic>
              </a:graphicData>
            </a:graphic>
          </wp:inline>
        </w:drawing>
      </w:r>
      <w:bookmarkStart w:id="0" w:name="_GoBack"/>
      <w:bookmarkEnd w:id="0"/>
      <w:r w:rsidR="00EC2F61">
        <w:rPr>
          <w:rFonts w:ascii="Times New Roman" w:hAnsi="Times New Roman" w:cs="Times New Roman"/>
          <w:sz w:val="24"/>
          <w:szCs w:val="24"/>
        </w:rPr>
        <w:br w:type="page"/>
      </w:r>
    </w:p>
    <w:p w:rsidR="00EC2F61" w:rsidRDefault="00EC2F61">
      <w:pPr>
        <w:spacing w:after="120" w:line="360" w:lineRule="auto"/>
        <w:rPr>
          <w:rFonts w:ascii="Arial" w:hAnsi="Arial" w:cs="Arial"/>
          <w:color w:val="222222"/>
          <w:sz w:val="20"/>
          <w:szCs w:val="20"/>
        </w:rPr>
      </w:pPr>
    </w:p>
    <w:p w:rsidR="00EC2F61" w:rsidRPr="00F426DC" w:rsidRDefault="00EC2F61" w:rsidP="00F426DC">
      <w:pPr>
        <w:spacing w:after="0"/>
        <w:jc w:val="center"/>
        <w:rPr>
          <w:rFonts w:cs="Arial"/>
          <w:b/>
          <w:noProof/>
          <w:color w:val="222222"/>
          <w:szCs w:val="20"/>
        </w:rPr>
      </w:pPr>
      <w:r w:rsidRPr="00F426DC">
        <w:rPr>
          <w:rFonts w:cs="Arial"/>
          <w:b/>
          <w:noProof/>
          <w:color w:val="222222"/>
          <w:szCs w:val="20"/>
        </w:rPr>
        <w:t>References</w:t>
      </w:r>
    </w:p>
    <w:p w:rsidR="00EC2F61" w:rsidRPr="00F426DC" w:rsidRDefault="00EC2F61" w:rsidP="00F426DC">
      <w:pPr>
        <w:spacing w:after="0"/>
        <w:jc w:val="center"/>
        <w:rPr>
          <w:rFonts w:cs="Arial"/>
          <w:b/>
          <w:noProof/>
          <w:color w:val="222222"/>
          <w:szCs w:val="20"/>
        </w:rPr>
      </w:pPr>
    </w:p>
    <w:p w:rsidR="00EC2F61" w:rsidRPr="00F426DC" w:rsidRDefault="00EC2F61" w:rsidP="00F426DC">
      <w:pPr>
        <w:spacing w:after="0" w:line="240" w:lineRule="auto"/>
        <w:rPr>
          <w:rFonts w:cs="Arial"/>
          <w:noProof/>
          <w:color w:val="222222"/>
          <w:szCs w:val="20"/>
        </w:rPr>
      </w:pPr>
      <w:bookmarkStart w:id="1" w:name="_ENREF_1"/>
      <w:r w:rsidRPr="00F426DC">
        <w:rPr>
          <w:rFonts w:cs="Arial"/>
          <w:noProof/>
          <w:color w:val="222222"/>
          <w:szCs w:val="20"/>
        </w:rPr>
        <w:t>Adams, W.M., Infield, M., (2001) Park outreach and gorilla conservation: Mgahinga Gorilla National Park, Uganda, in: Hulme, D., Murphree, M. (Eds.), African Wildlife and Livelihoods: The Promise and Performance of Community Conservation. James Currey Ltd, Oxford, pp. 131-147.</w:t>
      </w:r>
      <w:bookmarkEnd w:id="1"/>
    </w:p>
    <w:p w:rsidR="00EC2F61" w:rsidRPr="00F426DC" w:rsidRDefault="00EC2F61" w:rsidP="00F426DC">
      <w:pPr>
        <w:spacing w:after="0" w:line="240" w:lineRule="auto"/>
        <w:rPr>
          <w:rFonts w:cs="Arial"/>
          <w:noProof/>
          <w:color w:val="222222"/>
          <w:szCs w:val="20"/>
        </w:rPr>
      </w:pPr>
      <w:bookmarkStart w:id="2" w:name="_ENREF_2"/>
      <w:r w:rsidRPr="00F426DC">
        <w:rPr>
          <w:rFonts w:cs="Arial"/>
          <w:noProof/>
          <w:color w:val="222222"/>
          <w:szCs w:val="20"/>
        </w:rPr>
        <w:t>Adams, W.M., Infield, M. (2003) Who is on the Gorilla's payroll? Claims on tourist revenue from a Ugandan National Park. World development 31, 177-190.</w:t>
      </w:r>
      <w:bookmarkEnd w:id="2"/>
    </w:p>
    <w:p w:rsidR="00EC2F61" w:rsidRPr="00F426DC" w:rsidRDefault="00EC2F61" w:rsidP="00F426DC">
      <w:pPr>
        <w:spacing w:after="0" w:line="240" w:lineRule="auto"/>
        <w:rPr>
          <w:rFonts w:cs="Arial"/>
          <w:noProof/>
          <w:color w:val="222222"/>
          <w:szCs w:val="20"/>
        </w:rPr>
      </w:pPr>
      <w:bookmarkStart w:id="3" w:name="_ENREF_3"/>
      <w:r w:rsidRPr="00F426DC">
        <w:rPr>
          <w:rFonts w:cs="Arial"/>
          <w:noProof/>
          <w:color w:val="222222"/>
          <w:szCs w:val="20"/>
        </w:rPr>
        <w:t>Ahebwa, W.M., van der Duim, R., Sandbrook, C. (2012) Tourism revenue sharing policy at Bwindi Impenetrable National Park, Uganda: a policy arrangements approach. Journal of Sustainable Tourism 20, 377-394.</w:t>
      </w:r>
      <w:bookmarkEnd w:id="3"/>
    </w:p>
    <w:p w:rsidR="00EC2F61" w:rsidRPr="00F426DC" w:rsidRDefault="00EC2F61" w:rsidP="00F426DC">
      <w:pPr>
        <w:spacing w:after="0" w:line="240" w:lineRule="auto"/>
        <w:rPr>
          <w:rFonts w:cs="Arial"/>
          <w:noProof/>
          <w:color w:val="222222"/>
          <w:szCs w:val="20"/>
        </w:rPr>
      </w:pPr>
      <w:bookmarkStart w:id="4" w:name="_ENREF_4"/>
      <w:r w:rsidRPr="00F426DC">
        <w:rPr>
          <w:rFonts w:cs="Arial"/>
          <w:noProof/>
          <w:color w:val="222222"/>
          <w:szCs w:val="20"/>
        </w:rPr>
        <w:t>Baker, J., Milner-Gulland, E., Leader-Williams, N. (2012) Park Gazettement and Integrated Conservation and Development as Factors in Community Conflict at Bwindi Impenetrable Forest, Uganda. Conservation Biology 26, 160-170.</w:t>
      </w:r>
      <w:bookmarkEnd w:id="4"/>
    </w:p>
    <w:p w:rsidR="00EC2F61" w:rsidRPr="00F426DC" w:rsidRDefault="00EC2F61" w:rsidP="00F426DC">
      <w:pPr>
        <w:spacing w:after="0" w:line="240" w:lineRule="auto"/>
        <w:rPr>
          <w:rFonts w:cs="Arial"/>
          <w:noProof/>
          <w:color w:val="222222"/>
          <w:szCs w:val="20"/>
        </w:rPr>
      </w:pPr>
      <w:bookmarkStart w:id="5" w:name="_ENREF_5"/>
      <w:r w:rsidRPr="00F426DC">
        <w:rPr>
          <w:rFonts w:cs="Arial"/>
          <w:noProof/>
          <w:color w:val="222222"/>
          <w:szCs w:val="20"/>
        </w:rPr>
        <w:t>Bentham, J. (1789) An introduction to the principles of morals and legislation. The Clarendon Press, Oxford.</w:t>
      </w:r>
      <w:bookmarkEnd w:id="5"/>
    </w:p>
    <w:p w:rsidR="00EC2F61" w:rsidRPr="00F426DC" w:rsidRDefault="00EC2F61" w:rsidP="00F426DC">
      <w:pPr>
        <w:spacing w:after="0" w:line="240" w:lineRule="auto"/>
        <w:rPr>
          <w:rFonts w:cs="Arial"/>
          <w:noProof/>
          <w:color w:val="222222"/>
          <w:szCs w:val="20"/>
        </w:rPr>
      </w:pPr>
      <w:bookmarkStart w:id="6" w:name="_ENREF_6"/>
      <w:r w:rsidRPr="00F426DC">
        <w:rPr>
          <w:rFonts w:cs="Arial"/>
          <w:noProof/>
          <w:color w:val="222222"/>
          <w:szCs w:val="20"/>
        </w:rPr>
        <w:t>BirdLife International, (2011) An Introduction to Conservation and Human Rights for BirdLife Partners. BirdLife International, Cambridge.</w:t>
      </w:r>
      <w:bookmarkEnd w:id="6"/>
    </w:p>
    <w:p w:rsidR="00EC2F61" w:rsidRPr="00F426DC" w:rsidRDefault="00EC2F61" w:rsidP="00F426DC">
      <w:pPr>
        <w:spacing w:after="0" w:line="240" w:lineRule="auto"/>
        <w:rPr>
          <w:rFonts w:cs="Arial"/>
          <w:noProof/>
          <w:color w:val="222222"/>
          <w:szCs w:val="20"/>
        </w:rPr>
      </w:pPr>
      <w:bookmarkStart w:id="7" w:name="_ENREF_7"/>
      <w:r w:rsidRPr="00F426DC">
        <w:rPr>
          <w:rFonts w:cs="Arial"/>
          <w:noProof/>
          <w:color w:val="222222"/>
          <w:szCs w:val="20"/>
        </w:rPr>
        <w:t>Blomley, T., (2003) Natural resource conflict management: The case of Bwindi Impenetrable and Mgahinga Gorilla National Parks, southwestern Uganda, in: Castro, A., Nielsen, E. (Eds.), Natural Resource Conflict Management Case Studies: An Analysis of Power, Participation and Protected Areas. FAO, Rome, pp. 231-250.</w:t>
      </w:r>
      <w:bookmarkEnd w:id="7"/>
    </w:p>
    <w:p w:rsidR="00EC2F61" w:rsidRPr="00F426DC" w:rsidRDefault="00EC2F61" w:rsidP="00F426DC">
      <w:pPr>
        <w:spacing w:after="0" w:line="240" w:lineRule="auto"/>
        <w:rPr>
          <w:rFonts w:cs="Arial"/>
          <w:noProof/>
          <w:color w:val="222222"/>
          <w:szCs w:val="20"/>
        </w:rPr>
      </w:pPr>
      <w:bookmarkStart w:id="8" w:name="_ENREF_8"/>
      <w:r w:rsidRPr="00F426DC">
        <w:rPr>
          <w:rFonts w:cs="Arial"/>
          <w:noProof/>
          <w:color w:val="222222"/>
          <w:szCs w:val="20"/>
        </w:rPr>
        <w:t>Blomley, T., Namara, A., McNeilage, A., Franks, P., Rainer, H., Donaldson, A., Malpas, R., Olupot, W., Baker, J., Sandbrook, C., Infield, M., (2010) Development AND Gorillas? Assessing fifteen years of integrated conservation and development in south-western Uganda, Natural Resource Issues, No 23. IIED, London.</w:t>
      </w:r>
      <w:bookmarkEnd w:id="8"/>
    </w:p>
    <w:p w:rsidR="00EC2F61" w:rsidRPr="00F426DC" w:rsidRDefault="00EC2F61" w:rsidP="00F426DC">
      <w:pPr>
        <w:spacing w:after="0" w:line="240" w:lineRule="auto"/>
        <w:rPr>
          <w:rFonts w:cs="Arial"/>
          <w:noProof/>
          <w:color w:val="222222"/>
          <w:szCs w:val="20"/>
        </w:rPr>
      </w:pPr>
      <w:bookmarkStart w:id="9" w:name="_ENREF_9"/>
      <w:r w:rsidRPr="00F426DC">
        <w:rPr>
          <w:rFonts w:cs="Arial"/>
          <w:noProof/>
          <w:color w:val="222222"/>
          <w:szCs w:val="20"/>
        </w:rPr>
        <w:t>Brock, G. (2009) Global justice: A cosmopolitan account. Oxford University Press, Oxford.</w:t>
      </w:r>
      <w:bookmarkEnd w:id="9"/>
    </w:p>
    <w:p w:rsidR="00EC2F61" w:rsidRPr="00F426DC" w:rsidRDefault="00EC2F61" w:rsidP="00F426DC">
      <w:pPr>
        <w:spacing w:after="0" w:line="240" w:lineRule="auto"/>
        <w:rPr>
          <w:rFonts w:cs="Arial"/>
          <w:noProof/>
          <w:color w:val="222222"/>
          <w:szCs w:val="20"/>
        </w:rPr>
      </w:pPr>
      <w:bookmarkStart w:id="10" w:name="_ENREF_10"/>
      <w:r w:rsidRPr="00F426DC">
        <w:rPr>
          <w:rFonts w:cs="Arial"/>
          <w:noProof/>
          <w:color w:val="222222"/>
          <w:szCs w:val="20"/>
        </w:rPr>
        <w:t>Brockington, D., Igoe, J. (2006) Eviction for conservation: A global overview. Conservation and Society 4, 424-470.</w:t>
      </w:r>
      <w:bookmarkEnd w:id="10"/>
    </w:p>
    <w:p w:rsidR="00EC2F61" w:rsidRPr="00F426DC" w:rsidRDefault="00EC2F61" w:rsidP="00F426DC">
      <w:pPr>
        <w:spacing w:after="0" w:line="240" w:lineRule="auto"/>
        <w:rPr>
          <w:rFonts w:cs="Arial"/>
          <w:noProof/>
          <w:color w:val="222222"/>
          <w:szCs w:val="20"/>
        </w:rPr>
      </w:pPr>
      <w:bookmarkStart w:id="11" w:name="_ENREF_11"/>
      <w:r w:rsidRPr="00F426DC">
        <w:rPr>
          <w:rFonts w:cs="Arial" w:hint="eastAsia"/>
          <w:noProof/>
          <w:color w:val="222222"/>
          <w:szCs w:val="20"/>
        </w:rPr>
        <w:t>Brockington, D., Igoe, J., SCHMIDT</w:t>
      </w:r>
      <w:r w:rsidRPr="00F426DC">
        <w:rPr>
          <w:rFonts w:cs="Arial" w:hint="eastAsia"/>
          <w:noProof/>
          <w:color w:val="222222"/>
          <w:szCs w:val="20"/>
        </w:rPr>
        <w:t>‐</w:t>
      </w:r>
      <w:r w:rsidRPr="00F426DC">
        <w:rPr>
          <w:rFonts w:cs="Arial" w:hint="eastAsia"/>
          <w:noProof/>
          <w:color w:val="222222"/>
          <w:szCs w:val="20"/>
        </w:rPr>
        <w:t>SOLTAU, K. (2006) Conservation, human rights, and poverty reduc</w:t>
      </w:r>
      <w:r w:rsidRPr="00F426DC">
        <w:rPr>
          <w:rFonts w:cs="Arial"/>
          <w:noProof/>
          <w:color w:val="222222"/>
          <w:szCs w:val="20"/>
        </w:rPr>
        <w:t>tion. Conservation Biology 20, 250-252.</w:t>
      </w:r>
      <w:bookmarkEnd w:id="11"/>
    </w:p>
    <w:p w:rsidR="00EC2F61" w:rsidRPr="00F426DC" w:rsidRDefault="00EC2F61" w:rsidP="00F426DC">
      <w:pPr>
        <w:spacing w:after="0" w:line="240" w:lineRule="auto"/>
        <w:rPr>
          <w:rFonts w:cs="Arial"/>
          <w:noProof/>
          <w:color w:val="222222"/>
          <w:szCs w:val="20"/>
        </w:rPr>
      </w:pPr>
      <w:bookmarkStart w:id="12" w:name="_ENREF_12"/>
      <w:r w:rsidRPr="00F426DC">
        <w:rPr>
          <w:rFonts w:cs="Arial"/>
          <w:noProof/>
          <w:color w:val="222222"/>
          <w:szCs w:val="20"/>
        </w:rPr>
        <w:t>Brosius, J.P., Hitchner, S.L. (2010) Cultural diversity and conservation. International Social Science Journal 61, 141-168.</w:t>
      </w:r>
      <w:bookmarkEnd w:id="12"/>
    </w:p>
    <w:p w:rsidR="00EC2F61" w:rsidRPr="00F426DC" w:rsidRDefault="00EC2F61" w:rsidP="00F426DC">
      <w:pPr>
        <w:spacing w:after="0" w:line="240" w:lineRule="auto"/>
        <w:rPr>
          <w:rFonts w:cs="Arial"/>
          <w:noProof/>
          <w:color w:val="222222"/>
          <w:szCs w:val="20"/>
        </w:rPr>
      </w:pPr>
      <w:bookmarkStart w:id="13" w:name="_ENREF_13"/>
      <w:r w:rsidRPr="00F426DC">
        <w:rPr>
          <w:rFonts w:cs="Arial"/>
          <w:noProof/>
          <w:color w:val="222222"/>
          <w:szCs w:val="20"/>
        </w:rPr>
        <w:t>Bush, G., Mwesigwa, R., (2008) Costs and benefits from protected areas, Action research project–Bwindi Impenetrable Forest National Park, Uganda. CARE International, Uganda.</w:t>
      </w:r>
      <w:bookmarkEnd w:id="13"/>
    </w:p>
    <w:p w:rsidR="00EC2F61" w:rsidRPr="00F426DC" w:rsidRDefault="00EC2F61" w:rsidP="00F426DC">
      <w:pPr>
        <w:spacing w:after="0" w:line="240" w:lineRule="auto"/>
        <w:rPr>
          <w:rFonts w:cs="Arial"/>
          <w:noProof/>
          <w:color w:val="222222"/>
          <w:szCs w:val="20"/>
        </w:rPr>
      </w:pPr>
      <w:bookmarkStart w:id="14" w:name="_ENREF_14"/>
      <w:r w:rsidRPr="00F426DC">
        <w:rPr>
          <w:rFonts w:cs="Arial"/>
          <w:noProof/>
          <w:color w:val="222222"/>
          <w:szCs w:val="20"/>
        </w:rPr>
        <w:t>Cardinale, B.J., Duffy, J.E., Gonzalez, A., Hooper, D.U., Perrings, C., Venail, P., Narwani, A., Mace, G.M., Tilman, D., Wardle, D.A. (2012) Biodiversity loss and its impact on humanity. Nature 486, 59-67.</w:t>
      </w:r>
      <w:bookmarkEnd w:id="14"/>
    </w:p>
    <w:p w:rsidR="00EC2F61" w:rsidRPr="00F426DC" w:rsidRDefault="00EC2F61" w:rsidP="00F426DC">
      <w:pPr>
        <w:spacing w:after="0" w:line="240" w:lineRule="auto"/>
        <w:rPr>
          <w:rFonts w:cs="Arial"/>
          <w:noProof/>
          <w:color w:val="222222"/>
          <w:szCs w:val="20"/>
        </w:rPr>
      </w:pPr>
      <w:bookmarkStart w:id="15" w:name="_ENREF_15"/>
      <w:r w:rsidRPr="00F426DC">
        <w:rPr>
          <w:rFonts w:cs="Arial"/>
          <w:noProof/>
          <w:color w:val="222222"/>
          <w:szCs w:val="20"/>
        </w:rPr>
        <w:t xml:space="preserve">CIHR, (2010) Conservation and Human Rights Framework, </w:t>
      </w:r>
      <w:r w:rsidRPr="00EC2F61">
        <w:rPr>
          <w:rFonts w:cs="Arial"/>
          <w:noProof/>
          <w:color w:val="222222"/>
          <w:szCs w:val="20"/>
        </w:rPr>
        <w:t>http://cmsdata.iucn.org/downloads/cihr_framework_e_sept2010_1.pdf</w:t>
      </w:r>
      <w:r w:rsidRPr="00F426DC">
        <w:rPr>
          <w:rFonts w:cs="Arial"/>
          <w:noProof/>
          <w:color w:val="222222"/>
          <w:szCs w:val="20"/>
        </w:rPr>
        <w:t>.</w:t>
      </w:r>
      <w:bookmarkEnd w:id="15"/>
    </w:p>
    <w:p w:rsidR="00EC2F61" w:rsidRPr="00F426DC" w:rsidRDefault="00EC2F61" w:rsidP="00F426DC">
      <w:pPr>
        <w:spacing w:after="0" w:line="240" w:lineRule="auto"/>
        <w:rPr>
          <w:rFonts w:cs="Arial"/>
          <w:noProof/>
          <w:color w:val="222222"/>
          <w:szCs w:val="20"/>
        </w:rPr>
      </w:pPr>
      <w:bookmarkStart w:id="16" w:name="_ENREF_16"/>
      <w:r w:rsidRPr="00F426DC">
        <w:rPr>
          <w:rFonts w:cs="Arial"/>
          <w:noProof/>
          <w:color w:val="222222"/>
          <w:szCs w:val="20"/>
        </w:rPr>
        <w:t>Corbridge, S. (1993) Marxisms, modernities, and moralities: development praxis and the claims of distant strangers. Environment and Planning D 11, 449-449.</w:t>
      </w:r>
      <w:bookmarkEnd w:id="16"/>
    </w:p>
    <w:p w:rsidR="00EC2F61" w:rsidRPr="00F426DC" w:rsidRDefault="00EC2F61" w:rsidP="00F426DC">
      <w:pPr>
        <w:spacing w:after="0" w:line="240" w:lineRule="auto"/>
        <w:rPr>
          <w:rFonts w:cs="Arial"/>
          <w:noProof/>
          <w:color w:val="222222"/>
          <w:szCs w:val="20"/>
        </w:rPr>
      </w:pPr>
      <w:bookmarkStart w:id="17" w:name="_ENREF_17"/>
      <w:r w:rsidRPr="00F426DC">
        <w:rPr>
          <w:rFonts w:cs="Arial"/>
          <w:noProof/>
          <w:color w:val="222222"/>
          <w:szCs w:val="20"/>
        </w:rPr>
        <w:t>Davies, R., Smith, W. (1998) The Basic Necessities Survey: The Experience of Action Aid Vietnam. Action Aid, London.</w:t>
      </w:r>
      <w:bookmarkEnd w:id="17"/>
    </w:p>
    <w:p w:rsidR="00EC2F61" w:rsidRPr="00F426DC" w:rsidRDefault="00EC2F61" w:rsidP="00F426DC">
      <w:pPr>
        <w:spacing w:after="0" w:line="240" w:lineRule="auto"/>
        <w:rPr>
          <w:rFonts w:cs="Arial"/>
          <w:noProof/>
          <w:color w:val="222222"/>
          <w:szCs w:val="20"/>
        </w:rPr>
      </w:pPr>
      <w:bookmarkStart w:id="18" w:name="_ENREF_18"/>
      <w:r w:rsidRPr="00F426DC">
        <w:rPr>
          <w:rFonts w:cs="Arial"/>
          <w:noProof/>
          <w:color w:val="222222"/>
          <w:szCs w:val="20"/>
        </w:rPr>
        <w:t>Davis, A., Ruddle, K. (2012) Massaging the Misery: Recent Approaches to Fisheries Governance and the Betrayal of Small-Scale Fisheries. Human Organization 71, 244-254.</w:t>
      </w:r>
      <w:bookmarkEnd w:id="18"/>
    </w:p>
    <w:p w:rsidR="00EC2F61" w:rsidRPr="00F426DC" w:rsidRDefault="00EC2F61" w:rsidP="00F426DC">
      <w:pPr>
        <w:spacing w:after="0" w:line="240" w:lineRule="auto"/>
        <w:rPr>
          <w:rFonts w:cs="Arial"/>
          <w:noProof/>
          <w:color w:val="222222"/>
          <w:szCs w:val="20"/>
        </w:rPr>
      </w:pPr>
      <w:bookmarkStart w:id="19" w:name="_ENREF_19"/>
      <w:r w:rsidRPr="00F426DC">
        <w:rPr>
          <w:rFonts w:cs="Arial"/>
          <w:noProof/>
          <w:color w:val="222222"/>
          <w:szCs w:val="20"/>
        </w:rPr>
        <w:t>De Jonge, B. (2011) What is Fair and Equitable Benefit-sharing? Journal of agricultural and environmental ethics 24, 127-146.</w:t>
      </w:r>
      <w:bookmarkEnd w:id="19"/>
    </w:p>
    <w:p w:rsidR="00EC2F61" w:rsidRPr="00F426DC" w:rsidRDefault="00EC2F61" w:rsidP="00F426DC">
      <w:pPr>
        <w:spacing w:after="0" w:line="240" w:lineRule="auto"/>
        <w:rPr>
          <w:rFonts w:cs="Arial"/>
          <w:noProof/>
          <w:color w:val="222222"/>
          <w:szCs w:val="20"/>
        </w:rPr>
      </w:pPr>
      <w:bookmarkStart w:id="20" w:name="_ENREF_20"/>
      <w:r w:rsidRPr="00F426DC">
        <w:rPr>
          <w:rFonts w:cs="Arial"/>
          <w:noProof/>
          <w:color w:val="222222"/>
          <w:szCs w:val="20"/>
        </w:rPr>
        <w:t>Deutsch, M., (2011) Justice and conﬂict, in: Deutsch, M., Coleman, P. (Eds.), The handbook of conflict resolution: Theory and practice. Jossey-Bas Publishers, San Francisco, pp. 41-64.</w:t>
      </w:r>
      <w:bookmarkEnd w:id="20"/>
    </w:p>
    <w:p w:rsidR="00EC2F61" w:rsidRPr="00F426DC" w:rsidRDefault="00EC2F61" w:rsidP="00F426DC">
      <w:pPr>
        <w:spacing w:after="0" w:line="240" w:lineRule="auto"/>
        <w:rPr>
          <w:rFonts w:cs="Arial"/>
          <w:noProof/>
          <w:color w:val="222222"/>
          <w:szCs w:val="20"/>
        </w:rPr>
      </w:pPr>
      <w:bookmarkStart w:id="21" w:name="_ENREF_21"/>
      <w:r w:rsidRPr="00F426DC">
        <w:rPr>
          <w:rFonts w:cs="Arial"/>
          <w:noProof/>
          <w:color w:val="222222"/>
          <w:szCs w:val="20"/>
        </w:rPr>
        <w:t>Doyal, L., Gough, I. (1991) A theory of human need. Palgrave Macmillan.</w:t>
      </w:r>
      <w:bookmarkEnd w:id="21"/>
    </w:p>
    <w:p w:rsidR="00EC2F61" w:rsidRPr="00F426DC" w:rsidRDefault="00EC2F61" w:rsidP="00F426DC">
      <w:pPr>
        <w:spacing w:after="0" w:line="240" w:lineRule="auto"/>
        <w:rPr>
          <w:rFonts w:cs="Arial"/>
          <w:noProof/>
          <w:color w:val="222222"/>
          <w:szCs w:val="20"/>
        </w:rPr>
      </w:pPr>
      <w:bookmarkStart w:id="22" w:name="_ENREF_22"/>
      <w:r w:rsidRPr="00F426DC">
        <w:rPr>
          <w:rFonts w:cs="Arial"/>
          <w:noProof/>
          <w:color w:val="222222"/>
          <w:szCs w:val="20"/>
        </w:rPr>
        <w:lastRenderedPageBreak/>
        <w:t>Duffy, R. (2010) Nature Crime: How we're getting conservation wrong. Yale University Press.</w:t>
      </w:r>
      <w:bookmarkEnd w:id="22"/>
    </w:p>
    <w:p w:rsidR="00EC2F61" w:rsidRPr="00F426DC" w:rsidRDefault="00EC2F61" w:rsidP="00F426DC">
      <w:pPr>
        <w:spacing w:after="0" w:line="240" w:lineRule="auto"/>
        <w:rPr>
          <w:rFonts w:cs="Arial"/>
          <w:noProof/>
          <w:color w:val="222222"/>
          <w:szCs w:val="20"/>
        </w:rPr>
      </w:pPr>
      <w:bookmarkStart w:id="23" w:name="_ENREF_23"/>
      <w:r w:rsidRPr="00F426DC">
        <w:rPr>
          <w:rFonts w:cs="Arial"/>
          <w:noProof/>
          <w:color w:val="222222"/>
          <w:szCs w:val="20"/>
        </w:rPr>
        <w:t>Ellis, E.A., Porter-Bolland, L. (2008) Is community-based forest management more effective than protected areas?: A comparison of land use/land cover change in two neighboring study areas of the Central Yucatan Peninsula, Mexico. Forest ecology and management 256, 1971-1983.</w:t>
      </w:r>
      <w:bookmarkEnd w:id="23"/>
    </w:p>
    <w:p w:rsidR="00EC2F61" w:rsidRPr="00F426DC" w:rsidRDefault="00EC2F61" w:rsidP="00F426DC">
      <w:pPr>
        <w:spacing w:after="0" w:line="240" w:lineRule="auto"/>
        <w:rPr>
          <w:rFonts w:cs="Arial"/>
          <w:noProof/>
          <w:color w:val="222222"/>
          <w:szCs w:val="20"/>
        </w:rPr>
      </w:pPr>
      <w:bookmarkStart w:id="24" w:name="_ENREF_24"/>
      <w:r w:rsidRPr="00F426DC">
        <w:rPr>
          <w:rFonts w:cs="Arial"/>
          <w:noProof/>
          <w:color w:val="222222"/>
          <w:szCs w:val="20"/>
        </w:rPr>
        <w:t>Emerton, L., (2001) The nature of benefits and the benefits of nature: Why wildlife conservation has not economically benefited communities in Africa, in: Hulme, D., Murphree, M. (Eds.), African Wildlife and Livelihoods: The Promise and Performance of Community Conservation. James Currey Ltd, Oxford, pp. 208-226.</w:t>
      </w:r>
      <w:bookmarkEnd w:id="24"/>
    </w:p>
    <w:p w:rsidR="00EC2F61" w:rsidRPr="00F426DC" w:rsidRDefault="00EC2F61" w:rsidP="00F426DC">
      <w:pPr>
        <w:spacing w:after="0" w:line="240" w:lineRule="auto"/>
        <w:rPr>
          <w:rFonts w:cs="Arial"/>
          <w:noProof/>
          <w:color w:val="222222"/>
          <w:szCs w:val="20"/>
        </w:rPr>
      </w:pPr>
      <w:bookmarkStart w:id="25" w:name="_ENREF_25"/>
      <w:r w:rsidRPr="00F426DC">
        <w:rPr>
          <w:rFonts w:cs="Arial"/>
          <w:noProof/>
          <w:color w:val="222222"/>
          <w:szCs w:val="20"/>
        </w:rPr>
        <w:t>Ferraro, P.J. (2001) Global habitat protection: Limitations of development interventions and a role for conservation performance payments. Conservation Biology 15, 990-1000.</w:t>
      </w:r>
      <w:bookmarkEnd w:id="25"/>
    </w:p>
    <w:p w:rsidR="00EC2F61" w:rsidRPr="00F426DC" w:rsidRDefault="00EC2F61" w:rsidP="00F426DC">
      <w:pPr>
        <w:spacing w:after="0" w:line="240" w:lineRule="auto"/>
        <w:rPr>
          <w:rFonts w:cs="Arial"/>
          <w:noProof/>
          <w:color w:val="222222"/>
          <w:szCs w:val="20"/>
        </w:rPr>
      </w:pPr>
      <w:bookmarkStart w:id="26" w:name="_ENREF_26"/>
      <w:r w:rsidRPr="00F426DC">
        <w:rPr>
          <w:rFonts w:cs="Arial"/>
          <w:noProof/>
          <w:color w:val="222222"/>
          <w:szCs w:val="20"/>
        </w:rPr>
        <w:t>Fletcher, R. (2010) Neoliberal environmentality: Towards a poststructural political ecology of the conservation debate. Conservation and Society 8, 171-181.</w:t>
      </w:r>
      <w:bookmarkEnd w:id="26"/>
    </w:p>
    <w:p w:rsidR="00EC2F61" w:rsidRPr="00F426DC" w:rsidRDefault="00EC2F61" w:rsidP="00F426DC">
      <w:pPr>
        <w:spacing w:after="0" w:line="240" w:lineRule="auto"/>
        <w:rPr>
          <w:rFonts w:cs="Arial"/>
          <w:noProof/>
          <w:color w:val="222222"/>
          <w:szCs w:val="20"/>
        </w:rPr>
      </w:pPr>
      <w:bookmarkStart w:id="27" w:name="_ENREF_27"/>
      <w:r w:rsidRPr="00F426DC">
        <w:rPr>
          <w:rFonts w:cs="Arial"/>
          <w:noProof/>
          <w:color w:val="222222"/>
          <w:szCs w:val="20"/>
        </w:rPr>
        <w:t>Fraser, N. (2001) Recognition without ethics? Theory, Culture and Society 18, 21-42.</w:t>
      </w:r>
      <w:bookmarkEnd w:id="27"/>
    </w:p>
    <w:p w:rsidR="00EC2F61" w:rsidRPr="00F426DC" w:rsidRDefault="00EC2F61" w:rsidP="00F426DC">
      <w:pPr>
        <w:spacing w:after="0" w:line="240" w:lineRule="auto"/>
        <w:rPr>
          <w:rFonts w:cs="Arial"/>
          <w:noProof/>
          <w:color w:val="222222"/>
          <w:szCs w:val="20"/>
        </w:rPr>
      </w:pPr>
      <w:bookmarkStart w:id="28" w:name="_ENREF_28"/>
      <w:r w:rsidRPr="00F426DC">
        <w:rPr>
          <w:rFonts w:cs="Arial"/>
          <w:noProof/>
          <w:color w:val="222222"/>
          <w:szCs w:val="20"/>
        </w:rPr>
        <w:t>Gough, I. (2004) Human well-being and social structures relating the universal and the local. Global Social Policy 4, 289-311.</w:t>
      </w:r>
      <w:bookmarkEnd w:id="28"/>
    </w:p>
    <w:p w:rsidR="00EC2F61" w:rsidRPr="00F426DC" w:rsidRDefault="00EC2F61" w:rsidP="00F426DC">
      <w:pPr>
        <w:spacing w:after="0" w:line="240" w:lineRule="auto"/>
        <w:rPr>
          <w:rFonts w:cs="Arial"/>
          <w:noProof/>
          <w:color w:val="222222"/>
          <w:szCs w:val="20"/>
        </w:rPr>
      </w:pPr>
      <w:bookmarkStart w:id="29" w:name="_ENREF_29"/>
      <w:r w:rsidRPr="00F426DC">
        <w:rPr>
          <w:rFonts w:cs="Arial"/>
          <w:noProof/>
          <w:color w:val="222222"/>
          <w:szCs w:val="20"/>
        </w:rPr>
        <w:t>Greiber, T., Janki, M., Orellana, M., Savaresi, A., Shelton, D., (2009) Conservation with Justice: a rights-based approach, IUCN Environmental Policy and Law Paper. IUCN, Gland.</w:t>
      </w:r>
      <w:bookmarkEnd w:id="29"/>
    </w:p>
    <w:p w:rsidR="00EC2F61" w:rsidRPr="00F426DC" w:rsidRDefault="00EC2F61" w:rsidP="00F426DC">
      <w:pPr>
        <w:spacing w:after="0" w:line="240" w:lineRule="auto"/>
        <w:rPr>
          <w:rFonts w:cs="Arial"/>
          <w:noProof/>
          <w:color w:val="222222"/>
          <w:szCs w:val="20"/>
        </w:rPr>
      </w:pPr>
      <w:bookmarkStart w:id="30" w:name="_ENREF_30"/>
      <w:r w:rsidRPr="00F426DC">
        <w:rPr>
          <w:rFonts w:cs="Arial"/>
          <w:noProof/>
          <w:color w:val="222222"/>
          <w:szCs w:val="20"/>
        </w:rPr>
        <w:t>Hamilton, A., Cunningham, A., Byarugaba, D., Kayanja, F. (2000) Conservation in a region of political instability: Bwindi impenetrable forest, Uganda. Conservation Biology 14, 1722-1725.</w:t>
      </w:r>
      <w:bookmarkEnd w:id="30"/>
    </w:p>
    <w:p w:rsidR="00EC2F61" w:rsidRPr="00F426DC" w:rsidRDefault="00EC2F61" w:rsidP="00F426DC">
      <w:pPr>
        <w:spacing w:after="0" w:line="240" w:lineRule="auto"/>
        <w:rPr>
          <w:rFonts w:cs="Arial"/>
          <w:noProof/>
          <w:color w:val="222222"/>
          <w:szCs w:val="20"/>
        </w:rPr>
      </w:pPr>
      <w:bookmarkStart w:id="31" w:name="_ENREF_31"/>
      <w:r w:rsidRPr="00F426DC">
        <w:rPr>
          <w:rFonts w:cs="Arial"/>
          <w:noProof/>
          <w:color w:val="222222"/>
          <w:szCs w:val="20"/>
        </w:rPr>
        <w:t>Ioris, A.A.R. (2013) The Adaptive Nature of the Neoliberal State and the State-led Neoliberalisation of Nature: Unpacking the Political Economy of Water in Lima, Peru. New Political Economy, 1-27.</w:t>
      </w:r>
      <w:bookmarkEnd w:id="31"/>
    </w:p>
    <w:p w:rsidR="00EC2F61" w:rsidRPr="00F426DC" w:rsidRDefault="00EC2F61" w:rsidP="00F426DC">
      <w:pPr>
        <w:spacing w:after="0" w:line="240" w:lineRule="auto"/>
        <w:rPr>
          <w:rFonts w:cs="Arial"/>
          <w:noProof/>
          <w:color w:val="222222"/>
          <w:szCs w:val="20"/>
        </w:rPr>
      </w:pPr>
      <w:bookmarkStart w:id="32" w:name="_ENREF_32"/>
      <w:r w:rsidRPr="00F426DC">
        <w:rPr>
          <w:rFonts w:cs="Arial"/>
          <w:noProof/>
          <w:color w:val="222222"/>
          <w:szCs w:val="20"/>
        </w:rPr>
        <w:t>IUCN, (2010) Conservation Initiative on Human Rights.</w:t>
      </w:r>
      <w:bookmarkEnd w:id="32"/>
    </w:p>
    <w:p w:rsidR="00EC2F61" w:rsidRPr="00F426DC" w:rsidRDefault="00EC2F61" w:rsidP="00F426DC">
      <w:pPr>
        <w:spacing w:after="0" w:line="240" w:lineRule="auto"/>
        <w:rPr>
          <w:rFonts w:cs="Arial"/>
          <w:noProof/>
          <w:color w:val="222222"/>
          <w:szCs w:val="20"/>
        </w:rPr>
      </w:pPr>
      <w:bookmarkStart w:id="33" w:name="_ENREF_33"/>
      <w:r w:rsidRPr="00F426DC">
        <w:rPr>
          <w:rFonts w:cs="Arial"/>
          <w:noProof/>
          <w:color w:val="222222"/>
          <w:szCs w:val="20"/>
        </w:rPr>
        <w:t>Jasanoff, S. (2004) States of Knowledge: The Co-Production of Science and Social Order. Routledge, Abingdon.</w:t>
      </w:r>
      <w:bookmarkEnd w:id="33"/>
    </w:p>
    <w:p w:rsidR="00EC2F61" w:rsidRPr="00F426DC" w:rsidRDefault="00EC2F61" w:rsidP="00F426DC">
      <w:pPr>
        <w:spacing w:after="0" w:line="240" w:lineRule="auto"/>
        <w:rPr>
          <w:rFonts w:cs="Arial"/>
          <w:noProof/>
          <w:color w:val="222222"/>
          <w:szCs w:val="20"/>
        </w:rPr>
      </w:pPr>
      <w:bookmarkStart w:id="34" w:name="_ENREF_34"/>
      <w:r w:rsidRPr="00F426DC">
        <w:rPr>
          <w:rFonts w:cs="Arial"/>
          <w:noProof/>
          <w:color w:val="222222"/>
          <w:szCs w:val="20"/>
        </w:rPr>
        <w:t>Kashwan, P. (2013) The politics of rights-based approaches in conservation. Land Use Policy 31, 613-626.</w:t>
      </w:r>
      <w:bookmarkEnd w:id="34"/>
    </w:p>
    <w:p w:rsidR="00EC2F61" w:rsidRPr="00F426DC" w:rsidRDefault="00EC2F61" w:rsidP="00F426DC">
      <w:pPr>
        <w:spacing w:after="0" w:line="240" w:lineRule="auto"/>
        <w:rPr>
          <w:rFonts w:cs="Arial"/>
          <w:noProof/>
          <w:color w:val="222222"/>
          <w:szCs w:val="20"/>
        </w:rPr>
      </w:pPr>
      <w:bookmarkStart w:id="35" w:name="_ENREF_35"/>
      <w:r w:rsidRPr="00F426DC">
        <w:rPr>
          <w:rFonts w:cs="Arial"/>
          <w:noProof/>
          <w:color w:val="222222"/>
          <w:szCs w:val="20"/>
        </w:rPr>
        <w:t>Laudati, A.A. (2010) The encroaching forest: Struggles over land and resources on the boundary of Bwindi Impenetrable National Park, Uganda. Society and Natural Resources 23, 776-789.</w:t>
      </w:r>
      <w:bookmarkEnd w:id="35"/>
    </w:p>
    <w:p w:rsidR="00EC2F61" w:rsidRPr="00F426DC" w:rsidRDefault="00EC2F61" w:rsidP="00F426DC">
      <w:pPr>
        <w:spacing w:after="0" w:line="240" w:lineRule="auto"/>
        <w:rPr>
          <w:rFonts w:cs="Arial"/>
          <w:noProof/>
          <w:color w:val="222222"/>
          <w:szCs w:val="20"/>
        </w:rPr>
      </w:pPr>
      <w:bookmarkStart w:id="36" w:name="_ENREF_36"/>
      <w:r w:rsidRPr="00F426DC">
        <w:rPr>
          <w:rFonts w:cs="Arial"/>
          <w:noProof/>
          <w:color w:val="222222"/>
          <w:szCs w:val="20"/>
        </w:rPr>
        <w:t>Lele, S., Wilshusen, P., Brockington, D., Seidler, R., Bawa, K. (2010) Beyond exclusion: alternative approaches to biodiversity conservation in the developing tropics. Current Opinion in Environmental Sustainability 2, 94-100.</w:t>
      </w:r>
      <w:bookmarkEnd w:id="36"/>
    </w:p>
    <w:p w:rsidR="00EC2F61" w:rsidRPr="00F426DC" w:rsidRDefault="00EC2F61" w:rsidP="00F426DC">
      <w:pPr>
        <w:spacing w:after="0" w:line="240" w:lineRule="auto"/>
        <w:rPr>
          <w:rFonts w:cs="Arial"/>
          <w:noProof/>
          <w:color w:val="222222"/>
          <w:szCs w:val="20"/>
        </w:rPr>
      </w:pPr>
      <w:bookmarkStart w:id="37" w:name="_ENREF_37"/>
      <w:r w:rsidRPr="00F426DC">
        <w:rPr>
          <w:rFonts w:cs="Arial"/>
          <w:noProof/>
          <w:color w:val="222222"/>
          <w:szCs w:val="20"/>
        </w:rPr>
        <w:t>Lund, J.F., Saito-Jensen, M. (2013) Revisiting the Issue of Elite Capture of Participatory Initiatives. World development.</w:t>
      </w:r>
      <w:bookmarkEnd w:id="37"/>
    </w:p>
    <w:p w:rsidR="00EC2F61" w:rsidRPr="00F426DC" w:rsidRDefault="00EC2F61" w:rsidP="00F426DC">
      <w:pPr>
        <w:spacing w:after="0" w:line="240" w:lineRule="auto"/>
        <w:rPr>
          <w:rFonts w:cs="Arial"/>
          <w:noProof/>
          <w:color w:val="222222"/>
          <w:szCs w:val="20"/>
        </w:rPr>
      </w:pPr>
      <w:bookmarkStart w:id="38" w:name="_ENREF_38"/>
      <w:r w:rsidRPr="00F426DC">
        <w:rPr>
          <w:rFonts w:cs="Arial"/>
          <w:noProof/>
          <w:color w:val="222222"/>
          <w:szCs w:val="20"/>
        </w:rPr>
        <w:t>MacKenzie, C.A. (2012) Trenches like fences make good neighbours: Revenue sharing around Kibale National Park, Uganda. Journal for Nature Conservation 20, 92-100.</w:t>
      </w:r>
      <w:bookmarkEnd w:id="38"/>
    </w:p>
    <w:p w:rsidR="00EC2F61" w:rsidRPr="00F426DC" w:rsidRDefault="00EC2F61" w:rsidP="00F426DC">
      <w:pPr>
        <w:spacing w:after="0" w:line="240" w:lineRule="auto"/>
        <w:rPr>
          <w:rFonts w:cs="Arial"/>
          <w:noProof/>
          <w:color w:val="222222"/>
          <w:szCs w:val="20"/>
        </w:rPr>
      </w:pPr>
      <w:bookmarkStart w:id="39" w:name="_ENREF_39"/>
      <w:r w:rsidRPr="00F426DC">
        <w:rPr>
          <w:rFonts w:cs="Arial"/>
          <w:noProof/>
          <w:color w:val="222222"/>
          <w:szCs w:val="20"/>
        </w:rPr>
        <w:t>Martin, A., McGuire, S., Sullivan, S. (2013) Global environmental justice and biodiversity conservation. The Geographical Journal 179, 122-131.</w:t>
      </w:r>
      <w:bookmarkEnd w:id="39"/>
    </w:p>
    <w:p w:rsidR="00EC2F61" w:rsidRPr="00F426DC" w:rsidRDefault="00EC2F61" w:rsidP="00F426DC">
      <w:pPr>
        <w:spacing w:after="0" w:line="240" w:lineRule="auto"/>
        <w:rPr>
          <w:rFonts w:cs="Arial"/>
          <w:noProof/>
          <w:color w:val="222222"/>
          <w:szCs w:val="20"/>
        </w:rPr>
      </w:pPr>
      <w:bookmarkStart w:id="40" w:name="_ENREF_40"/>
      <w:r w:rsidRPr="00F426DC">
        <w:rPr>
          <w:rFonts w:cs="Arial"/>
          <w:noProof/>
          <w:color w:val="222222"/>
          <w:szCs w:val="20"/>
        </w:rPr>
        <w:t>McAfee, K. (1999) Selling nature to save it? Biodiversity and green developmentalism. Environment and Planning D: Society and Space 17, 133-154.</w:t>
      </w:r>
      <w:bookmarkEnd w:id="40"/>
    </w:p>
    <w:p w:rsidR="00EC2F61" w:rsidRPr="00F426DC" w:rsidRDefault="00EC2F61" w:rsidP="00F426DC">
      <w:pPr>
        <w:spacing w:after="0" w:line="240" w:lineRule="auto"/>
        <w:rPr>
          <w:rFonts w:cs="Arial"/>
          <w:noProof/>
          <w:color w:val="222222"/>
          <w:szCs w:val="20"/>
        </w:rPr>
      </w:pPr>
      <w:bookmarkStart w:id="41" w:name="_ENREF_41"/>
      <w:r w:rsidRPr="00F426DC">
        <w:rPr>
          <w:rFonts w:cs="Arial"/>
          <w:noProof/>
          <w:color w:val="222222"/>
          <w:szCs w:val="20"/>
        </w:rPr>
        <w:t>McAfee, K. (2012) Nature in the market-world: Ecosystem services and inequality. Development 55, 25-33.</w:t>
      </w:r>
      <w:bookmarkEnd w:id="41"/>
    </w:p>
    <w:p w:rsidR="00EC2F61" w:rsidRPr="00F426DC" w:rsidRDefault="00EC2F61" w:rsidP="00F426DC">
      <w:pPr>
        <w:spacing w:after="0" w:line="240" w:lineRule="auto"/>
        <w:rPr>
          <w:rFonts w:cs="Arial"/>
          <w:noProof/>
          <w:color w:val="222222"/>
          <w:szCs w:val="20"/>
        </w:rPr>
      </w:pPr>
      <w:bookmarkStart w:id="42" w:name="_ENREF_42"/>
      <w:r w:rsidRPr="00F426DC">
        <w:rPr>
          <w:rFonts w:cs="Arial"/>
          <w:noProof/>
          <w:color w:val="222222"/>
          <w:szCs w:val="20"/>
        </w:rPr>
        <w:t>McGregor, J.A., Camfield, L., Woodcock, A. (2009) Needs, wants and goals: Wellbeing, quality of life and public policy. Applied Research in Quality of Life 4, 135-154.</w:t>
      </w:r>
      <w:bookmarkEnd w:id="42"/>
    </w:p>
    <w:p w:rsidR="00EC2F61" w:rsidRPr="00F426DC" w:rsidRDefault="00EC2F61" w:rsidP="00F426DC">
      <w:pPr>
        <w:spacing w:after="0" w:line="240" w:lineRule="auto"/>
        <w:rPr>
          <w:rFonts w:cs="Arial"/>
          <w:noProof/>
          <w:color w:val="222222"/>
          <w:szCs w:val="20"/>
        </w:rPr>
      </w:pPr>
      <w:bookmarkStart w:id="43" w:name="_ENREF_43"/>
      <w:r w:rsidRPr="00F426DC">
        <w:rPr>
          <w:rFonts w:cs="Arial"/>
          <w:noProof/>
          <w:color w:val="222222"/>
          <w:szCs w:val="20"/>
        </w:rPr>
        <w:t>McKenzie, D.J. (2005) Measuring inequality with asset indicators. Journal of Population Economics 18, 229-260.</w:t>
      </w:r>
      <w:bookmarkEnd w:id="43"/>
    </w:p>
    <w:p w:rsidR="00EC2F61" w:rsidRPr="00F426DC" w:rsidRDefault="00EC2F61" w:rsidP="00F426DC">
      <w:pPr>
        <w:spacing w:after="0" w:line="240" w:lineRule="auto"/>
        <w:rPr>
          <w:rFonts w:cs="Arial"/>
          <w:noProof/>
          <w:color w:val="222222"/>
          <w:szCs w:val="20"/>
        </w:rPr>
      </w:pPr>
      <w:bookmarkStart w:id="44" w:name="_ENREF_44"/>
      <w:r w:rsidRPr="00F426DC">
        <w:rPr>
          <w:rFonts w:cs="Arial"/>
          <w:noProof/>
          <w:color w:val="222222"/>
          <w:szCs w:val="20"/>
        </w:rPr>
        <w:t>Miller, D. (2013) Justice for Earthlings: Essays in Political Philosophy. Cambridge University Press.</w:t>
      </w:r>
      <w:bookmarkEnd w:id="44"/>
    </w:p>
    <w:p w:rsidR="00EC2F61" w:rsidRPr="00F426DC" w:rsidRDefault="00EC2F61" w:rsidP="00F426DC">
      <w:pPr>
        <w:spacing w:after="0" w:line="240" w:lineRule="auto"/>
        <w:rPr>
          <w:rFonts w:cs="Arial"/>
          <w:noProof/>
          <w:color w:val="222222"/>
          <w:szCs w:val="20"/>
        </w:rPr>
      </w:pPr>
      <w:bookmarkStart w:id="45" w:name="_ENREF_45"/>
      <w:r w:rsidRPr="00F426DC">
        <w:rPr>
          <w:rFonts w:cs="Arial"/>
          <w:noProof/>
          <w:color w:val="222222"/>
          <w:szCs w:val="20"/>
        </w:rPr>
        <w:t>Minteer, B.A., Miller, T.R. (2011) The New Conservation Debate: ethical foundations, strategic trade-offs, and policy opportunities. Biological Conservation 144, 945-947.</w:t>
      </w:r>
      <w:bookmarkEnd w:id="45"/>
    </w:p>
    <w:p w:rsidR="00EC2F61" w:rsidRPr="00F426DC" w:rsidRDefault="00EC2F61" w:rsidP="00F426DC">
      <w:pPr>
        <w:spacing w:after="0" w:line="240" w:lineRule="auto"/>
        <w:rPr>
          <w:rFonts w:cs="Arial"/>
          <w:noProof/>
          <w:color w:val="222222"/>
          <w:szCs w:val="20"/>
        </w:rPr>
      </w:pPr>
      <w:bookmarkStart w:id="46" w:name="_ENREF_46"/>
      <w:r w:rsidRPr="00F426DC">
        <w:rPr>
          <w:rFonts w:cs="Arial"/>
          <w:noProof/>
          <w:color w:val="222222"/>
          <w:szCs w:val="20"/>
        </w:rPr>
        <w:t>Murray Li, T. (2007) Practices of assemblage and community forest management. Economy and society 36, 263-293.</w:t>
      </w:r>
      <w:bookmarkEnd w:id="46"/>
    </w:p>
    <w:p w:rsidR="00EC2F61" w:rsidRPr="00F426DC" w:rsidRDefault="00EC2F61" w:rsidP="00F426DC">
      <w:pPr>
        <w:spacing w:after="0" w:line="240" w:lineRule="auto"/>
        <w:rPr>
          <w:rFonts w:cs="Arial"/>
          <w:noProof/>
          <w:color w:val="222222"/>
          <w:szCs w:val="20"/>
        </w:rPr>
      </w:pPr>
      <w:bookmarkStart w:id="47" w:name="_ENREF_47"/>
      <w:r w:rsidRPr="00F426DC">
        <w:rPr>
          <w:rFonts w:cs="Arial"/>
          <w:noProof/>
          <w:color w:val="222222"/>
          <w:szCs w:val="20"/>
        </w:rPr>
        <w:lastRenderedPageBreak/>
        <w:t>Namara, A. (2006) From paternalism to real partnership with local communities? Experiences from Bwindi Impenetrable National Park (Uganda). Africa Development 31, 39-68.</w:t>
      </w:r>
      <w:bookmarkEnd w:id="47"/>
    </w:p>
    <w:p w:rsidR="00EC2F61" w:rsidRPr="00F426DC" w:rsidRDefault="00EC2F61" w:rsidP="00F426DC">
      <w:pPr>
        <w:spacing w:after="0" w:line="240" w:lineRule="auto"/>
        <w:rPr>
          <w:rFonts w:cs="Arial"/>
          <w:noProof/>
          <w:color w:val="222222"/>
          <w:szCs w:val="20"/>
        </w:rPr>
      </w:pPr>
      <w:bookmarkStart w:id="48" w:name="_ENREF_48"/>
      <w:r w:rsidRPr="00F426DC">
        <w:rPr>
          <w:rFonts w:cs="Arial"/>
          <w:noProof/>
          <w:color w:val="222222"/>
          <w:szCs w:val="20"/>
        </w:rPr>
        <w:t>Neumann, R.P. (2004) Moral and discursive geographies in the war for biodiversity in Africa. Political Geography 23, 813-837.</w:t>
      </w:r>
      <w:bookmarkEnd w:id="48"/>
    </w:p>
    <w:p w:rsidR="00EC2F61" w:rsidRPr="00F426DC" w:rsidRDefault="00EC2F61" w:rsidP="00F426DC">
      <w:pPr>
        <w:spacing w:after="0" w:line="240" w:lineRule="auto"/>
        <w:rPr>
          <w:rFonts w:cs="Arial"/>
          <w:noProof/>
          <w:color w:val="222222"/>
          <w:szCs w:val="20"/>
        </w:rPr>
      </w:pPr>
      <w:bookmarkStart w:id="49" w:name="_ENREF_49"/>
      <w:r w:rsidRPr="00F426DC">
        <w:rPr>
          <w:rFonts w:cs="Arial"/>
          <w:noProof/>
          <w:color w:val="222222"/>
          <w:szCs w:val="20"/>
        </w:rPr>
        <w:t>Nussbaum, M. (2007) Frontiers of justice. Disability, nationality, species membership.</w:t>
      </w:r>
      <w:bookmarkEnd w:id="49"/>
    </w:p>
    <w:p w:rsidR="00EC2F61" w:rsidRPr="00F426DC" w:rsidRDefault="00EC2F61" w:rsidP="00F426DC">
      <w:pPr>
        <w:spacing w:after="0" w:line="240" w:lineRule="auto"/>
        <w:rPr>
          <w:rFonts w:cs="Arial"/>
          <w:noProof/>
          <w:color w:val="222222"/>
          <w:szCs w:val="20"/>
        </w:rPr>
      </w:pPr>
      <w:bookmarkStart w:id="50" w:name="_ENREF_50"/>
      <w:r w:rsidRPr="00F426DC">
        <w:rPr>
          <w:rFonts w:cs="Arial"/>
          <w:noProof/>
          <w:color w:val="222222"/>
          <w:szCs w:val="20"/>
        </w:rPr>
        <w:t>Nussbaum, M.C. (2011) Creating capabilities. Belknap Press.</w:t>
      </w:r>
      <w:bookmarkEnd w:id="50"/>
    </w:p>
    <w:p w:rsidR="00EC2F61" w:rsidRPr="00F426DC" w:rsidRDefault="00EC2F61" w:rsidP="00F426DC">
      <w:pPr>
        <w:spacing w:after="0" w:line="240" w:lineRule="auto"/>
        <w:rPr>
          <w:rFonts w:cs="Arial"/>
          <w:noProof/>
          <w:color w:val="222222"/>
          <w:szCs w:val="20"/>
        </w:rPr>
      </w:pPr>
      <w:bookmarkStart w:id="51" w:name="_ENREF_51"/>
      <w:r w:rsidRPr="00F426DC">
        <w:rPr>
          <w:rFonts w:cs="Arial"/>
          <w:noProof/>
          <w:color w:val="222222"/>
          <w:szCs w:val="20"/>
        </w:rPr>
        <w:t>Olson, E., Sayer, A. (2009) Radical geography and its critical standpoints: Embracing the normative. Antipode 41, 180-198.</w:t>
      </w:r>
      <w:bookmarkEnd w:id="51"/>
    </w:p>
    <w:p w:rsidR="00EC2F61" w:rsidRPr="00F426DC" w:rsidRDefault="00EC2F61" w:rsidP="00F426DC">
      <w:pPr>
        <w:spacing w:after="0" w:line="240" w:lineRule="auto"/>
        <w:rPr>
          <w:rFonts w:cs="Arial"/>
          <w:noProof/>
          <w:color w:val="222222"/>
          <w:szCs w:val="20"/>
        </w:rPr>
      </w:pPr>
      <w:bookmarkStart w:id="52" w:name="_ENREF_52"/>
      <w:r w:rsidRPr="00F426DC">
        <w:rPr>
          <w:rFonts w:cs="Arial"/>
          <w:noProof/>
          <w:color w:val="222222"/>
          <w:szCs w:val="20"/>
        </w:rPr>
        <w:t>Peet, R., Robbins, P., Watts, M. (2010) Global political ecology. Taylor &amp; Francis.</w:t>
      </w:r>
      <w:bookmarkEnd w:id="52"/>
    </w:p>
    <w:p w:rsidR="00EC2F61" w:rsidRPr="00F426DC" w:rsidRDefault="00EC2F61" w:rsidP="00F426DC">
      <w:pPr>
        <w:spacing w:after="0" w:line="240" w:lineRule="auto"/>
        <w:rPr>
          <w:rFonts w:cs="Arial"/>
          <w:noProof/>
          <w:color w:val="222222"/>
          <w:szCs w:val="20"/>
        </w:rPr>
      </w:pPr>
      <w:bookmarkStart w:id="53" w:name="_ENREF_53"/>
      <w:r w:rsidRPr="00F426DC">
        <w:rPr>
          <w:rFonts w:cs="Arial"/>
          <w:noProof/>
          <w:color w:val="222222"/>
          <w:szCs w:val="20"/>
        </w:rPr>
        <w:t>Peluso, N.L., Lund, C. (2011) New frontiers of land control: Introduction. Journal of Peasant Studies 38, 667-681.</w:t>
      </w:r>
      <w:bookmarkEnd w:id="53"/>
    </w:p>
    <w:p w:rsidR="00EC2F61" w:rsidRPr="00F426DC" w:rsidRDefault="00EC2F61" w:rsidP="00F426DC">
      <w:pPr>
        <w:spacing w:after="0" w:line="240" w:lineRule="auto"/>
        <w:rPr>
          <w:rFonts w:cs="Arial"/>
          <w:noProof/>
          <w:color w:val="222222"/>
          <w:szCs w:val="20"/>
        </w:rPr>
      </w:pPr>
      <w:bookmarkStart w:id="54" w:name="_ENREF_54"/>
      <w:r w:rsidRPr="00F426DC">
        <w:rPr>
          <w:rFonts w:cs="Arial"/>
          <w:noProof/>
          <w:color w:val="222222"/>
          <w:szCs w:val="20"/>
        </w:rPr>
        <w:t>Peluso, N.L., Watts, M. (2001) Violent environments. Cornell University Press.</w:t>
      </w:r>
      <w:bookmarkEnd w:id="54"/>
    </w:p>
    <w:p w:rsidR="00EC2F61" w:rsidRPr="00F426DC" w:rsidRDefault="00EC2F61" w:rsidP="00F426DC">
      <w:pPr>
        <w:spacing w:after="0" w:line="240" w:lineRule="auto"/>
        <w:rPr>
          <w:rFonts w:cs="Arial"/>
          <w:noProof/>
          <w:color w:val="222222"/>
          <w:szCs w:val="20"/>
        </w:rPr>
      </w:pPr>
      <w:bookmarkStart w:id="55" w:name="_ENREF_55"/>
      <w:r w:rsidRPr="00F426DC">
        <w:rPr>
          <w:rFonts w:cs="Arial"/>
          <w:noProof/>
          <w:color w:val="222222"/>
          <w:szCs w:val="20"/>
        </w:rPr>
        <w:t>Plumptre, A.J., Behangana, M., Davenport, T.R.B., Kahindo, C., Kityo, R., Ndomba, E., Nkuutu, D., Owiunji, I., Ssegawa, P., Eilu, G., (2003) The biodiversity of the Albertine Rift, Albertine Rift Technical Reports. Wildlife Conservation Society.</w:t>
      </w:r>
      <w:bookmarkEnd w:id="55"/>
    </w:p>
    <w:p w:rsidR="00EC2F61" w:rsidRPr="00F426DC" w:rsidRDefault="00EC2F61" w:rsidP="00F426DC">
      <w:pPr>
        <w:spacing w:after="0" w:line="240" w:lineRule="auto"/>
        <w:rPr>
          <w:rFonts w:cs="Arial"/>
          <w:noProof/>
          <w:color w:val="222222"/>
          <w:szCs w:val="20"/>
        </w:rPr>
      </w:pPr>
      <w:bookmarkStart w:id="56" w:name="_ENREF_56"/>
      <w:r w:rsidRPr="00F426DC">
        <w:rPr>
          <w:rFonts w:cs="Arial"/>
          <w:noProof/>
          <w:color w:val="222222"/>
          <w:szCs w:val="20"/>
        </w:rPr>
        <w:t>Porter-Bolland, L., Ellis, E.A., Guariguata, M.R., Ruiz-Mallén, I., Negrete-Yankelevich, S., Reyes-García, V. (2012) Community managed forests and forest protected areas: An assessment of their conservation effectiveness across the tropics. Forest ecology and management 268, 6-17.</w:t>
      </w:r>
      <w:bookmarkEnd w:id="56"/>
    </w:p>
    <w:p w:rsidR="00EC2F61" w:rsidRPr="00F426DC" w:rsidRDefault="00EC2F61" w:rsidP="00F426DC">
      <w:pPr>
        <w:spacing w:after="0" w:line="240" w:lineRule="auto"/>
        <w:rPr>
          <w:rFonts w:cs="Arial"/>
          <w:noProof/>
          <w:color w:val="222222"/>
          <w:szCs w:val="20"/>
        </w:rPr>
      </w:pPr>
      <w:bookmarkStart w:id="57" w:name="_ENREF_57"/>
      <w:r w:rsidRPr="00F426DC">
        <w:rPr>
          <w:rFonts w:cs="Arial"/>
          <w:noProof/>
          <w:color w:val="222222"/>
          <w:szCs w:val="20"/>
        </w:rPr>
        <w:t>Redpath, S.M., Young, J., Evely, A., Adams, W.M., Sutherland, W.J., Whitehouse, A., Amar, A., Lambert, R.A., Linnell, J.D., Watt, A. (2013) Understanding and managing conservation conflicts. Trends in Ecology &amp; Evolution 28, 100-109.</w:t>
      </w:r>
      <w:bookmarkEnd w:id="57"/>
    </w:p>
    <w:p w:rsidR="00EC2F61" w:rsidRPr="00F426DC" w:rsidRDefault="00EC2F61" w:rsidP="00F426DC">
      <w:pPr>
        <w:spacing w:after="0" w:line="240" w:lineRule="auto"/>
        <w:rPr>
          <w:rFonts w:cs="Arial"/>
          <w:noProof/>
          <w:color w:val="222222"/>
          <w:szCs w:val="20"/>
        </w:rPr>
      </w:pPr>
      <w:bookmarkStart w:id="58" w:name="_ENREF_58"/>
      <w:r w:rsidRPr="00F426DC">
        <w:rPr>
          <w:rFonts w:cs="Arial"/>
          <w:noProof/>
          <w:color w:val="222222"/>
          <w:szCs w:val="20"/>
        </w:rPr>
        <w:t>Ribot, J.C. (2002) Democratic Decentralization of Natural Resources: Institutionalizing Popular Participation. World Resources Institute, Washington, DC.</w:t>
      </w:r>
      <w:bookmarkEnd w:id="58"/>
    </w:p>
    <w:p w:rsidR="00EC2F61" w:rsidRPr="00F426DC" w:rsidRDefault="00EC2F61" w:rsidP="00F426DC">
      <w:pPr>
        <w:spacing w:after="0" w:line="240" w:lineRule="auto"/>
        <w:rPr>
          <w:rFonts w:cs="Arial"/>
          <w:noProof/>
          <w:color w:val="222222"/>
          <w:szCs w:val="20"/>
        </w:rPr>
      </w:pPr>
      <w:bookmarkStart w:id="59" w:name="_ENREF_59"/>
      <w:r w:rsidRPr="00F426DC">
        <w:rPr>
          <w:rFonts w:cs="Arial"/>
          <w:noProof/>
          <w:color w:val="222222"/>
          <w:szCs w:val="20"/>
        </w:rPr>
        <w:t>Robbins, P. (2011) Political ecology: A critical introduction. Wiley. com.</w:t>
      </w:r>
      <w:bookmarkEnd w:id="59"/>
    </w:p>
    <w:p w:rsidR="00EC2F61" w:rsidRPr="00F426DC" w:rsidRDefault="00EC2F61" w:rsidP="00F426DC">
      <w:pPr>
        <w:spacing w:after="0" w:line="240" w:lineRule="auto"/>
        <w:rPr>
          <w:rFonts w:cs="Arial"/>
          <w:noProof/>
          <w:color w:val="222222"/>
          <w:szCs w:val="20"/>
        </w:rPr>
      </w:pPr>
      <w:bookmarkStart w:id="60" w:name="_ENREF_60"/>
      <w:r w:rsidRPr="00F426DC">
        <w:rPr>
          <w:rFonts w:cs="Arial"/>
          <w:noProof/>
          <w:color w:val="222222"/>
          <w:szCs w:val="20"/>
        </w:rPr>
        <w:t>Sandbrook, C., Adams, W.M. (2012) Accessing the Impenetrable: The Nature and Distribution of Tourism Benefits at a Ugandan National Park. Society &amp; Natural Resources 25, 915-932.</w:t>
      </w:r>
      <w:bookmarkEnd w:id="60"/>
    </w:p>
    <w:p w:rsidR="00EC2F61" w:rsidRPr="00F426DC" w:rsidRDefault="00EC2F61" w:rsidP="00F426DC">
      <w:pPr>
        <w:spacing w:after="0" w:line="240" w:lineRule="auto"/>
        <w:rPr>
          <w:rFonts w:cs="Arial"/>
          <w:noProof/>
          <w:color w:val="222222"/>
          <w:szCs w:val="20"/>
        </w:rPr>
      </w:pPr>
      <w:bookmarkStart w:id="61" w:name="_ENREF_61"/>
      <w:r w:rsidRPr="00F426DC">
        <w:rPr>
          <w:rFonts w:cs="Arial"/>
          <w:noProof/>
          <w:color w:val="222222"/>
          <w:szCs w:val="20"/>
        </w:rPr>
        <w:t>Sandbrook, C.G. (2010) Putting leakage in its place: The significance of retained tourism revenue in the local context in rural Uganda. Journal of International Development 22, 124-136.</w:t>
      </w:r>
      <w:bookmarkEnd w:id="61"/>
    </w:p>
    <w:p w:rsidR="00EC2F61" w:rsidRPr="00F426DC" w:rsidRDefault="00EC2F61" w:rsidP="00F426DC">
      <w:pPr>
        <w:spacing w:after="0" w:line="240" w:lineRule="auto"/>
        <w:rPr>
          <w:rFonts w:cs="Arial"/>
          <w:noProof/>
          <w:color w:val="222222"/>
          <w:szCs w:val="20"/>
        </w:rPr>
      </w:pPr>
      <w:bookmarkStart w:id="62" w:name="_ENREF_62"/>
      <w:r w:rsidRPr="00F426DC">
        <w:rPr>
          <w:rFonts w:cs="Arial"/>
          <w:noProof/>
          <w:color w:val="222222"/>
          <w:szCs w:val="20"/>
        </w:rPr>
        <w:t>Schlosberg, D. (2004) Reconceiving environmental justice: Global movements and political theories. Environmental Politics 13, 517-540.</w:t>
      </w:r>
      <w:bookmarkEnd w:id="62"/>
    </w:p>
    <w:p w:rsidR="00EC2F61" w:rsidRPr="00F426DC" w:rsidRDefault="00EC2F61" w:rsidP="00F426DC">
      <w:pPr>
        <w:spacing w:after="0" w:line="240" w:lineRule="auto"/>
        <w:rPr>
          <w:rFonts w:cs="Arial"/>
          <w:noProof/>
          <w:color w:val="222222"/>
          <w:szCs w:val="20"/>
        </w:rPr>
      </w:pPr>
      <w:bookmarkStart w:id="63" w:name="_ENREF_63"/>
      <w:r w:rsidRPr="00F426DC">
        <w:rPr>
          <w:rFonts w:cs="Arial"/>
          <w:noProof/>
          <w:color w:val="222222"/>
          <w:szCs w:val="20"/>
        </w:rPr>
        <w:t>Schlosberg, D. (2013) Theorising environmental justice: the expanding sphere of a discourse. Environmental Politics 22, 37-55.</w:t>
      </w:r>
      <w:bookmarkEnd w:id="63"/>
    </w:p>
    <w:p w:rsidR="00EC2F61" w:rsidRPr="00F426DC" w:rsidRDefault="00EC2F61" w:rsidP="00F426DC">
      <w:pPr>
        <w:spacing w:after="0" w:line="240" w:lineRule="auto"/>
        <w:rPr>
          <w:rFonts w:cs="Arial"/>
          <w:noProof/>
          <w:color w:val="222222"/>
          <w:szCs w:val="20"/>
        </w:rPr>
      </w:pPr>
      <w:bookmarkStart w:id="64" w:name="_ENREF_64"/>
      <w:r w:rsidRPr="00F426DC">
        <w:rPr>
          <w:rFonts w:cs="Arial"/>
          <w:noProof/>
          <w:color w:val="222222"/>
          <w:szCs w:val="20"/>
        </w:rPr>
        <w:t>Schroeder, R.A. (2008) Environmental justice and the market: The politics of sharing wildlife revenues in Tanzania. Society and Natural Resources 21, 583-596.</w:t>
      </w:r>
      <w:bookmarkEnd w:id="64"/>
    </w:p>
    <w:p w:rsidR="00EC2F61" w:rsidRPr="00F426DC" w:rsidRDefault="00EC2F61" w:rsidP="00F426DC">
      <w:pPr>
        <w:spacing w:after="0" w:line="240" w:lineRule="auto"/>
        <w:rPr>
          <w:rFonts w:cs="Arial"/>
          <w:noProof/>
          <w:color w:val="222222"/>
          <w:szCs w:val="20"/>
        </w:rPr>
      </w:pPr>
      <w:bookmarkStart w:id="65" w:name="_ENREF_65"/>
      <w:r w:rsidRPr="00F426DC">
        <w:rPr>
          <w:rFonts w:cs="Arial"/>
          <w:noProof/>
          <w:color w:val="222222"/>
          <w:szCs w:val="20"/>
        </w:rPr>
        <w:t>Sen, A. (1999) Development as Freedom. Oxford University Press, Oxford.</w:t>
      </w:r>
      <w:bookmarkEnd w:id="65"/>
    </w:p>
    <w:p w:rsidR="00EC2F61" w:rsidRPr="00F426DC" w:rsidRDefault="00EC2F61" w:rsidP="00F426DC">
      <w:pPr>
        <w:spacing w:after="0" w:line="240" w:lineRule="auto"/>
        <w:rPr>
          <w:rFonts w:cs="Arial"/>
          <w:noProof/>
          <w:color w:val="222222"/>
          <w:szCs w:val="20"/>
        </w:rPr>
      </w:pPr>
      <w:bookmarkStart w:id="66" w:name="_ENREF_66"/>
      <w:r w:rsidRPr="00F426DC">
        <w:rPr>
          <w:rFonts w:cs="Arial"/>
          <w:noProof/>
          <w:color w:val="222222"/>
          <w:szCs w:val="20"/>
        </w:rPr>
        <w:t>Sen, A. (2009) The Idea of Justice. Penguin Books, London.</w:t>
      </w:r>
      <w:bookmarkEnd w:id="66"/>
    </w:p>
    <w:p w:rsidR="00EC2F61" w:rsidRPr="00F426DC" w:rsidRDefault="00EC2F61" w:rsidP="00F426DC">
      <w:pPr>
        <w:spacing w:after="0" w:line="240" w:lineRule="auto"/>
        <w:rPr>
          <w:rFonts w:cs="Arial"/>
          <w:noProof/>
          <w:color w:val="222222"/>
          <w:szCs w:val="20"/>
        </w:rPr>
      </w:pPr>
      <w:bookmarkStart w:id="67" w:name="_ENREF_67"/>
      <w:r w:rsidRPr="00F426DC">
        <w:rPr>
          <w:rFonts w:cs="Arial"/>
          <w:noProof/>
          <w:color w:val="222222"/>
          <w:szCs w:val="20"/>
        </w:rPr>
        <w:t>Sikor, T. (2013) The Justices and Injustices of Ecosystems Services. Routledge.</w:t>
      </w:r>
      <w:bookmarkEnd w:id="67"/>
    </w:p>
    <w:p w:rsidR="00EC2F61" w:rsidRPr="00F426DC" w:rsidRDefault="00EC2F61" w:rsidP="00F426DC">
      <w:pPr>
        <w:spacing w:after="0" w:line="240" w:lineRule="auto"/>
        <w:rPr>
          <w:rFonts w:cs="Arial"/>
          <w:noProof/>
          <w:color w:val="222222"/>
          <w:szCs w:val="20"/>
        </w:rPr>
      </w:pPr>
      <w:bookmarkStart w:id="68" w:name="_ENREF_68"/>
      <w:r w:rsidRPr="00F426DC">
        <w:rPr>
          <w:rFonts w:cs="Arial"/>
          <w:noProof/>
          <w:color w:val="222222"/>
          <w:szCs w:val="20"/>
        </w:rPr>
        <w:t>Tancau, M.M. (2011) Crafting wild nature in south-west Uganda: rich communities, happy tourists? Journal of Eastern African Studies 5, 465-481.</w:t>
      </w:r>
      <w:bookmarkEnd w:id="68"/>
    </w:p>
    <w:p w:rsidR="00EC2F61" w:rsidRPr="00F426DC" w:rsidRDefault="00EC2F61" w:rsidP="00F426DC">
      <w:pPr>
        <w:spacing w:after="0" w:line="240" w:lineRule="auto"/>
        <w:rPr>
          <w:rFonts w:cs="Arial"/>
          <w:noProof/>
          <w:color w:val="222222"/>
          <w:szCs w:val="20"/>
        </w:rPr>
      </w:pPr>
      <w:bookmarkStart w:id="69" w:name="_ENREF_69"/>
      <w:r w:rsidRPr="00F426DC">
        <w:rPr>
          <w:rFonts w:cs="Arial"/>
          <w:noProof/>
          <w:color w:val="222222"/>
          <w:szCs w:val="20"/>
        </w:rPr>
        <w:t>Teschl, M., Comim, F. (2005) Adaptive preferences and capabilities: some preliminary conceptual explorations. Review of social economy 63, 229-247.</w:t>
      </w:r>
      <w:bookmarkEnd w:id="69"/>
    </w:p>
    <w:p w:rsidR="00EC2F61" w:rsidRPr="00F426DC" w:rsidRDefault="00EC2F61" w:rsidP="00F426DC">
      <w:pPr>
        <w:spacing w:after="0" w:line="240" w:lineRule="auto"/>
        <w:rPr>
          <w:rFonts w:cs="Arial"/>
          <w:noProof/>
          <w:color w:val="222222"/>
          <w:szCs w:val="20"/>
        </w:rPr>
      </w:pPr>
      <w:bookmarkStart w:id="70" w:name="_ENREF_70"/>
      <w:r w:rsidRPr="00F426DC">
        <w:rPr>
          <w:rFonts w:cs="Arial"/>
          <w:noProof/>
          <w:color w:val="222222"/>
          <w:szCs w:val="20"/>
        </w:rPr>
        <w:t>Tumusiime, D.M., Svarstad, H., (2011) A local counter-narrative on the conservation of mountain gorillas, Forum for Development Studies. Taylor &amp; Francis, pp. 239-265.</w:t>
      </w:r>
      <w:bookmarkEnd w:id="70"/>
    </w:p>
    <w:p w:rsidR="00EC2F61" w:rsidRPr="00F426DC" w:rsidRDefault="00EC2F61" w:rsidP="00F426DC">
      <w:pPr>
        <w:spacing w:after="0" w:line="240" w:lineRule="auto"/>
        <w:rPr>
          <w:rFonts w:cs="Arial"/>
          <w:noProof/>
          <w:color w:val="222222"/>
          <w:szCs w:val="20"/>
        </w:rPr>
      </w:pPr>
      <w:bookmarkStart w:id="71" w:name="_ENREF_71"/>
      <w:r w:rsidRPr="00F426DC">
        <w:rPr>
          <w:rFonts w:cs="Arial"/>
          <w:noProof/>
          <w:color w:val="222222"/>
          <w:szCs w:val="20"/>
        </w:rPr>
        <w:t>Tumusiime, D.M., Vedeld, P. (2012) False promise or false premise? Using tourism revenue sharing to promote conservation and poverty reduction in Uganda. Conservation and Society 10, 15-28.</w:t>
      </w:r>
      <w:bookmarkEnd w:id="71"/>
    </w:p>
    <w:p w:rsidR="00EC2F61" w:rsidRPr="00F426DC" w:rsidRDefault="00EC2F61" w:rsidP="00F426DC">
      <w:pPr>
        <w:spacing w:after="0" w:line="240" w:lineRule="auto"/>
        <w:rPr>
          <w:rFonts w:cs="Arial"/>
          <w:noProof/>
          <w:color w:val="222222"/>
          <w:szCs w:val="20"/>
        </w:rPr>
      </w:pPr>
      <w:bookmarkStart w:id="72" w:name="_ENREF_72"/>
      <w:r w:rsidRPr="00F426DC">
        <w:rPr>
          <w:rFonts w:cs="Arial"/>
          <w:noProof/>
          <w:color w:val="222222"/>
          <w:szCs w:val="20"/>
        </w:rPr>
        <w:t>Turyatunga, E. (2010) Social Exclusion, Marginalization and the Threat of Extinction of Ethnic Minorities: A Case of the Batwa Community in Uganda. OIDA International Journal of Sustainable Development 2, 57-64.</w:t>
      </w:r>
      <w:bookmarkEnd w:id="72"/>
    </w:p>
    <w:p w:rsidR="00EC2F61" w:rsidRPr="00F426DC" w:rsidRDefault="00EC2F61" w:rsidP="00F426DC">
      <w:pPr>
        <w:spacing w:after="0" w:line="240" w:lineRule="auto"/>
        <w:rPr>
          <w:rFonts w:cs="Arial"/>
          <w:noProof/>
          <w:color w:val="222222"/>
          <w:szCs w:val="20"/>
        </w:rPr>
      </w:pPr>
      <w:bookmarkStart w:id="73" w:name="_ENREF_73"/>
      <w:r w:rsidRPr="00F426DC">
        <w:rPr>
          <w:rFonts w:cs="Arial"/>
          <w:noProof/>
          <w:color w:val="222222"/>
          <w:szCs w:val="20"/>
        </w:rPr>
        <w:t>Walker, G. (2012) Environmental Justice: Concepts, Evidence and Politics. Routledge, London.</w:t>
      </w:r>
      <w:bookmarkEnd w:id="73"/>
    </w:p>
    <w:p w:rsidR="00EC2F61" w:rsidRPr="00F426DC" w:rsidRDefault="00EC2F61" w:rsidP="00F426DC">
      <w:pPr>
        <w:spacing w:after="0" w:line="240" w:lineRule="auto"/>
        <w:rPr>
          <w:rFonts w:cs="Arial"/>
          <w:noProof/>
          <w:color w:val="222222"/>
          <w:szCs w:val="20"/>
        </w:rPr>
      </w:pPr>
      <w:bookmarkStart w:id="74" w:name="_ENREF_74"/>
      <w:r w:rsidRPr="00F426DC">
        <w:rPr>
          <w:rFonts w:cs="Arial"/>
          <w:noProof/>
          <w:color w:val="222222"/>
          <w:szCs w:val="20"/>
        </w:rPr>
        <w:t>WCS, (2009) Conservation and Human Rights: A Framework for Action.</w:t>
      </w:r>
      <w:bookmarkEnd w:id="74"/>
    </w:p>
    <w:p w:rsidR="00EC2F61" w:rsidRPr="00F426DC" w:rsidRDefault="00EC2F61" w:rsidP="00F426DC">
      <w:pPr>
        <w:spacing w:after="0" w:line="240" w:lineRule="auto"/>
        <w:rPr>
          <w:rFonts w:cs="Arial"/>
          <w:noProof/>
          <w:color w:val="222222"/>
          <w:szCs w:val="20"/>
        </w:rPr>
      </w:pPr>
      <w:bookmarkStart w:id="75" w:name="_ENREF_75"/>
      <w:r w:rsidRPr="00F426DC">
        <w:rPr>
          <w:rFonts w:cs="Arial"/>
          <w:noProof/>
          <w:color w:val="222222"/>
          <w:szCs w:val="20"/>
        </w:rPr>
        <w:lastRenderedPageBreak/>
        <w:t>West, P., Brockington, D. (2006) An anthropological perspective on some unexpected consequences of protected areas. Conservation Biology 20, 609-616.</w:t>
      </w:r>
      <w:bookmarkEnd w:id="75"/>
    </w:p>
    <w:p w:rsidR="00EC2F61" w:rsidRPr="00F426DC" w:rsidRDefault="00EC2F61" w:rsidP="00F426DC">
      <w:pPr>
        <w:spacing w:after="0" w:line="240" w:lineRule="auto"/>
        <w:rPr>
          <w:rFonts w:cs="Arial"/>
          <w:noProof/>
          <w:color w:val="222222"/>
          <w:szCs w:val="20"/>
        </w:rPr>
      </w:pPr>
      <w:bookmarkStart w:id="76" w:name="_ENREF_76"/>
      <w:r w:rsidRPr="00F426DC">
        <w:rPr>
          <w:rFonts w:cs="Arial"/>
          <w:noProof/>
          <w:color w:val="222222"/>
          <w:szCs w:val="20"/>
        </w:rPr>
        <w:t>West, P., Igoe, J., Brockington, D. (2006) Parks and peoples: the social impact of protected areas. Annu. Rev. Anthropol. 35, 251-277.</w:t>
      </w:r>
      <w:bookmarkEnd w:id="76"/>
    </w:p>
    <w:p w:rsidR="00EC2F61" w:rsidRPr="00F426DC" w:rsidRDefault="00EC2F61" w:rsidP="00F426DC">
      <w:pPr>
        <w:spacing w:after="0" w:line="240" w:lineRule="auto"/>
        <w:rPr>
          <w:rFonts w:cs="Arial"/>
          <w:noProof/>
          <w:color w:val="222222"/>
          <w:szCs w:val="20"/>
        </w:rPr>
      </w:pPr>
      <w:bookmarkStart w:id="77" w:name="_ENREF_77"/>
      <w:r w:rsidRPr="00F426DC">
        <w:rPr>
          <w:rFonts w:cs="Arial"/>
          <w:noProof/>
          <w:color w:val="222222"/>
          <w:szCs w:val="20"/>
        </w:rPr>
        <w:t>Wunder, S. (2012) Of PES and other animals. Oryx 46, 1-2.</w:t>
      </w:r>
      <w:bookmarkEnd w:id="77"/>
    </w:p>
    <w:p w:rsidR="00EC2F61" w:rsidRPr="00F426DC" w:rsidRDefault="00EC2F61" w:rsidP="00F426DC">
      <w:pPr>
        <w:spacing w:after="0" w:line="240" w:lineRule="auto"/>
        <w:rPr>
          <w:rFonts w:cs="Arial"/>
          <w:noProof/>
          <w:color w:val="222222"/>
          <w:szCs w:val="20"/>
        </w:rPr>
      </w:pPr>
      <w:bookmarkStart w:id="78" w:name="_ENREF_78"/>
      <w:r w:rsidRPr="00F426DC">
        <w:rPr>
          <w:rFonts w:cs="Arial"/>
          <w:noProof/>
          <w:color w:val="222222"/>
          <w:szCs w:val="20"/>
        </w:rPr>
        <w:t>WWF, (2008) Indigenous Peoples and Conservation: WWF Statement of Principles. WWF International, Gland.</w:t>
      </w:r>
      <w:bookmarkEnd w:id="78"/>
    </w:p>
    <w:p w:rsidR="00EC2F61" w:rsidRDefault="00EC2F61" w:rsidP="00F426DC">
      <w:pPr>
        <w:spacing w:after="0" w:line="240" w:lineRule="auto"/>
        <w:rPr>
          <w:rFonts w:cs="Arial"/>
          <w:b/>
          <w:noProof/>
          <w:color w:val="222222"/>
          <w:szCs w:val="20"/>
        </w:rPr>
      </w:pPr>
    </w:p>
    <w:p w:rsidR="00EC2F61" w:rsidRPr="00190741" w:rsidRDefault="00EC2F61">
      <w:pPr>
        <w:spacing w:after="120" w:line="360" w:lineRule="auto"/>
        <w:rPr>
          <w:rFonts w:ascii="Arial" w:hAnsi="Arial" w:cs="Arial"/>
          <w:color w:val="222222"/>
          <w:sz w:val="20"/>
          <w:szCs w:val="20"/>
        </w:rPr>
      </w:pPr>
    </w:p>
    <w:p w:rsidR="00C258BA" w:rsidRDefault="00C258BA"/>
    <w:sectPr w:rsidR="00C258BA" w:rsidSect="00304E2E">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0C62" w:rsidRDefault="00C508F3">
      <w:pPr>
        <w:spacing w:after="0" w:line="240" w:lineRule="auto"/>
      </w:pPr>
      <w:r>
        <w:separator/>
      </w:r>
    </w:p>
  </w:endnote>
  <w:endnote w:type="continuationSeparator" w:id="0">
    <w:p w:rsidR="00960C62" w:rsidRDefault="00C50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C3B" w:rsidRDefault="00EC2F61">
    <w:pPr>
      <w:pStyle w:val="Footer"/>
      <w:rPr>
        <w:rFonts w:cs="Arial"/>
      </w:rPr>
    </w:pPr>
    <w:r>
      <w:fldChar w:fldCharType="begin"/>
    </w:r>
    <w:r>
      <w:instrText xml:space="preserve"> PAGE   \* MERGEFORMAT </w:instrText>
    </w:r>
    <w:r>
      <w:fldChar w:fldCharType="separate"/>
    </w:r>
    <w:r w:rsidR="00211C03">
      <w:rPr>
        <w:noProof/>
      </w:rPr>
      <w:t>1</w:t>
    </w:r>
    <w:r>
      <w:fldChar w:fldCharType="end"/>
    </w:r>
  </w:p>
  <w:p w:rsidR="00005C3B" w:rsidRDefault="00211C03">
    <w:pPr>
      <w:pStyle w:val="Footer"/>
      <w:rPr>
        <w:rFont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0C62" w:rsidRDefault="00C508F3">
      <w:pPr>
        <w:spacing w:after="0" w:line="240" w:lineRule="auto"/>
      </w:pPr>
      <w:r>
        <w:separator/>
      </w:r>
    </w:p>
  </w:footnote>
  <w:footnote w:type="continuationSeparator" w:id="0">
    <w:p w:rsidR="00960C62" w:rsidRDefault="00C508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numFmt w:val="bullet"/>
      <w:lvlText w:val="-"/>
      <w:lvlJc w:val="left"/>
      <w:pPr>
        <w:tabs>
          <w:tab w:val="num" w:pos="0"/>
        </w:tabs>
        <w:ind w:left="720" w:hanging="360"/>
      </w:pPr>
      <w:rPr>
        <w:rFonts w:ascii="Times New Roman" w:hAnsi="Times New Roman" w:cs="Times New Roman"/>
      </w:rPr>
    </w:lvl>
  </w:abstractNum>
  <w:abstractNum w:abstractNumId="1">
    <w:nsid w:val="103B4A20"/>
    <w:multiLevelType w:val="hybridMultilevel"/>
    <w:tmpl w:val="7D22EBB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17B10EC0"/>
    <w:multiLevelType w:val="multilevel"/>
    <w:tmpl w:val="38E03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A23F15"/>
    <w:multiLevelType w:val="hybridMultilevel"/>
    <w:tmpl w:val="4620AFC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nsid w:val="2EA950DC"/>
    <w:multiLevelType w:val="hybridMultilevel"/>
    <w:tmpl w:val="B4EC3F52"/>
    <w:lvl w:ilvl="0" w:tplc="47EA2B04">
      <w:start w:val="4"/>
      <w:numFmt w:val="bullet"/>
      <w:lvlText w:val="-"/>
      <w:lvlJc w:val="left"/>
      <w:pPr>
        <w:ind w:left="1080" w:hanging="360"/>
      </w:pPr>
      <w:rPr>
        <w:rFonts w:ascii="Calibri" w:eastAsia="SimSun" w:hAnsi="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cs="Wingdings" w:hint="default"/>
      </w:rPr>
    </w:lvl>
    <w:lvl w:ilvl="3" w:tplc="08090001">
      <w:start w:val="1"/>
      <w:numFmt w:val="bullet"/>
      <w:lvlText w:val=""/>
      <w:lvlJc w:val="left"/>
      <w:pPr>
        <w:ind w:left="3240" w:hanging="360"/>
      </w:pPr>
      <w:rPr>
        <w:rFonts w:ascii="Symbol" w:hAnsi="Symbol" w:cs="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cs="Wingdings" w:hint="default"/>
      </w:rPr>
    </w:lvl>
    <w:lvl w:ilvl="6" w:tplc="08090001">
      <w:start w:val="1"/>
      <w:numFmt w:val="bullet"/>
      <w:lvlText w:val=""/>
      <w:lvlJc w:val="left"/>
      <w:pPr>
        <w:ind w:left="5400" w:hanging="360"/>
      </w:pPr>
      <w:rPr>
        <w:rFonts w:ascii="Symbol" w:hAnsi="Symbol" w:cs="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cs="Wingdings" w:hint="default"/>
      </w:rPr>
    </w:lvl>
  </w:abstractNum>
  <w:abstractNum w:abstractNumId="5">
    <w:nsid w:val="30F269CE"/>
    <w:multiLevelType w:val="hybridMultilevel"/>
    <w:tmpl w:val="2258FDEC"/>
    <w:lvl w:ilvl="0" w:tplc="D4FC6AF6">
      <w:start w:val="1"/>
      <w:numFmt w:val="lowerRoman"/>
      <w:lvlText w:val="%1."/>
      <w:lvlJc w:val="left"/>
      <w:pPr>
        <w:ind w:left="720" w:hanging="360"/>
      </w:pPr>
      <w:rPr>
        <w:rFonts w:ascii="Times New Roman" w:eastAsia="SimSun" w:hAnsi="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nsid w:val="45DC5D5A"/>
    <w:multiLevelType w:val="multilevel"/>
    <w:tmpl w:val="2CA889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5B4B1F80"/>
    <w:multiLevelType w:val="hybridMultilevel"/>
    <w:tmpl w:val="AFB093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nsid w:val="5CE755A5"/>
    <w:multiLevelType w:val="multilevel"/>
    <w:tmpl w:val="A54E16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65CD357E"/>
    <w:multiLevelType w:val="multilevel"/>
    <w:tmpl w:val="91E695A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nsid w:val="6BE45771"/>
    <w:multiLevelType w:val="multilevel"/>
    <w:tmpl w:val="B3B2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9"/>
  </w:num>
  <w:num w:numId="4">
    <w:abstractNumId w:val="4"/>
  </w:num>
  <w:num w:numId="5">
    <w:abstractNumId w:val="5"/>
  </w:num>
  <w:num w:numId="6">
    <w:abstractNumId w:val="1"/>
  </w:num>
  <w:num w:numId="7">
    <w:abstractNumId w:val="8"/>
  </w:num>
  <w:num w:numId="8">
    <w:abstractNumId w:val="6"/>
  </w:num>
  <w:num w:numId="9">
    <w:abstractNumId w:val="2"/>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C2F61"/>
    <w:rsid w:val="00211C03"/>
    <w:rsid w:val="00960C62"/>
    <w:rsid w:val="00C258BA"/>
    <w:rsid w:val="00C508F3"/>
    <w:rsid w:val="00EC2F6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AC4B8162-3FE8-4AB8-A204-D7A9A9D22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2F61"/>
    <w:rPr>
      <w:rFonts w:ascii="Calibri" w:eastAsia="SimSun" w:hAnsi="Calibri" w:cs="Calibri"/>
    </w:rPr>
  </w:style>
  <w:style w:type="paragraph" w:styleId="Heading1">
    <w:name w:val="heading 1"/>
    <w:basedOn w:val="Normal"/>
    <w:link w:val="Heading1Char"/>
    <w:uiPriority w:val="99"/>
    <w:qFormat/>
    <w:rsid w:val="00EC2F61"/>
    <w:pPr>
      <w:spacing w:before="100" w:beforeAutospacing="1" w:after="100" w:afterAutospacing="1" w:line="240" w:lineRule="auto"/>
      <w:outlineLvl w:val="0"/>
    </w:pPr>
    <w:rPr>
      <w:rFonts w:ascii="Times New Roman" w:hAnsi="Times New Roman" w:cs="Times New Roman"/>
      <w:b/>
      <w:bCs/>
      <w:kern w:val="36"/>
      <w:sz w:val="48"/>
      <w:szCs w:val="48"/>
      <w:lang w:eastAsia="en-GB"/>
    </w:rPr>
  </w:style>
  <w:style w:type="paragraph" w:styleId="Heading2">
    <w:name w:val="heading 2"/>
    <w:basedOn w:val="Normal"/>
    <w:next w:val="Normal"/>
    <w:link w:val="Heading2Char"/>
    <w:uiPriority w:val="99"/>
    <w:qFormat/>
    <w:rsid w:val="00EC2F61"/>
    <w:pPr>
      <w:keepNext/>
      <w:keepLines/>
      <w:spacing w:before="200" w:after="0"/>
      <w:outlineLvl w:val="1"/>
    </w:pPr>
    <w:rPr>
      <w:rFonts w:ascii="Cambria" w:hAnsi="Cambria" w:cs="Cambria"/>
      <w:b/>
      <w:bCs/>
      <w:color w:val="4F81BD"/>
      <w:sz w:val="26"/>
      <w:szCs w:val="26"/>
    </w:rPr>
  </w:style>
  <w:style w:type="paragraph" w:styleId="Heading3">
    <w:name w:val="heading 3"/>
    <w:basedOn w:val="Normal"/>
    <w:next w:val="Normal"/>
    <w:link w:val="Heading3Char"/>
    <w:uiPriority w:val="99"/>
    <w:qFormat/>
    <w:rsid w:val="00EC2F61"/>
    <w:pPr>
      <w:keepNext/>
      <w:keepLines/>
      <w:spacing w:before="200" w:after="0"/>
      <w:outlineLvl w:val="2"/>
    </w:pPr>
    <w:rPr>
      <w:rFonts w:ascii="Cambria" w:hAnsi="Cambria" w:cs="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EC2F61"/>
    <w:rPr>
      <w:rFonts w:ascii="Times New Roman" w:eastAsia="SimSun" w:hAnsi="Times New Roman" w:cs="Times New Roman"/>
      <w:b/>
      <w:bCs/>
      <w:kern w:val="36"/>
      <w:sz w:val="48"/>
      <w:szCs w:val="48"/>
      <w:lang w:eastAsia="en-GB"/>
    </w:rPr>
  </w:style>
  <w:style w:type="character" w:customStyle="1" w:styleId="Heading2Char">
    <w:name w:val="Heading 2 Char"/>
    <w:link w:val="Heading2"/>
    <w:uiPriority w:val="99"/>
    <w:rsid w:val="00EC2F61"/>
    <w:rPr>
      <w:rFonts w:ascii="Cambria" w:eastAsia="SimSun" w:hAnsi="Cambria" w:cs="Cambria"/>
      <w:b/>
      <w:bCs/>
      <w:color w:val="4F81BD"/>
      <w:sz w:val="26"/>
      <w:szCs w:val="26"/>
    </w:rPr>
  </w:style>
  <w:style w:type="character" w:customStyle="1" w:styleId="Heading3Char">
    <w:name w:val="Heading 3 Char"/>
    <w:link w:val="Heading3"/>
    <w:uiPriority w:val="99"/>
    <w:rsid w:val="00EC2F61"/>
    <w:rPr>
      <w:rFonts w:ascii="Cambria" w:eastAsia="SimSun" w:hAnsi="Cambria" w:cs="Cambria"/>
      <w:b/>
      <w:bCs/>
      <w:color w:val="4F81BD"/>
    </w:rPr>
  </w:style>
  <w:style w:type="paragraph" w:styleId="ListParagraph">
    <w:name w:val="List Paragraph"/>
    <w:basedOn w:val="Normal"/>
    <w:uiPriority w:val="34"/>
    <w:qFormat/>
    <w:rsid w:val="00EC2F61"/>
    <w:pPr>
      <w:ind w:left="720"/>
    </w:pPr>
  </w:style>
  <w:style w:type="paragraph" w:styleId="EndnoteText">
    <w:name w:val="endnote text"/>
    <w:basedOn w:val="Normal"/>
    <w:link w:val="EndnoteTextChar"/>
    <w:uiPriority w:val="99"/>
    <w:semiHidden/>
    <w:rsid w:val="00EC2F61"/>
    <w:pPr>
      <w:spacing w:after="0" w:line="240" w:lineRule="auto"/>
    </w:pPr>
    <w:rPr>
      <w:sz w:val="20"/>
      <w:szCs w:val="20"/>
    </w:rPr>
  </w:style>
  <w:style w:type="character" w:customStyle="1" w:styleId="EndnoteTextChar">
    <w:name w:val="Endnote Text Char"/>
    <w:link w:val="EndnoteText"/>
    <w:uiPriority w:val="99"/>
    <w:semiHidden/>
    <w:rsid w:val="00EC2F61"/>
    <w:rPr>
      <w:rFonts w:ascii="Calibri" w:eastAsia="SimSun" w:hAnsi="Calibri" w:cs="Calibri"/>
      <w:sz w:val="20"/>
      <w:szCs w:val="20"/>
    </w:rPr>
  </w:style>
  <w:style w:type="character" w:styleId="EndnoteReference">
    <w:name w:val="endnote reference"/>
    <w:uiPriority w:val="99"/>
    <w:semiHidden/>
    <w:rsid w:val="00EC2F61"/>
    <w:rPr>
      <w:vertAlign w:val="superscript"/>
    </w:rPr>
  </w:style>
  <w:style w:type="paragraph" w:styleId="FootnoteText">
    <w:name w:val="footnote text"/>
    <w:basedOn w:val="Normal"/>
    <w:link w:val="FootnoteTextChar"/>
    <w:uiPriority w:val="99"/>
    <w:semiHidden/>
    <w:rsid w:val="00EC2F61"/>
    <w:pPr>
      <w:spacing w:after="0" w:line="240" w:lineRule="auto"/>
    </w:pPr>
    <w:rPr>
      <w:sz w:val="20"/>
      <w:szCs w:val="20"/>
    </w:rPr>
  </w:style>
  <w:style w:type="character" w:customStyle="1" w:styleId="FootnoteTextChar">
    <w:name w:val="Footnote Text Char"/>
    <w:link w:val="FootnoteText"/>
    <w:uiPriority w:val="99"/>
    <w:semiHidden/>
    <w:rsid w:val="00EC2F61"/>
    <w:rPr>
      <w:rFonts w:ascii="Calibri" w:eastAsia="SimSun" w:hAnsi="Calibri" w:cs="Calibri"/>
      <w:sz w:val="20"/>
      <w:szCs w:val="20"/>
    </w:rPr>
  </w:style>
  <w:style w:type="character" w:styleId="FootnoteReference">
    <w:name w:val="footnote reference"/>
    <w:uiPriority w:val="99"/>
    <w:semiHidden/>
    <w:rsid w:val="00EC2F61"/>
    <w:rPr>
      <w:vertAlign w:val="superscript"/>
    </w:rPr>
  </w:style>
  <w:style w:type="paragraph" w:styleId="BalloonText">
    <w:name w:val="Balloon Text"/>
    <w:basedOn w:val="Normal"/>
    <w:link w:val="BalloonTextChar"/>
    <w:uiPriority w:val="99"/>
    <w:semiHidden/>
    <w:rsid w:val="00EC2F6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C2F61"/>
    <w:rPr>
      <w:rFonts w:ascii="Tahoma" w:eastAsia="SimSun" w:hAnsi="Tahoma" w:cs="Tahoma"/>
      <w:sz w:val="16"/>
      <w:szCs w:val="16"/>
    </w:rPr>
  </w:style>
  <w:style w:type="paragraph" w:styleId="NormalWeb">
    <w:name w:val="Normal (Web)"/>
    <w:basedOn w:val="Normal"/>
    <w:uiPriority w:val="99"/>
    <w:semiHidden/>
    <w:rsid w:val="00EC2F61"/>
    <w:pPr>
      <w:spacing w:before="100" w:beforeAutospacing="1" w:after="100" w:afterAutospacing="1" w:line="240" w:lineRule="auto"/>
    </w:pPr>
    <w:rPr>
      <w:rFonts w:ascii="Times New Roman" w:hAnsi="Times New Roman" w:cs="Times New Roman"/>
      <w:sz w:val="24"/>
      <w:szCs w:val="24"/>
    </w:rPr>
  </w:style>
  <w:style w:type="character" w:styleId="Hyperlink">
    <w:name w:val="Hyperlink"/>
    <w:uiPriority w:val="99"/>
    <w:rsid w:val="00EC2F61"/>
    <w:rPr>
      <w:color w:val="0000FF"/>
      <w:u w:val="single"/>
    </w:rPr>
  </w:style>
  <w:style w:type="character" w:customStyle="1" w:styleId="maintitle">
    <w:name w:val="maintitle"/>
    <w:basedOn w:val="DefaultParagraphFont"/>
    <w:uiPriority w:val="99"/>
    <w:rsid w:val="00EC2F61"/>
  </w:style>
  <w:style w:type="paragraph" w:styleId="Header">
    <w:name w:val="header"/>
    <w:basedOn w:val="Normal"/>
    <w:link w:val="HeaderChar"/>
    <w:uiPriority w:val="99"/>
    <w:rsid w:val="00EC2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2F61"/>
    <w:rPr>
      <w:rFonts w:ascii="Calibri" w:eastAsia="SimSun" w:hAnsi="Calibri" w:cs="Calibri"/>
    </w:rPr>
  </w:style>
  <w:style w:type="paragraph" w:styleId="Footer">
    <w:name w:val="footer"/>
    <w:basedOn w:val="Normal"/>
    <w:link w:val="FooterChar"/>
    <w:uiPriority w:val="99"/>
    <w:rsid w:val="00EC2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2F61"/>
    <w:rPr>
      <w:rFonts w:ascii="Calibri" w:eastAsia="SimSun" w:hAnsi="Calibri" w:cs="Calibri"/>
    </w:rPr>
  </w:style>
  <w:style w:type="character" w:styleId="Emphasis">
    <w:name w:val="Emphasis"/>
    <w:uiPriority w:val="99"/>
    <w:qFormat/>
    <w:rsid w:val="00EC2F61"/>
    <w:rPr>
      <w:i/>
      <w:iCs/>
    </w:rPr>
  </w:style>
  <w:style w:type="paragraph" w:customStyle="1" w:styleId="bibliographie">
    <w:name w:val="bibliographie"/>
    <w:basedOn w:val="Normal"/>
    <w:uiPriority w:val="99"/>
    <w:rsid w:val="00EC2F61"/>
    <w:pPr>
      <w:spacing w:before="100" w:beforeAutospacing="1" w:after="100" w:afterAutospacing="1" w:line="240" w:lineRule="auto"/>
    </w:pPr>
    <w:rPr>
      <w:rFonts w:ascii="Times New Roman" w:hAnsi="Times New Roman" w:cs="Times New Roman"/>
      <w:sz w:val="24"/>
      <w:szCs w:val="24"/>
      <w:lang w:eastAsia="en-GB"/>
    </w:rPr>
  </w:style>
  <w:style w:type="character" w:customStyle="1" w:styleId="st1">
    <w:name w:val="st1"/>
    <w:basedOn w:val="DefaultParagraphFont"/>
    <w:uiPriority w:val="99"/>
    <w:rsid w:val="00EC2F61"/>
  </w:style>
  <w:style w:type="character" w:styleId="CommentReference">
    <w:name w:val="annotation reference"/>
    <w:uiPriority w:val="99"/>
    <w:semiHidden/>
    <w:rsid w:val="00EC2F61"/>
    <w:rPr>
      <w:sz w:val="16"/>
      <w:szCs w:val="16"/>
    </w:rPr>
  </w:style>
  <w:style w:type="paragraph" w:styleId="CommentText">
    <w:name w:val="annotation text"/>
    <w:basedOn w:val="Normal"/>
    <w:link w:val="CommentTextChar"/>
    <w:uiPriority w:val="99"/>
    <w:semiHidden/>
    <w:rsid w:val="00EC2F61"/>
    <w:pPr>
      <w:spacing w:line="240" w:lineRule="auto"/>
    </w:pPr>
    <w:rPr>
      <w:sz w:val="20"/>
      <w:szCs w:val="20"/>
    </w:rPr>
  </w:style>
  <w:style w:type="character" w:customStyle="1" w:styleId="CommentTextChar">
    <w:name w:val="Comment Text Char"/>
    <w:link w:val="CommentText"/>
    <w:uiPriority w:val="99"/>
    <w:semiHidden/>
    <w:rsid w:val="00EC2F61"/>
    <w:rPr>
      <w:rFonts w:ascii="Calibri" w:eastAsia="SimSun" w:hAnsi="Calibri" w:cs="Calibri"/>
      <w:sz w:val="20"/>
      <w:szCs w:val="20"/>
    </w:rPr>
  </w:style>
  <w:style w:type="paragraph" w:styleId="CommentSubject">
    <w:name w:val="annotation subject"/>
    <w:basedOn w:val="CommentText"/>
    <w:next w:val="CommentText"/>
    <w:link w:val="CommentSubjectChar"/>
    <w:uiPriority w:val="99"/>
    <w:semiHidden/>
    <w:rsid w:val="00EC2F61"/>
    <w:rPr>
      <w:b/>
      <w:bCs/>
    </w:rPr>
  </w:style>
  <w:style w:type="character" w:customStyle="1" w:styleId="CommentSubjectChar">
    <w:name w:val="Comment Subject Char"/>
    <w:link w:val="CommentSubject"/>
    <w:uiPriority w:val="99"/>
    <w:semiHidden/>
    <w:rsid w:val="00EC2F61"/>
    <w:rPr>
      <w:rFonts w:ascii="Calibri" w:eastAsia="SimSun" w:hAnsi="Calibri" w:cs="Calibri"/>
      <w:b/>
      <w:bCs/>
      <w:sz w:val="20"/>
      <w:szCs w:val="20"/>
    </w:rPr>
  </w:style>
  <w:style w:type="paragraph" w:styleId="Revision">
    <w:name w:val="Revision"/>
    <w:hidden/>
    <w:uiPriority w:val="99"/>
    <w:semiHidden/>
    <w:rsid w:val="00EC2F61"/>
    <w:pPr>
      <w:spacing w:after="0" w:line="240" w:lineRule="auto"/>
    </w:pPr>
    <w:rPr>
      <w:rFonts w:ascii="Calibri" w:eastAsia="SimSun" w:hAnsi="Calibri" w:cs="Calibri"/>
    </w:rPr>
  </w:style>
  <w:style w:type="table" w:styleId="TableGrid">
    <w:name w:val="Table Grid"/>
    <w:basedOn w:val="TableNormal"/>
    <w:rsid w:val="00EC2F61"/>
    <w:pPr>
      <w:spacing w:after="0" w:line="240" w:lineRule="auto"/>
    </w:pPr>
    <w:rPr>
      <w:rFonts w:ascii="Calibri" w:eastAsia="SimSu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EC2F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mailto:aakol@sci.mak.ac.ug"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adrian.martin@uea.ac.uk"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n.gross-camp@uea.ac.uk" TargetMode="External"/><Relationship Id="rId14" Type="http://schemas.openxmlformats.org/officeDocument/2006/relationships/image" Target="media/image5.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083\AppData\Local\Microsoft\Windows\Temporary%20Internet%20Files\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30</Pages>
  <Words>10661</Words>
  <Characters>60769</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71288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Gross-Camp</dc:creator>
  <cp:lastModifiedBy>Adrian Martin (DEV)</cp:lastModifiedBy>
  <cp:revision>3</cp:revision>
  <dcterms:created xsi:type="dcterms:W3CDTF">2014-07-11T12:01:00Z</dcterms:created>
  <dcterms:modified xsi:type="dcterms:W3CDTF">2014-11-19T14:35:00Z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1112304851</vt:i4>
  </property>
  <property fmtid="{D5CDD505-2E9C-101B-9397-08002B2CF9AE}" pid="3" name="_NewReviewCycle">
    <vt:lpwstr/>
  </property>
  <property fmtid="{D5CDD505-2E9C-101B-9397-08002B2CF9AE}" pid="4" name="_EmailSubject">
    <vt:lpwstr>bwindi</vt:lpwstr>
  </property>
  <property fmtid="{D5CDD505-2E9C-101B-9397-08002B2CF9AE}" pid="5" name="_AuthorEmail">
    <vt:lpwstr>N.Gross-Camp@uea.ac.uk</vt:lpwstr>
  </property>
  <property fmtid="{D5CDD505-2E9C-101B-9397-08002B2CF9AE}" pid="6" name="_AuthorEmailDisplayName">
    <vt:lpwstr>Nicole Gross-Camp (DEV)</vt:lpwstr>
  </property>
  <property fmtid="{D5CDD505-2E9C-101B-9397-08002B2CF9AE}" pid="7" name="_ReviewingToolsShownOnce">
    <vt:lpwstr/>
  </property>
</Properties>
</file>