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3F1C" w:rsidRDefault="006B3F1C" w:rsidP="00372A95">
      <w:pPr>
        <w:widowControl w:val="0"/>
        <w:spacing w:after="0" w:line="360" w:lineRule="auto"/>
        <w:ind w:left="720" w:hanging="720"/>
        <w:jc w:val="center"/>
        <w:rPr>
          <w:rFonts w:cs="Calibri"/>
        </w:rPr>
      </w:pPr>
      <w:bookmarkStart w:id="0" w:name="_GoBack"/>
      <w:bookmarkEnd w:id="0"/>
      <w:r>
        <w:rPr>
          <w:rFonts w:cs="Calibri"/>
          <w:b/>
          <w:sz w:val="28"/>
          <w:szCs w:val="28"/>
        </w:rPr>
        <w:t xml:space="preserve">Urban density, deprivation and road safety: </w:t>
      </w:r>
      <w:r>
        <w:rPr>
          <w:rFonts w:cs="Calibri"/>
          <w:b/>
          <w:sz w:val="28"/>
          <w:szCs w:val="28"/>
        </w:rPr>
        <w:br/>
        <w:t xml:space="preserve">A small area study in </w:t>
      </w:r>
      <w:r w:rsidR="00094A38" w:rsidRPr="00094A38">
        <w:rPr>
          <w:rFonts w:cs="Calibri"/>
          <w:b/>
          <w:sz w:val="28"/>
          <w:szCs w:val="28"/>
        </w:rPr>
        <w:t>the eThekwini Metropolitan Area</w:t>
      </w:r>
      <w:r w:rsidR="003A427A">
        <w:rPr>
          <w:rFonts w:cs="Calibri"/>
          <w:b/>
          <w:sz w:val="28"/>
          <w:szCs w:val="28"/>
        </w:rPr>
        <w:t xml:space="preserve">, </w:t>
      </w:r>
      <w:r>
        <w:rPr>
          <w:rFonts w:cs="Calibri"/>
          <w:b/>
          <w:sz w:val="28"/>
          <w:szCs w:val="28"/>
        </w:rPr>
        <w:t>South Africa</w:t>
      </w:r>
    </w:p>
    <w:p w:rsidR="006B3F1C" w:rsidRDefault="006B3F1C" w:rsidP="00E609D0">
      <w:pPr>
        <w:widowControl w:val="0"/>
        <w:spacing w:after="0" w:line="360" w:lineRule="auto"/>
        <w:jc w:val="center"/>
        <w:rPr>
          <w:rFonts w:cs="Calibri"/>
        </w:rPr>
      </w:pPr>
    </w:p>
    <w:p w:rsidR="00E609D0" w:rsidRDefault="00E609D0" w:rsidP="00E609D0">
      <w:pPr>
        <w:widowControl w:val="0"/>
        <w:spacing w:after="0" w:line="360" w:lineRule="auto"/>
        <w:jc w:val="center"/>
        <w:rPr>
          <w:rFonts w:cs="Calibri"/>
        </w:rPr>
      </w:pPr>
    </w:p>
    <w:p w:rsidR="00E609D0" w:rsidRPr="008D0B02" w:rsidRDefault="00E609D0" w:rsidP="00E609D0">
      <w:pPr>
        <w:suppressAutoHyphens w:val="0"/>
        <w:spacing w:after="0" w:line="240" w:lineRule="auto"/>
        <w:jc w:val="center"/>
        <w:rPr>
          <w:rFonts w:cs="Calibri"/>
          <w:b/>
          <w:sz w:val="24"/>
          <w:szCs w:val="24"/>
          <w:lang w:val="en-ZA"/>
        </w:rPr>
      </w:pPr>
      <w:r w:rsidRPr="008D0B02">
        <w:rPr>
          <w:rFonts w:cs="Calibri"/>
          <w:b/>
          <w:sz w:val="24"/>
          <w:szCs w:val="24"/>
          <w:lang w:val="en-ZA"/>
        </w:rPr>
        <w:t>A. SUKHAI and A.P. JONES</w:t>
      </w:r>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jc w:val="center"/>
        <w:rPr>
          <w:rFonts w:cs="Calibri"/>
          <w:lang w:val="en-ZA"/>
        </w:rPr>
      </w:pPr>
      <w:r w:rsidRPr="00E609D0">
        <w:rPr>
          <w:rFonts w:cs="Calibri"/>
          <w:lang w:val="en-ZA"/>
        </w:rPr>
        <w:t>A. Sukhai</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School of Environmental Sciences</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University of East Anglia</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Norwich, Norfolk,</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NR4 7TJ, UK.</w:t>
      </w:r>
    </w:p>
    <w:p w:rsidR="00E609D0" w:rsidRPr="00E609D0" w:rsidRDefault="00E609D0" w:rsidP="00E609D0">
      <w:pPr>
        <w:suppressAutoHyphens w:val="0"/>
        <w:spacing w:after="0" w:line="240" w:lineRule="auto"/>
        <w:jc w:val="center"/>
        <w:rPr>
          <w:rFonts w:cs="Calibri"/>
          <w:i/>
          <w:lang w:val="en-ZA"/>
        </w:rPr>
      </w:pPr>
    </w:p>
    <w:p w:rsidR="00E609D0" w:rsidRPr="00E609D0" w:rsidRDefault="005707FD" w:rsidP="00E609D0">
      <w:pPr>
        <w:suppressAutoHyphens w:val="0"/>
        <w:spacing w:after="0" w:line="240" w:lineRule="auto"/>
        <w:jc w:val="center"/>
        <w:rPr>
          <w:rFonts w:cs="Calibri"/>
          <w:i/>
          <w:lang w:val="en-ZA"/>
        </w:rPr>
      </w:pPr>
      <w:r>
        <w:rPr>
          <w:rFonts w:cs="Calibri"/>
          <w:i/>
          <w:lang w:val="en-ZA"/>
        </w:rPr>
        <w:t>Violence, Injury</w:t>
      </w:r>
      <w:r w:rsidRPr="00E609D0">
        <w:rPr>
          <w:rFonts w:cs="Calibri"/>
          <w:i/>
          <w:lang w:val="en-ZA"/>
        </w:rPr>
        <w:t xml:space="preserve"> </w:t>
      </w:r>
      <w:r w:rsidR="00E609D0" w:rsidRPr="00E609D0">
        <w:rPr>
          <w:rFonts w:cs="Calibri"/>
          <w:i/>
          <w:lang w:val="en-ZA"/>
        </w:rPr>
        <w:t>&amp; Peace Research Unit</w:t>
      </w:r>
      <w:r w:rsidR="0083278C">
        <w:rPr>
          <w:rFonts w:cs="Calibri"/>
          <w:i/>
          <w:lang w:val="en-ZA"/>
        </w:rPr>
        <w:t xml:space="preserve"> (VIPRU)</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Medical Research Council and University of South Africa</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PO Box 19070, Tygerberg</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Cape Town, South Africa, 7505</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 xml:space="preserve">E-mail: </w:t>
      </w:r>
      <w:hyperlink r:id="rId7" w:history="1">
        <w:r w:rsidRPr="00E609D0">
          <w:rPr>
            <w:rStyle w:val="Hyperlink"/>
            <w:rFonts w:cs="Calibri"/>
            <w:i/>
            <w:lang w:val="en-ZA"/>
          </w:rPr>
          <w:t>anesh.sukhai@mrc.ac.za</w:t>
        </w:r>
      </w:hyperlink>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jc w:val="center"/>
        <w:rPr>
          <w:rFonts w:cs="Calibri"/>
          <w:lang w:val="en-ZA"/>
        </w:rPr>
      </w:pPr>
      <w:r w:rsidRPr="00E609D0">
        <w:rPr>
          <w:rFonts w:cs="Calibri"/>
          <w:lang w:val="en-ZA"/>
        </w:rPr>
        <w:t>A.P. Jones</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Norwich Medical School</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University of East Anglia</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Norwich, Norfolk</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NR4 7TJ, UK</w:t>
      </w:r>
    </w:p>
    <w:p w:rsidR="00E609D0" w:rsidRPr="00E609D0" w:rsidRDefault="00E609D0" w:rsidP="00E609D0">
      <w:pPr>
        <w:suppressAutoHyphens w:val="0"/>
        <w:spacing w:after="0" w:line="240" w:lineRule="auto"/>
        <w:jc w:val="center"/>
        <w:rPr>
          <w:rFonts w:cs="Calibri"/>
          <w:i/>
          <w:lang w:val="en-ZA"/>
        </w:rPr>
      </w:pPr>
      <w:r w:rsidRPr="00E609D0">
        <w:rPr>
          <w:rFonts w:cs="Calibri"/>
          <w:i/>
          <w:lang w:val="en-ZA"/>
        </w:rPr>
        <w:t xml:space="preserve">E-mail: </w:t>
      </w:r>
      <w:hyperlink r:id="rId8" w:history="1">
        <w:r w:rsidRPr="00E609D0">
          <w:rPr>
            <w:rStyle w:val="Hyperlink"/>
            <w:rFonts w:cs="Calibri"/>
            <w:i/>
            <w:lang w:val="en-ZA"/>
          </w:rPr>
          <w:t>a.p.jones@uea.ac.uk</w:t>
        </w:r>
      </w:hyperlink>
    </w:p>
    <w:p w:rsidR="00E609D0" w:rsidRPr="00E609D0" w:rsidRDefault="00E609D0" w:rsidP="00E609D0">
      <w:pPr>
        <w:suppressAutoHyphens w:val="0"/>
        <w:spacing w:after="0" w:line="240" w:lineRule="auto"/>
        <w:jc w:val="center"/>
        <w:rPr>
          <w:rFonts w:cs="Calibri"/>
          <w:lang w:val="en-ZA"/>
        </w:rPr>
      </w:pPr>
    </w:p>
    <w:p w:rsidR="00E609D0" w:rsidRPr="00E609D0" w:rsidRDefault="00E609D0" w:rsidP="00E609D0">
      <w:pPr>
        <w:suppressAutoHyphens w:val="0"/>
        <w:spacing w:after="0" w:line="240" w:lineRule="auto"/>
        <w:rPr>
          <w:rFonts w:cs="Calibri"/>
          <w:lang w:val="en-ZA"/>
        </w:rPr>
      </w:pPr>
    </w:p>
    <w:p w:rsidR="00E609D0" w:rsidRDefault="00E609D0">
      <w:pPr>
        <w:suppressAutoHyphens w:val="0"/>
        <w:spacing w:after="0" w:line="240" w:lineRule="auto"/>
        <w:rPr>
          <w:rFonts w:cs="Calibri"/>
          <w:b/>
        </w:rPr>
      </w:pPr>
      <w:r>
        <w:rPr>
          <w:rFonts w:cs="Calibri"/>
          <w:b/>
        </w:rPr>
        <w:br w:type="page"/>
      </w:r>
    </w:p>
    <w:p w:rsidR="001D2953" w:rsidRDefault="001D2953">
      <w:pPr>
        <w:widowControl w:val="0"/>
        <w:spacing w:after="0" w:line="360" w:lineRule="auto"/>
        <w:rPr>
          <w:rFonts w:cs="Calibri"/>
          <w:b/>
        </w:rPr>
      </w:pPr>
    </w:p>
    <w:p w:rsidR="00E609D0" w:rsidRDefault="00E609D0" w:rsidP="00E609D0">
      <w:pPr>
        <w:widowControl w:val="0"/>
        <w:spacing w:after="0" w:line="360" w:lineRule="auto"/>
        <w:ind w:left="720" w:hanging="720"/>
        <w:jc w:val="center"/>
        <w:rPr>
          <w:rFonts w:cs="Calibri"/>
        </w:rPr>
      </w:pPr>
      <w:r>
        <w:rPr>
          <w:rFonts w:cs="Calibri"/>
          <w:b/>
          <w:sz w:val="28"/>
          <w:szCs w:val="28"/>
        </w:rPr>
        <w:t xml:space="preserve">Urban density, deprivation and road safety: </w:t>
      </w:r>
      <w:r>
        <w:rPr>
          <w:rFonts w:cs="Calibri"/>
          <w:b/>
          <w:sz w:val="28"/>
          <w:szCs w:val="28"/>
        </w:rPr>
        <w:br/>
        <w:t xml:space="preserve">A small area study in </w:t>
      </w:r>
      <w:r w:rsidRPr="00094A38">
        <w:rPr>
          <w:rFonts w:cs="Calibri"/>
          <w:b/>
          <w:sz w:val="28"/>
          <w:szCs w:val="28"/>
        </w:rPr>
        <w:t>the eThekwini Metropolitan Area</w:t>
      </w:r>
      <w:r>
        <w:rPr>
          <w:rFonts w:cs="Calibri"/>
          <w:b/>
          <w:sz w:val="28"/>
          <w:szCs w:val="28"/>
        </w:rPr>
        <w:t>, South Africa</w:t>
      </w:r>
    </w:p>
    <w:p w:rsidR="00E609D0" w:rsidRDefault="00E609D0">
      <w:pPr>
        <w:widowControl w:val="0"/>
        <w:spacing w:after="0" w:line="360" w:lineRule="auto"/>
        <w:rPr>
          <w:rFonts w:cs="Calibri"/>
          <w:b/>
        </w:rPr>
      </w:pPr>
    </w:p>
    <w:p w:rsidR="00E609D0" w:rsidRDefault="00E609D0">
      <w:pPr>
        <w:widowControl w:val="0"/>
        <w:spacing w:after="0" w:line="360" w:lineRule="auto"/>
        <w:rPr>
          <w:rFonts w:cs="Calibri"/>
          <w:b/>
        </w:rPr>
      </w:pPr>
    </w:p>
    <w:p w:rsidR="006B3F1C" w:rsidRDefault="006B3F1C">
      <w:pPr>
        <w:widowControl w:val="0"/>
        <w:spacing w:after="0" w:line="360" w:lineRule="auto"/>
        <w:rPr>
          <w:rFonts w:cs="Calibri"/>
        </w:rPr>
      </w:pPr>
      <w:r>
        <w:rPr>
          <w:rFonts w:cs="Calibri"/>
          <w:b/>
        </w:rPr>
        <w:t>ABSTRACT</w:t>
      </w:r>
    </w:p>
    <w:p w:rsidR="006B3F1C" w:rsidRDefault="006B3F1C">
      <w:pPr>
        <w:widowControl w:val="0"/>
        <w:spacing w:after="0" w:line="360" w:lineRule="auto"/>
        <w:rPr>
          <w:rFonts w:cs="Calibri"/>
        </w:rPr>
      </w:pPr>
    </w:p>
    <w:p w:rsidR="006B3F1C" w:rsidRPr="008443FF" w:rsidRDefault="009A4CC3" w:rsidP="00135253">
      <w:pPr>
        <w:widowControl w:val="0"/>
        <w:tabs>
          <w:tab w:val="left" w:pos="7371"/>
        </w:tabs>
        <w:spacing w:after="0" w:line="360" w:lineRule="auto"/>
        <w:rPr>
          <w:rFonts w:asciiTheme="minorHAnsi" w:hAnsiTheme="minorHAnsi" w:cstheme="minorHAnsi"/>
        </w:rPr>
      </w:pPr>
      <w:r>
        <w:rPr>
          <w:rFonts w:asciiTheme="minorHAnsi" w:hAnsiTheme="minorHAnsi" w:cstheme="minorHAnsi"/>
        </w:rPr>
        <w:t xml:space="preserve">Following a </w:t>
      </w:r>
      <w:r w:rsidR="00442040">
        <w:rPr>
          <w:rFonts w:asciiTheme="minorHAnsi" w:hAnsiTheme="minorHAnsi" w:cstheme="minorHAnsi"/>
        </w:rPr>
        <w:t xml:space="preserve">general </w:t>
      </w:r>
      <w:r w:rsidR="00442040" w:rsidRPr="008443FF">
        <w:rPr>
          <w:rFonts w:asciiTheme="minorHAnsi" w:hAnsiTheme="minorHAnsi" w:cstheme="minorHAnsi"/>
        </w:rPr>
        <w:t xml:space="preserve">paucity of small area research on </w:t>
      </w:r>
      <w:r w:rsidR="00DB0D91">
        <w:rPr>
          <w:rFonts w:asciiTheme="minorHAnsi" w:hAnsiTheme="minorHAnsi" w:cstheme="minorHAnsi"/>
        </w:rPr>
        <w:t>road traffic injuries (</w:t>
      </w:r>
      <w:r w:rsidR="00442040" w:rsidRPr="008443FF">
        <w:rPr>
          <w:rFonts w:asciiTheme="minorHAnsi" w:hAnsiTheme="minorHAnsi" w:cstheme="minorHAnsi"/>
        </w:rPr>
        <w:t>RTIs</w:t>
      </w:r>
      <w:r w:rsidR="00DB0D91">
        <w:rPr>
          <w:rFonts w:asciiTheme="minorHAnsi" w:hAnsiTheme="minorHAnsi" w:cstheme="minorHAnsi"/>
        </w:rPr>
        <w:t>)</w:t>
      </w:r>
      <w:r>
        <w:rPr>
          <w:rFonts w:asciiTheme="minorHAnsi" w:hAnsiTheme="minorHAnsi" w:cstheme="minorHAnsi"/>
        </w:rPr>
        <w:t xml:space="preserve">, </w:t>
      </w:r>
      <w:r w:rsidR="006B3F1C" w:rsidRPr="008443FF">
        <w:rPr>
          <w:rFonts w:asciiTheme="minorHAnsi" w:hAnsiTheme="minorHAnsi" w:cstheme="minorHAnsi"/>
        </w:rPr>
        <w:t>this study examined small area variations in RTIs for the eThekwini Metropolitan Area (comprising predominantly the City of Durban)</w:t>
      </w:r>
      <w:r>
        <w:rPr>
          <w:rFonts w:asciiTheme="minorHAnsi" w:hAnsiTheme="minorHAnsi" w:cstheme="minorHAnsi"/>
        </w:rPr>
        <w:t xml:space="preserve"> in South Africa</w:t>
      </w:r>
      <w:r w:rsidR="006B3F1C" w:rsidRPr="008443FF">
        <w:rPr>
          <w:rFonts w:asciiTheme="minorHAnsi" w:hAnsiTheme="minorHAnsi" w:cstheme="minorHAnsi"/>
        </w:rPr>
        <w:t xml:space="preserve">. Population density was used as an organising framework to examine variations in RTI outcomes, and correspondence with a range of measures relating to characteristics of the crashes and to socio-economic deprivation. Analyses were undertaken at the suburb level, using data from 2005-2009 and employing a cross-sectional geographical design. Analyses were also undertaken for disaggregated injury, crash severity, and road user groups. The distribution of the injury outcome measures corresponded with several measures that proxied risks relating to excessive driving speeds, excessive travel exposure, and general social as well as area level deprivation. </w:t>
      </w:r>
      <w:r w:rsidR="00481B7B">
        <w:rPr>
          <w:rFonts w:asciiTheme="minorHAnsi" w:hAnsiTheme="minorHAnsi" w:cstheme="minorHAnsi"/>
        </w:rPr>
        <w:t>N</w:t>
      </w:r>
      <w:r w:rsidR="00725F85" w:rsidRPr="008443FF">
        <w:rPr>
          <w:rFonts w:asciiTheme="minorHAnsi" w:hAnsiTheme="minorHAnsi" w:cstheme="minorHAnsi"/>
        </w:rPr>
        <w:t>egative binomial models</w:t>
      </w:r>
      <w:r w:rsidR="00297ED3">
        <w:rPr>
          <w:rFonts w:asciiTheme="minorHAnsi" w:hAnsiTheme="minorHAnsi" w:cstheme="minorHAnsi"/>
        </w:rPr>
        <w:t xml:space="preserve">, </w:t>
      </w:r>
      <w:r w:rsidR="00725F85" w:rsidRPr="008443FF">
        <w:rPr>
          <w:rFonts w:asciiTheme="minorHAnsi" w:hAnsiTheme="minorHAnsi" w:cstheme="minorHAnsi"/>
        </w:rPr>
        <w:t xml:space="preserve">fitted for the </w:t>
      </w:r>
      <w:r w:rsidR="00481B7B">
        <w:rPr>
          <w:rFonts w:asciiTheme="minorHAnsi" w:hAnsiTheme="minorHAnsi" w:cstheme="minorHAnsi"/>
        </w:rPr>
        <w:t xml:space="preserve">injury </w:t>
      </w:r>
      <w:r w:rsidR="00725F85" w:rsidRPr="008443FF">
        <w:rPr>
          <w:rFonts w:asciiTheme="minorHAnsi" w:hAnsiTheme="minorHAnsi" w:cstheme="minorHAnsi"/>
        </w:rPr>
        <w:t>outcome measures</w:t>
      </w:r>
      <w:r w:rsidR="00481B7B">
        <w:rPr>
          <w:rFonts w:asciiTheme="minorHAnsi" w:hAnsiTheme="minorHAnsi" w:cstheme="minorHAnsi"/>
        </w:rPr>
        <w:t xml:space="preserve">, </w:t>
      </w:r>
      <w:r w:rsidR="00297ED3">
        <w:rPr>
          <w:rFonts w:asciiTheme="minorHAnsi" w:hAnsiTheme="minorHAnsi" w:cstheme="minorHAnsi"/>
        </w:rPr>
        <w:t xml:space="preserve">showed population density to be a significant predictor of all injury outcomes but also that its effects was only partially explained by the explanatory measures considered. </w:t>
      </w:r>
      <w:r w:rsidR="006B3F1C" w:rsidRPr="008443FF">
        <w:rPr>
          <w:rFonts w:asciiTheme="minorHAnsi" w:hAnsiTheme="minorHAnsi" w:cstheme="minorHAnsi"/>
        </w:rPr>
        <w:t xml:space="preserve">The findings on deprivation provide new insights to rural-urban variations in RTIs, at least </w:t>
      </w:r>
      <w:r w:rsidR="000323AC">
        <w:rPr>
          <w:rFonts w:asciiTheme="minorHAnsi" w:hAnsiTheme="minorHAnsi" w:cstheme="minorHAnsi"/>
        </w:rPr>
        <w:t xml:space="preserve">in </w:t>
      </w:r>
      <w:r w:rsidR="006B3F1C" w:rsidRPr="008443FF">
        <w:rPr>
          <w:rFonts w:asciiTheme="minorHAnsi" w:hAnsiTheme="minorHAnsi" w:cstheme="minorHAnsi"/>
        </w:rPr>
        <w:t xml:space="preserve">the South African setting. The findings also have implications for informing integrated developmental policies and strategies across a range of disciplines and departments, especially at the city level.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b/>
        </w:rPr>
        <w:t>Keywords</w:t>
      </w:r>
      <w:r w:rsidRPr="008443FF">
        <w:rPr>
          <w:rFonts w:asciiTheme="minorHAnsi" w:hAnsiTheme="minorHAnsi" w:cstheme="minorHAnsi"/>
        </w:rPr>
        <w:t>: road traffic injury, small area, Durban, population density, densification, deprivation</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rPr>
          <w:rFonts w:asciiTheme="minorHAnsi" w:hAnsiTheme="minorHAnsi" w:cstheme="minorHAnsi"/>
          <w:b/>
        </w:rPr>
      </w:pPr>
    </w:p>
    <w:p w:rsidR="006B3F1C" w:rsidRPr="008443FF" w:rsidRDefault="006B3F1C">
      <w:pPr>
        <w:pageBreakBefore/>
        <w:widowControl w:val="0"/>
        <w:spacing w:after="0" w:line="360" w:lineRule="auto"/>
        <w:rPr>
          <w:rFonts w:asciiTheme="minorHAnsi" w:hAnsiTheme="minorHAnsi" w:cstheme="minorHAnsi"/>
          <w:b/>
        </w:rPr>
      </w:pPr>
      <w:r w:rsidRPr="008443FF">
        <w:rPr>
          <w:rFonts w:asciiTheme="minorHAnsi" w:hAnsiTheme="minorHAnsi" w:cstheme="minorHAnsi"/>
          <w:b/>
        </w:rPr>
        <w:lastRenderedPageBreak/>
        <w:t>INTRODUCTION</w:t>
      </w:r>
    </w:p>
    <w:p w:rsidR="006B3F1C" w:rsidRPr="008443FF" w:rsidRDefault="006B3F1C">
      <w:pPr>
        <w:widowControl w:val="0"/>
        <w:spacing w:after="0" w:line="360" w:lineRule="auto"/>
        <w:rPr>
          <w:rFonts w:asciiTheme="minorHAnsi" w:hAnsiTheme="minorHAnsi" w:cstheme="minorHAnsi"/>
          <w:b/>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The occurrence of road traffic crashes and injuries are particularly sensitive to the effects of population density (Noland &amp; Quddus, 2004; Scheiner &amp; Holz-Rau, 2011; Spoerri, Egger &amp; von Elm, 2011)</w:t>
      </w:r>
      <w:r w:rsidR="007C1C41" w:rsidRPr="008443FF">
        <w:rPr>
          <w:rFonts w:asciiTheme="minorHAnsi" w:hAnsiTheme="minorHAnsi" w:cstheme="minorHAnsi"/>
        </w:rPr>
        <w:t>.</w:t>
      </w:r>
      <w:r w:rsidRPr="008443FF">
        <w:rPr>
          <w:rFonts w:asciiTheme="minorHAnsi" w:hAnsiTheme="minorHAnsi" w:cstheme="minorHAnsi"/>
        </w:rPr>
        <w:t xml:space="preserve"> This may be especially apparent for cities and other urban centres subject to disparate </w:t>
      </w:r>
      <w:r w:rsidR="000D61CC">
        <w:rPr>
          <w:rFonts w:asciiTheme="minorHAnsi" w:hAnsiTheme="minorHAnsi" w:cstheme="minorHAnsi"/>
        </w:rPr>
        <w:t xml:space="preserve">and </w:t>
      </w:r>
      <w:r w:rsidRPr="008443FF">
        <w:rPr>
          <w:rFonts w:asciiTheme="minorHAnsi" w:hAnsiTheme="minorHAnsi" w:cstheme="minorHAnsi"/>
        </w:rPr>
        <w:t>changing levels of population density through urbanisation and other related processes of suburbanisation</w:t>
      </w:r>
      <w:r w:rsidR="007C59A0">
        <w:rPr>
          <w:rFonts w:asciiTheme="minorHAnsi" w:hAnsiTheme="minorHAnsi" w:cstheme="minorHAnsi"/>
        </w:rPr>
        <w:t xml:space="preserve">, </w:t>
      </w:r>
      <w:r w:rsidRPr="008443FF">
        <w:rPr>
          <w:rFonts w:asciiTheme="minorHAnsi" w:hAnsiTheme="minorHAnsi" w:cstheme="minorHAnsi"/>
        </w:rPr>
        <w:t>urban sprawl</w:t>
      </w:r>
      <w:r w:rsidR="007C59A0">
        <w:rPr>
          <w:rFonts w:asciiTheme="minorHAnsi" w:hAnsiTheme="minorHAnsi" w:cstheme="minorHAnsi"/>
        </w:rPr>
        <w:t xml:space="preserve"> and fragmented forms of development</w:t>
      </w:r>
      <w:r w:rsidRPr="008443FF">
        <w:rPr>
          <w:rFonts w:asciiTheme="minorHAnsi" w:hAnsiTheme="minorHAnsi" w:cstheme="minorHAnsi"/>
        </w:rPr>
        <w:t xml:space="preserve">. </w:t>
      </w:r>
      <w:r w:rsidR="007C59A0">
        <w:rPr>
          <w:rFonts w:asciiTheme="minorHAnsi" w:hAnsiTheme="minorHAnsi" w:cstheme="minorHAnsi"/>
        </w:rPr>
        <w:t xml:space="preserve"> </w:t>
      </w:r>
      <w:r w:rsidR="000D61CC">
        <w:rPr>
          <w:rFonts w:asciiTheme="minorHAnsi" w:hAnsiTheme="minorHAnsi" w:cstheme="minorHAnsi"/>
        </w:rPr>
        <w:t>W</w:t>
      </w:r>
      <w:r w:rsidR="007C59A0" w:rsidRPr="007C59A0">
        <w:rPr>
          <w:rFonts w:asciiTheme="minorHAnsi" w:hAnsiTheme="minorHAnsi" w:cstheme="minorHAnsi"/>
        </w:rPr>
        <w:t>hilst c</w:t>
      </w:r>
      <w:r w:rsidR="00791F5D" w:rsidRPr="007C59A0">
        <w:rPr>
          <w:rFonts w:asciiTheme="minorHAnsi" w:hAnsiTheme="minorHAnsi" w:cstheme="minorHAnsi"/>
        </w:rPr>
        <w:t xml:space="preserve">ities </w:t>
      </w:r>
      <w:r w:rsidR="007C59A0" w:rsidRPr="007C59A0">
        <w:rPr>
          <w:rFonts w:asciiTheme="minorHAnsi" w:hAnsiTheme="minorHAnsi" w:cstheme="minorHAnsi"/>
        </w:rPr>
        <w:t xml:space="preserve">tend to </w:t>
      </w:r>
      <w:r w:rsidRPr="007C59A0">
        <w:rPr>
          <w:rFonts w:asciiTheme="minorHAnsi" w:hAnsiTheme="minorHAnsi" w:cstheme="minorHAnsi"/>
        </w:rPr>
        <w:t xml:space="preserve">hold promise of prosperity, </w:t>
      </w:r>
      <w:r w:rsidRPr="008443FF">
        <w:rPr>
          <w:rFonts w:asciiTheme="minorHAnsi" w:hAnsiTheme="minorHAnsi" w:cstheme="minorHAnsi"/>
        </w:rPr>
        <w:t xml:space="preserve">with rapid rates of urbanisation, municipalities struggle to cope with the provision of essential services and infrastructure such that opportunities are unevenly distributed and are often accompanied by </w:t>
      </w:r>
      <w:r w:rsidR="007C59A0">
        <w:rPr>
          <w:rFonts w:asciiTheme="minorHAnsi" w:hAnsiTheme="minorHAnsi" w:cstheme="minorHAnsi"/>
        </w:rPr>
        <w:t xml:space="preserve">a multitude of deprivations that pose </w:t>
      </w:r>
      <w:r w:rsidRPr="008443FF">
        <w:rPr>
          <w:rFonts w:asciiTheme="minorHAnsi" w:hAnsiTheme="minorHAnsi" w:cstheme="minorHAnsi"/>
        </w:rPr>
        <w:t xml:space="preserve">major challenges to the health and safety of vulnerable populations. </w:t>
      </w:r>
      <w:r w:rsidR="004C0C6B">
        <w:rPr>
          <w:rFonts w:asciiTheme="minorHAnsi" w:hAnsiTheme="minorHAnsi" w:cstheme="minorHAnsi"/>
        </w:rPr>
        <w:t xml:space="preserve">Given that </w:t>
      </w:r>
      <w:r w:rsidR="007C59A0" w:rsidRPr="008443FF">
        <w:rPr>
          <w:rFonts w:asciiTheme="minorHAnsi" w:hAnsiTheme="minorHAnsi" w:cstheme="minorHAnsi"/>
        </w:rPr>
        <w:t xml:space="preserve">the majority of the world’s population are </w:t>
      </w:r>
      <w:r w:rsidR="004C0C6B">
        <w:rPr>
          <w:rFonts w:asciiTheme="minorHAnsi" w:hAnsiTheme="minorHAnsi" w:cstheme="minorHAnsi"/>
        </w:rPr>
        <w:t xml:space="preserve">now </w:t>
      </w:r>
      <w:r w:rsidR="007C59A0" w:rsidRPr="008443FF">
        <w:rPr>
          <w:rFonts w:asciiTheme="minorHAnsi" w:hAnsiTheme="minorHAnsi" w:cstheme="minorHAnsi"/>
        </w:rPr>
        <w:t>living in cities and other urban centres</w:t>
      </w:r>
      <w:r w:rsidR="004C0C6B">
        <w:rPr>
          <w:rFonts w:asciiTheme="minorHAnsi" w:hAnsiTheme="minorHAnsi" w:cstheme="minorHAnsi"/>
        </w:rPr>
        <w:t xml:space="preserve">, and that urban populations in developing countries are forecast to double </w:t>
      </w:r>
      <w:r w:rsidR="004C0C6B" w:rsidRPr="008443FF">
        <w:rPr>
          <w:rFonts w:asciiTheme="minorHAnsi" w:hAnsiTheme="minorHAnsi" w:cstheme="minorHAnsi"/>
        </w:rPr>
        <w:t>between 2000 and 2030 (WHO, 2010)</w:t>
      </w:r>
      <w:r w:rsidR="004C0C6B">
        <w:rPr>
          <w:rFonts w:asciiTheme="minorHAnsi" w:hAnsiTheme="minorHAnsi" w:cstheme="minorHAnsi"/>
        </w:rPr>
        <w:t xml:space="preserve">, the health and safety of urban populations is </w:t>
      </w:r>
      <w:r w:rsidR="00094A38">
        <w:rPr>
          <w:rFonts w:asciiTheme="minorHAnsi" w:hAnsiTheme="minorHAnsi" w:cstheme="minorHAnsi"/>
        </w:rPr>
        <w:t>a</w:t>
      </w:r>
      <w:r w:rsidR="00502F96">
        <w:rPr>
          <w:rFonts w:asciiTheme="minorHAnsi" w:hAnsiTheme="minorHAnsi" w:cstheme="minorHAnsi"/>
        </w:rPr>
        <w:t xml:space="preserve"> major </w:t>
      </w:r>
      <w:r w:rsidR="00E90ADC">
        <w:rPr>
          <w:rFonts w:asciiTheme="minorHAnsi" w:hAnsiTheme="minorHAnsi" w:cstheme="minorHAnsi"/>
        </w:rPr>
        <w:t>concern</w:t>
      </w:r>
      <w:r w:rsidR="007C59A0" w:rsidRPr="008443FF">
        <w:rPr>
          <w:rFonts w:asciiTheme="minorHAnsi" w:hAnsiTheme="minorHAnsi" w:cstheme="minorHAnsi"/>
        </w:rPr>
        <w:t xml:space="preserve">. </w:t>
      </w:r>
    </w:p>
    <w:p w:rsidR="006B3F1C" w:rsidRPr="008443FF" w:rsidRDefault="006B3F1C">
      <w:pPr>
        <w:widowControl w:val="0"/>
        <w:spacing w:after="0" w:line="360" w:lineRule="auto"/>
        <w:rPr>
          <w:rFonts w:asciiTheme="minorHAnsi" w:hAnsiTheme="minorHAnsi" w:cstheme="minorHAnsi"/>
        </w:rPr>
      </w:pPr>
    </w:p>
    <w:p w:rsidR="009A35A8" w:rsidRPr="008443FF" w:rsidRDefault="00487054">
      <w:pPr>
        <w:widowControl w:val="0"/>
        <w:spacing w:after="0" w:line="360" w:lineRule="auto"/>
        <w:rPr>
          <w:rFonts w:asciiTheme="minorHAnsi" w:hAnsiTheme="minorHAnsi" w:cstheme="minorHAnsi"/>
          <w:lang w:val="en-ZA"/>
        </w:rPr>
      </w:pPr>
      <w:r w:rsidRPr="008443FF">
        <w:rPr>
          <w:rFonts w:asciiTheme="minorHAnsi" w:hAnsiTheme="minorHAnsi" w:cstheme="minorHAnsi"/>
        </w:rPr>
        <w:t>Levels of urbanity or rurality</w:t>
      </w:r>
      <w:r w:rsidR="00617D6A" w:rsidRPr="008443FF">
        <w:rPr>
          <w:rFonts w:asciiTheme="minorHAnsi" w:hAnsiTheme="minorHAnsi" w:cstheme="minorHAnsi"/>
        </w:rPr>
        <w:t xml:space="preserve"> </w:t>
      </w:r>
      <w:r w:rsidR="00BF376A">
        <w:rPr>
          <w:rFonts w:asciiTheme="minorHAnsi" w:hAnsiTheme="minorHAnsi" w:cstheme="minorHAnsi"/>
        </w:rPr>
        <w:t>have</w:t>
      </w:r>
      <w:r w:rsidR="00BF376A" w:rsidRPr="008443FF">
        <w:rPr>
          <w:rFonts w:asciiTheme="minorHAnsi" w:hAnsiTheme="minorHAnsi" w:cstheme="minorHAnsi"/>
        </w:rPr>
        <w:t xml:space="preserve"> </w:t>
      </w:r>
      <w:r w:rsidR="006B3F1C" w:rsidRPr="008443FF">
        <w:rPr>
          <w:rFonts w:asciiTheme="minorHAnsi" w:hAnsiTheme="minorHAnsi" w:cstheme="minorHAnsi"/>
        </w:rPr>
        <w:t xml:space="preserve">been shown to be an important discriminator </w:t>
      </w:r>
      <w:r w:rsidR="00BF376A">
        <w:rPr>
          <w:rFonts w:asciiTheme="minorHAnsi" w:hAnsiTheme="minorHAnsi" w:cstheme="minorHAnsi"/>
        </w:rPr>
        <w:t>of</w:t>
      </w:r>
      <w:r w:rsidR="00BF376A" w:rsidRPr="008443FF">
        <w:rPr>
          <w:rFonts w:asciiTheme="minorHAnsi" w:hAnsiTheme="minorHAnsi" w:cstheme="minorHAnsi"/>
        </w:rPr>
        <w:t xml:space="preserve"> </w:t>
      </w:r>
      <w:r w:rsidR="006B3F1C" w:rsidRPr="008443FF">
        <w:rPr>
          <w:rFonts w:asciiTheme="minorHAnsi" w:hAnsiTheme="minorHAnsi" w:cstheme="minorHAnsi"/>
        </w:rPr>
        <w:t>the geographical distribution of risk exposure and the occurrence of RTIs, along with social and physical environments.</w:t>
      </w:r>
      <w:r w:rsidRPr="008443FF">
        <w:rPr>
          <w:rFonts w:asciiTheme="minorHAnsi" w:hAnsiTheme="minorHAnsi" w:cstheme="minorHAnsi"/>
        </w:rPr>
        <w:t xml:space="preserve"> </w:t>
      </w:r>
      <w:r w:rsidR="006B3F1C" w:rsidRPr="008443FF">
        <w:rPr>
          <w:rFonts w:asciiTheme="minorHAnsi" w:hAnsiTheme="minorHAnsi" w:cstheme="minorHAnsi"/>
        </w:rPr>
        <w:t xml:space="preserve">For instance, evidence focussed </w:t>
      </w:r>
      <w:r w:rsidR="005707FD">
        <w:rPr>
          <w:rFonts w:asciiTheme="minorHAnsi" w:hAnsiTheme="minorHAnsi" w:cstheme="minorHAnsi"/>
        </w:rPr>
        <w:t xml:space="preserve">various geographical </w:t>
      </w:r>
      <w:r w:rsidR="000D61CC">
        <w:rPr>
          <w:rFonts w:asciiTheme="minorHAnsi" w:hAnsiTheme="minorHAnsi" w:cstheme="minorHAnsi"/>
        </w:rPr>
        <w:t>areas</w:t>
      </w:r>
      <w:r w:rsidR="006B3F1C" w:rsidRPr="008443FF">
        <w:rPr>
          <w:rFonts w:asciiTheme="minorHAnsi" w:hAnsiTheme="minorHAnsi" w:cstheme="minorHAnsi"/>
        </w:rPr>
        <w:t xml:space="preserve"> </w:t>
      </w:r>
      <w:r w:rsidR="00BF376A">
        <w:rPr>
          <w:rFonts w:asciiTheme="minorHAnsi" w:hAnsiTheme="minorHAnsi" w:cstheme="minorHAnsi"/>
        </w:rPr>
        <w:t>has</w:t>
      </w:r>
      <w:r w:rsidR="006B3F1C" w:rsidRPr="008443FF">
        <w:rPr>
          <w:rFonts w:asciiTheme="minorHAnsi" w:hAnsiTheme="minorHAnsi" w:cstheme="minorHAnsi"/>
        </w:rPr>
        <w:t xml:space="preserve"> shown a consistent inverse association between death from road traffic crashes </w:t>
      </w:r>
      <w:r w:rsidRPr="008443FF">
        <w:rPr>
          <w:rFonts w:asciiTheme="minorHAnsi" w:hAnsiTheme="minorHAnsi" w:cstheme="minorHAnsi"/>
        </w:rPr>
        <w:t xml:space="preserve">and population density, which is </w:t>
      </w:r>
      <w:r w:rsidR="008443FF" w:rsidRPr="008443FF">
        <w:rPr>
          <w:rFonts w:asciiTheme="minorHAnsi" w:hAnsiTheme="minorHAnsi" w:cstheme="minorHAnsi"/>
        </w:rPr>
        <w:t>commonly</w:t>
      </w:r>
      <w:r w:rsidRPr="008443FF">
        <w:rPr>
          <w:rFonts w:asciiTheme="minorHAnsi" w:hAnsiTheme="minorHAnsi" w:cstheme="minorHAnsi"/>
        </w:rPr>
        <w:t xml:space="preserve"> used to proxy the effects of rurality or urbanity in coarse-scaled geographical analyses </w:t>
      </w:r>
      <w:r w:rsidR="006B3F1C" w:rsidRPr="008443FF">
        <w:rPr>
          <w:rFonts w:asciiTheme="minorHAnsi" w:hAnsiTheme="minorHAnsi" w:cstheme="minorHAnsi"/>
        </w:rPr>
        <w:t xml:space="preserve">(Noland &amp; Quddus, 2004; Scheiner &amp; Holz-Rau, 2011; Spoerri et al., 2011). </w:t>
      </w:r>
      <w:r w:rsidR="006B3F1C" w:rsidRPr="008443FF">
        <w:rPr>
          <w:rFonts w:asciiTheme="minorHAnsi" w:hAnsiTheme="minorHAnsi" w:cstheme="minorHAnsi"/>
          <w:lang w:val="en-ZA"/>
        </w:rPr>
        <w:t xml:space="preserve">Noland and Quddus (2004) in a study of 8414 wards in England, showed urbanised areas with higher densities </w:t>
      </w:r>
      <w:r w:rsidR="000323AC">
        <w:rPr>
          <w:rFonts w:asciiTheme="minorHAnsi" w:hAnsiTheme="minorHAnsi" w:cstheme="minorHAnsi"/>
          <w:lang w:val="en-ZA"/>
        </w:rPr>
        <w:t>had</w:t>
      </w:r>
      <w:r w:rsidR="006B3F1C" w:rsidRPr="008443FF">
        <w:rPr>
          <w:rFonts w:asciiTheme="minorHAnsi" w:hAnsiTheme="minorHAnsi" w:cstheme="minorHAnsi"/>
          <w:lang w:val="en-ZA"/>
        </w:rPr>
        <w:t xml:space="preserve"> fewer casualties</w:t>
      </w:r>
      <w:r w:rsidR="00BF376A">
        <w:rPr>
          <w:rFonts w:asciiTheme="minorHAnsi" w:hAnsiTheme="minorHAnsi" w:cstheme="minorHAnsi"/>
          <w:lang w:val="en-ZA"/>
        </w:rPr>
        <w:t xml:space="preserve">, </w:t>
      </w:r>
      <w:r w:rsidR="006B3F1C" w:rsidRPr="008443FF">
        <w:rPr>
          <w:rFonts w:asciiTheme="minorHAnsi" w:hAnsiTheme="minorHAnsi" w:cstheme="minorHAnsi"/>
          <w:lang w:val="en-ZA"/>
        </w:rPr>
        <w:t xml:space="preserve">especially fatalities, but also areas of higher employment density </w:t>
      </w:r>
      <w:r w:rsidR="00BF376A">
        <w:rPr>
          <w:rFonts w:asciiTheme="minorHAnsi" w:hAnsiTheme="minorHAnsi" w:cstheme="minorHAnsi"/>
          <w:lang w:val="en-ZA"/>
        </w:rPr>
        <w:t>tend</w:t>
      </w:r>
      <w:r w:rsidR="000323AC">
        <w:rPr>
          <w:rFonts w:asciiTheme="minorHAnsi" w:hAnsiTheme="minorHAnsi" w:cstheme="minorHAnsi"/>
          <w:lang w:val="en-ZA"/>
        </w:rPr>
        <w:t>ed</w:t>
      </w:r>
      <w:r w:rsidR="00BF376A">
        <w:rPr>
          <w:rFonts w:asciiTheme="minorHAnsi" w:hAnsiTheme="minorHAnsi" w:cstheme="minorHAnsi"/>
          <w:lang w:val="en-ZA"/>
        </w:rPr>
        <w:t xml:space="preserve"> </w:t>
      </w:r>
      <w:r w:rsidR="006B3F1C" w:rsidRPr="008443FF">
        <w:rPr>
          <w:rFonts w:asciiTheme="minorHAnsi" w:hAnsiTheme="minorHAnsi" w:cstheme="minorHAnsi"/>
          <w:lang w:val="en-ZA"/>
        </w:rPr>
        <w:t xml:space="preserve">to </w:t>
      </w:r>
      <w:r w:rsidR="000323AC">
        <w:rPr>
          <w:rFonts w:asciiTheme="minorHAnsi" w:hAnsiTheme="minorHAnsi" w:cstheme="minorHAnsi"/>
          <w:lang w:val="en-ZA"/>
        </w:rPr>
        <w:t>have</w:t>
      </w:r>
      <w:r w:rsidR="006B3F1C" w:rsidRPr="008443FF">
        <w:rPr>
          <w:rFonts w:asciiTheme="minorHAnsi" w:hAnsiTheme="minorHAnsi" w:cstheme="minorHAnsi"/>
          <w:lang w:val="en-ZA"/>
        </w:rPr>
        <w:t xml:space="preserve"> more casualties. The authors used negative binomial count models to control for a range of area level factors including land use types such as population density, road characteristics such as the number of roundabouts and junctions, demographic characteristics such as deprivation, and proxies for traffic flow such as measures of employment.</w:t>
      </w:r>
      <w:r w:rsidR="00E90ADC">
        <w:rPr>
          <w:rFonts w:asciiTheme="minorHAnsi" w:hAnsiTheme="minorHAnsi" w:cstheme="minorHAnsi"/>
          <w:lang w:val="en-ZA"/>
        </w:rPr>
        <w:t xml:space="preserve"> </w:t>
      </w:r>
      <w:r w:rsidR="006B3F1C" w:rsidRPr="008443FF">
        <w:rPr>
          <w:rFonts w:asciiTheme="minorHAnsi" w:hAnsiTheme="minorHAnsi" w:cstheme="minorHAnsi"/>
          <w:lang w:val="en-ZA"/>
        </w:rPr>
        <w:t xml:space="preserve">Spoerri et al. (2011) in a geographical study of road traffic fatalities (RTFs) at the municipality level in Switzerland, found road traffic mortality to increase with decreasing population density, but </w:t>
      </w:r>
      <w:r w:rsidR="000D61CC">
        <w:rPr>
          <w:rFonts w:asciiTheme="minorHAnsi" w:hAnsiTheme="minorHAnsi" w:cstheme="minorHAnsi"/>
          <w:lang w:val="en-ZA"/>
        </w:rPr>
        <w:t>only</w:t>
      </w:r>
      <w:r w:rsidR="006B3F1C" w:rsidRPr="008443FF">
        <w:rPr>
          <w:rFonts w:asciiTheme="minorHAnsi" w:hAnsiTheme="minorHAnsi" w:cstheme="minorHAnsi"/>
          <w:lang w:val="en-ZA"/>
        </w:rPr>
        <w:t xml:space="preserve"> for the motor vehicle occupant road user group. </w:t>
      </w:r>
      <w:r w:rsidR="000D61CC">
        <w:rPr>
          <w:rFonts w:asciiTheme="minorHAnsi" w:hAnsiTheme="minorHAnsi" w:cstheme="minorHAnsi"/>
          <w:lang w:val="en-ZA"/>
        </w:rPr>
        <w:t>I</w:t>
      </w:r>
      <w:r w:rsidR="009A35A8" w:rsidRPr="008443FF">
        <w:rPr>
          <w:rFonts w:asciiTheme="minorHAnsi" w:hAnsiTheme="minorHAnsi" w:cstheme="minorHAnsi"/>
          <w:lang w:val="en-ZA"/>
        </w:rPr>
        <w:t>nverse relationship</w:t>
      </w:r>
      <w:r w:rsidR="000D61CC">
        <w:rPr>
          <w:rFonts w:asciiTheme="minorHAnsi" w:hAnsiTheme="minorHAnsi" w:cstheme="minorHAnsi"/>
          <w:lang w:val="en-ZA"/>
        </w:rPr>
        <w:t>s</w:t>
      </w:r>
      <w:r w:rsidR="009A35A8" w:rsidRPr="008443FF">
        <w:rPr>
          <w:rFonts w:asciiTheme="minorHAnsi" w:hAnsiTheme="minorHAnsi" w:cstheme="minorHAnsi"/>
          <w:lang w:val="en-ZA"/>
        </w:rPr>
        <w:t xml:space="preserve"> between </w:t>
      </w:r>
      <w:r w:rsidR="009A35A8" w:rsidRPr="008443FF">
        <w:rPr>
          <w:rFonts w:asciiTheme="minorHAnsi" w:hAnsiTheme="minorHAnsi" w:cstheme="minorHAnsi"/>
        </w:rPr>
        <w:t xml:space="preserve">population density and death from RTIs has been shown for the South African setting in a coarse-scaled geographical analysis of RTFs that examined a large range of social and environmental influences (Sukhai and </w:t>
      </w:r>
      <w:r w:rsidR="009A35A8" w:rsidRPr="00FE438C">
        <w:rPr>
          <w:rFonts w:asciiTheme="minorHAnsi" w:hAnsiTheme="minorHAnsi" w:cstheme="minorHAnsi"/>
        </w:rPr>
        <w:t>Jones,</w:t>
      </w:r>
      <w:r w:rsidR="00E609D0">
        <w:rPr>
          <w:rFonts w:asciiTheme="minorHAnsi" w:hAnsiTheme="minorHAnsi" w:cstheme="minorHAnsi"/>
        </w:rPr>
        <w:t xml:space="preserve"> 2013</w:t>
      </w:r>
      <w:r w:rsidR="00FE438C">
        <w:rPr>
          <w:rFonts w:asciiTheme="minorHAnsi" w:hAnsiTheme="minorHAnsi" w:cstheme="minorHAnsi"/>
        </w:rPr>
        <w:t>)</w:t>
      </w:r>
      <w:r w:rsidR="009A35A8" w:rsidRPr="00FE438C">
        <w:rPr>
          <w:rFonts w:asciiTheme="minorHAnsi" w:hAnsiTheme="minorHAnsi" w:cstheme="minorHAnsi"/>
        </w:rPr>
        <w:t>. In</w:t>
      </w:r>
      <w:r w:rsidR="009A35A8" w:rsidRPr="008443FF">
        <w:rPr>
          <w:rFonts w:asciiTheme="minorHAnsi" w:hAnsiTheme="minorHAnsi" w:cstheme="minorHAnsi"/>
        </w:rPr>
        <w:t xml:space="preserve"> this study, population density was the strongest predictor of the geographical variations in RTFs. The reasons for these effects have however not been investigated for the South African context. </w:t>
      </w:r>
    </w:p>
    <w:p w:rsidR="009A35A8" w:rsidRPr="008443FF" w:rsidRDefault="009A35A8">
      <w:pPr>
        <w:widowControl w:val="0"/>
        <w:spacing w:after="0" w:line="360" w:lineRule="auto"/>
        <w:rPr>
          <w:rFonts w:asciiTheme="minorHAnsi" w:hAnsiTheme="minorHAnsi" w:cstheme="minorHAnsi"/>
        </w:rPr>
      </w:pPr>
    </w:p>
    <w:p w:rsidR="006B3F1C" w:rsidRPr="008443FF" w:rsidRDefault="00BF376A" w:rsidP="0083278C">
      <w:pPr>
        <w:spacing w:after="0" w:line="360" w:lineRule="auto"/>
        <w:rPr>
          <w:rFonts w:asciiTheme="minorHAnsi" w:hAnsiTheme="minorHAnsi" w:cstheme="minorHAnsi"/>
        </w:rPr>
      </w:pPr>
      <w:r>
        <w:rPr>
          <w:rFonts w:asciiTheme="minorHAnsi" w:hAnsiTheme="minorHAnsi" w:cstheme="minorHAnsi"/>
        </w:rPr>
        <w:lastRenderedPageBreak/>
        <w:t xml:space="preserve">The potential causal mechanisms that link population density to road traffic accident risk are numerous. </w:t>
      </w:r>
      <w:r w:rsidR="006B3F1C" w:rsidRPr="008443FF">
        <w:rPr>
          <w:rFonts w:asciiTheme="minorHAnsi" w:hAnsiTheme="minorHAnsi" w:cstheme="minorHAnsi"/>
        </w:rPr>
        <w:t>The high burden of road traffic deaths in low density rural areas</w:t>
      </w:r>
      <w:r w:rsidR="009A35A8" w:rsidRPr="008443FF">
        <w:rPr>
          <w:rFonts w:asciiTheme="minorHAnsi" w:hAnsiTheme="minorHAnsi" w:cstheme="minorHAnsi"/>
        </w:rPr>
        <w:t>, and</w:t>
      </w:r>
      <w:r w:rsidR="006B3F1C" w:rsidRPr="008443FF">
        <w:rPr>
          <w:rFonts w:asciiTheme="minorHAnsi" w:hAnsiTheme="minorHAnsi" w:cstheme="minorHAnsi"/>
        </w:rPr>
        <w:t xml:space="preserve"> </w:t>
      </w:r>
      <w:r w:rsidR="009A35A8" w:rsidRPr="008443FF">
        <w:rPr>
          <w:rFonts w:asciiTheme="minorHAnsi" w:hAnsiTheme="minorHAnsi" w:cstheme="minorHAnsi"/>
        </w:rPr>
        <w:t xml:space="preserve">predominantly in high income countries, </w:t>
      </w:r>
      <w:r w:rsidR="006B3F1C" w:rsidRPr="008443FF">
        <w:rPr>
          <w:rFonts w:asciiTheme="minorHAnsi" w:hAnsiTheme="minorHAnsi" w:cstheme="minorHAnsi"/>
        </w:rPr>
        <w:t xml:space="preserve">is often attributed to poorer injury outcomes due to inadequate access to quality pre-hospital and advanced in-hospital trauma care (Baker, Whitfield &amp; O’Neill, 1987; </w:t>
      </w:r>
      <w:r w:rsidR="00F24F5E" w:rsidRPr="003628BC">
        <w:rPr>
          <w:rFonts w:eastAsia="Calibri" w:cs="Calibri"/>
        </w:rPr>
        <w:t>V</w:t>
      </w:r>
      <w:r w:rsidR="00F24F5E" w:rsidRPr="0063636F">
        <w:rPr>
          <w:rFonts w:eastAsia="Calibri" w:cs="Calibri"/>
        </w:rPr>
        <w:t xml:space="preserve">an Beeck, Mackenbach, Looman &amp; Kunst, </w:t>
      </w:r>
      <w:r w:rsidR="00F24F5E" w:rsidRPr="003628BC">
        <w:rPr>
          <w:rFonts w:eastAsia="Calibri" w:cs="Calibri"/>
        </w:rPr>
        <w:t>1991)</w:t>
      </w:r>
      <w:r w:rsidR="006B3F1C" w:rsidRPr="008443FF">
        <w:rPr>
          <w:rFonts w:asciiTheme="minorHAnsi" w:hAnsiTheme="minorHAnsi" w:cstheme="minorHAnsi"/>
        </w:rPr>
        <w:t xml:space="preserve"> and relatively higher levels of risky driving behaviours such as drinking and driving, excessive driving speeds and non-wearing of seatbelts (Besag &amp; Newell, 1991; Dumbaugh &amp; Rae, 2009; </w:t>
      </w:r>
      <w:r w:rsidR="00F24F5E" w:rsidRPr="003628BC">
        <w:rPr>
          <w:rFonts w:eastAsia="Calibri" w:cs="Calibri"/>
        </w:rPr>
        <w:t>Strine, Beck, Bolen, Okoro, Dhingra &amp; Balluz</w:t>
      </w:r>
      <w:r w:rsidR="00F24F5E">
        <w:rPr>
          <w:rFonts w:eastAsia="Calibri" w:cs="Calibri"/>
        </w:rPr>
        <w:t xml:space="preserve">, </w:t>
      </w:r>
      <w:r w:rsidR="00F24F5E" w:rsidRPr="003628BC">
        <w:rPr>
          <w:rFonts w:eastAsia="Calibri" w:cs="Calibri"/>
        </w:rPr>
        <w:t>2010)</w:t>
      </w:r>
      <w:r w:rsidR="00F24F5E" w:rsidRPr="0063636F">
        <w:rPr>
          <w:rFonts w:asciiTheme="minorHAnsi" w:hAnsiTheme="minorHAnsi" w:cstheme="minorHAnsi"/>
        </w:rPr>
        <w:t>.</w:t>
      </w:r>
      <w:r w:rsidR="006B3F1C" w:rsidRPr="008443FF">
        <w:rPr>
          <w:rFonts w:asciiTheme="minorHAnsi" w:hAnsiTheme="minorHAnsi" w:cstheme="minorHAnsi"/>
        </w:rPr>
        <w:t xml:space="preserve"> Van Beeck et al. (1991) showed that in the Netherlands, advanced trauma care along with traffic density were </w:t>
      </w:r>
      <w:r w:rsidR="000D61CC">
        <w:rPr>
          <w:rFonts w:asciiTheme="minorHAnsi" w:hAnsiTheme="minorHAnsi" w:cstheme="minorHAnsi"/>
        </w:rPr>
        <w:t>key</w:t>
      </w:r>
      <w:r w:rsidR="006B3F1C" w:rsidRPr="008443FF">
        <w:rPr>
          <w:rFonts w:asciiTheme="minorHAnsi" w:hAnsiTheme="minorHAnsi" w:cstheme="minorHAnsi"/>
        </w:rPr>
        <w:t xml:space="preserve"> predictors of regional variations in traffic mortality, showing an inverse relationship with case fatalit</w:t>
      </w:r>
      <w:r w:rsidR="000D61CC">
        <w:rPr>
          <w:rFonts w:asciiTheme="minorHAnsi" w:hAnsiTheme="minorHAnsi" w:cstheme="minorHAnsi"/>
        </w:rPr>
        <w:t>ies.</w:t>
      </w:r>
      <w:r w:rsidR="006B3F1C" w:rsidRPr="008443FF">
        <w:rPr>
          <w:rFonts w:asciiTheme="minorHAnsi" w:hAnsiTheme="minorHAnsi" w:cstheme="minorHAnsi"/>
        </w:rPr>
        <w:t xml:space="preserve"> Strine et al. (2010) examined self-reported seat belt use across the United States by adjusting for seat belt law and several other factors such as socio-demographic characteristics</w:t>
      </w:r>
      <w:r w:rsidR="000D61CC">
        <w:rPr>
          <w:rFonts w:asciiTheme="minorHAnsi" w:hAnsiTheme="minorHAnsi" w:cstheme="minorHAnsi"/>
        </w:rPr>
        <w:t>. They</w:t>
      </w:r>
      <w:r w:rsidR="006B3F1C" w:rsidRPr="008443FF">
        <w:rPr>
          <w:rFonts w:asciiTheme="minorHAnsi" w:hAnsiTheme="minorHAnsi" w:cstheme="minorHAnsi"/>
        </w:rPr>
        <w:t xml:space="preserve"> found </w:t>
      </w:r>
      <w:r w:rsidR="000D61CC">
        <w:rPr>
          <w:rFonts w:asciiTheme="minorHAnsi" w:hAnsiTheme="minorHAnsi" w:cstheme="minorHAnsi"/>
        </w:rPr>
        <w:t>r</w:t>
      </w:r>
      <w:r w:rsidR="006B3F1C" w:rsidRPr="008443FF">
        <w:rPr>
          <w:rFonts w:asciiTheme="minorHAnsi" w:hAnsiTheme="minorHAnsi" w:cstheme="minorHAnsi"/>
        </w:rPr>
        <w:t xml:space="preserve">espondents in the most densely populated metropolitan areas were signiﬁcantly more likely to report </w:t>
      </w:r>
      <w:r w:rsidR="000D61CC">
        <w:rPr>
          <w:rFonts w:asciiTheme="minorHAnsi" w:hAnsiTheme="minorHAnsi" w:cstheme="minorHAnsi"/>
        </w:rPr>
        <w:t>wearing</w:t>
      </w:r>
      <w:r w:rsidR="006B3F1C" w:rsidRPr="008443FF">
        <w:rPr>
          <w:rFonts w:asciiTheme="minorHAnsi" w:hAnsiTheme="minorHAnsi" w:cstheme="minorHAnsi"/>
        </w:rPr>
        <w:t xml:space="preserve"> seatbelts compared to </w:t>
      </w:r>
      <w:r w:rsidR="000D61CC">
        <w:rPr>
          <w:rFonts w:asciiTheme="minorHAnsi" w:hAnsiTheme="minorHAnsi" w:cstheme="minorHAnsi"/>
        </w:rPr>
        <w:t>their most rural counterpar</w:t>
      </w:r>
      <w:r w:rsidR="00E90ADC">
        <w:rPr>
          <w:rFonts w:asciiTheme="minorHAnsi" w:hAnsiTheme="minorHAnsi" w:cstheme="minorHAnsi"/>
        </w:rPr>
        <w:t>t</w:t>
      </w:r>
      <w:r w:rsidR="000D61CC">
        <w:rPr>
          <w:rFonts w:asciiTheme="minorHAnsi" w:hAnsiTheme="minorHAnsi" w:cstheme="minorHAnsi"/>
        </w:rPr>
        <w:t>s</w:t>
      </w:r>
      <w:r w:rsidR="006B3F1C" w:rsidRPr="008443FF">
        <w:rPr>
          <w:rFonts w:asciiTheme="minorHAnsi" w:hAnsiTheme="minorHAnsi" w:cstheme="minorHAnsi"/>
        </w:rPr>
        <w:t xml:space="preserve"> (adjusted odds ratio = 2.9).</w:t>
      </w:r>
    </w:p>
    <w:p w:rsidR="006B3F1C" w:rsidRPr="008443FF" w:rsidRDefault="006B3F1C">
      <w:pPr>
        <w:widowControl w:val="0"/>
        <w:spacing w:after="0" w:line="360" w:lineRule="auto"/>
        <w:rPr>
          <w:rFonts w:asciiTheme="minorHAnsi" w:hAnsiTheme="minorHAnsi" w:cstheme="minorHAnsi"/>
        </w:rPr>
      </w:pPr>
    </w:p>
    <w:p w:rsidR="006B3F1C" w:rsidRPr="008443FF" w:rsidRDefault="000D61CC">
      <w:pPr>
        <w:widowControl w:val="0"/>
        <w:spacing w:after="0" w:line="360" w:lineRule="auto"/>
        <w:rPr>
          <w:rFonts w:asciiTheme="minorHAnsi" w:hAnsiTheme="minorHAnsi" w:cstheme="minorHAnsi"/>
          <w:lang w:val="en-ZA"/>
        </w:rPr>
      </w:pPr>
      <w:r>
        <w:rPr>
          <w:rFonts w:asciiTheme="minorHAnsi" w:hAnsiTheme="minorHAnsi" w:cstheme="minorHAnsi"/>
        </w:rPr>
        <w:t>W</w:t>
      </w:r>
      <w:r w:rsidR="006B3F1C" w:rsidRPr="008443FF">
        <w:rPr>
          <w:rFonts w:asciiTheme="minorHAnsi" w:hAnsiTheme="minorHAnsi" w:cstheme="minorHAnsi"/>
        </w:rPr>
        <w:t xml:space="preserve">e suggest that the effects of population density on health and safety, and in particular its influences on different road traffic outcomes, may be more apparent for small areas within cities and other urban centres, and </w:t>
      </w:r>
      <w:r w:rsidR="00BF376A">
        <w:rPr>
          <w:rFonts w:asciiTheme="minorHAnsi" w:hAnsiTheme="minorHAnsi" w:cstheme="minorHAnsi"/>
        </w:rPr>
        <w:t xml:space="preserve">these </w:t>
      </w:r>
      <w:r w:rsidR="006B3F1C" w:rsidRPr="008443FF">
        <w:rPr>
          <w:rFonts w:asciiTheme="minorHAnsi" w:hAnsiTheme="minorHAnsi" w:cstheme="minorHAnsi"/>
        </w:rPr>
        <w:t xml:space="preserve">thus provide a useful context for understanding geographical influences on road safety. Small areas </w:t>
      </w:r>
      <w:r>
        <w:rPr>
          <w:rFonts w:asciiTheme="minorHAnsi" w:hAnsiTheme="minorHAnsi" w:cstheme="minorHAnsi"/>
        </w:rPr>
        <w:t>generally</w:t>
      </w:r>
      <w:r w:rsidR="006B3F1C" w:rsidRPr="008443FF">
        <w:rPr>
          <w:rFonts w:asciiTheme="minorHAnsi" w:hAnsiTheme="minorHAnsi" w:cstheme="minorHAnsi"/>
        </w:rPr>
        <w:t xml:space="preserve"> comprise geographical classifications below the level of health or local authority district. </w:t>
      </w:r>
      <w:r w:rsidR="00BF376A">
        <w:rPr>
          <w:rFonts w:asciiTheme="minorHAnsi" w:hAnsiTheme="minorHAnsi" w:cstheme="minorHAnsi"/>
        </w:rPr>
        <w:t>They</w:t>
      </w:r>
      <w:r w:rsidR="006B3F1C" w:rsidRPr="008443FF">
        <w:rPr>
          <w:rFonts w:asciiTheme="minorHAnsi" w:hAnsiTheme="minorHAnsi" w:cstheme="minorHAnsi"/>
        </w:rPr>
        <w:t xml:space="preserve"> </w:t>
      </w:r>
      <w:r>
        <w:rPr>
          <w:rFonts w:asciiTheme="minorHAnsi" w:hAnsiTheme="minorHAnsi" w:cstheme="minorHAnsi"/>
        </w:rPr>
        <w:t>often</w:t>
      </w:r>
      <w:r w:rsidR="006B3F1C" w:rsidRPr="008443FF">
        <w:rPr>
          <w:rFonts w:asciiTheme="minorHAnsi" w:hAnsiTheme="minorHAnsi" w:cstheme="minorHAnsi"/>
        </w:rPr>
        <w:t xml:space="preserve"> display greater social homogeneity as compared to census-level administrative units, and thus are regarded as more suitable units of analysis in epidemiology (Carstairs, 1981; Haining, Wise &amp; Blake, 1994; Haynes, Lovett, Reading, Langford &amp; Gale, 1999). For example, Haynes et al. (1999) compared a range of social and demographic predictors of crash rates in pre-school children using census enumeration districts, wards and specially constructed social areas, and found specially constructed small areas to yield the best fitting models.</w:t>
      </w:r>
    </w:p>
    <w:p w:rsidR="006B3F1C" w:rsidRPr="008443FF" w:rsidRDefault="006B3F1C">
      <w:pPr>
        <w:widowControl w:val="0"/>
        <w:spacing w:after="0" w:line="360" w:lineRule="auto"/>
        <w:rPr>
          <w:rFonts w:asciiTheme="minorHAnsi" w:hAnsiTheme="minorHAnsi" w:cstheme="minorHAnsi"/>
          <w:lang w:val="en-ZA"/>
        </w:rPr>
      </w:pPr>
    </w:p>
    <w:p w:rsidR="006B3F1C" w:rsidRPr="008443FF" w:rsidRDefault="006B3F1C" w:rsidP="00617D6A">
      <w:pPr>
        <w:widowControl w:val="0"/>
        <w:spacing w:after="0" w:line="360" w:lineRule="auto"/>
        <w:rPr>
          <w:rFonts w:asciiTheme="minorHAnsi" w:hAnsiTheme="minorHAnsi" w:cstheme="minorHAnsi"/>
        </w:rPr>
      </w:pPr>
      <w:r w:rsidRPr="008443FF">
        <w:rPr>
          <w:rFonts w:asciiTheme="minorHAnsi" w:hAnsiTheme="minorHAnsi" w:cstheme="minorHAnsi"/>
        </w:rPr>
        <w:t xml:space="preserve">Consistent with a paucity of small area studies on RTFs internationally, to the best of our knowledge, small area studies of RTIs have not been conducted in South Africa. </w:t>
      </w:r>
      <w:r w:rsidR="000D61CC">
        <w:rPr>
          <w:rFonts w:asciiTheme="minorHAnsi" w:hAnsiTheme="minorHAnsi" w:cstheme="minorHAnsi"/>
        </w:rPr>
        <w:t>Such</w:t>
      </w:r>
      <w:r w:rsidRPr="008443FF">
        <w:rPr>
          <w:rFonts w:asciiTheme="minorHAnsi" w:hAnsiTheme="minorHAnsi" w:cstheme="minorHAnsi"/>
        </w:rPr>
        <w:t xml:space="preserve"> studies are important for the South African traffic context</w:t>
      </w:r>
      <w:r w:rsidR="000D61CC">
        <w:rPr>
          <w:rFonts w:asciiTheme="minorHAnsi" w:hAnsiTheme="minorHAnsi" w:cstheme="minorHAnsi"/>
        </w:rPr>
        <w:t>. G</w:t>
      </w:r>
      <w:r w:rsidRPr="008443FF">
        <w:rPr>
          <w:rFonts w:asciiTheme="minorHAnsi" w:hAnsiTheme="minorHAnsi" w:cstheme="minorHAnsi"/>
        </w:rPr>
        <w:t xml:space="preserve">eographical variations in health and safety conditions are largely related to </w:t>
      </w:r>
      <w:r w:rsidRPr="00760736">
        <w:rPr>
          <w:rFonts w:asciiTheme="minorHAnsi" w:hAnsiTheme="minorHAnsi" w:cstheme="minorHAnsi"/>
        </w:rPr>
        <w:t>socio-spatial patterns</w:t>
      </w:r>
      <w:r w:rsidRPr="008443FF">
        <w:rPr>
          <w:rFonts w:asciiTheme="minorHAnsi" w:hAnsiTheme="minorHAnsi" w:cstheme="minorHAnsi"/>
        </w:rPr>
        <w:t xml:space="preserve"> arising from historical urban planning policies under the apartheid regime that dictated where people could and could not live (see Coovadia, Jewkes, Barron, Sanders &amp; McIntyre, 2009; Seedat, Van Niekerk, Jewkes, Suffla, &amp; Ratele, 2009).</w:t>
      </w:r>
      <w:r w:rsidR="000D61CC">
        <w:rPr>
          <w:rFonts w:asciiTheme="minorHAnsi" w:hAnsiTheme="minorHAnsi" w:cstheme="minorHAnsi"/>
        </w:rPr>
        <w:t xml:space="preserve"> Further</w:t>
      </w:r>
      <w:r w:rsidRPr="008443FF">
        <w:rPr>
          <w:rFonts w:asciiTheme="minorHAnsi" w:hAnsiTheme="minorHAnsi" w:cstheme="minorHAnsi"/>
        </w:rPr>
        <w:t xml:space="preserve">, </w:t>
      </w:r>
      <w:r w:rsidRPr="00760736">
        <w:rPr>
          <w:rFonts w:asciiTheme="minorHAnsi" w:hAnsiTheme="minorHAnsi" w:cstheme="minorHAnsi"/>
        </w:rPr>
        <w:t>large-scale migration</w:t>
      </w:r>
      <w:r w:rsidRPr="008443FF">
        <w:rPr>
          <w:rFonts w:asciiTheme="minorHAnsi" w:hAnsiTheme="minorHAnsi" w:cstheme="minorHAnsi"/>
        </w:rPr>
        <w:t xml:space="preserve"> of deprived populations to urban and urban fringe areas </w:t>
      </w:r>
      <w:r w:rsidR="00E4771D">
        <w:rPr>
          <w:rFonts w:asciiTheme="minorHAnsi" w:hAnsiTheme="minorHAnsi" w:cstheme="minorHAnsi"/>
        </w:rPr>
        <w:t>has</w:t>
      </w:r>
      <w:r w:rsidR="00E4771D" w:rsidRPr="008443FF">
        <w:rPr>
          <w:rFonts w:asciiTheme="minorHAnsi" w:hAnsiTheme="minorHAnsi" w:cstheme="minorHAnsi"/>
        </w:rPr>
        <w:t xml:space="preserve"> </w:t>
      </w:r>
      <w:r w:rsidR="00E4771D">
        <w:rPr>
          <w:rFonts w:asciiTheme="minorHAnsi" w:hAnsiTheme="minorHAnsi" w:cstheme="minorHAnsi"/>
        </w:rPr>
        <w:t xml:space="preserve">allowed for an </w:t>
      </w:r>
      <w:r w:rsidR="00E4771D" w:rsidRPr="003615E2">
        <w:rPr>
          <w:rFonts w:asciiTheme="minorHAnsi" w:hAnsiTheme="minorHAnsi" w:cstheme="minorHAnsi"/>
        </w:rPr>
        <w:t>“urbanisation of poverty” (Ravallion, Chen &amp; Sangraula, 2007)</w:t>
      </w:r>
      <w:r w:rsidR="00E4771D">
        <w:rPr>
          <w:rFonts w:asciiTheme="minorHAnsi" w:hAnsiTheme="minorHAnsi" w:cstheme="minorHAnsi"/>
        </w:rPr>
        <w:t xml:space="preserve">, </w:t>
      </w:r>
      <w:r w:rsidR="003615E2" w:rsidRPr="003615E2">
        <w:rPr>
          <w:rFonts w:asciiTheme="minorHAnsi" w:hAnsiTheme="minorHAnsi" w:cstheme="minorHAnsi"/>
        </w:rPr>
        <w:t>commonly associated with informal settlements and other housing deprivation</w:t>
      </w:r>
      <w:r w:rsidRPr="008443FF">
        <w:rPr>
          <w:rFonts w:asciiTheme="minorHAnsi" w:hAnsiTheme="minorHAnsi" w:cstheme="minorHAnsi"/>
        </w:rPr>
        <w:t xml:space="preserve">. </w:t>
      </w:r>
      <w:r w:rsidR="000D61CC">
        <w:rPr>
          <w:rFonts w:asciiTheme="minorHAnsi" w:hAnsiTheme="minorHAnsi" w:cstheme="minorHAnsi"/>
        </w:rPr>
        <w:t>Finally</w:t>
      </w:r>
      <w:r w:rsidRPr="008443FF">
        <w:rPr>
          <w:rFonts w:asciiTheme="minorHAnsi" w:hAnsiTheme="minorHAnsi" w:cstheme="minorHAnsi"/>
        </w:rPr>
        <w:t xml:space="preserve">, South African cities typically show </w:t>
      </w:r>
      <w:r w:rsidRPr="00760736">
        <w:rPr>
          <w:rFonts w:asciiTheme="minorHAnsi" w:hAnsiTheme="minorHAnsi" w:cstheme="minorHAnsi"/>
        </w:rPr>
        <w:t>large variability in population densities</w:t>
      </w:r>
      <w:r w:rsidRPr="008443FF">
        <w:rPr>
          <w:rFonts w:asciiTheme="minorHAnsi" w:hAnsiTheme="minorHAnsi" w:cstheme="minorHAnsi"/>
        </w:rPr>
        <w:t xml:space="preserve"> arising from the combined processes of urbanisation with pockets of informal settlements close to the city, urban sprawl, and historical forced removals with high population density township </w:t>
      </w:r>
      <w:r w:rsidRPr="008443FF">
        <w:rPr>
          <w:rFonts w:asciiTheme="minorHAnsi" w:hAnsiTheme="minorHAnsi" w:cstheme="minorHAnsi"/>
        </w:rPr>
        <w:lastRenderedPageBreak/>
        <w:t xml:space="preserve">developments in the outskirts of the </w:t>
      </w:r>
      <w:r w:rsidR="00316271" w:rsidRPr="008443FF">
        <w:rPr>
          <w:rFonts w:asciiTheme="minorHAnsi" w:hAnsiTheme="minorHAnsi" w:cstheme="minorHAnsi"/>
        </w:rPr>
        <w:t>city. The</w:t>
      </w:r>
      <w:r w:rsidRPr="008443FF">
        <w:rPr>
          <w:rFonts w:asciiTheme="minorHAnsi" w:hAnsiTheme="minorHAnsi" w:cstheme="minorHAnsi"/>
        </w:rPr>
        <w:t xml:space="preserve"> effects of such disparate population densities on the health and safety of affected populations are </w:t>
      </w:r>
      <w:r w:rsidR="00316271">
        <w:rPr>
          <w:rFonts w:asciiTheme="minorHAnsi" w:hAnsiTheme="minorHAnsi" w:cstheme="minorHAnsi"/>
        </w:rPr>
        <w:t xml:space="preserve">however </w:t>
      </w:r>
      <w:r w:rsidRPr="008443FF">
        <w:rPr>
          <w:rFonts w:asciiTheme="minorHAnsi" w:hAnsiTheme="minorHAnsi" w:cstheme="minorHAnsi"/>
        </w:rPr>
        <w:t xml:space="preserve">generally unknown. </w:t>
      </w:r>
    </w:p>
    <w:p w:rsidR="006B3F1C" w:rsidRPr="008443FF" w:rsidRDefault="006B3F1C">
      <w:pPr>
        <w:widowControl w:val="0"/>
        <w:spacing w:after="0" w:line="360" w:lineRule="auto"/>
        <w:rPr>
          <w:rFonts w:asciiTheme="minorHAnsi" w:hAnsiTheme="minorHAnsi" w:cstheme="minorHAnsi"/>
        </w:rPr>
      </w:pPr>
    </w:p>
    <w:p w:rsidR="006B3F1C" w:rsidRPr="008443FF" w:rsidRDefault="000D61CC">
      <w:pPr>
        <w:widowControl w:val="0"/>
        <w:spacing w:after="0" w:line="360" w:lineRule="auto"/>
        <w:rPr>
          <w:rFonts w:asciiTheme="minorHAnsi" w:hAnsiTheme="minorHAnsi" w:cstheme="minorHAnsi"/>
          <w:b/>
        </w:rPr>
      </w:pPr>
      <w:r>
        <w:rPr>
          <w:rFonts w:asciiTheme="minorHAnsi" w:hAnsiTheme="minorHAnsi" w:cstheme="minorHAnsi"/>
        </w:rPr>
        <w:t>T</w:t>
      </w:r>
      <w:r w:rsidR="006B3F1C" w:rsidRPr="008443FF">
        <w:rPr>
          <w:rFonts w:asciiTheme="minorHAnsi" w:hAnsiTheme="minorHAnsi" w:cstheme="minorHAnsi"/>
        </w:rPr>
        <w:t xml:space="preserve">his study seeks to contribute to our understanding of the geography of RTIs in South Africa by examining small area variations in RTIs and its influences for the eThekwini Metropolitan Area (EMA, incorporating the city of Durban). </w:t>
      </w:r>
      <w:r w:rsidR="006B3F1C" w:rsidRPr="00760736">
        <w:rPr>
          <w:rFonts w:asciiTheme="minorHAnsi" w:hAnsiTheme="minorHAnsi" w:cstheme="minorHAnsi"/>
        </w:rPr>
        <w:t xml:space="preserve">The EMA is </w:t>
      </w:r>
      <w:r w:rsidR="00AA0257">
        <w:rPr>
          <w:rFonts w:asciiTheme="minorHAnsi" w:hAnsiTheme="minorHAnsi" w:cstheme="minorHAnsi"/>
        </w:rPr>
        <w:t>particularly illustrative of</w:t>
      </w:r>
      <w:r w:rsidR="00AA0257" w:rsidRPr="00556FFB">
        <w:rPr>
          <w:rFonts w:asciiTheme="minorHAnsi" w:hAnsiTheme="minorHAnsi" w:cstheme="minorHAnsi"/>
        </w:rPr>
        <w:t xml:space="preserve"> the socio-political history of the country</w:t>
      </w:r>
      <w:r w:rsidR="00AA0257">
        <w:rPr>
          <w:rFonts w:asciiTheme="minorHAnsi" w:hAnsiTheme="minorHAnsi" w:cstheme="minorHAnsi"/>
        </w:rPr>
        <w:t xml:space="preserve">, </w:t>
      </w:r>
      <w:r w:rsidR="006B3F1C" w:rsidRPr="00760736">
        <w:rPr>
          <w:rFonts w:asciiTheme="minorHAnsi" w:hAnsiTheme="minorHAnsi" w:cstheme="minorHAnsi"/>
        </w:rPr>
        <w:t>characterised by high levels of socio-economic and spatial disparities and injuries (eThekwini Municipality, 2011; SAMRC-UNISA CVILP, 2005), providing a relevant test bed to explore small area variations in RTIs.</w:t>
      </w:r>
      <w:r w:rsidR="006B3F1C" w:rsidRPr="008443FF">
        <w:rPr>
          <w:rFonts w:asciiTheme="minorHAnsi" w:hAnsiTheme="minorHAnsi" w:cstheme="minorHAnsi"/>
        </w:rPr>
        <w:t xml:space="preserve">  Following the significant influences of population density on road traffic crashes and injuries, found especially in coarse scaled studies, population density is used as an organising framework in this research to explore the influences on RTIs, and help elucidate some of the possible drivers to these relationships at a small area level. </w:t>
      </w:r>
      <w:r w:rsidR="00FC5BD1">
        <w:rPr>
          <w:rFonts w:asciiTheme="minorHAnsi" w:hAnsiTheme="minorHAnsi" w:cstheme="minorHAnsi"/>
        </w:rPr>
        <w:t xml:space="preserve">In particular, the role of social and area deprivation as well as the characteristics of crashes in explaining the injury outcomes by population density is examined. </w:t>
      </w:r>
    </w:p>
    <w:p w:rsidR="006B3F1C" w:rsidRPr="008443FF" w:rsidRDefault="006B3F1C">
      <w:pPr>
        <w:widowControl w:val="0"/>
        <w:spacing w:after="0" w:line="360" w:lineRule="auto"/>
        <w:rPr>
          <w:rFonts w:asciiTheme="minorHAnsi" w:hAnsiTheme="minorHAnsi" w:cstheme="minorHAnsi"/>
          <w:b/>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b/>
        </w:rPr>
        <w:t>METHODS</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The study was based on a cross-sectional geographical design at the suburb level for the EMA. Suburbs, contained within cities and other urban centres, are not part of the census geographical hierarchy but rather represent city planning and service delivery units. In displaying greater social homogeneity as compared to census areas, suburbs may </w:t>
      </w:r>
      <w:r w:rsidR="0069091F">
        <w:rPr>
          <w:rFonts w:asciiTheme="minorHAnsi" w:hAnsiTheme="minorHAnsi" w:cstheme="minorHAnsi"/>
        </w:rPr>
        <w:t xml:space="preserve">thus </w:t>
      </w:r>
      <w:r w:rsidRPr="008443FF">
        <w:rPr>
          <w:rFonts w:asciiTheme="minorHAnsi" w:hAnsiTheme="minorHAnsi" w:cstheme="minorHAnsi"/>
        </w:rPr>
        <w:t xml:space="preserve">be regarded as relatively more appropriate entities for research on injury prevention and safety promotion. In order to reduce the effects of random year-to-year variation, aggregated data </w:t>
      </w:r>
      <w:r w:rsidR="0069091F">
        <w:rPr>
          <w:rFonts w:asciiTheme="minorHAnsi" w:hAnsiTheme="minorHAnsi" w:cstheme="minorHAnsi"/>
        </w:rPr>
        <w:t>for</w:t>
      </w:r>
      <w:r w:rsidR="0069091F" w:rsidRPr="008443FF">
        <w:rPr>
          <w:rFonts w:asciiTheme="minorHAnsi" w:hAnsiTheme="minorHAnsi" w:cstheme="minorHAnsi"/>
        </w:rPr>
        <w:t xml:space="preserve"> </w:t>
      </w:r>
      <w:r w:rsidRPr="008443FF">
        <w:rPr>
          <w:rFonts w:asciiTheme="minorHAnsi" w:hAnsiTheme="minorHAnsi" w:cstheme="minorHAnsi"/>
        </w:rPr>
        <w:t xml:space="preserve">the five-year period </w:t>
      </w:r>
      <w:r w:rsidR="0069091F">
        <w:rPr>
          <w:rFonts w:asciiTheme="minorHAnsi" w:hAnsiTheme="minorHAnsi" w:cstheme="minorHAnsi"/>
        </w:rPr>
        <w:t xml:space="preserve">from 2005-2009 </w:t>
      </w:r>
      <w:r w:rsidRPr="008443FF">
        <w:rPr>
          <w:rFonts w:asciiTheme="minorHAnsi" w:hAnsiTheme="minorHAnsi" w:cstheme="minorHAnsi"/>
        </w:rPr>
        <w:t>were used.</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STUDY SETTING</w:t>
      </w:r>
    </w:p>
    <w:p w:rsidR="00126EF2" w:rsidRDefault="006B3F1C" w:rsidP="0083278C">
      <w:pPr>
        <w:spacing w:after="0" w:line="360" w:lineRule="auto"/>
        <w:rPr>
          <w:rFonts w:asciiTheme="minorHAnsi" w:hAnsiTheme="minorHAnsi" w:cstheme="minorHAnsi"/>
        </w:rPr>
      </w:pPr>
      <w:r w:rsidRPr="008443FF">
        <w:rPr>
          <w:rFonts w:asciiTheme="minorHAnsi" w:hAnsiTheme="minorHAnsi" w:cstheme="minorHAnsi"/>
        </w:rPr>
        <w:t xml:space="preserve">The </w:t>
      </w:r>
      <w:r w:rsidR="00E90ADC">
        <w:rPr>
          <w:rFonts w:asciiTheme="minorHAnsi" w:hAnsiTheme="minorHAnsi" w:cstheme="minorHAnsi"/>
        </w:rPr>
        <w:t xml:space="preserve">study </w:t>
      </w:r>
      <w:r w:rsidRPr="008443FF">
        <w:rPr>
          <w:rFonts w:asciiTheme="minorHAnsi" w:hAnsiTheme="minorHAnsi" w:cstheme="minorHAnsi"/>
        </w:rPr>
        <w:t>setting is the EMA, which is one of eight metropolitan areas in South Africa and is located in the province of KwaZulu Natal</w:t>
      </w:r>
      <w:r w:rsidR="003C3340">
        <w:rPr>
          <w:rFonts w:asciiTheme="minorHAnsi" w:hAnsiTheme="minorHAnsi" w:cstheme="minorHAnsi"/>
        </w:rPr>
        <w:t xml:space="preserve"> (KZN)</w:t>
      </w:r>
      <w:r w:rsidRPr="008443FF">
        <w:rPr>
          <w:rFonts w:asciiTheme="minorHAnsi" w:hAnsiTheme="minorHAnsi" w:cstheme="minorHAnsi"/>
        </w:rPr>
        <w:t xml:space="preserve">. </w:t>
      </w:r>
      <w:r w:rsidR="00556FFB" w:rsidRPr="00556FFB">
        <w:rPr>
          <w:rFonts w:asciiTheme="minorHAnsi" w:hAnsiTheme="minorHAnsi" w:cstheme="minorHAnsi"/>
        </w:rPr>
        <w:t>The EMA</w:t>
      </w:r>
      <w:r w:rsidR="00043A45">
        <w:rPr>
          <w:rFonts w:asciiTheme="minorHAnsi" w:hAnsiTheme="minorHAnsi" w:cstheme="minorHAnsi"/>
        </w:rPr>
        <w:t xml:space="preserve"> is the </w:t>
      </w:r>
      <w:r w:rsidR="00556FFB" w:rsidRPr="00556FFB">
        <w:rPr>
          <w:rFonts w:asciiTheme="minorHAnsi" w:hAnsiTheme="minorHAnsi" w:cstheme="minorHAnsi"/>
        </w:rPr>
        <w:t>largest city within KZN</w:t>
      </w:r>
      <w:r w:rsidR="00AA0257">
        <w:rPr>
          <w:rFonts w:asciiTheme="minorHAnsi" w:hAnsiTheme="minorHAnsi" w:cstheme="minorHAnsi"/>
        </w:rPr>
        <w:t xml:space="preserve"> </w:t>
      </w:r>
      <w:r w:rsidR="006E0858">
        <w:rPr>
          <w:rFonts w:asciiTheme="minorHAnsi" w:hAnsiTheme="minorHAnsi" w:cstheme="minorHAnsi"/>
        </w:rPr>
        <w:t>and has</w:t>
      </w:r>
      <w:r w:rsidR="00126EF2">
        <w:rPr>
          <w:rFonts w:asciiTheme="minorHAnsi" w:hAnsiTheme="minorHAnsi" w:cstheme="minorHAnsi"/>
        </w:rPr>
        <w:t xml:space="preserve"> a </w:t>
      </w:r>
      <w:r w:rsidR="00126EF2" w:rsidRPr="008443FF">
        <w:rPr>
          <w:rFonts w:asciiTheme="minorHAnsi" w:hAnsiTheme="minorHAnsi" w:cstheme="minorHAnsi"/>
        </w:rPr>
        <w:t>land area of approximately 2</w:t>
      </w:r>
      <w:r w:rsidR="004A359F">
        <w:rPr>
          <w:rFonts w:asciiTheme="minorHAnsi" w:hAnsiTheme="minorHAnsi" w:cstheme="minorHAnsi"/>
        </w:rPr>
        <w:t>,</w:t>
      </w:r>
      <w:r w:rsidR="00126EF2" w:rsidRPr="008443FF">
        <w:rPr>
          <w:rFonts w:asciiTheme="minorHAnsi" w:hAnsiTheme="minorHAnsi" w:cstheme="minorHAnsi"/>
        </w:rPr>
        <w:t>300</w:t>
      </w:r>
      <w:r w:rsidR="004A359F">
        <w:rPr>
          <w:rFonts w:asciiTheme="minorHAnsi" w:hAnsiTheme="minorHAnsi" w:cstheme="minorHAnsi"/>
        </w:rPr>
        <w:t xml:space="preserve"> </w:t>
      </w:r>
      <w:r w:rsidR="00E90ADC">
        <w:rPr>
          <w:rFonts w:asciiTheme="minorHAnsi" w:hAnsiTheme="minorHAnsi" w:cstheme="minorHAnsi"/>
        </w:rPr>
        <w:t>km</w:t>
      </w:r>
      <w:r w:rsidR="00FF0BCC" w:rsidRPr="00FF0BCC">
        <w:rPr>
          <w:rFonts w:asciiTheme="minorHAnsi" w:hAnsiTheme="minorHAnsi" w:cstheme="minorHAnsi"/>
          <w:vertAlign w:val="superscript"/>
        </w:rPr>
        <w:t>2</w:t>
      </w:r>
      <w:r w:rsidR="00E90ADC">
        <w:rPr>
          <w:rFonts w:asciiTheme="minorHAnsi" w:hAnsiTheme="minorHAnsi" w:cstheme="minorHAnsi"/>
        </w:rPr>
        <w:t xml:space="preserve"> </w:t>
      </w:r>
      <w:r w:rsidR="00AA0257">
        <w:rPr>
          <w:rFonts w:asciiTheme="minorHAnsi" w:hAnsiTheme="minorHAnsi" w:cstheme="minorHAnsi"/>
        </w:rPr>
        <w:t xml:space="preserve">and </w:t>
      </w:r>
      <w:r w:rsidR="00126EF2">
        <w:rPr>
          <w:rFonts w:asciiTheme="minorHAnsi" w:hAnsiTheme="minorHAnsi" w:cstheme="minorHAnsi"/>
        </w:rPr>
        <w:t xml:space="preserve">a population of approximately </w:t>
      </w:r>
      <w:r w:rsidR="00126EF2" w:rsidRPr="008443FF">
        <w:rPr>
          <w:rFonts w:asciiTheme="minorHAnsi" w:hAnsiTheme="minorHAnsi" w:cstheme="minorHAnsi"/>
        </w:rPr>
        <w:t>3.5 million</w:t>
      </w:r>
      <w:r w:rsidR="00126EF2">
        <w:rPr>
          <w:rFonts w:asciiTheme="minorHAnsi" w:hAnsiTheme="minorHAnsi" w:cstheme="minorHAnsi"/>
        </w:rPr>
        <w:t xml:space="preserve"> </w:t>
      </w:r>
      <w:r w:rsidR="00126EF2" w:rsidRPr="008443FF">
        <w:rPr>
          <w:rFonts w:asciiTheme="minorHAnsi" w:hAnsiTheme="minorHAnsi" w:cstheme="minorHAnsi"/>
        </w:rPr>
        <w:t>people</w:t>
      </w:r>
      <w:r w:rsidR="00126EF2">
        <w:rPr>
          <w:rFonts w:asciiTheme="minorHAnsi" w:hAnsiTheme="minorHAnsi" w:cstheme="minorHAnsi"/>
        </w:rPr>
        <w:t xml:space="preserve"> (</w:t>
      </w:r>
      <w:r w:rsidR="00D25783" w:rsidRPr="008443FF">
        <w:rPr>
          <w:rFonts w:asciiTheme="minorHAnsi" w:hAnsiTheme="minorHAnsi" w:cstheme="minorHAnsi"/>
        </w:rPr>
        <w:t>eThekwini Municipality, 2011</w:t>
      </w:r>
      <w:r w:rsidR="00126EF2">
        <w:rPr>
          <w:rFonts w:asciiTheme="minorHAnsi" w:hAnsiTheme="minorHAnsi" w:cstheme="minorHAnsi"/>
        </w:rPr>
        <w:t>)</w:t>
      </w:r>
      <w:r w:rsidR="00AA0257">
        <w:rPr>
          <w:rFonts w:asciiTheme="minorHAnsi" w:hAnsiTheme="minorHAnsi" w:cstheme="minorHAnsi"/>
        </w:rPr>
        <w:t xml:space="preserve">. The EMA </w:t>
      </w:r>
      <w:r w:rsidR="00126EF2">
        <w:rPr>
          <w:rFonts w:asciiTheme="minorHAnsi" w:hAnsiTheme="minorHAnsi" w:cstheme="minorHAnsi"/>
        </w:rPr>
        <w:t xml:space="preserve">shows a </w:t>
      </w:r>
      <w:r w:rsidR="00126EF2" w:rsidRPr="00556FFB">
        <w:rPr>
          <w:rFonts w:asciiTheme="minorHAnsi" w:hAnsiTheme="minorHAnsi" w:cstheme="minorHAnsi"/>
        </w:rPr>
        <w:t>fragmented urban form</w:t>
      </w:r>
      <w:r w:rsidR="009A2D0E">
        <w:rPr>
          <w:rFonts w:asciiTheme="minorHAnsi" w:hAnsiTheme="minorHAnsi" w:cstheme="minorHAnsi"/>
        </w:rPr>
        <w:t xml:space="preserve"> that reflects </w:t>
      </w:r>
      <w:r w:rsidR="003316B3">
        <w:rPr>
          <w:rFonts w:asciiTheme="minorHAnsi" w:hAnsiTheme="minorHAnsi" w:cstheme="minorHAnsi"/>
        </w:rPr>
        <w:t xml:space="preserve">the diverse physical topography of the </w:t>
      </w:r>
      <w:r w:rsidR="009A2D0E">
        <w:rPr>
          <w:rFonts w:asciiTheme="minorHAnsi" w:hAnsiTheme="minorHAnsi" w:cstheme="minorHAnsi"/>
        </w:rPr>
        <w:t xml:space="preserve">metropolitan </w:t>
      </w:r>
      <w:r w:rsidR="003316B3">
        <w:rPr>
          <w:rFonts w:asciiTheme="minorHAnsi" w:hAnsiTheme="minorHAnsi" w:cstheme="minorHAnsi"/>
        </w:rPr>
        <w:t xml:space="preserve">area as well as remnants of </w:t>
      </w:r>
      <w:r w:rsidR="009A2D0E">
        <w:rPr>
          <w:rFonts w:asciiTheme="minorHAnsi" w:hAnsiTheme="minorHAnsi" w:cstheme="minorHAnsi"/>
        </w:rPr>
        <w:t>distorted urban planning arising from historical apartheid-related policies and practices</w:t>
      </w:r>
      <w:r w:rsidR="003316B3">
        <w:rPr>
          <w:rFonts w:asciiTheme="minorHAnsi" w:hAnsiTheme="minorHAnsi" w:cstheme="minorHAnsi"/>
        </w:rPr>
        <w:t xml:space="preserve">. The </w:t>
      </w:r>
      <w:r w:rsidR="00CA66F4">
        <w:rPr>
          <w:rFonts w:asciiTheme="minorHAnsi" w:hAnsiTheme="minorHAnsi" w:cstheme="minorHAnsi"/>
        </w:rPr>
        <w:t xml:space="preserve">resultant </w:t>
      </w:r>
      <w:r w:rsidR="003316B3">
        <w:rPr>
          <w:rFonts w:asciiTheme="minorHAnsi" w:hAnsiTheme="minorHAnsi" w:cstheme="minorHAnsi"/>
        </w:rPr>
        <w:t xml:space="preserve">highly uneven distribution of the population manifests </w:t>
      </w:r>
      <w:r w:rsidR="00CA66F4">
        <w:rPr>
          <w:rFonts w:asciiTheme="minorHAnsi" w:hAnsiTheme="minorHAnsi" w:cstheme="minorHAnsi"/>
        </w:rPr>
        <w:t xml:space="preserve">in </w:t>
      </w:r>
      <w:r w:rsidR="00CA66F4" w:rsidRPr="00556FFB">
        <w:rPr>
          <w:rFonts w:asciiTheme="minorHAnsi" w:hAnsiTheme="minorHAnsi" w:cstheme="minorHAnsi"/>
        </w:rPr>
        <w:t>large clusters of residential development together with relatively low density urban sprawl as well as a peripheral location with much of its deprived populations (</w:t>
      </w:r>
      <w:r w:rsidR="00D25783" w:rsidRPr="008443FF">
        <w:rPr>
          <w:rFonts w:asciiTheme="minorHAnsi" w:hAnsiTheme="minorHAnsi" w:cstheme="minorHAnsi"/>
        </w:rPr>
        <w:t>Breetzke,</w:t>
      </w:r>
      <w:r w:rsidR="00855B0A">
        <w:rPr>
          <w:rFonts w:asciiTheme="minorHAnsi" w:hAnsiTheme="minorHAnsi" w:cstheme="minorHAnsi"/>
        </w:rPr>
        <w:t xml:space="preserve"> </w:t>
      </w:r>
      <w:r w:rsidR="00D25783" w:rsidRPr="008443FF">
        <w:rPr>
          <w:rFonts w:asciiTheme="minorHAnsi" w:hAnsiTheme="minorHAnsi" w:cstheme="minorHAnsi"/>
        </w:rPr>
        <w:t>2009</w:t>
      </w:r>
      <w:r w:rsidR="00CA66F4" w:rsidRPr="00556FFB">
        <w:rPr>
          <w:rFonts w:asciiTheme="minorHAnsi" w:hAnsiTheme="minorHAnsi" w:cstheme="minorHAnsi"/>
        </w:rPr>
        <w:t xml:space="preserve">). In addition, high levels of </w:t>
      </w:r>
      <w:r w:rsidR="00CA66F4">
        <w:rPr>
          <w:rFonts w:asciiTheme="minorHAnsi" w:hAnsiTheme="minorHAnsi" w:cstheme="minorHAnsi"/>
        </w:rPr>
        <w:t xml:space="preserve">associated crime and violence have also resulted in large scale </w:t>
      </w:r>
      <w:r w:rsidR="00CA66F4" w:rsidRPr="00556FFB">
        <w:rPr>
          <w:rFonts w:asciiTheme="minorHAnsi" w:hAnsiTheme="minorHAnsi" w:cstheme="minorHAnsi"/>
        </w:rPr>
        <w:lastRenderedPageBreak/>
        <w:t xml:space="preserve">decentralisation of </w:t>
      </w:r>
      <w:r w:rsidR="006E0858">
        <w:rPr>
          <w:rFonts w:asciiTheme="minorHAnsi" w:hAnsiTheme="minorHAnsi" w:cstheme="minorHAnsi"/>
        </w:rPr>
        <w:t>retail</w:t>
      </w:r>
      <w:r w:rsidR="00CA66F4" w:rsidRPr="00556FFB">
        <w:rPr>
          <w:rFonts w:asciiTheme="minorHAnsi" w:hAnsiTheme="minorHAnsi" w:cstheme="minorHAnsi"/>
        </w:rPr>
        <w:t xml:space="preserve"> and </w:t>
      </w:r>
      <w:r w:rsidR="006E0858">
        <w:rPr>
          <w:rFonts w:asciiTheme="minorHAnsi" w:hAnsiTheme="minorHAnsi" w:cstheme="minorHAnsi"/>
        </w:rPr>
        <w:t>commercial</w:t>
      </w:r>
      <w:r w:rsidR="00CA66F4" w:rsidRPr="00556FFB">
        <w:rPr>
          <w:rFonts w:asciiTheme="minorHAnsi" w:hAnsiTheme="minorHAnsi" w:cstheme="minorHAnsi"/>
        </w:rPr>
        <w:t xml:space="preserve"> activities </w:t>
      </w:r>
      <w:r w:rsidR="00CA66F4">
        <w:rPr>
          <w:rFonts w:asciiTheme="minorHAnsi" w:hAnsiTheme="minorHAnsi" w:cstheme="minorHAnsi"/>
        </w:rPr>
        <w:t xml:space="preserve">as well as </w:t>
      </w:r>
      <w:r w:rsidR="006E0858">
        <w:rPr>
          <w:rFonts w:asciiTheme="minorHAnsi" w:hAnsiTheme="minorHAnsi" w:cstheme="minorHAnsi"/>
        </w:rPr>
        <w:t xml:space="preserve">the </w:t>
      </w:r>
      <w:r w:rsidR="00CA66F4" w:rsidRPr="00556FFB">
        <w:rPr>
          <w:rFonts w:asciiTheme="minorHAnsi" w:hAnsiTheme="minorHAnsi" w:cstheme="minorHAnsi"/>
        </w:rPr>
        <w:t>upmarket development of numerous gated communities.</w:t>
      </w:r>
    </w:p>
    <w:p w:rsidR="00556FFB" w:rsidRDefault="00556FFB">
      <w:pPr>
        <w:widowControl w:val="0"/>
        <w:spacing w:after="0" w:line="360" w:lineRule="auto"/>
        <w:rPr>
          <w:rFonts w:asciiTheme="minorHAnsi" w:hAnsiTheme="minorHAnsi" w:cstheme="minorHAnsi"/>
        </w:rPr>
      </w:pPr>
    </w:p>
    <w:p w:rsidR="00126EF2"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In addition, the EMA also contains large tracts of rural areas. Based on census classification, only 35% of the land area is considered as predominantly urban, with more than 80% of the population living in these areas (eThekwini Municipality, 2011). The Statistics South Africa census definition of urban and rural areas is based on the dominant settlement type and land use within Enumerator Areas (EAs), which is the lowest geographical level used for non-population based census dissemination (StatsSA, 2003; StatsSA, 2004). Typical urban settlements are cities, towns, townships, and suburbs whilst rural areas typically tend to contain tribal areas, commercial farms and rural informal settlements (StatsSA, 2004). </w:t>
      </w:r>
    </w:p>
    <w:p w:rsidR="00126EF2" w:rsidRDefault="00126EF2">
      <w:pPr>
        <w:widowControl w:val="0"/>
        <w:spacing w:after="0" w:line="360" w:lineRule="auto"/>
        <w:rPr>
          <w:rFonts w:asciiTheme="minorHAnsi" w:hAnsiTheme="minorHAnsi" w:cstheme="minorHAnsi"/>
        </w:rPr>
      </w:pPr>
    </w:p>
    <w:p w:rsidR="006B3F1C" w:rsidRPr="008443FF" w:rsidRDefault="00985ECC">
      <w:pPr>
        <w:widowControl w:val="0"/>
        <w:spacing w:after="0" w:line="360" w:lineRule="auto"/>
        <w:rPr>
          <w:rFonts w:asciiTheme="minorHAnsi" w:hAnsiTheme="minorHAnsi" w:cstheme="minorHAnsi"/>
        </w:rPr>
      </w:pPr>
      <w:r>
        <w:rPr>
          <w:rFonts w:asciiTheme="minorHAnsi" w:hAnsiTheme="minorHAnsi" w:cstheme="minorHAnsi"/>
        </w:rPr>
        <w:t xml:space="preserve">The EMA </w:t>
      </w:r>
      <w:r w:rsidR="006E0858">
        <w:rPr>
          <w:rFonts w:asciiTheme="minorHAnsi" w:hAnsiTheme="minorHAnsi" w:cstheme="minorHAnsi"/>
        </w:rPr>
        <w:t xml:space="preserve">is also characterised by </w:t>
      </w:r>
      <w:r>
        <w:rPr>
          <w:rFonts w:asciiTheme="minorHAnsi" w:hAnsiTheme="minorHAnsi" w:cstheme="minorHAnsi"/>
        </w:rPr>
        <w:t xml:space="preserve">large </w:t>
      </w:r>
      <w:r w:rsidR="006E0858">
        <w:rPr>
          <w:rFonts w:asciiTheme="minorHAnsi" w:hAnsiTheme="minorHAnsi" w:cstheme="minorHAnsi"/>
        </w:rPr>
        <w:t xml:space="preserve">economic </w:t>
      </w:r>
      <w:r>
        <w:rPr>
          <w:rFonts w:asciiTheme="minorHAnsi" w:hAnsiTheme="minorHAnsi" w:cstheme="minorHAnsi"/>
        </w:rPr>
        <w:t xml:space="preserve">diversity. </w:t>
      </w:r>
      <w:r w:rsidR="006B3F1C" w:rsidRPr="008443FF">
        <w:rPr>
          <w:rFonts w:asciiTheme="minorHAnsi" w:hAnsiTheme="minorHAnsi" w:cstheme="minorHAnsi"/>
        </w:rPr>
        <w:t xml:space="preserve">With an annual average economic growth of 3.7% </w:t>
      </w:r>
      <w:r w:rsidR="0063641E">
        <w:rPr>
          <w:rFonts w:asciiTheme="minorHAnsi" w:hAnsiTheme="minorHAnsi" w:cstheme="minorHAnsi"/>
        </w:rPr>
        <w:t>from</w:t>
      </w:r>
      <w:r w:rsidR="0063641E" w:rsidRPr="008443FF">
        <w:rPr>
          <w:rFonts w:asciiTheme="minorHAnsi" w:hAnsiTheme="minorHAnsi" w:cstheme="minorHAnsi"/>
        </w:rPr>
        <w:t xml:space="preserve"> </w:t>
      </w:r>
      <w:r w:rsidR="006B3F1C" w:rsidRPr="008443FF">
        <w:rPr>
          <w:rFonts w:asciiTheme="minorHAnsi" w:hAnsiTheme="minorHAnsi" w:cstheme="minorHAnsi"/>
        </w:rPr>
        <w:t>2004</w:t>
      </w:r>
      <w:r w:rsidR="00E90ADC">
        <w:rPr>
          <w:rFonts w:asciiTheme="minorHAnsi" w:hAnsiTheme="minorHAnsi" w:cstheme="minorHAnsi"/>
        </w:rPr>
        <w:t>-</w:t>
      </w:r>
      <w:r w:rsidR="006B3F1C" w:rsidRPr="008443FF">
        <w:rPr>
          <w:rFonts w:asciiTheme="minorHAnsi" w:hAnsiTheme="minorHAnsi" w:cstheme="minorHAnsi"/>
        </w:rPr>
        <w:t xml:space="preserve">2009, compared to 3.4% for the province and 3.3% for the country (eThekwini Municipality, 2011), the economy of the EMA may be regarded as relatively progressive. </w:t>
      </w:r>
      <w:r>
        <w:rPr>
          <w:rFonts w:asciiTheme="minorHAnsi" w:hAnsiTheme="minorHAnsi" w:cstheme="minorHAnsi"/>
        </w:rPr>
        <w:t>H</w:t>
      </w:r>
      <w:r w:rsidR="006B3F1C" w:rsidRPr="008443FF">
        <w:rPr>
          <w:rFonts w:asciiTheme="minorHAnsi" w:hAnsiTheme="minorHAnsi" w:cstheme="minorHAnsi"/>
        </w:rPr>
        <w:t xml:space="preserve">owever, the EMA is also characterised by increasing levels of poverty and inequality as well as by having the highest rate of unemployment of all metropolitan areas in the country. In 2004, estimates indicated that 31% of the population were living in poverty, 34% were unemployed, and the Gini coefficient, a measure of inequality ranging from 0 (perfect equality) to 1 (perfect inequality), was at 0.60 (Dray, McGill, Muller, Muller &amp; Skinner, 2006). </w:t>
      </w:r>
      <w:r w:rsidR="00A61C15">
        <w:rPr>
          <w:rFonts w:asciiTheme="minorHAnsi" w:hAnsiTheme="minorHAnsi" w:cstheme="minorHAnsi"/>
        </w:rPr>
        <w:t>T</w:t>
      </w:r>
      <w:r w:rsidR="00FC5BD1" w:rsidRPr="007E06D6">
        <w:rPr>
          <w:rFonts w:cstheme="minorHAnsi"/>
        </w:rPr>
        <w:t xml:space="preserve">he Inanda/ Ntuzuma/ KwaMashu complex (INK) in the </w:t>
      </w:r>
      <w:r w:rsidR="00FC5BD1">
        <w:rPr>
          <w:rFonts w:cstheme="minorHAnsi"/>
        </w:rPr>
        <w:t>Metro</w:t>
      </w:r>
      <w:r w:rsidR="00FC5BD1" w:rsidRPr="007E06D6">
        <w:rPr>
          <w:rFonts w:cstheme="minorHAnsi"/>
        </w:rPr>
        <w:t xml:space="preserve"> is </w:t>
      </w:r>
      <w:r w:rsidR="00A61C15">
        <w:rPr>
          <w:rFonts w:cstheme="minorHAnsi"/>
        </w:rPr>
        <w:t xml:space="preserve">also </w:t>
      </w:r>
      <w:r w:rsidR="00FC5BD1" w:rsidRPr="007E06D6">
        <w:rPr>
          <w:rFonts w:cstheme="minorHAnsi"/>
        </w:rPr>
        <w:t xml:space="preserve">one of 7 urban and 22 total presidential poverty nodes </w:t>
      </w:r>
      <w:r w:rsidR="00A61C15">
        <w:rPr>
          <w:rFonts w:cstheme="minorHAnsi"/>
        </w:rPr>
        <w:t xml:space="preserve">that </w:t>
      </w:r>
      <w:r w:rsidR="00FC5BD1" w:rsidRPr="007E06D6">
        <w:rPr>
          <w:rFonts w:cstheme="minorHAnsi"/>
        </w:rPr>
        <w:t>represent the largest concentrations of poverty in SA and that are earmarked for accelerated development (DPLG &amp; Business Trust, 2007).</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DATA FOR ROAD TRAFFIC INJURY AND EXPLANATORY VARIABLES</w:t>
      </w: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Table 1 details the measures relating to injury outcomes, crash characteristics, and socio-economic deprivation considered for this study. Aggregated suburb-level data on RTIs and crashes were provided by the eThekwini Transport Authority (ETA) for 2005-2009. Data from the ETA were based on </w:t>
      </w:r>
      <w:r w:rsidRPr="008443FF">
        <w:rPr>
          <w:rFonts w:asciiTheme="minorHAnsi" w:eastAsia="Calibri" w:hAnsiTheme="minorHAnsi" w:cstheme="minorHAnsi"/>
        </w:rPr>
        <w:t>accident report forms completed by police personnel</w:t>
      </w:r>
      <w:r w:rsidR="00E90ADC">
        <w:rPr>
          <w:rFonts w:asciiTheme="minorHAnsi" w:eastAsia="Calibri" w:hAnsiTheme="minorHAnsi" w:cstheme="minorHAnsi"/>
        </w:rPr>
        <w:t>,</w:t>
      </w:r>
      <w:r w:rsidRPr="008443FF">
        <w:rPr>
          <w:rFonts w:asciiTheme="minorHAnsi" w:eastAsia="Calibri" w:hAnsiTheme="minorHAnsi" w:cstheme="minorHAnsi"/>
        </w:rPr>
        <w:t xml:space="preserve"> </w:t>
      </w:r>
      <w:r w:rsidR="00E90ADC">
        <w:rPr>
          <w:rFonts w:asciiTheme="minorHAnsi" w:eastAsia="Calibri" w:hAnsiTheme="minorHAnsi" w:cstheme="minorHAnsi"/>
        </w:rPr>
        <w:t>plus</w:t>
      </w:r>
      <w:r w:rsidRPr="008443FF">
        <w:rPr>
          <w:rFonts w:asciiTheme="minorHAnsi" w:eastAsia="Calibri" w:hAnsiTheme="minorHAnsi" w:cstheme="minorHAnsi"/>
        </w:rPr>
        <w:t xml:space="preserve"> reports made to the police by </w:t>
      </w:r>
      <w:r w:rsidRPr="008443FF">
        <w:rPr>
          <w:rFonts w:asciiTheme="minorHAnsi" w:hAnsiTheme="minorHAnsi" w:cstheme="minorHAnsi"/>
        </w:rPr>
        <w:t xml:space="preserve">members of the public involved in road traffic crashes. In terms of fatal injuries, cases with death occurring up to six days after a collision are considered by the ETA. Injuries requiring hospitalisation were considered to be serious injuries. Population-based fatal and serious injury rates were considered for analysis. </w:t>
      </w:r>
      <w:r w:rsidR="00163D13" w:rsidRPr="008443FF">
        <w:rPr>
          <w:rFonts w:asciiTheme="minorHAnsi" w:hAnsiTheme="minorHAnsi" w:cstheme="minorHAnsi"/>
        </w:rPr>
        <w:t xml:space="preserve">Following the particular area-level risks for pedestrian injuries such as inadequate infrastructure for crossing or separation from motorised traffic, analyses are also undertaken separately for the pedestrian road user group. </w:t>
      </w:r>
      <w:r w:rsidRPr="008443FF">
        <w:rPr>
          <w:rFonts w:asciiTheme="minorHAnsi" w:hAnsiTheme="minorHAnsi" w:cstheme="minorHAnsi"/>
        </w:rPr>
        <w:t xml:space="preserve">Population density for our study was based on population counts from the 2001 census, which was the latest census data available. </w:t>
      </w:r>
    </w:p>
    <w:p w:rsidR="00163D13" w:rsidRDefault="00163D13">
      <w:pPr>
        <w:widowControl w:val="0"/>
        <w:spacing w:after="0" w:line="360" w:lineRule="auto"/>
        <w:rPr>
          <w:rFonts w:asciiTheme="minorHAnsi" w:hAnsiTheme="minorHAnsi" w:cstheme="minorHAnsi"/>
        </w:rPr>
      </w:pPr>
    </w:p>
    <w:p w:rsidR="008775CD" w:rsidRPr="008443FF" w:rsidRDefault="008775CD" w:rsidP="008775CD">
      <w:pPr>
        <w:widowControl w:val="0"/>
        <w:spacing w:after="0" w:line="360" w:lineRule="auto"/>
        <w:jc w:val="center"/>
        <w:rPr>
          <w:rFonts w:asciiTheme="minorHAnsi" w:hAnsiTheme="minorHAnsi" w:cstheme="minorHAnsi"/>
        </w:rPr>
      </w:pPr>
      <w:r w:rsidRPr="008443FF">
        <w:rPr>
          <w:rFonts w:asciiTheme="minorHAnsi" w:hAnsiTheme="minorHAnsi" w:cstheme="minorHAnsi"/>
          <w:i/>
        </w:rPr>
        <w:t>[INSERT TABLE 1 HERE]</w:t>
      </w:r>
    </w:p>
    <w:p w:rsidR="008775CD" w:rsidRPr="008443FF" w:rsidRDefault="008775CD">
      <w:pPr>
        <w:widowControl w:val="0"/>
        <w:spacing w:after="0" w:line="360" w:lineRule="auto"/>
        <w:rPr>
          <w:rFonts w:asciiTheme="minorHAnsi" w:hAnsiTheme="minorHAnsi" w:cstheme="minorHAnsi"/>
        </w:rPr>
      </w:pPr>
    </w:p>
    <w:p w:rsidR="006B3F1C" w:rsidRPr="008443FF" w:rsidRDefault="007D2D56" w:rsidP="00CF66F5">
      <w:pPr>
        <w:widowControl w:val="0"/>
        <w:spacing w:after="0" w:line="360" w:lineRule="auto"/>
        <w:rPr>
          <w:rFonts w:asciiTheme="minorHAnsi" w:hAnsiTheme="minorHAnsi" w:cstheme="minorHAnsi"/>
        </w:rPr>
      </w:pPr>
      <w:r w:rsidRPr="00CF66F5">
        <w:rPr>
          <w:rFonts w:asciiTheme="minorHAnsi" w:hAnsiTheme="minorHAnsi" w:cstheme="minorHAnsi"/>
        </w:rPr>
        <w:t>Table 2 summarises the</w:t>
      </w:r>
      <w:r w:rsidR="00CF66F5">
        <w:rPr>
          <w:rFonts w:asciiTheme="minorHAnsi" w:hAnsiTheme="minorHAnsi" w:cstheme="minorHAnsi"/>
        </w:rPr>
        <w:t xml:space="preserve"> hypothesised associations and</w:t>
      </w:r>
      <w:r w:rsidRPr="00CF66F5">
        <w:rPr>
          <w:rFonts w:asciiTheme="minorHAnsi" w:hAnsiTheme="minorHAnsi" w:cstheme="minorHAnsi"/>
        </w:rPr>
        <w:t xml:space="preserve"> relevant literature pertaining to the explanatory measures considered for analysis. </w:t>
      </w:r>
      <w:r w:rsidR="00CF66F5">
        <w:rPr>
          <w:rFonts w:asciiTheme="minorHAnsi" w:hAnsiTheme="minorHAnsi" w:cstheme="minorHAnsi"/>
        </w:rPr>
        <w:t>A range of indicators covering the domains of time variant risks, weather, driver behaviour, crash and vehicle types, population socio-demographic status, and road user types were considered.</w:t>
      </w:r>
    </w:p>
    <w:p w:rsidR="006B3F1C" w:rsidRDefault="006B3F1C">
      <w:pPr>
        <w:widowControl w:val="0"/>
        <w:spacing w:after="0" w:line="360" w:lineRule="auto"/>
        <w:rPr>
          <w:rFonts w:asciiTheme="minorHAnsi" w:hAnsiTheme="minorHAnsi" w:cstheme="minorHAnsi"/>
        </w:rPr>
      </w:pPr>
    </w:p>
    <w:p w:rsidR="008775CD" w:rsidRPr="008443FF" w:rsidRDefault="008775CD" w:rsidP="008775CD">
      <w:pPr>
        <w:widowControl w:val="0"/>
        <w:spacing w:after="0" w:line="360" w:lineRule="auto"/>
        <w:jc w:val="center"/>
        <w:rPr>
          <w:rFonts w:asciiTheme="minorHAnsi" w:hAnsiTheme="minorHAnsi" w:cstheme="minorHAnsi"/>
        </w:rPr>
      </w:pPr>
      <w:r w:rsidRPr="008443FF">
        <w:rPr>
          <w:rFonts w:asciiTheme="minorHAnsi" w:hAnsiTheme="minorHAnsi" w:cstheme="minorHAnsi"/>
          <w:i/>
        </w:rPr>
        <w:t xml:space="preserve">[INSERT TABLE </w:t>
      </w:r>
      <w:r>
        <w:rPr>
          <w:rFonts w:asciiTheme="minorHAnsi" w:hAnsiTheme="minorHAnsi" w:cstheme="minorHAnsi"/>
          <w:i/>
        </w:rPr>
        <w:t>2</w:t>
      </w:r>
      <w:r w:rsidRPr="008443FF">
        <w:rPr>
          <w:rFonts w:asciiTheme="minorHAnsi" w:hAnsiTheme="minorHAnsi" w:cstheme="minorHAnsi"/>
          <w:i/>
        </w:rPr>
        <w:t xml:space="preserve"> HERE]</w:t>
      </w:r>
    </w:p>
    <w:p w:rsidR="008775CD" w:rsidRPr="008443FF" w:rsidRDefault="008775CD">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ASSIGNING ROAD TRAFFIC INJURY AND EXPLANATORY DATA TO SUBURBS </w:t>
      </w: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Boundary data for the suburbs were obtained for planning units that are utilised by the municipality for management and service delivery. The planning unit areas matched that of the suburbs closely, and they comprised census Sub-places and Main Places or combinations of them. Sub-places and Main Places represent the second and third lowest </w:t>
      </w:r>
      <w:r w:rsidRPr="008443FF">
        <w:rPr>
          <w:rFonts w:asciiTheme="minorHAnsi" w:eastAsia="Calibri" w:hAnsiTheme="minorHAnsi" w:cstheme="minorHAnsi"/>
        </w:rPr>
        <w:t>census levels, after EAs (StatsSA, 2004). Sub-places generally include suburbs, sections of a township, smallholdings, villages, sub-villages, wards or informal settlements, while Main</w:t>
      </w:r>
      <w:r w:rsidR="009C4540">
        <w:rPr>
          <w:rFonts w:asciiTheme="minorHAnsi" w:eastAsia="Calibri" w:hAnsiTheme="minorHAnsi" w:cstheme="minorHAnsi"/>
        </w:rPr>
        <w:t xml:space="preserve"> P</w:t>
      </w:r>
      <w:r w:rsidRPr="008443FF">
        <w:rPr>
          <w:rFonts w:asciiTheme="minorHAnsi" w:eastAsia="Calibri" w:hAnsiTheme="minorHAnsi" w:cstheme="minorHAnsi"/>
        </w:rPr>
        <w:t>laces generally include cities, towns, townships, tribal authorities and administrative areas (Sta</w:t>
      </w:r>
      <w:r w:rsidR="008775CD">
        <w:rPr>
          <w:rFonts w:asciiTheme="minorHAnsi" w:eastAsia="Calibri" w:hAnsiTheme="minorHAnsi" w:cstheme="minorHAnsi"/>
        </w:rPr>
        <w:t>t</w:t>
      </w:r>
      <w:r w:rsidRPr="008443FF">
        <w:rPr>
          <w:rFonts w:asciiTheme="minorHAnsi" w:eastAsia="Calibri" w:hAnsiTheme="minorHAnsi" w:cstheme="minorHAnsi"/>
        </w:rPr>
        <w:t xml:space="preserve">sSA, 2004). Hence, areas from the non-census suburb classification may straddle both Main place and Sub-place census levels, especially in the case </w:t>
      </w:r>
      <w:r w:rsidR="00AD69F6">
        <w:rPr>
          <w:rFonts w:asciiTheme="minorHAnsi" w:eastAsia="Calibri" w:hAnsiTheme="minorHAnsi" w:cstheme="minorHAnsi"/>
        </w:rPr>
        <w:t>of</w:t>
      </w:r>
      <w:r w:rsidR="00AD69F6" w:rsidRPr="008443FF">
        <w:rPr>
          <w:rFonts w:asciiTheme="minorHAnsi" w:eastAsia="Calibri" w:hAnsiTheme="minorHAnsi" w:cstheme="minorHAnsi"/>
        </w:rPr>
        <w:t xml:space="preserve"> </w:t>
      </w:r>
      <w:r w:rsidRPr="008443FF">
        <w:rPr>
          <w:rFonts w:asciiTheme="minorHAnsi" w:eastAsia="Calibri" w:hAnsiTheme="minorHAnsi" w:cstheme="minorHAnsi"/>
        </w:rPr>
        <w:t xml:space="preserve">towns, townships and informal settlements. </w:t>
      </w:r>
      <w:r w:rsidRPr="008443FF">
        <w:rPr>
          <w:rFonts w:asciiTheme="minorHAnsi" w:hAnsiTheme="minorHAnsi" w:cstheme="minorHAnsi"/>
        </w:rPr>
        <w:t xml:space="preserve">The municipal boundary data were then adapted (mostly through renaming and merging some areas) and integrated with the suburb-level traffic data from the ETA within a Geographical Information System (GIS) </w:t>
      </w:r>
      <w:r w:rsidR="00AD69F6">
        <w:rPr>
          <w:rFonts w:asciiTheme="minorHAnsi" w:hAnsiTheme="minorHAnsi" w:cstheme="minorHAnsi"/>
        </w:rPr>
        <w:t>(</w:t>
      </w:r>
      <w:r w:rsidRPr="008443FF">
        <w:rPr>
          <w:rFonts w:asciiTheme="minorHAnsi" w:hAnsiTheme="minorHAnsi" w:cstheme="minorHAnsi"/>
        </w:rPr>
        <w:t>ArcGIS 9.3</w:t>
      </w:r>
      <w:r w:rsidR="00AD69F6">
        <w:rPr>
          <w:rFonts w:asciiTheme="minorHAnsi" w:hAnsiTheme="minorHAnsi" w:cstheme="minorHAnsi"/>
        </w:rPr>
        <w:t>)</w:t>
      </w:r>
      <w:r w:rsidRPr="008443FF">
        <w:rPr>
          <w:rFonts w:asciiTheme="minorHAnsi" w:hAnsiTheme="minorHAnsi" w:cstheme="minorHAnsi"/>
        </w:rPr>
        <w:t>. Five of the suburb areas, which were demarcated to an expanded area of the EMA in 2001 (eThekwini Municipality, 2002), did not have data available. A total of 68 remaining suburbs were considered for analyses. The suburbs differed markedly by size; the mean area was 30.0</w:t>
      </w:r>
      <w:r w:rsidR="004A359F">
        <w:rPr>
          <w:rFonts w:asciiTheme="minorHAnsi" w:hAnsiTheme="minorHAnsi" w:cstheme="minorHAnsi"/>
        </w:rPr>
        <w:t xml:space="preserve"> </w:t>
      </w:r>
      <w:r w:rsidR="00E90ADC">
        <w:rPr>
          <w:rFonts w:asciiTheme="minorHAnsi" w:hAnsiTheme="minorHAnsi" w:cstheme="minorHAnsi"/>
        </w:rPr>
        <w:t>km</w:t>
      </w:r>
      <w:r w:rsidR="00FF0BCC" w:rsidRPr="00FF0BCC">
        <w:rPr>
          <w:rFonts w:asciiTheme="minorHAnsi" w:hAnsiTheme="minorHAnsi" w:cstheme="minorHAnsi"/>
          <w:vertAlign w:val="superscript"/>
        </w:rPr>
        <w:t>2</w:t>
      </w:r>
      <w:r w:rsidRPr="008443FF">
        <w:rPr>
          <w:rFonts w:asciiTheme="minorHAnsi" w:hAnsiTheme="minorHAnsi" w:cstheme="minorHAnsi"/>
        </w:rPr>
        <w:t>, ranging from 2.2</w:t>
      </w:r>
      <w:r w:rsidR="00E90ADC" w:rsidRPr="00E90ADC">
        <w:rPr>
          <w:rFonts w:asciiTheme="minorHAnsi" w:hAnsiTheme="minorHAnsi" w:cstheme="minorHAnsi"/>
        </w:rPr>
        <w:t xml:space="preserve"> </w:t>
      </w:r>
      <w:r w:rsidR="00E90ADC">
        <w:rPr>
          <w:rFonts w:asciiTheme="minorHAnsi" w:hAnsiTheme="minorHAnsi" w:cstheme="minorHAnsi"/>
        </w:rPr>
        <w:t>km</w:t>
      </w:r>
      <w:r w:rsidR="00E90ADC" w:rsidRPr="00964E13">
        <w:rPr>
          <w:rFonts w:asciiTheme="minorHAnsi" w:hAnsiTheme="minorHAnsi" w:cstheme="minorHAnsi"/>
          <w:vertAlign w:val="superscript"/>
        </w:rPr>
        <w:t>2</w:t>
      </w:r>
      <w:r w:rsidR="00E90ADC">
        <w:rPr>
          <w:rFonts w:asciiTheme="minorHAnsi" w:hAnsiTheme="minorHAnsi" w:cstheme="minorHAnsi"/>
          <w:vertAlign w:val="superscript"/>
        </w:rPr>
        <w:t xml:space="preserve"> </w:t>
      </w:r>
      <w:r w:rsidRPr="008443FF">
        <w:rPr>
          <w:rFonts w:asciiTheme="minorHAnsi" w:hAnsiTheme="minorHAnsi" w:cstheme="minorHAnsi"/>
        </w:rPr>
        <w:t>for Canelands in the North to 160.6</w:t>
      </w:r>
      <w:r w:rsidR="00E90ADC" w:rsidRPr="00E90ADC">
        <w:rPr>
          <w:rFonts w:asciiTheme="minorHAnsi" w:hAnsiTheme="minorHAnsi" w:cstheme="minorHAnsi"/>
        </w:rPr>
        <w:t xml:space="preserve"> </w:t>
      </w:r>
      <w:r w:rsidR="00E90ADC">
        <w:rPr>
          <w:rFonts w:asciiTheme="minorHAnsi" w:hAnsiTheme="minorHAnsi" w:cstheme="minorHAnsi"/>
        </w:rPr>
        <w:t>km</w:t>
      </w:r>
      <w:r w:rsidR="00E90ADC" w:rsidRPr="00964E13">
        <w:rPr>
          <w:rFonts w:asciiTheme="minorHAnsi" w:hAnsiTheme="minorHAnsi" w:cstheme="minorHAnsi"/>
          <w:vertAlign w:val="superscript"/>
        </w:rPr>
        <w:t>2</w:t>
      </w:r>
      <w:r w:rsidR="00E90ADC">
        <w:rPr>
          <w:rFonts w:asciiTheme="minorHAnsi" w:hAnsiTheme="minorHAnsi" w:cstheme="minorHAnsi"/>
          <w:vertAlign w:val="superscript"/>
        </w:rPr>
        <w:t xml:space="preserve"> </w:t>
      </w:r>
      <w:r w:rsidRPr="008443FF">
        <w:rPr>
          <w:rFonts w:asciiTheme="minorHAnsi" w:hAnsiTheme="minorHAnsi" w:cstheme="minorHAnsi"/>
        </w:rPr>
        <w:t xml:space="preserve">for the Adams/ Folweni/ Sobonakhona cluster in the South.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The Small Area Layer, created by combining all EAs with a population smaller than 500 with adjacent EAs within a Sub-place, is the lowest geographical level for which population data are available (StatsSA, 2005). Since the boundaries for census areas are only partially coincident with that of the suburbs, the ArcGIS package was used to allocate the Small Areas (and their population counts) to the suburbs using their geographical centre-points. Likewise, socio-economic deprivation measures at the census Sub-place level were also allocated to the suburbs. The ArcGIS package was also used to integrate the road line data for the major roads within the GIS.  </w:t>
      </w:r>
    </w:p>
    <w:p w:rsidR="006B3F1C" w:rsidRPr="008443FF" w:rsidRDefault="006B3F1C">
      <w:pPr>
        <w:widowControl w:val="0"/>
        <w:spacing w:after="0" w:line="360" w:lineRule="auto"/>
        <w:rPr>
          <w:rFonts w:asciiTheme="minorHAnsi" w:hAnsiTheme="minorHAnsi" w:cstheme="minorHAnsi"/>
        </w:rPr>
      </w:pPr>
    </w:p>
    <w:p w:rsidR="006B3F1C" w:rsidRPr="008443FF" w:rsidRDefault="006B3F1C" w:rsidP="0083278C">
      <w:pPr>
        <w:keepNext/>
        <w:spacing w:after="0" w:line="360" w:lineRule="auto"/>
        <w:rPr>
          <w:rFonts w:asciiTheme="minorHAnsi" w:hAnsiTheme="minorHAnsi" w:cstheme="minorHAnsi"/>
        </w:rPr>
      </w:pPr>
      <w:r w:rsidRPr="008443FF">
        <w:rPr>
          <w:rFonts w:asciiTheme="minorHAnsi" w:hAnsiTheme="minorHAnsi" w:cstheme="minorHAnsi"/>
        </w:rPr>
        <w:lastRenderedPageBreak/>
        <w:t xml:space="preserve">CALCULATION AND EXPRESSION OF OUTCOME AND EXPLANATORY MEASURES </w:t>
      </w:r>
    </w:p>
    <w:p w:rsidR="006B3F1C" w:rsidRPr="008443FF" w:rsidRDefault="006B3F1C" w:rsidP="0083278C">
      <w:pPr>
        <w:keepNext/>
        <w:spacing w:after="0" w:line="360" w:lineRule="auto"/>
        <w:rPr>
          <w:rFonts w:asciiTheme="minorHAnsi" w:hAnsiTheme="minorHAnsi" w:cstheme="minorHAnsi"/>
        </w:rPr>
      </w:pPr>
      <w:r w:rsidRPr="008443FF">
        <w:rPr>
          <w:rFonts w:asciiTheme="minorHAnsi" w:hAnsiTheme="minorHAnsi" w:cstheme="minorHAnsi"/>
        </w:rPr>
        <w:t>Injury severity was considered using population-based fatality rates, calculated by dividing the number of cases for the suburbs by the respective population exposed and expressed as the number of deaths per 100</w:t>
      </w:r>
      <w:r w:rsidR="004A359F">
        <w:rPr>
          <w:rFonts w:asciiTheme="minorHAnsi" w:hAnsiTheme="minorHAnsi" w:cstheme="minorHAnsi"/>
        </w:rPr>
        <w:t>,</w:t>
      </w:r>
      <w:r w:rsidRPr="008443FF">
        <w:rPr>
          <w:rFonts w:asciiTheme="minorHAnsi" w:hAnsiTheme="minorHAnsi" w:cstheme="minorHAnsi"/>
        </w:rPr>
        <w:t xml:space="preserve">000 population. Crash severity, expressed as the quotient of the combined fatal and serious injuries to the total number of collisions, and measures relating to characteristics of the crashes were also expressed as percentages. Both crude and person-weighted population density measures were calculated within the GIS and considered for the analyses. Weighted population density was considered to accommodate possible effects of population clustering. The crude measure was the quotient of the total population and land area in square kilometres, which was then weighted using the Small Area Layer to produce the person-weighted measure. However, the measures showed similar geographical distributions to each other and were also highly correlated (0.81, p&lt;0.001), and consequently, only the crude population density measure that showed a general stronger correlation with the injury outcomes was considered for the analyses.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Following the lack of a </w:t>
      </w:r>
      <w:r w:rsidR="00EC47B2">
        <w:rPr>
          <w:rFonts w:asciiTheme="minorHAnsi" w:hAnsiTheme="minorHAnsi" w:cstheme="minorHAnsi"/>
        </w:rPr>
        <w:t>clear</w:t>
      </w:r>
      <w:r w:rsidR="00EC47B2" w:rsidRPr="008443FF">
        <w:rPr>
          <w:rFonts w:asciiTheme="minorHAnsi" w:hAnsiTheme="minorHAnsi" w:cstheme="minorHAnsi"/>
        </w:rPr>
        <w:t xml:space="preserve"> </w:t>
      </w:r>
      <w:r w:rsidRPr="008443FF">
        <w:rPr>
          <w:rFonts w:asciiTheme="minorHAnsi" w:hAnsiTheme="minorHAnsi" w:cstheme="minorHAnsi"/>
        </w:rPr>
        <w:t xml:space="preserve">linear relationship between population density and RTIs, evidenced at the coarse-scaled DC census level across the country using several exposure-based indicators </w:t>
      </w:r>
      <w:r w:rsidR="0063641E" w:rsidRPr="007148AD">
        <w:rPr>
          <w:rFonts w:asciiTheme="minorHAnsi" w:hAnsiTheme="minorHAnsi" w:cstheme="minorHAnsi"/>
        </w:rPr>
        <w:t>(</w:t>
      </w:r>
      <w:r w:rsidR="0063641E" w:rsidRPr="003628BC">
        <w:rPr>
          <w:rFonts w:eastAsia="Calibri" w:cs="Calibri"/>
        </w:rPr>
        <w:t>Sukhai, Jones</w:t>
      </w:r>
      <w:r w:rsidR="0063641E" w:rsidRPr="007148AD">
        <w:rPr>
          <w:rFonts w:eastAsia="Calibri" w:cs="Calibri"/>
        </w:rPr>
        <w:t xml:space="preserve"> </w:t>
      </w:r>
      <w:r w:rsidR="0063641E" w:rsidRPr="003628BC">
        <w:rPr>
          <w:rFonts w:eastAsia="Calibri" w:cs="Calibri"/>
        </w:rPr>
        <w:t>&amp; Haynes</w:t>
      </w:r>
      <w:r w:rsidR="0063641E">
        <w:rPr>
          <w:rFonts w:eastAsia="Calibri" w:cs="Calibri"/>
        </w:rPr>
        <w:t xml:space="preserve">, </w:t>
      </w:r>
      <w:r w:rsidR="0063641E" w:rsidRPr="003628BC">
        <w:rPr>
          <w:rFonts w:eastAsia="Calibri" w:cs="Calibri"/>
        </w:rPr>
        <w:t>2009)</w:t>
      </w:r>
      <w:r w:rsidRPr="008443FF">
        <w:rPr>
          <w:rFonts w:asciiTheme="minorHAnsi" w:hAnsiTheme="minorHAnsi" w:cstheme="minorHAnsi"/>
        </w:rPr>
        <w:t>, relationships with population density in this study were explored using quartiles</w:t>
      </w:r>
      <w:r w:rsidR="00EB1EB5" w:rsidRPr="008443FF">
        <w:rPr>
          <w:rFonts w:asciiTheme="minorHAnsi" w:hAnsiTheme="minorHAnsi" w:cstheme="minorHAnsi"/>
        </w:rPr>
        <w:t xml:space="preserve">. </w:t>
      </w:r>
      <w:r w:rsidRPr="008443FF">
        <w:rPr>
          <w:rFonts w:asciiTheme="minorHAnsi" w:hAnsiTheme="minorHAnsi" w:cstheme="minorHAnsi"/>
        </w:rPr>
        <w:t xml:space="preserve">Population-based rates for the injury outcomes and </w:t>
      </w:r>
      <w:r w:rsidR="00C34737">
        <w:rPr>
          <w:rFonts w:asciiTheme="minorHAnsi" w:hAnsiTheme="minorHAnsi" w:cstheme="minorHAnsi"/>
        </w:rPr>
        <w:t>p</w:t>
      </w:r>
      <w:r w:rsidR="00C34737" w:rsidRPr="008443FF">
        <w:rPr>
          <w:rFonts w:asciiTheme="minorHAnsi" w:hAnsiTheme="minorHAnsi" w:cstheme="minorHAnsi"/>
        </w:rPr>
        <w:t xml:space="preserve">opulation percentages </w:t>
      </w:r>
      <w:r w:rsidR="00C34737">
        <w:rPr>
          <w:rFonts w:asciiTheme="minorHAnsi" w:hAnsiTheme="minorHAnsi" w:cstheme="minorHAnsi"/>
        </w:rPr>
        <w:t xml:space="preserve">for the </w:t>
      </w:r>
      <w:r w:rsidRPr="008443FF">
        <w:rPr>
          <w:rFonts w:asciiTheme="minorHAnsi" w:hAnsiTheme="minorHAnsi" w:cstheme="minorHAnsi"/>
        </w:rPr>
        <w:t xml:space="preserve">explanatory measures were calculated separately for each of the population density quartiles. </w:t>
      </w:r>
    </w:p>
    <w:p w:rsidR="00EC47B2" w:rsidRPr="008443FF" w:rsidRDefault="00EC47B2">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STATISTICAL ANALYSIS</w:t>
      </w:r>
    </w:p>
    <w:p w:rsidR="00A461E8" w:rsidRPr="008443FF" w:rsidRDefault="006B3F1C" w:rsidP="00A461E8">
      <w:pPr>
        <w:widowControl w:val="0"/>
        <w:spacing w:after="0" w:line="360" w:lineRule="auto"/>
        <w:rPr>
          <w:rFonts w:asciiTheme="minorHAnsi" w:hAnsiTheme="minorHAnsi" w:cstheme="minorHAnsi"/>
          <w:b/>
        </w:rPr>
      </w:pPr>
      <w:r w:rsidRPr="008443FF">
        <w:rPr>
          <w:rFonts w:asciiTheme="minorHAnsi" w:hAnsiTheme="minorHAnsi" w:cstheme="minorHAnsi"/>
        </w:rPr>
        <w:t>Using the IBM SPSS Statistics version 19 software, univariate analys</w:t>
      </w:r>
      <w:r w:rsidR="00B761FB">
        <w:rPr>
          <w:rFonts w:asciiTheme="minorHAnsi" w:hAnsiTheme="minorHAnsi" w:cstheme="minorHAnsi"/>
        </w:rPr>
        <w:t>e</w:t>
      </w:r>
      <w:r w:rsidRPr="008443FF">
        <w:rPr>
          <w:rFonts w:asciiTheme="minorHAnsi" w:hAnsiTheme="minorHAnsi" w:cstheme="minorHAnsi"/>
        </w:rPr>
        <w:t xml:space="preserve">s was used to summarise the distribution of the outcome and risk-related variables listed in Table 1. </w:t>
      </w:r>
      <w:r w:rsidR="00A461E8" w:rsidRPr="008443FF">
        <w:rPr>
          <w:rFonts w:asciiTheme="minorHAnsi" w:hAnsiTheme="minorHAnsi" w:cstheme="minorHAnsi"/>
        </w:rPr>
        <w:t>The Pearson's correlation coefficient and</w:t>
      </w:r>
      <w:r w:rsidR="00B761FB">
        <w:rPr>
          <w:rFonts w:asciiTheme="minorHAnsi" w:hAnsiTheme="minorHAnsi" w:cstheme="minorHAnsi"/>
        </w:rPr>
        <w:t xml:space="preserve"> associated</w:t>
      </w:r>
      <w:r w:rsidR="00A461E8" w:rsidRPr="008443FF">
        <w:rPr>
          <w:rFonts w:asciiTheme="minorHAnsi" w:hAnsiTheme="minorHAnsi" w:cstheme="minorHAnsi"/>
        </w:rPr>
        <w:t xml:space="preserve"> P-value </w:t>
      </w:r>
      <w:r w:rsidR="00B761FB">
        <w:rPr>
          <w:rFonts w:asciiTheme="minorHAnsi" w:hAnsiTheme="minorHAnsi" w:cstheme="minorHAnsi"/>
        </w:rPr>
        <w:t>were</w:t>
      </w:r>
      <w:r w:rsidR="00B761FB" w:rsidRPr="008443FF">
        <w:rPr>
          <w:rFonts w:asciiTheme="minorHAnsi" w:hAnsiTheme="minorHAnsi" w:cstheme="minorHAnsi"/>
        </w:rPr>
        <w:t xml:space="preserve"> </w:t>
      </w:r>
      <w:r w:rsidR="00A461E8" w:rsidRPr="008443FF">
        <w:rPr>
          <w:rFonts w:asciiTheme="minorHAnsi" w:hAnsiTheme="minorHAnsi" w:cstheme="minorHAnsi"/>
        </w:rPr>
        <w:t xml:space="preserve">calculated to test the strength in the relationship between variables. </w:t>
      </w:r>
    </w:p>
    <w:p w:rsidR="00A461E8" w:rsidRPr="008443FF" w:rsidRDefault="00A461E8">
      <w:pPr>
        <w:widowControl w:val="0"/>
        <w:spacing w:after="0" w:line="360" w:lineRule="auto"/>
        <w:rPr>
          <w:rFonts w:asciiTheme="minorHAnsi" w:hAnsiTheme="minorHAnsi" w:cstheme="minorHAnsi"/>
        </w:rPr>
      </w:pPr>
    </w:p>
    <w:p w:rsidR="005E61D7" w:rsidRPr="008443FF" w:rsidRDefault="00A461E8">
      <w:pPr>
        <w:widowControl w:val="0"/>
        <w:spacing w:after="0" w:line="360" w:lineRule="auto"/>
        <w:rPr>
          <w:rFonts w:asciiTheme="minorHAnsi" w:hAnsiTheme="minorHAnsi" w:cstheme="minorHAnsi"/>
        </w:rPr>
      </w:pPr>
      <w:r w:rsidRPr="008443FF">
        <w:rPr>
          <w:rFonts w:asciiTheme="minorHAnsi" w:hAnsiTheme="minorHAnsi" w:cstheme="minorHAnsi"/>
        </w:rPr>
        <w:t xml:space="preserve">The software was also used to </w:t>
      </w:r>
      <w:r w:rsidR="00A12CF7" w:rsidRPr="008443FF">
        <w:rPr>
          <w:rFonts w:asciiTheme="minorHAnsi" w:hAnsiTheme="minorHAnsi" w:cstheme="minorHAnsi"/>
        </w:rPr>
        <w:t>undertake</w:t>
      </w:r>
      <w:r w:rsidRPr="008443FF">
        <w:rPr>
          <w:rFonts w:asciiTheme="minorHAnsi" w:hAnsiTheme="minorHAnsi" w:cstheme="minorHAnsi"/>
        </w:rPr>
        <w:t xml:space="preserve"> linear regression analyses to </w:t>
      </w:r>
      <w:r w:rsidR="00A12CF7" w:rsidRPr="008443FF">
        <w:rPr>
          <w:rFonts w:asciiTheme="minorHAnsi" w:hAnsiTheme="minorHAnsi" w:cstheme="minorHAnsi"/>
        </w:rPr>
        <w:t xml:space="preserve">test for linear trend across quartiles for the different measures, and to model the predictors of the road traffic outcomes for the EMA. </w:t>
      </w:r>
      <w:r w:rsidR="005E61D7" w:rsidRPr="008443FF">
        <w:rPr>
          <w:rFonts w:asciiTheme="minorHAnsi" w:hAnsiTheme="minorHAnsi" w:cstheme="minorHAnsi"/>
        </w:rPr>
        <w:t>T</w:t>
      </w:r>
      <w:r w:rsidR="00A12CF7" w:rsidRPr="008443FF">
        <w:rPr>
          <w:rFonts w:asciiTheme="minorHAnsi" w:hAnsiTheme="minorHAnsi" w:cstheme="minorHAnsi"/>
        </w:rPr>
        <w:t xml:space="preserve">o identify the presence of linear trend across the population density quartiles, the slope lines for the rates and proportions for the injury outcomes and explanatory measures were examined, and tested if the fitted lines were significantly different from zero. For the predictive modelling, negative binomial </w:t>
      </w:r>
      <w:r w:rsidR="00C34737">
        <w:rPr>
          <w:rFonts w:asciiTheme="minorHAnsi" w:hAnsiTheme="minorHAnsi" w:cstheme="minorHAnsi"/>
        </w:rPr>
        <w:t xml:space="preserve">regression </w:t>
      </w:r>
      <w:r w:rsidR="00A12CF7" w:rsidRPr="008443FF">
        <w:rPr>
          <w:rFonts w:asciiTheme="minorHAnsi" w:hAnsiTheme="minorHAnsi" w:cstheme="minorHAnsi"/>
        </w:rPr>
        <w:t xml:space="preserve">models were fitted for the 4 outcome measures, using the </w:t>
      </w:r>
      <w:r w:rsidR="005E61D7" w:rsidRPr="008443FF">
        <w:rPr>
          <w:rFonts w:asciiTheme="minorHAnsi" w:hAnsiTheme="minorHAnsi" w:cstheme="minorHAnsi"/>
        </w:rPr>
        <w:t xml:space="preserve">natural logarithmic transformation of the </w:t>
      </w:r>
      <w:r w:rsidR="00A12CF7" w:rsidRPr="008443FF">
        <w:rPr>
          <w:rFonts w:asciiTheme="minorHAnsi" w:hAnsiTheme="minorHAnsi" w:cstheme="minorHAnsi"/>
        </w:rPr>
        <w:t xml:space="preserve">population size </w:t>
      </w:r>
      <w:r w:rsidR="005E61D7" w:rsidRPr="008443FF">
        <w:rPr>
          <w:rFonts w:asciiTheme="minorHAnsi" w:hAnsiTheme="minorHAnsi" w:cstheme="minorHAnsi"/>
        </w:rPr>
        <w:t>variable as an</w:t>
      </w:r>
      <w:r w:rsidR="00A12CF7" w:rsidRPr="008443FF">
        <w:rPr>
          <w:rFonts w:asciiTheme="minorHAnsi" w:hAnsiTheme="minorHAnsi" w:cstheme="minorHAnsi"/>
        </w:rPr>
        <w:t xml:space="preserve"> offset. The negative binomial count model was used to accommodate overdispersion in the dependant variable.</w:t>
      </w:r>
      <w:r w:rsidR="005E61D7" w:rsidRPr="008443FF">
        <w:rPr>
          <w:rFonts w:asciiTheme="minorHAnsi" w:hAnsiTheme="minorHAnsi" w:cstheme="minorHAnsi"/>
        </w:rPr>
        <w:t xml:space="preserve"> Only variables showing a statistically significant association with the respective outcome measures were included in the models. For similar measures within the day, time and social deprivation groups, only that which contributed best </w:t>
      </w:r>
      <w:r w:rsidR="005E61D7" w:rsidRPr="008443FF">
        <w:rPr>
          <w:rFonts w:asciiTheme="minorHAnsi" w:hAnsiTheme="minorHAnsi" w:cstheme="minorHAnsi"/>
        </w:rPr>
        <w:lastRenderedPageBreak/>
        <w:t>to model fit was selected from each group. The regression models were fitted using a backward elimination process whereby non-significant variables were removed sequentially starting with the least statistically significant and continuing until only the statistically significant predictors remained.</w:t>
      </w:r>
    </w:p>
    <w:p w:rsidR="006B3F1C" w:rsidRPr="008443FF" w:rsidRDefault="006B3F1C">
      <w:pPr>
        <w:widowControl w:val="0"/>
        <w:spacing w:after="0" w:line="360" w:lineRule="auto"/>
        <w:rPr>
          <w:rFonts w:asciiTheme="minorHAnsi" w:hAnsiTheme="minorHAnsi" w:cstheme="minorHAnsi"/>
          <w:b/>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b/>
        </w:rPr>
        <w:t>RESULTS</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A total of 3</w:t>
      </w:r>
      <w:r w:rsidR="00CB3697">
        <w:rPr>
          <w:rFonts w:asciiTheme="minorHAnsi" w:hAnsiTheme="minorHAnsi" w:cstheme="minorHAnsi"/>
        </w:rPr>
        <w:t>,</w:t>
      </w:r>
      <w:r w:rsidRPr="008443FF">
        <w:rPr>
          <w:rFonts w:asciiTheme="minorHAnsi" w:hAnsiTheme="minorHAnsi" w:cstheme="minorHAnsi"/>
        </w:rPr>
        <w:t>199 fatal and 20</w:t>
      </w:r>
      <w:r w:rsidR="00CB3697">
        <w:rPr>
          <w:rFonts w:asciiTheme="minorHAnsi" w:hAnsiTheme="minorHAnsi" w:cstheme="minorHAnsi"/>
        </w:rPr>
        <w:t>,</w:t>
      </w:r>
      <w:r w:rsidRPr="008443FF">
        <w:rPr>
          <w:rFonts w:asciiTheme="minorHAnsi" w:hAnsiTheme="minorHAnsi" w:cstheme="minorHAnsi"/>
        </w:rPr>
        <w:t>509 serious injuries were recorded for the 68 suburb areas included in the study over the five year period from 2005-2009. The overall average annual rate per 100</w:t>
      </w:r>
      <w:r w:rsidR="00CB3697">
        <w:rPr>
          <w:rFonts w:asciiTheme="minorHAnsi" w:hAnsiTheme="minorHAnsi" w:cstheme="minorHAnsi"/>
        </w:rPr>
        <w:t>,</w:t>
      </w:r>
      <w:r w:rsidRPr="008443FF">
        <w:rPr>
          <w:rFonts w:asciiTheme="minorHAnsi" w:hAnsiTheme="minorHAnsi" w:cstheme="minorHAnsi"/>
        </w:rPr>
        <w:t xml:space="preserve">000 population for the EMA, based on the 68 suburbs, was 21.2 for fatal injuries and 135.9 for serious injuries. On average, 3.5% of road crash victims sustained fatal injuries and 15.8% sustained serious injuries. On average, there were also 0.1 fatal or serious injuries per road traffic collision.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Table 1 shows the leading day for crashes to be Saturdays, accounting for nearly one-fifth of all crashes. Nearly one-quarter occurred at night and nearly one-fifth during the evening peak hour period from 4-6pm. About one-tenth occurred when the road surface was wet. Crashes occurring whilst turning and with a fixed roadside object were the most common type, accounting for about 10% each of all </w:t>
      </w:r>
      <w:r w:rsidR="00CB3697">
        <w:rPr>
          <w:rFonts w:asciiTheme="minorHAnsi" w:hAnsiTheme="minorHAnsi" w:cstheme="minorHAnsi"/>
        </w:rPr>
        <w:t>events</w:t>
      </w:r>
      <w:r w:rsidRPr="008443FF">
        <w:rPr>
          <w:rFonts w:asciiTheme="minorHAnsi" w:hAnsiTheme="minorHAnsi" w:cstheme="minorHAnsi"/>
        </w:rPr>
        <w:t xml:space="preserve">. More than half the vehicles involved in the crashes were cars, followed by roughly one-fifth light delivery vehicles. In terms of the socio-economic deprivation, on average for the suburbs, little under one-fifth of the population have less than a secondary level of education, and the same proportion are unemployed. Of those that are employed, about two-thirds of them earn a monthly income of R400 or less.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lang w:val="en-ZA"/>
        </w:rPr>
        <w:t xml:space="preserve">The average population density across the suburbs was 2 053.7 persons per square kilometre (S.D. 2 284.2), ranging from 18.5 to 10 225.8. </w:t>
      </w:r>
      <w:r w:rsidRPr="008443FF">
        <w:rPr>
          <w:rFonts w:asciiTheme="minorHAnsi" w:hAnsiTheme="minorHAnsi" w:cstheme="minorHAnsi"/>
        </w:rPr>
        <w:t xml:space="preserve">Figure 1 shows the geographical distribution of the population density measure. </w:t>
      </w:r>
      <w:r w:rsidRPr="008443FF">
        <w:rPr>
          <w:rFonts w:asciiTheme="minorHAnsi" w:hAnsiTheme="minorHAnsi" w:cstheme="minorHAnsi"/>
          <w:lang w:val="en-ZA"/>
        </w:rPr>
        <w:t xml:space="preserve">The distribution shows </w:t>
      </w:r>
      <w:r w:rsidRPr="008443FF">
        <w:rPr>
          <w:rFonts w:asciiTheme="minorHAnsi" w:hAnsiTheme="minorHAnsi" w:cstheme="minorHAnsi"/>
        </w:rPr>
        <w:t xml:space="preserve">three clusters of suburbs with very high population densities: the city centre and surrounding suburbs (central East coast of city); the northern township areas, including much of the </w:t>
      </w:r>
      <w:r w:rsidRPr="00760736">
        <w:rPr>
          <w:rFonts w:asciiTheme="minorHAnsi" w:hAnsiTheme="minorHAnsi" w:cstheme="minorHAnsi"/>
        </w:rPr>
        <w:t>INK</w:t>
      </w:r>
      <w:r w:rsidRPr="008443FF">
        <w:rPr>
          <w:rFonts w:asciiTheme="minorHAnsi" w:hAnsiTheme="minorHAnsi" w:cstheme="minorHAnsi"/>
        </w:rPr>
        <w:t xml:space="preserve"> complex and Phoenix; and township areas in the south, including Umlazi and Chatsworth. </w:t>
      </w:r>
    </w:p>
    <w:p w:rsidR="006B3F1C" w:rsidRPr="008443FF" w:rsidRDefault="006B3F1C">
      <w:pPr>
        <w:widowControl w:val="0"/>
        <w:spacing w:after="0" w:line="360" w:lineRule="auto"/>
        <w:jc w:val="center"/>
        <w:rPr>
          <w:rFonts w:asciiTheme="minorHAnsi" w:hAnsiTheme="minorHAnsi" w:cstheme="minorHAnsi"/>
        </w:rPr>
      </w:pPr>
      <w:r w:rsidRPr="008443FF">
        <w:rPr>
          <w:rFonts w:asciiTheme="minorHAnsi" w:hAnsiTheme="minorHAnsi" w:cstheme="minorHAnsi"/>
          <w:i/>
        </w:rPr>
        <w:t>[INSERT FIG 1 HERE]</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keepNext/>
        <w:widowControl w:val="0"/>
        <w:spacing w:after="0" w:line="360" w:lineRule="auto"/>
        <w:rPr>
          <w:rFonts w:asciiTheme="minorHAnsi" w:hAnsiTheme="minorHAnsi" w:cstheme="minorHAnsi"/>
        </w:rPr>
      </w:pPr>
      <w:r w:rsidRPr="008443FF">
        <w:rPr>
          <w:rFonts w:asciiTheme="minorHAnsi" w:hAnsiTheme="minorHAnsi" w:cstheme="minorHAnsi"/>
        </w:rPr>
        <w:t xml:space="preserve">Table </w:t>
      </w:r>
      <w:r w:rsidR="00372A95">
        <w:rPr>
          <w:rFonts w:asciiTheme="minorHAnsi" w:hAnsiTheme="minorHAnsi" w:cstheme="minorHAnsi"/>
        </w:rPr>
        <w:t>3</w:t>
      </w:r>
      <w:r w:rsidR="00372A95" w:rsidRPr="008443FF">
        <w:rPr>
          <w:rFonts w:asciiTheme="minorHAnsi" w:hAnsiTheme="minorHAnsi" w:cstheme="minorHAnsi"/>
        </w:rPr>
        <w:t xml:space="preserve"> </w:t>
      </w:r>
      <w:r w:rsidRPr="008443FF">
        <w:rPr>
          <w:rFonts w:asciiTheme="minorHAnsi" w:hAnsiTheme="minorHAnsi" w:cstheme="minorHAnsi"/>
        </w:rPr>
        <w:t xml:space="preserve">shows the relationship between the RTI outcome measures, and the measures of crash characteristics and of socio-economic deprivation, by quartiles of population density. </w:t>
      </w:r>
      <w:r w:rsidR="003057A4" w:rsidRPr="008443FF">
        <w:rPr>
          <w:rFonts w:asciiTheme="minorHAnsi" w:hAnsiTheme="minorHAnsi" w:cstheme="minorHAnsi"/>
        </w:rPr>
        <w:t>Only the measu</w:t>
      </w:r>
      <w:r w:rsidR="005044A1" w:rsidRPr="008443FF">
        <w:rPr>
          <w:rFonts w:asciiTheme="minorHAnsi" w:hAnsiTheme="minorHAnsi" w:cstheme="minorHAnsi"/>
        </w:rPr>
        <w:t>r</w:t>
      </w:r>
      <w:r w:rsidR="003057A4" w:rsidRPr="008443FF">
        <w:rPr>
          <w:rFonts w:asciiTheme="minorHAnsi" w:hAnsiTheme="minorHAnsi" w:cstheme="minorHAnsi"/>
        </w:rPr>
        <w:t xml:space="preserve">es of percentage articulated vehicles and the percentage of vehicle-animal crashes showed a statistically significant linear trend </w:t>
      </w:r>
      <w:r w:rsidR="005F63E8">
        <w:rPr>
          <w:rFonts w:asciiTheme="minorHAnsi" w:hAnsiTheme="minorHAnsi" w:cstheme="minorHAnsi"/>
        </w:rPr>
        <w:t>across</w:t>
      </w:r>
      <w:r w:rsidR="003057A4" w:rsidRPr="008443FF">
        <w:rPr>
          <w:rFonts w:asciiTheme="minorHAnsi" w:hAnsiTheme="minorHAnsi" w:cstheme="minorHAnsi"/>
        </w:rPr>
        <w:t xml:space="preserve"> the quartiles of population density,</w:t>
      </w:r>
      <w:r w:rsidR="00B761FB">
        <w:rPr>
          <w:rFonts w:asciiTheme="minorHAnsi" w:hAnsiTheme="minorHAnsi" w:cstheme="minorHAnsi"/>
        </w:rPr>
        <w:t xml:space="preserve"> with</w:t>
      </w:r>
      <w:r w:rsidR="003057A4" w:rsidRPr="008443FF">
        <w:rPr>
          <w:rFonts w:asciiTheme="minorHAnsi" w:hAnsiTheme="minorHAnsi" w:cstheme="minorHAnsi"/>
        </w:rPr>
        <w:t xml:space="preserve"> both decreasing with increasing population density. Other patterns in </w:t>
      </w:r>
      <w:r w:rsidR="00005B7D" w:rsidRPr="008443FF">
        <w:rPr>
          <w:rFonts w:asciiTheme="minorHAnsi" w:hAnsiTheme="minorHAnsi" w:cstheme="minorHAnsi"/>
        </w:rPr>
        <w:t xml:space="preserve">the </w:t>
      </w:r>
      <w:r w:rsidR="003057A4" w:rsidRPr="008443FF">
        <w:rPr>
          <w:rFonts w:asciiTheme="minorHAnsi" w:hAnsiTheme="minorHAnsi" w:cstheme="minorHAnsi"/>
        </w:rPr>
        <w:t xml:space="preserve">measures by quartiles of population density are however evident. </w:t>
      </w:r>
      <w:r w:rsidRPr="008443FF">
        <w:rPr>
          <w:rFonts w:asciiTheme="minorHAnsi" w:hAnsiTheme="minorHAnsi" w:cstheme="minorHAnsi"/>
        </w:rPr>
        <w:t xml:space="preserve">In terms of fatal injuries, Table </w:t>
      </w:r>
      <w:r w:rsidR="00372A95">
        <w:rPr>
          <w:rFonts w:asciiTheme="minorHAnsi" w:hAnsiTheme="minorHAnsi" w:cstheme="minorHAnsi"/>
        </w:rPr>
        <w:t>3</w:t>
      </w:r>
      <w:r w:rsidR="00372A95" w:rsidRPr="008443FF">
        <w:rPr>
          <w:rFonts w:asciiTheme="minorHAnsi" w:hAnsiTheme="minorHAnsi" w:cstheme="minorHAnsi"/>
        </w:rPr>
        <w:t xml:space="preserve"> </w:t>
      </w:r>
      <w:r w:rsidRPr="008443FF">
        <w:rPr>
          <w:rFonts w:asciiTheme="minorHAnsi" w:hAnsiTheme="minorHAnsi" w:cstheme="minorHAnsi"/>
        </w:rPr>
        <w:t>shows the lower density quartiles (</w:t>
      </w:r>
      <w:r w:rsidR="00B47136">
        <w:rPr>
          <w:rFonts w:asciiTheme="minorHAnsi" w:hAnsiTheme="minorHAnsi" w:cstheme="minorHAnsi"/>
        </w:rPr>
        <w:t>q</w:t>
      </w:r>
      <w:r w:rsidR="00B47136" w:rsidRPr="008443FF">
        <w:rPr>
          <w:rFonts w:asciiTheme="minorHAnsi" w:hAnsiTheme="minorHAnsi" w:cstheme="minorHAnsi"/>
        </w:rPr>
        <w:t xml:space="preserve">uartiles </w:t>
      </w:r>
      <w:r w:rsidRPr="008443FF">
        <w:rPr>
          <w:rFonts w:asciiTheme="minorHAnsi" w:hAnsiTheme="minorHAnsi" w:cstheme="minorHAnsi"/>
        </w:rPr>
        <w:t xml:space="preserve">1 </w:t>
      </w:r>
      <w:r w:rsidRPr="008443FF">
        <w:rPr>
          <w:rFonts w:asciiTheme="minorHAnsi" w:hAnsiTheme="minorHAnsi" w:cstheme="minorHAnsi"/>
        </w:rPr>
        <w:lastRenderedPageBreak/>
        <w:t>and 2) to have higher rates per 100 000 population as compared to the higher density quartiles (</w:t>
      </w:r>
      <w:r w:rsidR="00B47136">
        <w:rPr>
          <w:rFonts w:asciiTheme="minorHAnsi" w:hAnsiTheme="minorHAnsi" w:cstheme="minorHAnsi"/>
        </w:rPr>
        <w:t>q</w:t>
      </w:r>
      <w:r w:rsidR="00B47136" w:rsidRPr="008443FF">
        <w:rPr>
          <w:rFonts w:asciiTheme="minorHAnsi" w:hAnsiTheme="minorHAnsi" w:cstheme="minorHAnsi"/>
        </w:rPr>
        <w:t xml:space="preserve">uartiles </w:t>
      </w:r>
      <w:r w:rsidRPr="008443FF">
        <w:rPr>
          <w:rFonts w:asciiTheme="minorHAnsi" w:hAnsiTheme="minorHAnsi" w:cstheme="minorHAnsi"/>
        </w:rPr>
        <w:t>3 and 4) for both the overall and pedestrian injury groups. The above pattern is also evident for serious injuries in the overall injury group.</w:t>
      </w:r>
      <w:r w:rsidR="002D1FC5">
        <w:rPr>
          <w:rFonts w:asciiTheme="minorHAnsi" w:hAnsiTheme="minorHAnsi" w:cstheme="minorHAnsi"/>
        </w:rPr>
        <w:t xml:space="preserve"> </w:t>
      </w:r>
      <w:r w:rsidRPr="008443FF">
        <w:rPr>
          <w:rFonts w:asciiTheme="minorHAnsi" w:hAnsiTheme="minorHAnsi" w:cstheme="minorHAnsi"/>
        </w:rPr>
        <w:t xml:space="preserve">Following the general inverse patterns above, statistically significant negative correlations were found between population density and the rates for overall fatalities (r=-0.32, p=0.01), pedestrian fatalities (r=-0.29, p=0.02), and overall serious injuries (r=-0.27, p=0.03).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In terms of crash characteristics, the higher injury rates in relatively low density areas, specifically in quartiles from 1-3, are also shown to be accompanied by higher percentages of collisions involving single vehicles that overturned, animals, and fixed objects, that occurred on a wet road surface, and that involved medium/heavy and articulated commercial vehicles. </w:t>
      </w:r>
      <w:r w:rsidR="00336AD1" w:rsidRPr="00FC0C77">
        <w:rPr>
          <w:rFonts w:asciiTheme="minorHAnsi" w:hAnsiTheme="minorHAnsi" w:cstheme="minorHAnsi"/>
        </w:rPr>
        <w:t xml:space="preserve">The highest levels of crash severity in </w:t>
      </w:r>
      <w:r w:rsidR="00B47136">
        <w:rPr>
          <w:rFonts w:asciiTheme="minorHAnsi" w:hAnsiTheme="minorHAnsi" w:cstheme="minorHAnsi"/>
        </w:rPr>
        <w:t>q</w:t>
      </w:r>
      <w:r w:rsidR="00B47136" w:rsidRPr="00FC0C77">
        <w:rPr>
          <w:rFonts w:asciiTheme="minorHAnsi" w:hAnsiTheme="minorHAnsi" w:cstheme="minorHAnsi"/>
        </w:rPr>
        <w:t xml:space="preserve">uartile </w:t>
      </w:r>
      <w:r w:rsidR="00336AD1" w:rsidRPr="00FC0C77">
        <w:rPr>
          <w:rFonts w:asciiTheme="minorHAnsi" w:hAnsiTheme="minorHAnsi" w:cstheme="minorHAnsi"/>
        </w:rPr>
        <w:t xml:space="preserve">4 </w:t>
      </w:r>
      <w:r w:rsidR="00CB3697">
        <w:rPr>
          <w:rFonts w:asciiTheme="minorHAnsi" w:hAnsiTheme="minorHAnsi" w:cstheme="minorHAnsi"/>
        </w:rPr>
        <w:t>are</w:t>
      </w:r>
      <w:r w:rsidR="00336AD1" w:rsidRPr="00FC0C77">
        <w:rPr>
          <w:rFonts w:asciiTheme="minorHAnsi" w:hAnsiTheme="minorHAnsi" w:cstheme="minorHAnsi"/>
        </w:rPr>
        <w:t xml:space="preserve"> accompanied by higher percentages of cases occurring over weekends (on Saturday and Sunday) and with vehicles involving buses and minibus taxis.</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In terms of socio-economic deprivation, the relatively higher injury rates in low density areas, specifically in </w:t>
      </w:r>
      <w:r w:rsidR="00B47136">
        <w:rPr>
          <w:rFonts w:asciiTheme="minorHAnsi" w:hAnsiTheme="minorHAnsi" w:cstheme="minorHAnsi"/>
        </w:rPr>
        <w:t>q</w:t>
      </w:r>
      <w:r w:rsidR="00B47136" w:rsidRPr="008443FF">
        <w:rPr>
          <w:rFonts w:asciiTheme="minorHAnsi" w:hAnsiTheme="minorHAnsi" w:cstheme="minorHAnsi"/>
        </w:rPr>
        <w:t xml:space="preserve">uartile </w:t>
      </w:r>
      <w:r w:rsidRPr="008443FF">
        <w:rPr>
          <w:rFonts w:asciiTheme="minorHAnsi" w:hAnsiTheme="minorHAnsi" w:cstheme="minorHAnsi"/>
        </w:rPr>
        <w:t>1,</w:t>
      </w:r>
      <w:r w:rsidR="00CB3697">
        <w:rPr>
          <w:rFonts w:asciiTheme="minorHAnsi" w:hAnsiTheme="minorHAnsi" w:cstheme="minorHAnsi"/>
        </w:rPr>
        <w:t xml:space="preserve"> are</w:t>
      </w:r>
      <w:r w:rsidRPr="008443FF">
        <w:rPr>
          <w:rFonts w:asciiTheme="minorHAnsi" w:hAnsiTheme="minorHAnsi" w:cstheme="minorHAnsi"/>
        </w:rPr>
        <w:t xml:space="preserve"> show</w:t>
      </w:r>
      <w:r w:rsidR="00CB3697">
        <w:rPr>
          <w:rFonts w:asciiTheme="minorHAnsi" w:hAnsiTheme="minorHAnsi" w:cstheme="minorHAnsi"/>
        </w:rPr>
        <w:t>n</w:t>
      </w:r>
      <w:r w:rsidRPr="008443FF">
        <w:rPr>
          <w:rFonts w:asciiTheme="minorHAnsi" w:hAnsiTheme="minorHAnsi" w:cstheme="minorHAnsi"/>
        </w:rPr>
        <w:t xml:space="preserve"> to be accompanied by higher percentages of the population that have less than a secondary level of education, and by the percentage of income earners that receive a monthly income of R400 or less.  </w:t>
      </w:r>
    </w:p>
    <w:p w:rsidR="006B3F1C" w:rsidRPr="008443FF" w:rsidRDefault="006B3F1C">
      <w:pPr>
        <w:widowControl w:val="0"/>
        <w:spacing w:after="0" w:line="360" w:lineRule="auto"/>
        <w:jc w:val="center"/>
        <w:rPr>
          <w:rFonts w:asciiTheme="minorHAnsi" w:hAnsiTheme="minorHAnsi" w:cstheme="minorHAnsi"/>
        </w:rPr>
      </w:pPr>
    </w:p>
    <w:p w:rsidR="006B3F1C" w:rsidRPr="008443FF" w:rsidRDefault="006B3F1C">
      <w:pPr>
        <w:widowControl w:val="0"/>
        <w:spacing w:after="0" w:line="360" w:lineRule="auto"/>
        <w:jc w:val="center"/>
        <w:rPr>
          <w:rFonts w:asciiTheme="minorHAnsi" w:hAnsiTheme="minorHAnsi" w:cstheme="minorHAnsi"/>
        </w:rPr>
      </w:pPr>
      <w:r w:rsidRPr="008443FF">
        <w:rPr>
          <w:rFonts w:asciiTheme="minorHAnsi" w:eastAsia="Calibri" w:hAnsiTheme="minorHAnsi" w:cstheme="minorHAnsi"/>
          <w:i/>
        </w:rPr>
        <w:t xml:space="preserve"> </w:t>
      </w:r>
      <w:r w:rsidRPr="008443FF">
        <w:rPr>
          <w:rFonts w:asciiTheme="minorHAnsi" w:hAnsiTheme="minorHAnsi" w:cstheme="minorHAnsi"/>
          <w:i/>
        </w:rPr>
        <w:t xml:space="preserve">[INSERT TABLE </w:t>
      </w:r>
      <w:r w:rsidR="00372A95">
        <w:rPr>
          <w:rFonts w:asciiTheme="minorHAnsi" w:hAnsiTheme="minorHAnsi" w:cstheme="minorHAnsi"/>
          <w:i/>
        </w:rPr>
        <w:t>3</w:t>
      </w:r>
      <w:r w:rsidR="00372A95" w:rsidRPr="008443FF">
        <w:rPr>
          <w:rFonts w:asciiTheme="minorHAnsi" w:hAnsiTheme="minorHAnsi" w:cstheme="minorHAnsi"/>
          <w:i/>
        </w:rPr>
        <w:t xml:space="preserve"> </w:t>
      </w:r>
      <w:r w:rsidRPr="008443FF">
        <w:rPr>
          <w:rFonts w:asciiTheme="minorHAnsi" w:hAnsiTheme="minorHAnsi" w:cstheme="minorHAnsi"/>
          <w:i/>
        </w:rPr>
        <w:t>HERE]</w:t>
      </w:r>
    </w:p>
    <w:p w:rsidR="00135253" w:rsidRDefault="00135253" w:rsidP="002D1FC5">
      <w:pPr>
        <w:widowControl w:val="0"/>
        <w:spacing w:after="0" w:line="360" w:lineRule="auto"/>
        <w:jc w:val="center"/>
        <w:rPr>
          <w:rFonts w:asciiTheme="minorHAnsi" w:hAnsiTheme="minorHAnsi" w:cstheme="minorHAnsi"/>
        </w:rPr>
      </w:pPr>
    </w:p>
    <w:p w:rsidR="002A4F1F" w:rsidRPr="008443FF" w:rsidRDefault="00005B7D">
      <w:pPr>
        <w:widowControl w:val="0"/>
        <w:spacing w:after="0" w:line="360" w:lineRule="auto"/>
        <w:rPr>
          <w:rFonts w:asciiTheme="minorHAnsi" w:hAnsiTheme="minorHAnsi" w:cstheme="minorHAnsi"/>
        </w:rPr>
      </w:pPr>
      <w:r w:rsidRPr="008443FF">
        <w:rPr>
          <w:rFonts w:asciiTheme="minorHAnsi" w:hAnsiTheme="minorHAnsi" w:cstheme="minorHAnsi"/>
        </w:rPr>
        <w:t xml:space="preserve">In </w:t>
      </w:r>
      <w:r w:rsidR="00B84EC5" w:rsidRPr="008443FF">
        <w:rPr>
          <w:rFonts w:asciiTheme="minorHAnsi" w:hAnsiTheme="minorHAnsi" w:cstheme="minorHAnsi"/>
        </w:rPr>
        <w:t xml:space="preserve">order to </w:t>
      </w:r>
      <w:r w:rsidR="00163D13" w:rsidRPr="008443FF">
        <w:rPr>
          <w:rFonts w:asciiTheme="minorHAnsi" w:hAnsiTheme="minorHAnsi" w:cstheme="minorHAnsi"/>
        </w:rPr>
        <w:t xml:space="preserve">explicate some of </w:t>
      </w:r>
      <w:r w:rsidR="00B84EC5" w:rsidRPr="008443FF">
        <w:rPr>
          <w:rFonts w:asciiTheme="minorHAnsi" w:hAnsiTheme="minorHAnsi" w:cstheme="minorHAnsi"/>
        </w:rPr>
        <w:t xml:space="preserve">the effects </w:t>
      </w:r>
      <w:r w:rsidR="00163D13" w:rsidRPr="008443FF">
        <w:rPr>
          <w:rFonts w:asciiTheme="minorHAnsi" w:hAnsiTheme="minorHAnsi" w:cstheme="minorHAnsi"/>
        </w:rPr>
        <w:t>arising from</w:t>
      </w:r>
      <w:r w:rsidR="00B84EC5" w:rsidRPr="008443FF">
        <w:rPr>
          <w:rFonts w:asciiTheme="minorHAnsi" w:hAnsiTheme="minorHAnsi" w:cstheme="minorHAnsi"/>
        </w:rPr>
        <w:t xml:space="preserve"> population density</w:t>
      </w:r>
      <w:r w:rsidR="00163D13" w:rsidRPr="008443FF">
        <w:rPr>
          <w:rFonts w:asciiTheme="minorHAnsi" w:hAnsiTheme="minorHAnsi" w:cstheme="minorHAnsi"/>
        </w:rPr>
        <w:t>, and</w:t>
      </w:r>
      <w:r w:rsidR="00B84EC5" w:rsidRPr="008443FF">
        <w:rPr>
          <w:rFonts w:asciiTheme="minorHAnsi" w:hAnsiTheme="minorHAnsi" w:cstheme="minorHAnsi"/>
        </w:rPr>
        <w:t xml:space="preserve"> based on the data available,</w:t>
      </w:r>
      <w:r w:rsidR="00163D13" w:rsidRPr="008443FF">
        <w:rPr>
          <w:rFonts w:asciiTheme="minorHAnsi" w:hAnsiTheme="minorHAnsi" w:cstheme="minorHAnsi"/>
        </w:rPr>
        <w:t xml:space="preserve"> </w:t>
      </w:r>
      <w:r w:rsidR="002A4F1F" w:rsidRPr="008443FF">
        <w:rPr>
          <w:rFonts w:asciiTheme="minorHAnsi" w:hAnsiTheme="minorHAnsi" w:cstheme="minorHAnsi"/>
        </w:rPr>
        <w:t>Table 4</w:t>
      </w:r>
      <w:r w:rsidR="00163D13" w:rsidRPr="008443FF">
        <w:rPr>
          <w:rFonts w:asciiTheme="minorHAnsi" w:hAnsiTheme="minorHAnsi" w:cstheme="minorHAnsi"/>
        </w:rPr>
        <w:t xml:space="preserve"> </w:t>
      </w:r>
      <w:r w:rsidR="00A867B6" w:rsidRPr="008443FF">
        <w:rPr>
          <w:rFonts w:asciiTheme="minorHAnsi" w:hAnsiTheme="minorHAnsi" w:cstheme="minorHAnsi"/>
        </w:rPr>
        <w:t>compares</w:t>
      </w:r>
      <w:r w:rsidR="00163D13" w:rsidRPr="008443FF">
        <w:rPr>
          <w:rFonts w:asciiTheme="minorHAnsi" w:hAnsiTheme="minorHAnsi" w:cstheme="minorHAnsi"/>
        </w:rPr>
        <w:t xml:space="preserve"> the coefficients for population density </w:t>
      </w:r>
      <w:r w:rsidR="00A867B6" w:rsidRPr="008443FF">
        <w:rPr>
          <w:rFonts w:asciiTheme="minorHAnsi" w:hAnsiTheme="minorHAnsi" w:cstheme="minorHAnsi"/>
        </w:rPr>
        <w:t xml:space="preserve">from an unadjusted and an adjusted model that </w:t>
      </w:r>
      <w:r w:rsidR="009E112B">
        <w:rPr>
          <w:rFonts w:asciiTheme="minorHAnsi" w:hAnsiTheme="minorHAnsi" w:cstheme="minorHAnsi"/>
        </w:rPr>
        <w:t>adjusts for other statistically</w:t>
      </w:r>
      <w:r w:rsidR="00A867B6" w:rsidRPr="008443FF">
        <w:rPr>
          <w:rFonts w:asciiTheme="minorHAnsi" w:hAnsiTheme="minorHAnsi" w:cstheme="minorHAnsi"/>
        </w:rPr>
        <w:t xml:space="preserve"> significant </w:t>
      </w:r>
      <w:r w:rsidR="009E112B">
        <w:rPr>
          <w:rFonts w:asciiTheme="minorHAnsi" w:hAnsiTheme="minorHAnsi" w:cstheme="minorHAnsi"/>
        </w:rPr>
        <w:t>coefficients</w:t>
      </w:r>
      <w:r w:rsidR="00A867B6" w:rsidRPr="008443FF">
        <w:rPr>
          <w:rFonts w:asciiTheme="minorHAnsi" w:hAnsiTheme="minorHAnsi" w:cstheme="minorHAnsi"/>
        </w:rPr>
        <w:t xml:space="preserve">, for the </w:t>
      </w:r>
      <w:r w:rsidR="00163D13" w:rsidRPr="008443FF">
        <w:rPr>
          <w:rFonts w:asciiTheme="minorHAnsi" w:hAnsiTheme="minorHAnsi" w:cstheme="minorHAnsi"/>
        </w:rPr>
        <w:t xml:space="preserve">four </w:t>
      </w:r>
      <w:r w:rsidR="00A867B6" w:rsidRPr="008443FF">
        <w:rPr>
          <w:rFonts w:asciiTheme="minorHAnsi" w:hAnsiTheme="minorHAnsi" w:cstheme="minorHAnsi"/>
        </w:rPr>
        <w:t xml:space="preserve">count-related </w:t>
      </w:r>
      <w:r w:rsidR="00163D13" w:rsidRPr="008443FF">
        <w:rPr>
          <w:rFonts w:asciiTheme="minorHAnsi" w:hAnsiTheme="minorHAnsi" w:cstheme="minorHAnsi"/>
        </w:rPr>
        <w:t xml:space="preserve">outcome measures </w:t>
      </w:r>
      <w:r w:rsidR="00A867B6" w:rsidRPr="008443FF">
        <w:rPr>
          <w:rFonts w:asciiTheme="minorHAnsi" w:hAnsiTheme="minorHAnsi" w:cstheme="minorHAnsi"/>
        </w:rPr>
        <w:t xml:space="preserve">considered for this study. </w:t>
      </w:r>
      <w:r w:rsidR="009E112B">
        <w:rPr>
          <w:rFonts w:asciiTheme="minorHAnsi" w:hAnsiTheme="minorHAnsi" w:cstheme="minorHAnsi"/>
        </w:rPr>
        <w:t xml:space="preserve">The adjustment covariates were the </w:t>
      </w:r>
      <w:r w:rsidR="009E112B" w:rsidRPr="008443FF">
        <w:rPr>
          <w:rFonts w:asciiTheme="minorHAnsi" w:hAnsiTheme="minorHAnsi" w:cstheme="minorHAnsi"/>
        </w:rPr>
        <w:t xml:space="preserve">percentage of crashes involving fixed objects (for all injury outcomes); percentage articulated vehicles (for all injury outcomes except pedestrian serious injury); percentage of minibus taxis (for overall and pedestrian fatal injuries); percentage of crashes occurring during afternoon peak hours, and percentage unemployed population (both for overall serious injuries); and lastly the income deprivation measure of percentage population earning less than R400 (for serious pedestrian injury). </w:t>
      </w:r>
      <w:r w:rsidR="00A867B6" w:rsidRPr="008443FF">
        <w:rPr>
          <w:rFonts w:asciiTheme="minorHAnsi" w:hAnsiTheme="minorHAnsi" w:cstheme="minorHAnsi"/>
        </w:rPr>
        <w:t xml:space="preserve">Of note is that although the effect of population density is attenuated in the adjusted models due to the effects of other explanatory variables that explain the outcomes, </w:t>
      </w:r>
      <w:r w:rsidR="009E112B">
        <w:rPr>
          <w:rFonts w:asciiTheme="minorHAnsi" w:hAnsiTheme="minorHAnsi" w:cstheme="minorHAnsi"/>
        </w:rPr>
        <w:t>it remains</w:t>
      </w:r>
      <w:r w:rsidR="00A867B6" w:rsidRPr="008443FF">
        <w:rPr>
          <w:rFonts w:asciiTheme="minorHAnsi" w:hAnsiTheme="minorHAnsi" w:cstheme="minorHAnsi"/>
        </w:rPr>
        <w:t xml:space="preserve"> still statistically significant along with these effects. </w:t>
      </w:r>
    </w:p>
    <w:p w:rsidR="00B964A6" w:rsidRPr="008443FF" w:rsidRDefault="00B964A6">
      <w:pPr>
        <w:widowControl w:val="0"/>
        <w:spacing w:after="0" w:line="360" w:lineRule="auto"/>
        <w:rPr>
          <w:rFonts w:asciiTheme="minorHAnsi" w:hAnsiTheme="minorHAnsi" w:cstheme="minorHAnsi"/>
        </w:rPr>
      </w:pPr>
    </w:p>
    <w:p w:rsidR="00E55C9B" w:rsidRPr="008443FF" w:rsidRDefault="00E55C9B" w:rsidP="00E55C9B">
      <w:pPr>
        <w:widowControl w:val="0"/>
        <w:spacing w:after="0" w:line="360" w:lineRule="auto"/>
        <w:jc w:val="center"/>
        <w:rPr>
          <w:rFonts w:asciiTheme="minorHAnsi" w:hAnsiTheme="minorHAnsi" w:cstheme="minorHAnsi"/>
        </w:rPr>
      </w:pPr>
      <w:r w:rsidRPr="008443FF">
        <w:rPr>
          <w:rFonts w:asciiTheme="minorHAnsi" w:hAnsiTheme="minorHAnsi" w:cstheme="minorHAnsi"/>
          <w:i/>
        </w:rPr>
        <w:t>[INSERT TABLE 4 HERE]</w:t>
      </w:r>
    </w:p>
    <w:p w:rsidR="00B84EC5" w:rsidRPr="008443FF" w:rsidRDefault="00B84EC5">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lang w:val="en-ZA"/>
        </w:rPr>
      </w:pPr>
      <w:r w:rsidRPr="008443FF">
        <w:rPr>
          <w:rFonts w:asciiTheme="minorHAnsi" w:hAnsiTheme="minorHAnsi" w:cstheme="minorHAnsi"/>
          <w:b/>
        </w:rPr>
        <w:lastRenderedPageBreak/>
        <w:t>DISCUSSION</w:t>
      </w:r>
    </w:p>
    <w:p w:rsidR="006B3F1C" w:rsidRPr="008443FF" w:rsidRDefault="006B3F1C">
      <w:pPr>
        <w:widowControl w:val="0"/>
        <w:spacing w:after="0" w:line="360" w:lineRule="auto"/>
        <w:rPr>
          <w:rFonts w:asciiTheme="minorHAnsi" w:hAnsiTheme="minorHAnsi" w:cstheme="minorHAnsi"/>
          <w:lang w:val="en-ZA"/>
        </w:rPr>
      </w:pPr>
    </w:p>
    <w:p w:rsidR="006B3F1C" w:rsidRPr="008443FF" w:rsidRDefault="006B3F1C">
      <w:pPr>
        <w:widowControl w:val="0"/>
        <w:spacing w:after="0" w:line="360" w:lineRule="auto"/>
        <w:rPr>
          <w:rFonts w:asciiTheme="minorHAnsi" w:hAnsiTheme="minorHAnsi" w:cstheme="minorHAnsi"/>
          <w:lang w:val="en-ZA"/>
        </w:rPr>
      </w:pPr>
      <w:r w:rsidRPr="008443FF">
        <w:rPr>
          <w:rFonts w:asciiTheme="minorHAnsi" w:hAnsiTheme="minorHAnsi" w:cstheme="minorHAnsi"/>
        </w:rPr>
        <w:t>POPULATION DENSITY AND RTIs</w:t>
      </w: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lang w:val="en-ZA"/>
        </w:rPr>
        <w:t xml:space="preserve">An inverse relationship between population density and road traffic injuries was found for the overall fatal and serious injury rates, and for fatal injuries in the disaggregated pedestrian injury group. Given the challenges and processes within cities arising from urbanisation, </w:t>
      </w:r>
      <w:r w:rsidRPr="008443FF">
        <w:rPr>
          <w:rFonts w:asciiTheme="minorHAnsi" w:hAnsiTheme="minorHAnsi" w:cstheme="minorHAnsi"/>
        </w:rPr>
        <w:t>this confirms the general negative association between population density and RTIs, commonly found for large geographical areas (</w:t>
      </w:r>
      <w:r w:rsidRPr="00787696">
        <w:rPr>
          <w:rFonts w:asciiTheme="minorHAnsi" w:hAnsiTheme="minorHAnsi" w:cstheme="minorHAnsi"/>
        </w:rPr>
        <w:t>Noland &amp; Quddus, 2004; Scheiner &amp; Holz-Rau, 2011; Spoerri et al., 2011</w:t>
      </w:r>
      <w:r w:rsidRPr="008443FF">
        <w:rPr>
          <w:rFonts w:asciiTheme="minorHAnsi" w:hAnsiTheme="minorHAnsi" w:cstheme="minorHAnsi"/>
        </w:rPr>
        <w:t xml:space="preserve">) to also manifest at the small area level. The consistency in findings for the different injury severity and road user groups also points to the influential role of area level effects on road traffic crashes and injuries. In contrast to the population findings from this research, crude population density </w:t>
      </w:r>
      <w:r w:rsidR="00C95AB0">
        <w:rPr>
          <w:rFonts w:asciiTheme="minorHAnsi" w:hAnsiTheme="minorHAnsi" w:cstheme="minorHAnsi"/>
        </w:rPr>
        <w:t>was not</w:t>
      </w:r>
      <w:r w:rsidRPr="008443FF">
        <w:rPr>
          <w:rFonts w:asciiTheme="minorHAnsi" w:hAnsiTheme="minorHAnsi" w:cstheme="minorHAnsi"/>
        </w:rPr>
        <w:t xml:space="preserve"> show</w:t>
      </w:r>
      <w:r w:rsidR="00C95AB0">
        <w:rPr>
          <w:rFonts w:asciiTheme="minorHAnsi" w:hAnsiTheme="minorHAnsi" w:cstheme="minorHAnsi"/>
        </w:rPr>
        <w:t>n</w:t>
      </w:r>
      <w:r w:rsidRPr="008443FF">
        <w:rPr>
          <w:rFonts w:asciiTheme="minorHAnsi" w:hAnsiTheme="minorHAnsi" w:cstheme="minorHAnsi"/>
        </w:rPr>
        <w:t xml:space="preserve"> to be a reliable measure of rurality</w:t>
      </w:r>
      <w:r w:rsidR="00EE6023">
        <w:rPr>
          <w:rFonts w:asciiTheme="minorHAnsi" w:hAnsiTheme="minorHAnsi" w:cstheme="minorHAnsi"/>
        </w:rPr>
        <w:t xml:space="preserve"> as </w:t>
      </w:r>
      <w:r w:rsidRPr="008443FF">
        <w:rPr>
          <w:rFonts w:asciiTheme="minorHAnsi" w:hAnsiTheme="minorHAnsi" w:cstheme="minorHAnsi"/>
        </w:rPr>
        <w:t xml:space="preserve">in previous rural-urban analyses at the DC census level (Sukhai et al., 2009). This may be due to the DC geographical units being more likely to contain clusters of populations that are relatively heterogeneous in nature and bigger than the suburb small areas used in this study.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lang w:val="en-ZA"/>
        </w:rPr>
      </w:pPr>
      <w:r w:rsidRPr="008443FF">
        <w:rPr>
          <w:rFonts w:asciiTheme="minorHAnsi" w:hAnsiTheme="minorHAnsi" w:cstheme="minorHAnsi"/>
          <w:lang w:val="en-ZA"/>
        </w:rPr>
        <w:t xml:space="preserve">Exceptions to the inverse </w:t>
      </w:r>
      <w:r w:rsidR="00967AA6">
        <w:rPr>
          <w:rFonts w:asciiTheme="minorHAnsi" w:hAnsiTheme="minorHAnsi" w:cstheme="minorHAnsi"/>
          <w:lang w:val="en-ZA"/>
        </w:rPr>
        <w:t>association</w:t>
      </w:r>
      <w:r w:rsidR="00967AA6" w:rsidRPr="008443FF">
        <w:rPr>
          <w:rFonts w:asciiTheme="minorHAnsi" w:hAnsiTheme="minorHAnsi" w:cstheme="minorHAnsi"/>
          <w:lang w:val="en-ZA"/>
        </w:rPr>
        <w:t xml:space="preserve"> </w:t>
      </w:r>
      <w:r w:rsidRPr="008443FF">
        <w:rPr>
          <w:rFonts w:asciiTheme="minorHAnsi" w:hAnsiTheme="minorHAnsi" w:cstheme="minorHAnsi"/>
          <w:lang w:val="en-ZA"/>
        </w:rPr>
        <w:t>were for serious injuries in the pedestrian injury group, and for the crash severity index. For serious injuries in the pedestrian group, high rates were found in areas with relatively low population density (</w:t>
      </w:r>
      <w:r w:rsidR="00EE6023">
        <w:rPr>
          <w:rFonts w:asciiTheme="minorHAnsi" w:hAnsiTheme="minorHAnsi" w:cstheme="minorHAnsi"/>
          <w:lang w:val="en-ZA"/>
        </w:rPr>
        <w:t>q</w:t>
      </w:r>
      <w:r w:rsidRPr="008443FF">
        <w:rPr>
          <w:rFonts w:asciiTheme="minorHAnsi" w:hAnsiTheme="minorHAnsi" w:cstheme="minorHAnsi"/>
          <w:lang w:val="en-ZA"/>
        </w:rPr>
        <w:t xml:space="preserve">uartile 2) as well as in areas with high population density (quartile 4). The presence of higher pedestrian injury rates in urban areas has been documented previously, although mostly for </w:t>
      </w:r>
      <w:r w:rsidR="00F62349">
        <w:rPr>
          <w:rFonts w:asciiTheme="minorHAnsi" w:hAnsiTheme="minorHAnsi" w:cstheme="minorHAnsi"/>
          <w:lang w:val="en-ZA"/>
        </w:rPr>
        <w:t>fatalities</w:t>
      </w:r>
      <w:r w:rsidRPr="008443FF">
        <w:rPr>
          <w:rFonts w:asciiTheme="minorHAnsi" w:hAnsiTheme="minorHAnsi" w:cstheme="minorHAnsi"/>
          <w:lang w:val="en-ZA"/>
        </w:rPr>
        <w:t xml:space="preserve"> (Spoerri et al., 2011; Petch &amp; Henson, 2000). The relationship with serious injury may relate to a combination of relatively higher pedestrian-related activities with relatively lower speeds </w:t>
      </w:r>
      <w:r w:rsidR="005B6A92">
        <w:rPr>
          <w:rFonts w:asciiTheme="minorHAnsi" w:hAnsiTheme="minorHAnsi" w:cstheme="minorHAnsi"/>
          <w:lang w:val="en-ZA"/>
        </w:rPr>
        <w:t>for</w:t>
      </w:r>
      <w:r w:rsidR="005B6A92" w:rsidRPr="008443FF">
        <w:rPr>
          <w:rFonts w:asciiTheme="minorHAnsi" w:hAnsiTheme="minorHAnsi" w:cstheme="minorHAnsi"/>
          <w:lang w:val="en-ZA"/>
        </w:rPr>
        <w:t xml:space="preserve"> </w:t>
      </w:r>
      <w:r w:rsidRPr="008443FF">
        <w:rPr>
          <w:rFonts w:asciiTheme="minorHAnsi" w:hAnsiTheme="minorHAnsi" w:cstheme="minorHAnsi"/>
          <w:lang w:val="en-ZA"/>
        </w:rPr>
        <w:t xml:space="preserve">high density urban areas. For crash severity, the highest level was also found for the quartile of suburbs with the highest population density. This is expected given the greater levels of public transportation serving high density urban areas. </w:t>
      </w:r>
    </w:p>
    <w:p w:rsidR="006B3F1C" w:rsidRPr="008443FF" w:rsidRDefault="006B3F1C">
      <w:pPr>
        <w:widowControl w:val="0"/>
        <w:spacing w:after="0" w:line="360" w:lineRule="auto"/>
        <w:rPr>
          <w:rFonts w:asciiTheme="minorHAnsi" w:hAnsiTheme="minorHAnsi" w:cstheme="minorHAnsi"/>
          <w:lang w:val="en-ZA"/>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CRASH CHARACTERISTICS AND RTIs</w:t>
      </w:r>
    </w:p>
    <w:p w:rsidR="006B3F1C" w:rsidRDefault="006B3F1C">
      <w:pPr>
        <w:widowControl w:val="0"/>
        <w:spacing w:after="0" w:line="360" w:lineRule="auto"/>
        <w:rPr>
          <w:rFonts w:asciiTheme="minorHAnsi" w:hAnsiTheme="minorHAnsi" w:cstheme="minorHAnsi"/>
          <w:lang w:val="en-ZA"/>
        </w:rPr>
      </w:pPr>
      <w:r w:rsidRPr="008443FF">
        <w:rPr>
          <w:rFonts w:asciiTheme="minorHAnsi" w:hAnsiTheme="minorHAnsi" w:cstheme="minorHAnsi"/>
          <w:lang w:val="en-ZA"/>
        </w:rPr>
        <w:t xml:space="preserve">In terms of </w:t>
      </w:r>
      <w:r w:rsidRPr="008443FF">
        <w:rPr>
          <w:rFonts w:asciiTheme="minorHAnsi" w:hAnsiTheme="minorHAnsi" w:cstheme="minorHAnsi"/>
        </w:rPr>
        <w:t>population-based rates</w:t>
      </w:r>
      <w:r w:rsidRPr="008443FF">
        <w:rPr>
          <w:rFonts w:asciiTheme="minorHAnsi" w:hAnsiTheme="minorHAnsi" w:cstheme="minorHAnsi"/>
          <w:lang w:val="en-ZA"/>
        </w:rPr>
        <w:t xml:space="preserve"> </w:t>
      </w:r>
      <w:r w:rsidRPr="008443FF">
        <w:rPr>
          <w:rFonts w:asciiTheme="minorHAnsi" w:hAnsiTheme="minorHAnsi" w:cstheme="minorHAnsi"/>
        </w:rPr>
        <w:t>many of the characteristics of the crashes showing higher percentages in the relatively lower population density suburbs (</w:t>
      </w:r>
      <w:r w:rsidR="00EE6023">
        <w:rPr>
          <w:rFonts w:asciiTheme="minorHAnsi" w:hAnsiTheme="minorHAnsi" w:cstheme="minorHAnsi"/>
        </w:rPr>
        <w:t>q</w:t>
      </w:r>
      <w:r w:rsidRPr="008443FF">
        <w:rPr>
          <w:rFonts w:asciiTheme="minorHAnsi" w:hAnsiTheme="minorHAnsi" w:cstheme="minorHAnsi"/>
        </w:rPr>
        <w:t xml:space="preserve">uartiles 1-3), such as those involving single vehicles that overturned, animals and fixed objects, and occurring on wet roads, may be suggestive of the involvement of excessive driving speeds as evidenced </w:t>
      </w:r>
      <w:r w:rsidR="00F62349">
        <w:rPr>
          <w:rFonts w:asciiTheme="minorHAnsi" w:hAnsiTheme="minorHAnsi" w:cstheme="minorHAnsi"/>
        </w:rPr>
        <w:t>elsewhere</w:t>
      </w:r>
      <w:r w:rsidRPr="008443FF">
        <w:rPr>
          <w:rFonts w:asciiTheme="minorHAnsi" w:hAnsiTheme="minorHAnsi" w:cstheme="minorHAnsi"/>
        </w:rPr>
        <w:t xml:space="preserve"> </w:t>
      </w:r>
      <w:r w:rsidRPr="00787696">
        <w:rPr>
          <w:rFonts w:asciiTheme="minorHAnsi" w:hAnsiTheme="minorHAnsi" w:cstheme="minorHAnsi"/>
        </w:rPr>
        <w:t xml:space="preserve">(Brodsky &amp; Hakkert, 1988; </w:t>
      </w:r>
      <w:r w:rsidR="0063641E" w:rsidRPr="003628BC">
        <w:rPr>
          <w:rFonts w:eastAsia="Calibri" w:cs="Calibri"/>
          <w:bCs/>
        </w:rPr>
        <w:t>Chen, Ivers, Martiniuk, Boufous, Senserrick, Woodward</w:t>
      </w:r>
      <w:r w:rsidR="0063641E" w:rsidRPr="007148AD">
        <w:rPr>
          <w:rFonts w:eastAsia="Calibri" w:cs="Calibri"/>
          <w:bCs/>
        </w:rPr>
        <w:t>,</w:t>
      </w:r>
      <w:r w:rsidR="0063641E" w:rsidRPr="003628BC">
        <w:rPr>
          <w:rFonts w:eastAsia="Calibri" w:cs="Calibri"/>
          <w:bCs/>
        </w:rPr>
        <w:t xml:space="preserve"> Stevenson,</w:t>
      </w:r>
      <w:r w:rsidR="0063641E" w:rsidRPr="007148AD">
        <w:rPr>
          <w:rFonts w:eastAsia="Calibri" w:cs="Calibri"/>
          <w:bCs/>
        </w:rPr>
        <w:t xml:space="preserve"> Williamson </w:t>
      </w:r>
      <w:r w:rsidR="0063641E" w:rsidRPr="003628BC">
        <w:rPr>
          <w:rFonts w:eastAsia="Calibri" w:cs="Calibri"/>
          <w:bCs/>
        </w:rPr>
        <w:t>&amp; Norton, 2009</w:t>
      </w:r>
      <w:r w:rsidR="0063641E" w:rsidRPr="007148AD">
        <w:rPr>
          <w:rFonts w:asciiTheme="minorHAnsi" w:hAnsiTheme="minorHAnsi" w:cstheme="minorHAnsi"/>
        </w:rPr>
        <w:t xml:space="preserve">; </w:t>
      </w:r>
      <w:r w:rsidR="0063641E" w:rsidRPr="007148AD">
        <w:rPr>
          <w:rFonts w:eastAsia="Calibri" w:cs="Calibri"/>
        </w:rPr>
        <w:t xml:space="preserve">Peden, Scurfield, Sleet, Mohan, Hyder, Jarawan, &amp; Mathers, </w:t>
      </w:r>
      <w:r w:rsidR="0063641E" w:rsidRPr="003628BC">
        <w:rPr>
          <w:rFonts w:eastAsia="Calibri" w:cs="Calibri"/>
        </w:rPr>
        <w:t>2004)</w:t>
      </w:r>
      <w:r w:rsidRPr="008443FF">
        <w:rPr>
          <w:rFonts w:asciiTheme="minorHAnsi" w:hAnsiTheme="minorHAnsi" w:cstheme="minorHAnsi"/>
        </w:rPr>
        <w:t xml:space="preserve">. Excessive speed is also commonly cited as one of the reasons for relatively higher injury rates in low density rural settings, along with other high risk behaviours such as drinking and driving and non-wearing of seatbelts </w:t>
      </w:r>
      <w:r w:rsidRPr="00787696">
        <w:rPr>
          <w:rFonts w:asciiTheme="minorHAnsi" w:hAnsiTheme="minorHAnsi" w:cstheme="minorHAnsi"/>
        </w:rPr>
        <w:t>(Besag &amp; Newell, 1991; Dumbaugh &amp; Rae, 2009; Strine et al., 2010).</w:t>
      </w:r>
      <w:r w:rsidRPr="008443FF">
        <w:rPr>
          <w:rFonts w:asciiTheme="minorHAnsi" w:hAnsiTheme="minorHAnsi" w:cstheme="minorHAnsi"/>
        </w:rPr>
        <w:t xml:space="preserve"> </w:t>
      </w:r>
      <w:r w:rsidR="00E845CA">
        <w:rPr>
          <w:rFonts w:asciiTheme="minorHAnsi" w:hAnsiTheme="minorHAnsi" w:cstheme="minorHAnsi"/>
          <w:lang w:val="en-ZA"/>
        </w:rPr>
        <w:t>T</w:t>
      </w:r>
      <w:r w:rsidR="00E845CA" w:rsidRPr="008443FF">
        <w:rPr>
          <w:rFonts w:asciiTheme="minorHAnsi" w:hAnsiTheme="minorHAnsi" w:cstheme="minorHAnsi"/>
          <w:lang w:val="en-ZA"/>
        </w:rPr>
        <w:t xml:space="preserve">he </w:t>
      </w:r>
      <w:r w:rsidRPr="008443FF">
        <w:rPr>
          <w:rFonts w:asciiTheme="minorHAnsi" w:hAnsiTheme="minorHAnsi" w:cstheme="minorHAnsi"/>
          <w:lang w:val="en-ZA"/>
        </w:rPr>
        <w:t xml:space="preserve">measure for the </w:t>
      </w:r>
      <w:r w:rsidRPr="008443FF">
        <w:rPr>
          <w:rFonts w:asciiTheme="minorHAnsi" w:hAnsiTheme="minorHAnsi" w:cstheme="minorHAnsi"/>
          <w:lang w:val="en-ZA"/>
        </w:rPr>
        <w:lastRenderedPageBreak/>
        <w:t xml:space="preserve">percentage of crashes involving articulated vehicles </w:t>
      </w:r>
      <w:r w:rsidR="00E845CA">
        <w:rPr>
          <w:rFonts w:asciiTheme="minorHAnsi" w:hAnsiTheme="minorHAnsi" w:cstheme="minorHAnsi"/>
          <w:lang w:val="en-ZA"/>
        </w:rPr>
        <w:t>also</w:t>
      </w:r>
      <w:r w:rsidRPr="008443FF">
        <w:rPr>
          <w:rFonts w:asciiTheme="minorHAnsi" w:hAnsiTheme="minorHAnsi" w:cstheme="minorHAnsi"/>
          <w:lang w:val="en-ZA"/>
        </w:rPr>
        <w:t xml:space="preserve"> showed a positive association with the population-based rates. Whilst the relatively higher involvement of large trucks in rural crashes has previously been described in settings such as the United States (</w:t>
      </w:r>
      <w:r w:rsidRPr="00787696">
        <w:rPr>
          <w:rFonts w:asciiTheme="minorHAnsi" w:hAnsiTheme="minorHAnsi" w:cstheme="minorHAnsi"/>
          <w:lang w:val="en-ZA"/>
        </w:rPr>
        <w:t xml:space="preserve">Muelleman &amp; Mueller, 1996; </w:t>
      </w:r>
      <w:r w:rsidR="00AA25B6" w:rsidRPr="003628BC">
        <w:rPr>
          <w:rFonts w:eastAsia="Calibri" w:cs="Calibri"/>
        </w:rPr>
        <w:t>Lyles, Campbell, Blower &amp; Stamatiadis</w:t>
      </w:r>
      <w:r w:rsidR="00AA25B6" w:rsidRPr="00F62708">
        <w:rPr>
          <w:rFonts w:eastAsia="Calibri" w:cs="Calibri"/>
        </w:rPr>
        <w:t xml:space="preserve">, </w:t>
      </w:r>
      <w:r w:rsidR="00AA25B6" w:rsidRPr="003628BC">
        <w:rPr>
          <w:rFonts w:eastAsia="Calibri" w:cs="Calibri"/>
        </w:rPr>
        <w:t>1991)</w:t>
      </w:r>
      <w:r w:rsidRPr="008443FF">
        <w:rPr>
          <w:rFonts w:asciiTheme="minorHAnsi" w:hAnsiTheme="minorHAnsi" w:cstheme="minorHAnsi"/>
          <w:lang w:val="en-ZA"/>
        </w:rPr>
        <w:t>, the data on crash characteristics in our study are restricted to prevalence rather than crash risk</w:t>
      </w:r>
      <w:r w:rsidR="00F62349">
        <w:rPr>
          <w:rFonts w:asciiTheme="minorHAnsi" w:hAnsiTheme="minorHAnsi" w:cstheme="minorHAnsi"/>
          <w:lang w:val="en-ZA"/>
        </w:rPr>
        <w:t>.</w:t>
      </w:r>
      <w:r w:rsidRPr="008443FF">
        <w:rPr>
          <w:rFonts w:asciiTheme="minorHAnsi" w:hAnsiTheme="minorHAnsi" w:cstheme="minorHAnsi"/>
          <w:lang w:val="en-ZA"/>
        </w:rPr>
        <w:t xml:space="preserve"> </w:t>
      </w:r>
    </w:p>
    <w:p w:rsidR="0083278C" w:rsidRPr="008443FF" w:rsidRDefault="0083278C">
      <w:pPr>
        <w:widowControl w:val="0"/>
        <w:spacing w:after="0" w:line="360" w:lineRule="auto"/>
        <w:rPr>
          <w:rFonts w:asciiTheme="minorHAnsi" w:hAnsiTheme="minorHAnsi" w:cstheme="minorHAnsi"/>
          <w:lang w:val="en-ZA"/>
        </w:rPr>
      </w:pPr>
    </w:p>
    <w:p w:rsidR="006B3F1C" w:rsidRPr="008443FF" w:rsidRDefault="00C95AB0">
      <w:pPr>
        <w:widowControl w:val="0"/>
        <w:spacing w:after="0" w:line="360" w:lineRule="auto"/>
        <w:rPr>
          <w:rFonts w:asciiTheme="minorHAnsi" w:hAnsiTheme="minorHAnsi" w:cstheme="minorHAnsi"/>
        </w:rPr>
      </w:pPr>
      <w:r>
        <w:rPr>
          <w:rFonts w:asciiTheme="minorHAnsi" w:hAnsiTheme="minorHAnsi" w:cstheme="minorHAnsi"/>
          <w:lang w:val="en-ZA"/>
        </w:rPr>
        <w:t>In</w:t>
      </w:r>
      <w:r w:rsidR="00EA09C2">
        <w:rPr>
          <w:rFonts w:asciiTheme="minorHAnsi" w:hAnsiTheme="minorHAnsi" w:cstheme="minorHAnsi"/>
          <w:lang w:val="en-ZA"/>
        </w:rPr>
        <w:t xml:space="preserve"> terms of</w:t>
      </w:r>
      <w:r w:rsidR="006B3F1C" w:rsidRPr="008443FF">
        <w:rPr>
          <w:rFonts w:asciiTheme="minorHAnsi" w:hAnsiTheme="minorHAnsi" w:cstheme="minorHAnsi"/>
          <w:lang w:val="en-ZA"/>
        </w:rPr>
        <w:t xml:space="preserve"> the crash severity measure, </w:t>
      </w:r>
      <w:r w:rsidR="00EA09C2">
        <w:rPr>
          <w:rFonts w:asciiTheme="minorHAnsi" w:hAnsiTheme="minorHAnsi" w:cstheme="minorHAnsi"/>
          <w:lang w:val="en-ZA"/>
        </w:rPr>
        <w:t xml:space="preserve">as expected, </w:t>
      </w:r>
      <w:r w:rsidR="006B3F1C" w:rsidRPr="008443FF">
        <w:rPr>
          <w:rFonts w:asciiTheme="minorHAnsi" w:hAnsiTheme="minorHAnsi" w:cstheme="minorHAnsi"/>
          <w:lang w:val="en-ZA"/>
        </w:rPr>
        <w:t>high</w:t>
      </w:r>
      <w:r w:rsidR="00E845CA">
        <w:rPr>
          <w:rFonts w:asciiTheme="minorHAnsi" w:hAnsiTheme="minorHAnsi" w:cstheme="minorHAnsi"/>
          <w:lang w:val="en-ZA"/>
        </w:rPr>
        <w:t>er</w:t>
      </w:r>
      <w:r w:rsidR="006B3F1C" w:rsidRPr="008443FF">
        <w:rPr>
          <w:rFonts w:asciiTheme="minorHAnsi" w:hAnsiTheme="minorHAnsi" w:cstheme="minorHAnsi"/>
          <w:lang w:val="en-ZA"/>
        </w:rPr>
        <w:t xml:space="preserve"> crash severity was shown to be associated with a relatively higher involvement of high passenger occupancy vehicles such as buses, minibuses and LDVs. </w:t>
      </w:r>
      <w:r w:rsidR="00420F19">
        <w:rPr>
          <w:rFonts w:asciiTheme="minorHAnsi" w:hAnsiTheme="minorHAnsi" w:cstheme="minorHAnsi"/>
          <w:lang w:val="en-ZA"/>
        </w:rPr>
        <w:t>H</w:t>
      </w:r>
      <w:r w:rsidR="006B3F1C" w:rsidRPr="008443FF">
        <w:rPr>
          <w:rFonts w:asciiTheme="minorHAnsi" w:hAnsiTheme="minorHAnsi" w:cstheme="minorHAnsi"/>
          <w:lang w:val="en-ZA"/>
        </w:rPr>
        <w:t xml:space="preserve">igher crash severities were also accompanied by higher percentages of cases occurring over weekends and at night. </w:t>
      </w:r>
      <w:r w:rsidR="00F62349">
        <w:rPr>
          <w:rFonts w:asciiTheme="minorHAnsi" w:hAnsiTheme="minorHAnsi" w:cstheme="minorHAnsi"/>
          <w:lang w:val="en-ZA"/>
        </w:rPr>
        <w:t>These</w:t>
      </w:r>
      <w:r w:rsidR="00B7731E">
        <w:rPr>
          <w:rFonts w:asciiTheme="minorHAnsi" w:hAnsiTheme="minorHAnsi" w:cstheme="minorHAnsi"/>
          <w:lang w:val="en-ZA"/>
        </w:rPr>
        <w:t xml:space="preserve"> may relate to high risk driving behaviours, t</w:t>
      </w:r>
      <w:r w:rsidR="00420F19">
        <w:rPr>
          <w:rFonts w:asciiTheme="minorHAnsi" w:hAnsiTheme="minorHAnsi" w:cstheme="minorHAnsi"/>
          <w:lang w:val="en-ZA"/>
        </w:rPr>
        <w:t>he</w:t>
      </w:r>
      <w:r w:rsidR="00420F19" w:rsidRPr="008443FF">
        <w:rPr>
          <w:rFonts w:asciiTheme="minorHAnsi" w:hAnsiTheme="minorHAnsi" w:cstheme="minorHAnsi"/>
          <w:lang w:val="en-ZA"/>
        </w:rPr>
        <w:t xml:space="preserve"> </w:t>
      </w:r>
      <w:r w:rsidR="00B7731E">
        <w:rPr>
          <w:rFonts w:asciiTheme="minorHAnsi" w:hAnsiTheme="minorHAnsi" w:cstheme="minorHAnsi"/>
          <w:lang w:val="en-ZA"/>
        </w:rPr>
        <w:t>weekend cases</w:t>
      </w:r>
      <w:r w:rsidR="006B3F1C" w:rsidRPr="008443FF">
        <w:rPr>
          <w:rFonts w:asciiTheme="minorHAnsi" w:hAnsiTheme="minorHAnsi" w:cstheme="minorHAnsi"/>
          <w:lang w:val="en-ZA"/>
        </w:rPr>
        <w:t xml:space="preserve"> involving high occupancy public transport vehicles</w:t>
      </w:r>
      <w:r w:rsidR="00420F19">
        <w:rPr>
          <w:rFonts w:asciiTheme="minorHAnsi" w:hAnsiTheme="minorHAnsi" w:cstheme="minorHAnsi"/>
          <w:lang w:val="en-ZA"/>
        </w:rPr>
        <w:t xml:space="preserve"> </w:t>
      </w:r>
      <w:r w:rsidR="006B3F1C" w:rsidRPr="008443FF">
        <w:rPr>
          <w:rFonts w:asciiTheme="minorHAnsi" w:hAnsiTheme="minorHAnsi" w:cstheme="minorHAnsi"/>
          <w:lang w:val="en-ZA"/>
        </w:rPr>
        <w:t xml:space="preserve">may also </w:t>
      </w:r>
      <w:r w:rsidR="00B7731E">
        <w:rPr>
          <w:rFonts w:asciiTheme="minorHAnsi" w:hAnsiTheme="minorHAnsi" w:cstheme="minorHAnsi"/>
          <w:lang w:val="en-ZA"/>
        </w:rPr>
        <w:t>relate</w:t>
      </w:r>
      <w:r w:rsidR="00B7731E" w:rsidRPr="008443FF">
        <w:rPr>
          <w:rFonts w:asciiTheme="minorHAnsi" w:hAnsiTheme="minorHAnsi" w:cstheme="minorHAnsi"/>
          <w:lang w:val="en-ZA"/>
        </w:rPr>
        <w:t xml:space="preserve"> </w:t>
      </w:r>
      <w:r w:rsidR="006B3F1C" w:rsidRPr="008443FF">
        <w:rPr>
          <w:rFonts w:asciiTheme="minorHAnsi" w:hAnsiTheme="minorHAnsi" w:cstheme="minorHAnsi"/>
          <w:lang w:val="en-ZA"/>
        </w:rPr>
        <w:t xml:space="preserve">to higher levels of mobility and travel exposure due to </w:t>
      </w:r>
      <w:r w:rsidR="00B7731E">
        <w:rPr>
          <w:rFonts w:asciiTheme="minorHAnsi" w:hAnsiTheme="minorHAnsi" w:cstheme="minorHAnsi"/>
          <w:lang w:val="en-ZA"/>
        </w:rPr>
        <w:t>relatively higher</w:t>
      </w:r>
      <w:r w:rsidR="006B3F1C" w:rsidRPr="008443FF">
        <w:rPr>
          <w:rFonts w:asciiTheme="minorHAnsi" w:hAnsiTheme="minorHAnsi" w:cstheme="minorHAnsi"/>
          <w:lang w:val="en-ZA"/>
        </w:rPr>
        <w:t xml:space="preserve"> recreation</w:t>
      </w:r>
      <w:r w:rsidR="00B7731E">
        <w:rPr>
          <w:rFonts w:asciiTheme="minorHAnsi" w:hAnsiTheme="minorHAnsi" w:cstheme="minorHAnsi"/>
          <w:lang w:val="en-ZA"/>
        </w:rPr>
        <w:t>al</w:t>
      </w:r>
      <w:r w:rsidR="006B3F1C" w:rsidRPr="008443FF">
        <w:rPr>
          <w:rFonts w:asciiTheme="minorHAnsi" w:hAnsiTheme="minorHAnsi" w:cstheme="minorHAnsi"/>
          <w:lang w:val="en-ZA"/>
        </w:rPr>
        <w:t xml:space="preserve"> travel, </w:t>
      </w:r>
      <w:r w:rsidR="00C526BD">
        <w:rPr>
          <w:rFonts w:asciiTheme="minorHAnsi" w:hAnsiTheme="minorHAnsi" w:cstheme="minorHAnsi"/>
          <w:lang w:val="en-ZA"/>
        </w:rPr>
        <w:t>and</w:t>
      </w:r>
      <w:r w:rsidR="006B3F1C" w:rsidRPr="008443FF">
        <w:rPr>
          <w:rFonts w:asciiTheme="minorHAnsi" w:hAnsiTheme="minorHAnsi" w:cstheme="minorHAnsi"/>
          <w:lang w:val="en-ZA"/>
        </w:rPr>
        <w:t xml:space="preserve"> the need to travel longer distances to services, or homesteads in the case of migrant workers.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lang w:val="en-ZA"/>
        </w:rPr>
      </w:pPr>
      <w:r w:rsidRPr="008443FF">
        <w:rPr>
          <w:rFonts w:asciiTheme="minorHAnsi" w:hAnsiTheme="minorHAnsi" w:cstheme="minorHAnsi"/>
        </w:rPr>
        <w:t>SOCIO-ECONOMIC DEPRIVATION AND RTIs</w:t>
      </w: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lang w:val="en-ZA"/>
        </w:rPr>
        <w:t xml:space="preserve">In terms of </w:t>
      </w:r>
      <w:r w:rsidRPr="008443FF">
        <w:rPr>
          <w:rFonts w:asciiTheme="minorHAnsi" w:hAnsiTheme="minorHAnsi" w:cstheme="minorHAnsi"/>
        </w:rPr>
        <w:t>population-based rates, higher fatality rates in the relatively lower population density quartiles correspond</w:t>
      </w:r>
      <w:r w:rsidR="00C526BD">
        <w:rPr>
          <w:rFonts w:asciiTheme="minorHAnsi" w:hAnsiTheme="minorHAnsi" w:cstheme="minorHAnsi"/>
        </w:rPr>
        <w:t>ed</w:t>
      </w:r>
      <w:r w:rsidRPr="008443FF">
        <w:rPr>
          <w:rFonts w:asciiTheme="minorHAnsi" w:hAnsiTheme="minorHAnsi" w:cstheme="minorHAnsi"/>
        </w:rPr>
        <w:t xml:space="preserve"> with higher percentages for the education and income deprivation measures. The high rate of serious injury for pedestrians and high crash severity index in the highest density and typically urban quartile corresponded with the highest percentage for the measure of the percentage population living in a shack.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The association of higher crash and injury probability with lower socio-economic status is well documented </w:t>
      </w:r>
      <w:r w:rsidR="00AA25B6" w:rsidRPr="00F62708">
        <w:rPr>
          <w:rFonts w:asciiTheme="minorHAnsi" w:hAnsiTheme="minorHAnsi" w:cstheme="minorHAnsi"/>
          <w:lang w:val="en-ZA"/>
        </w:rPr>
        <w:t>(</w:t>
      </w:r>
      <w:r w:rsidR="00AA25B6" w:rsidRPr="003628BC">
        <w:rPr>
          <w:rFonts w:eastAsia="Calibri" w:cs="Calibri"/>
        </w:rPr>
        <w:t xml:space="preserve">Borrell, Plasencia, Huisman, Costa, Kunst, Andersen, Bopp, Borgan, Deboosere, Glickman, Gadeyne, </w:t>
      </w:r>
      <w:r w:rsidR="00AA25B6" w:rsidRPr="00DE119C">
        <w:rPr>
          <w:rFonts w:eastAsia="Calibri" w:cs="Calibri"/>
        </w:rPr>
        <w:t>M</w:t>
      </w:r>
      <w:r w:rsidR="00AA25B6" w:rsidRPr="003628BC">
        <w:rPr>
          <w:rFonts w:eastAsia="Calibri" w:cs="Calibri"/>
        </w:rPr>
        <w:t>inder, Regidor, Spadea, Valkonen &amp; Mackenbach, 2005</w:t>
      </w:r>
      <w:r w:rsidR="00AA25B6" w:rsidRPr="00DE119C">
        <w:rPr>
          <w:rFonts w:asciiTheme="minorHAnsi" w:hAnsiTheme="minorHAnsi" w:cstheme="minorHAnsi"/>
          <w:lang w:val="en-ZA"/>
        </w:rPr>
        <w:t xml:space="preserve">; </w:t>
      </w:r>
      <w:r w:rsidR="00AA25B6" w:rsidRPr="00DE119C">
        <w:rPr>
          <w:rFonts w:eastAsia="Calibri" w:cs="Calibri"/>
        </w:rPr>
        <w:t>Rivas-Ruiz, Perea-Milla &amp; Jimenez-Puente, 2007</w:t>
      </w:r>
      <w:r w:rsidR="00AA25B6" w:rsidRPr="00DE119C">
        <w:rPr>
          <w:rFonts w:asciiTheme="minorHAnsi" w:hAnsiTheme="minorHAnsi" w:cstheme="minorHAnsi"/>
          <w:lang w:val="en-ZA"/>
        </w:rPr>
        <w:t>;</w:t>
      </w:r>
      <w:r w:rsidRPr="008443FF">
        <w:rPr>
          <w:rFonts w:asciiTheme="minorHAnsi" w:hAnsiTheme="minorHAnsi" w:cstheme="minorHAnsi"/>
          <w:lang w:val="en-ZA"/>
        </w:rPr>
        <w:t xml:space="preserve"> Spoerri et al., 2011). </w:t>
      </w:r>
      <w:r w:rsidRPr="008443FF">
        <w:rPr>
          <w:rFonts w:asciiTheme="minorHAnsi" w:hAnsiTheme="minorHAnsi" w:cstheme="minorHAnsi"/>
        </w:rPr>
        <w:t xml:space="preserve">Further to the general social stresses from deprivation and inequality, and high risk behaviours and practices by deprived populations (Babio &amp; Daponte-Codina, 2006), area level deprivation is an important consideration in the context of road safety. </w:t>
      </w:r>
      <w:r w:rsidR="00C526BD">
        <w:rPr>
          <w:rFonts w:asciiTheme="minorHAnsi" w:hAnsiTheme="minorHAnsi" w:cstheme="minorHAnsi"/>
        </w:rPr>
        <w:t>D</w:t>
      </w:r>
      <w:r w:rsidRPr="008443FF">
        <w:rPr>
          <w:rFonts w:asciiTheme="minorHAnsi" w:hAnsiTheme="minorHAnsi" w:cstheme="minorHAnsi"/>
        </w:rPr>
        <w:t xml:space="preserve">eprived populations tend to incur greater traffic-related risk exposure from greater mobility </w:t>
      </w:r>
      <w:r w:rsidR="00AA25B6" w:rsidRPr="00DE119C">
        <w:rPr>
          <w:rFonts w:asciiTheme="minorHAnsi" w:hAnsiTheme="minorHAnsi" w:cstheme="minorHAnsi"/>
        </w:rPr>
        <w:t>(</w:t>
      </w:r>
      <w:r w:rsidR="00AA25B6" w:rsidRPr="003628BC">
        <w:rPr>
          <w:rFonts w:eastAsia="Calibri" w:cs="Calibri"/>
        </w:rPr>
        <w:t xml:space="preserve">Sonkin, </w:t>
      </w:r>
      <w:r w:rsidR="00AA25B6" w:rsidRPr="00DE119C">
        <w:rPr>
          <w:rFonts w:eastAsia="Calibri" w:cs="Calibri"/>
        </w:rPr>
        <w:t>E</w:t>
      </w:r>
      <w:r w:rsidR="00AA25B6" w:rsidRPr="003628BC">
        <w:rPr>
          <w:rFonts w:eastAsia="Calibri" w:cs="Calibri"/>
        </w:rPr>
        <w:t>dwards,</w:t>
      </w:r>
      <w:r w:rsidR="00AA25B6" w:rsidRPr="00DE119C">
        <w:rPr>
          <w:rFonts w:eastAsia="Calibri" w:cs="Calibri"/>
        </w:rPr>
        <w:t xml:space="preserve"> </w:t>
      </w:r>
      <w:r w:rsidR="00AA25B6" w:rsidRPr="003628BC">
        <w:rPr>
          <w:rFonts w:eastAsia="Calibri" w:cs="Calibri"/>
        </w:rPr>
        <w:t>Roberts</w:t>
      </w:r>
      <w:r w:rsidR="00AA25B6" w:rsidRPr="00DE119C">
        <w:rPr>
          <w:rFonts w:eastAsia="Calibri" w:cs="Calibri"/>
        </w:rPr>
        <w:t xml:space="preserve"> </w:t>
      </w:r>
      <w:r w:rsidR="00AA25B6" w:rsidRPr="003628BC">
        <w:rPr>
          <w:rFonts w:eastAsia="Calibri" w:cs="Calibri"/>
        </w:rPr>
        <w:t>&amp; Green</w:t>
      </w:r>
      <w:r w:rsidR="00AA25B6" w:rsidRPr="00DE119C">
        <w:rPr>
          <w:rFonts w:eastAsia="Calibri" w:cs="Calibri"/>
        </w:rPr>
        <w:t xml:space="preserve">, </w:t>
      </w:r>
      <w:r w:rsidR="00AA25B6" w:rsidRPr="003628BC">
        <w:rPr>
          <w:rFonts w:eastAsia="Calibri" w:cs="Calibri"/>
        </w:rPr>
        <w:t>2006)</w:t>
      </w:r>
      <w:r w:rsidRPr="008443FF">
        <w:rPr>
          <w:rFonts w:asciiTheme="minorHAnsi" w:hAnsiTheme="minorHAnsi" w:cstheme="minorHAnsi"/>
        </w:rPr>
        <w:t xml:space="preserve"> or from needing to cross roads more often </w:t>
      </w:r>
      <w:r w:rsidR="00AA25B6" w:rsidRPr="00DE119C">
        <w:rPr>
          <w:rFonts w:asciiTheme="minorHAnsi" w:hAnsiTheme="minorHAnsi" w:cstheme="minorHAnsi"/>
        </w:rPr>
        <w:t>(</w:t>
      </w:r>
      <w:r w:rsidR="00AA25B6" w:rsidRPr="003628BC">
        <w:rPr>
          <w:rFonts w:eastAsia="Calibri" w:cs="Calibri"/>
        </w:rPr>
        <w:t>Macpherson, Roberts</w:t>
      </w:r>
      <w:r w:rsidR="00AA25B6" w:rsidRPr="00DE119C">
        <w:rPr>
          <w:rFonts w:eastAsia="Calibri" w:cs="Calibri"/>
        </w:rPr>
        <w:t xml:space="preserve"> </w:t>
      </w:r>
      <w:r w:rsidR="00AA25B6" w:rsidRPr="003628BC">
        <w:rPr>
          <w:rFonts w:eastAsia="Calibri" w:cs="Calibri"/>
        </w:rPr>
        <w:t>&amp; Pless, 1998)</w:t>
      </w:r>
      <w:r w:rsidRPr="008443FF">
        <w:rPr>
          <w:rFonts w:asciiTheme="minorHAnsi" w:hAnsiTheme="minorHAnsi" w:cstheme="minorHAnsi"/>
        </w:rPr>
        <w:t xml:space="preserve">. However, consistent with our findings, pedestrians and especially children have been shown to be particularly vulnerable to road traffic injuries in high density urban settings </w:t>
      </w:r>
      <w:r w:rsidRPr="008443FF">
        <w:rPr>
          <w:rFonts w:asciiTheme="minorHAnsi" w:hAnsiTheme="minorHAnsi" w:cstheme="minorHAnsi"/>
          <w:lang w:val="en-ZA"/>
        </w:rPr>
        <w:t xml:space="preserve">(Spoerri et al., 2011; Petch &amp; Henson, 2000). </w:t>
      </w:r>
      <w:r w:rsidRPr="008443FF">
        <w:rPr>
          <w:rFonts w:asciiTheme="minorHAnsi" w:hAnsiTheme="minorHAnsi" w:cstheme="minorHAnsi"/>
        </w:rPr>
        <w:t xml:space="preserve">Inferior traffic infrastructure such as unsafe </w:t>
      </w:r>
      <w:r w:rsidRPr="008443FF">
        <w:rPr>
          <w:rFonts w:asciiTheme="minorHAnsi" w:hAnsiTheme="minorHAnsi" w:cstheme="minorHAnsi"/>
          <w:lang w:val="en-ZA"/>
        </w:rPr>
        <w:t xml:space="preserve">road crossings and </w:t>
      </w:r>
      <w:r w:rsidRPr="008443FF">
        <w:rPr>
          <w:rFonts w:asciiTheme="minorHAnsi" w:hAnsiTheme="minorHAnsi" w:cstheme="minorHAnsi"/>
        </w:rPr>
        <w:t xml:space="preserve">transportation systems that do not accommodate the mobility of pedestrians, as well as </w:t>
      </w:r>
      <w:r w:rsidRPr="008443FF">
        <w:rPr>
          <w:rFonts w:asciiTheme="minorHAnsi" w:hAnsiTheme="minorHAnsi" w:cstheme="minorHAnsi"/>
          <w:lang w:val="en-ZA"/>
        </w:rPr>
        <w:t>road user and traffic conflicts arising from the diverse environments and land uses, may be important considerations.</w:t>
      </w:r>
    </w:p>
    <w:p w:rsidR="00E55C9B" w:rsidRPr="008443FF" w:rsidRDefault="00E55C9B">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b/>
        </w:rPr>
        <w:lastRenderedPageBreak/>
        <w:t>IMPLICATIONS FOR PREVENTION</w:t>
      </w:r>
    </w:p>
    <w:p w:rsidR="00F4488E" w:rsidRDefault="00F4488E">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The findings have implications for addressing high-risk driving speeds, especially in low density settings, </w:t>
      </w:r>
      <w:r w:rsidR="00C526BD">
        <w:rPr>
          <w:rFonts w:asciiTheme="minorHAnsi" w:hAnsiTheme="minorHAnsi" w:cstheme="minorHAnsi"/>
        </w:rPr>
        <w:t>and</w:t>
      </w:r>
      <w:r w:rsidRPr="008443FF">
        <w:rPr>
          <w:rFonts w:asciiTheme="minorHAnsi" w:hAnsiTheme="minorHAnsi" w:cstheme="minorHAnsi"/>
        </w:rPr>
        <w:t xml:space="preserve"> for strengthening relevant policies to secure targeted investments in priority areas, especially informal settlement areas. In light of competing pressures for municipal resources, there is merit for the use of resource-efficient strategies such as automated enforcement systems including optimal speed camera technology (OECD, 2003), to deter high-risk driving behaviours.</w:t>
      </w:r>
      <w:r w:rsidR="00F62349">
        <w:rPr>
          <w:rFonts w:asciiTheme="minorHAnsi" w:hAnsiTheme="minorHAnsi" w:cstheme="minorHAnsi"/>
        </w:rPr>
        <w:t xml:space="preserve"> H</w:t>
      </w:r>
      <w:r w:rsidRPr="008443FF">
        <w:rPr>
          <w:rFonts w:asciiTheme="minorHAnsi" w:hAnsiTheme="minorHAnsi" w:cstheme="minorHAnsi"/>
        </w:rPr>
        <w:t xml:space="preserve">owever, </w:t>
      </w:r>
      <w:r w:rsidR="00F62349">
        <w:rPr>
          <w:rFonts w:asciiTheme="minorHAnsi" w:hAnsiTheme="minorHAnsi" w:cstheme="minorHAnsi"/>
        </w:rPr>
        <w:t xml:space="preserve">these behaviours </w:t>
      </w:r>
      <w:r w:rsidRPr="008443FF">
        <w:rPr>
          <w:rFonts w:asciiTheme="minorHAnsi" w:hAnsiTheme="minorHAnsi" w:cstheme="minorHAnsi"/>
        </w:rPr>
        <w:t xml:space="preserve">may also be symptomatic of large scale spatial disparities resulting in long journeys with excessive times spent travelling, together with being exposed to unsafe transportation infrastructure. Hence, long-term planning strategies need to prioritise the reduction of travel-related exposure, especially to disadvantaged populations.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Following the general correspondence between deprivation and RTIs found </w:t>
      </w:r>
      <w:r w:rsidR="00F62349">
        <w:rPr>
          <w:rFonts w:asciiTheme="minorHAnsi" w:hAnsiTheme="minorHAnsi" w:cstheme="minorHAnsi"/>
        </w:rPr>
        <w:t>here</w:t>
      </w:r>
      <w:r w:rsidRPr="008443FF">
        <w:rPr>
          <w:rFonts w:asciiTheme="minorHAnsi" w:hAnsiTheme="minorHAnsi" w:cstheme="minorHAnsi"/>
        </w:rPr>
        <w:t>, as well as the strong predictive link shown between general deprivation and road traffic mortality (Sukhai and Jones,</w:t>
      </w:r>
      <w:r w:rsidR="00FE438C">
        <w:rPr>
          <w:rFonts w:asciiTheme="minorHAnsi" w:hAnsiTheme="minorHAnsi" w:cstheme="minorHAnsi"/>
        </w:rPr>
        <w:t xml:space="preserve"> </w:t>
      </w:r>
      <w:r w:rsidR="00E609D0">
        <w:rPr>
          <w:rFonts w:asciiTheme="minorHAnsi" w:hAnsiTheme="minorHAnsi" w:cstheme="minorHAnsi"/>
        </w:rPr>
        <w:t>2013</w:t>
      </w:r>
      <w:r w:rsidRPr="008443FF">
        <w:rPr>
          <w:rFonts w:asciiTheme="minorHAnsi" w:hAnsiTheme="minorHAnsi" w:cstheme="minorHAnsi"/>
        </w:rPr>
        <w:t xml:space="preserve">), it will be important to address the range of “interlinked deprivations” (Vearey, Palmary, Thomas, Nunez &amp; Drimie, 2010) arising from the complexity of the urban context, with priority afforded to the pockets of deprivation including informal settlements that are often concealed within large cities and suburbs. </w:t>
      </w:r>
      <w:r w:rsidR="00F62349">
        <w:rPr>
          <w:rFonts w:asciiTheme="minorHAnsi" w:hAnsiTheme="minorHAnsi" w:cstheme="minorHAnsi"/>
        </w:rPr>
        <w:t>M</w:t>
      </w:r>
      <w:r w:rsidRPr="008443FF">
        <w:rPr>
          <w:rFonts w:asciiTheme="minorHAnsi" w:hAnsiTheme="minorHAnsi" w:cstheme="minorHAnsi"/>
        </w:rPr>
        <w:t xml:space="preserve">easures of social and area deprivation may also serve as important indicators of traffic-related risk within broad spatially targeted developmental policies, or within narrower policies focussed on traffic safety and transportation. Whilst some national attention is provided to small area deprivation through the “Presidential Poverty Nodes” (DPLG &amp; Business Trust, 2007), it is important that systematic and relative small area prioritisation be used across the EMA.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The policy and practice implications from this study </w:t>
      </w:r>
      <w:r w:rsidR="00414B74">
        <w:rPr>
          <w:rFonts w:asciiTheme="minorHAnsi" w:hAnsiTheme="minorHAnsi" w:cstheme="minorHAnsi"/>
        </w:rPr>
        <w:t xml:space="preserve">may also align with current city-related initiatives that were detailed </w:t>
      </w:r>
      <w:r w:rsidRPr="008443FF">
        <w:rPr>
          <w:rFonts w:asciiTheme="minorHAnsi" w:hAnsiTheme="minorHAnsi" w:cstheme="minorHAnsi"/>
        </w:rPr>
        <w:t xml:space="preserve">by the Minister of Finance in his </w:t>
      </w:r>
      <w:r w:rsidR="005B6A92">
        <w:rPr>
          <w:rFonts w:asciiTheme="minorHAnsi" w:hAnsiTheme="minorHAnsi" w:cstheme="minorHAnsi"/>
        </w:rPr>
        <w:t xml:space="preserve">2012 </w:t>
      </w:r>
      <w:r w:rsidRPr="008443FF">
        <w:rPr>
          <w:rFonts w:asciiTheme="minorHAnsi" w:hAnsiTheme="minorHAnsi" w:cstheme="minorHAnsi"/>
        </w:rPr>
        <w:t>annual budget speech</w:t>
      </w:r>
      <w:r w:rsidR="00414B74">
        <w:rPr>
          <w:rFonts w:asciiTheme="minorHAnsi" w:hAnsiTheme="minorHAnsi" w:cstheme="minorHAnsi"/>
        </w:rPr>
        <w:t xml:space="preserve"> (</w:t>
      </w:r>
      <w:r w:rsidR="00414B74" w:rsidRPr="008443FF">
        <w:rPr>
          <w:rFonts w:asciiTheme="minorHAnsi" w:hAnsiTheme="minorHAnsi" w:cstheme="minorHAnsi"/>
        </w:rPr>
        <w:t>Gordhan, 2012)</w:t>
      </w:r>
      <w:r w:rsidR="00414B74">
        <w:rPr>
          <w:rFonts w:asciiTheme="minorHAnsi" w:hAnsiTheme="minorHAnsi" w:cstheme="minorHAnsi"/>
        </w:rPr>
        <w:t xml:space="preserve">. These include a </w:t>
      </w:r>
      <w:r w:rsidRPr="008443FF">
        <w:rPr>
          <w:rFonts w:asciiTheme="minorHAnsi" w:hAnsiTheme="minorHAnsi" w:cstheme="minorHAnsi"/>
        </w:rPr>
        <w:t>“Cities Support Programme”, focussed on improved spatial planning, public transport systems, and management of infrastructure utilities</w:t>
      </w:r>
      <w:r w:rsidR="00414B74">
        <w:rPr>
          <w:rFonts w:asciiTheme="minorHAnsi" w:hAnsiTheme="minorHAnsi" w:cstheme="minorHAnsi"/>
        </w:rPr>
        <w:t xml:space="preserve"> as well as</w:t>
      </w:r>
      <w:r w:rsidRPr="008443FF">
        <w:rPr>
          <w:rFonts w:asciiTheme="minorHAnsi" w:hAnsiTheme="minorHAnsi" w:cstheme="minorHAnsi"/>
        </w:rPr>
        <w:t xml:space="preserve"> a “Municipal Infrastructure Support Agency” targeting rural municipalities that lack planning capacity is also proposed. The findings may also be applicable to other metropolitan areas and large cities in the country as socio-spatial disparities and other negative effects from historical policies are not expected to be restricted to the current study setting.</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With the backdrop of widespread failure of urban planning to address the needs of the majority of residents in urban areas, the UN-HABITAT Global Report on Human Settlements (UN-HABITAT, 2009) has stressed the importance that countries develop overall national urban strategies to deal with urbanisation as a positive phenomenon. Such strategies would be important to accommodate the </w:t>
      </w:r>
      <w:r w:rsidRPr="008443FF">
        <w:rPr>
          <w:rFonts w:asciiTheme="minorHAnsi" w:hAnsiTheme="minorHAnsi" w:cstheme="minorHAnsi"/>
        </w:rPr>
        <w:lastRenderedPageBreak/>
        <w:t xml:space="preserve">dynamic nature of cities and their changing population densities as well as to provide opportunity for developing more coordinated and integrated policies and strategies across a range of disciplines and departments, including urban planning, transport, health, and social services. Spatial development frameworks provide the spatial component of integrated development plans for cities, but the focus has been criticised as being too broad and conceptual (Breetzke, 2009). The Global Report on Human Settlements has also emphasised the importance for such frameworks to be more closely linked with infrastructure development and to have transport-land use links prioritised. In addition, innovative and more sustainable spatial forms such as “compact cities” and “new urbanism” that argues for medium to high built densities for cities, and at the level of the local neighbourhood, would be useful to consider for addressing some of the shortfalls of historical urban planning (UN-HABITAT, 2009). </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b/>
        </w:rPr>
        <w:t>STRENGTHS, LIMITATIONS AND FUTURE RESEARCH</w:t>
      </w:r>
    </w:p>
    <w:p w:rsidR="006B3F1C" w:rsidRPr="008443FF" w:rsidRDefault="006B3F1C">
      <w:pPr>
        <w:widowControl w:val="0"/>
        <w:spacing w:after="0" w:line="360" w:lineRule="auto"/>
        <w:rPr>
          <w:rFonts w:asciiTheme="minorHAnsi" w:hAnsiTheme="minorHAnsi" w:cstheme="minorHAnsi"/>
        </w:rPr>
      </w:pPr>
    </w:p>
    <w:p w:rsidR="006B3F1C"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Our study has revealed </w:t>
      </w:r>
      <w:r w:rsidR="00362C35">
        <w:rPr>
          <w:rFonts w:asciiTheme="minorHAnsi" w:hAnsiTheme="minorHAnsi" w:cstheme="minorHAnsi"/>
        </w:rPr>
        <w:t>various</w:t>
      </w:r>
      <w:r w:rsidR="00362C35" w:rsidRPr="008443FF">
        <w:rPr>
          <w:rFonts w:asciiTheme="minorHAnsi" w:hAnsiTheme="minorHAnsi" w:cstheme="minorHAnsi"/>
        </w:rPr>
        <w:t xml:space="preserve"> </w:t>
      </w:r>
      <w:r w:rsidRPr="008443FF">
        <w:rPr>
          <w:rFonts w:asciiTheme="minorHAnsi" w:hAnsiTheme="minorHAnsi" w:cstheme="minorHAnsi"/>
        </w:rPr>
        <w:t xml:space="preserve">findings for understanding the geography of RTIs at the small area level in South Africa. </w:t>
      </w:r>
      <w:r w:rsidR="00E95ACB">
        <w:rPr>
          <w:rFonts w:asciiTheme="minorHAnsi" w:hAnsiTheme="minorHAnsi" w:cstheme="minorHAnsi"/>
        </w:rPr>
        <w:t>W</w:t>
      </w:r>
      <w:r w:rsidRPr="008443FF">
        <w:rPr>
          <w:rFonts w:asciiTheme="minorHAnsi" w:hAnsiTheme="minorHAnsi" w:cstheme="minorHAnsi"/>
        </w:rPr>
        <w:t xml:space="preserve">e used exploratory quartile analyses that showed to be a simple yet useful technique for examining the correspondence between our outcome and explanatory measures. Further, in the absence of a theoretical underpinning to support a dose-response linear relationship between population density and RTIs, analyses using quartiles or other quantiles </w:t>
      </w:r>
      <w:r w:rsidR="00652E8C">
        <w:rPr>
          <w:rFonts w:asciiTheme="minorHAnsi" w:hAnsiTheme="minorHAnsi" w:cstheme="minorHAnsi"/>
        </w:rPr>
        <w:t>may generally be more reliable for assessing</w:t>
      </w:r>
      <w:r w:rsidRPr="008443FF">
        <w:rPr>
          <w:rFonts w:asciiTheme="minorHAnsi" w:hAnsiTheme="minorHAnsi" w:cstheme="minorHAnsi"/>
        </w:rPr>
        <w:t xml:space="preserve"> RTI risk</w:t>
      </w:r>
      <w:r w:rsidR="00652E8C" w:rsidRPr="00652E8C">
        <w:rPr>
          <w:rFonts w:asciiTheme="minorHAnsi" w:hAnsiTheme="minorHAnsi" w:cstheme="minorHAnsi"/>
        </w:rPr>
        <w:t xml:space="preserve"> </w:t>
      </w:r>
      <w:r w:rsidR="00652E8C">
        <w:rPr>
          <w:rFonts w:asciiTheme="minorHAnsi" w:hAnsiTheme="minorHAnsi" w:cstheme="minorHAnsi"/>
        </w:rPr>
        <w:t>than correlation analyses</w:t>
      </w:r>
      <w:r w:rsidRPr="008443FF">
        <w:rPr>
          <w:rFonts w:asciiTheme="minorHAnsi" w:hAnsiTheme="minorHAnsi" w:cstheme="minorHAnsi"/>
        </w:rPr>
        <w:t xml:space="preserve">. Different injury severities and road user groups were considered, as well as a measure of crash severity that has rarely been used in other research but has shown to be an important discriminator to the geographical disparities shown for this study setting. </w:t>
      </w:r>
      <w:r w:rsidR="000D798A" w:rsidRPr="008443FF">
        <w:rPr>
          <w:rFonts w:asciiTheme="minorHAnsi" w:hAnsiTheme="minorHAnsi" w:cstheme="minorHAnsi"/>
        </w:rPr>
        <w:t>Findings from the negative binomial regression models also showed the significant predictor effects of population density on a range of road traffic injury outcomes</w:t>
      </w:r>
      <w:r w:rsidR="00644D44" w:rsidRPr="008443FF">
        <w:rPr>
          <w:rFonts w:asciiTheme="minorHAnsi" w:hAnsiTheme="minorHAnsi" w:cstheme="minorHAnsi"/>
        </w:rPr>
        <w:t>. The effects of population density however, could only partially be explained by the crash and socio-economic measures included in this study.</w:t>
      </w:r>
    </w:p>
    <w:p w:rsidR="008443FF" w:rsidRPr="008443FF" w:rsidRDefault="008443FF">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Our study suffers from three </w:t>
      </w:r>
      <w:r w:rsidR="007373AF">
        <w:rPr>
          <w:rFonts w:asciiTheme="minorHAnsi" w:hAnsiTheme="minorHAnsi" w:cstheme="minorHAnsi"/>
        </w:rPr>
        <w:t>particular</w:t>
      </w:r>
      <w:r w:rsidR="007373AF" w:rsidRPr="008443FF">
        <w:rPr>
          <w:rFonts w:asciiTheme="minorHAnsi" w:hAnsiTheme="minorHAnsi" w:cstheme="minorHAnsi"/>
        </w:rPr>
        <w:t xml:space="preserve"> </w:t>
      </w:r>
      <w:r w:rsidRPr="008443FF">
        <w:rPr>
          <w:rFonts w:asciiTheme="minorHAnsi" w:hAnsiTheme="minorHAnsi" w:cstheme="minorHAnsi"/>
        </w:rPr>
        <w:t xml:space="preserve">limitations. First, typical of small area analyses, our findings are affected by the problem of small sample sizes. Whilst the use of quartile analyses would have helped minimise the small number problem, this </w:t>
      </w:r>
      <w:r w:rsidR="005C7D53">
        <w:rPr>
          <w:rFonts w:asciiTheme="minorHAnsi" w:hAnsiTheme="minorHAnsi" w:cstheme="minorHAnsi"/>
        </w:rPr>
        <w:t xml:space="preserve">potential </w:t>
      </w:r>
      <w:r w:rsidRPr="008443FF">
        <w:rPr>
          <w:rFonts w:asciiTheme="minorHAnsi" w:hAnsiTheme="minorHAnsi" w:cstheme="minorHAnsi"/>
        </w:rPr>
        <w:t xml:space="preserve">bias </w:t>
      </w:r>
      <w:r w:rsidR="00362C35">
        <w:rPr>
          <w:rFonts w:asciiTheme="minorHAnsi" w:hAnsiTheme="minorHAnsi" w:cstheme="minorHAnsi"/>
        </w:rPr>
        <w:t>particularly applies to</w:t>
      </w:r>
      <w:r w:rsidRPr="008443FF">
        <w:rPr>
          <w:rFonts w:asciiTheme="minorHAnsi" w:hAnsiTheme="minorHAnsi" w:cstheme="minorHAnsi"/>
        </w:rPr>
        <w:t xml:space="preserve"> interpretation of findings on the population-based rates. Second, we were restricted </w:t>
      </w:r>
      <w:r w:rsidR="005C7D53">
        <w:rPr>
          <w:rFonts w:asciiTheme="minorHAnsi" w:hAnsiTheme="minorHAnsi" w:cstheme="minorHAnsi"/>
        </w:rPr>
        <w:t>to</w:t>
      </w:r>
      <w:r w:rsidR="005C7D53" w:rsidRPr="008443FF">
        <w:rPr>
          <w:rFonts w:asciiTheme="minorHAnsi" w:hAnsiTheme="minorHAnsi" w:cstheme="minorHAnsi"/>
        </w:rPr>
        <w:t xml:space="preserve"> </w:t>
      </w:r>
      <w:r w:rsidRPr="008443FF">
        <w:rPr>
          <w:rFonts w:asciiTheme="minorHAnsi" w:hAnsiTheme="minorHAnsi" w:cstheme="minorHAnsi"/>
        </w:rPr>
        <w:t>only having data at the group level</w:t>
      </w:r>
      <w:r w:rsidR="00094A38">
        <w:rPr>
          <w:rFonts w:asciiTheme="minorHAnsi" w:hAnsiTheme="minorHAnsi" w:cstheme="minorHAnsi"/>
        </w:rPr>
        <w:t xml:space="preserve"> comprising 68 spatial units</w:t>
      </w:r>
      <w:r w:rsidRPr="008443FF">
        <w:rPr>
          <w:rFonts w:asciiTheme="minorHAnsi" w:hAnsiTheme="minorHAnsi" w:cstheme="minorHAnsi"/>
        </w:rPr>
        <w:t xml:space="preserve">, and in the absence of individual level data, we were not able to appraise differences in crash characteristics between the different road user groups. Third, as is often the case with data on crashes and RTIs, under-reporting is a serious challenge. In addition, there may also be an element of geographical bias in the analyses, since under-reporting tends to be a bigger problem in rural than in urban areas </w:t>
      </w:r>
      <w:r w:rsidR="00AA25B6" w:rsidRPr="00DE119C">
        <w:rPr>
          <w:rFonts w:asciiTheme="minorHAnsi" w:hAnsiTheme="minorHAnsi" w:cstheme="minorHAnsi"/>
        </w:rPr>
        <w:t>(</w:t>
      </w:r>
      <w:r w:rsidR="00AA25B6" w:rsidRPr="003628BC">
        <w:rPr>
          <w:rFonts w:eastAsia="Calibri" w:cs="Calibri"/>
        </w:rPr>
        <w:t>Aptel,</w:t>
      </w:r>
      <w:r w:rsidR="00AA25B6" w:rsidRPr="00DE119C">
        <w:rPr>
          <w:rFonts w:eastAsia="Calibri" w:cs="Calibri"/>
        </w:rPr>
        <w:t xml:space="preserve"> </w:t>
      </w:r>
      <w:r w:rsidR="00AA25B6" w:rsidRPr="003628BC">
        <w:rPr>
          <w:rFonts w:eastAsia="Calibri" w:cs="Calibri"/>
        </w:rPr>
        <w:t xml:space="preserve">Salmi, Masson, Bourde, Henrion, </w:t>
      </w:r>
      <w:r w:rsidR="00AA25B6" w:rsidRPr="00DE119C">
        <w:rPr>
          <w:rFonts w:eastAsia="Calibri" w:cs="Calibri"/>
        </w:rPr>
        <w:t>&amp;</w:t>
      </w:r>
      <w:r w:rsidR="00AA25B6" w:rsidRPr="003628BC">
        <w:rPr>
          <w:rFonts w:eastAsia="Calibri" w:cs="Calibri"/>
        </w:rPr>
        <w:t xml:space="preserve"> Erny, 1999)</w:t>
      </w:r>
      <w:r w:rsidRPr="008443FF">
        <w:rPr>
          <w:rFonts w:asciiTheme="minorHAnsi" w:hAnsiTheme="minorHAnsi" w:cstheme="minorHAnsi"/>
        </w:rPr>
        <w:t xml:space="preserve">, and may also be more particular in the case of non-fatal injuries </w:t>
      </w:r>
      <w:r w:rsidR="00362C35">
        <w:rPr>
          <w:rFonts w:asciiTheme="minorHAnsi" w:hAnsiTheme="minorHAnsi" w:cstheme="minorHAnsi"/>
        </w:rPr>
        <w:t>less likely to be registered</w:t>
      </w:r>
      <w:r w:rsidRPr="008443FF">
        <w:rPr>
          <w:rFonts w:asciiTheme="minorHAnsi" w:hAnsiTheme="minorHAnsi" w:cstheme="minorHAnsi"/>
        </w:rPr>
        <w:t xml:space="preserve">. </w:t>
      </w:r>
    </w:p>
    <w:p w:rsidR="006B3F1C" w:rsidRPr="008443FF" w:rsidRDefault="006B3F1C">
      <w:pPr>
        <w:widowControl w:val="0"/>
        <w:spacing w:after="0" w:line="360" w:lineRule="auto"/>
        <w:rPr>
          <w:rFonts w:asciiTheme="minorHAnsi" w:hAnsiTheme="minorHAnsi" w:cstheme="minorHAnsi"/>
        </w:rPr>
      </w:pPr>
    </w:p>
    <w:p w:rsidR="006B3F1C" w:rsidRPr="008443FF" w:rsidRDefault="005B6A92">
      <w:pPr>
        <w:widowControl w:val="0"/>
        <w:spacing w:after="0" w:line="360" w:lineRule="auto"/>
        <w:rPr>
          <w:rFonts w:asciiTheme="minorHAnsi" w:hAnsiTheme="minorHAnsi" w:cstheme="minorHAnsi"/>
        </w:rPr>
      </w:pPr>
      <w:r>
        <w:rPr>
          <w:rFonts w:asciiTheme="minorHAnsi" w:hAnsiTheme="minorHAnsi" w:cstheme="minorHAnsi"/>
        </w:rPr>
        <w:t xml:space="preserve">Whilst data on </w:t>
      </w:r>
      <w:r w:rsidRPr="008443FF">
        <w:rPr>
          <w:rFonts w:asciiTheme="minorHAnsi" w:hAnsiTheme="minorHAnsi" w:cstheme="minorHAnsi"/>
        </w:rPr>
        <w:t>pre-hospital and advanced in-hospital trauma car</w:t>
      </w:r>
      <w:r>
        <w:rPr>
          <w:rFonts w:asciiTheme="minorHAnsi" w:hAnsiTheme="minorHAnsi" w:cstheme="minorHAnsi"/>
        </w:rPr>
        <w:t xml:space="preserve">e was not available for this study, </w:t>
      </w:r>
      <w:r w:rsidR="009A4CC3">
        <w:rPr>
          <w:rFonts w:asciiTheme="minorHAnsi" w:hAnsiTheme="minorHAnsi" w:cstheme="minorHAnsi"/>
        </w:rPr>
        <w:t>i</w:t>
      </w:r>
      <w:r>
        <w:rPr>
          <w:rFonts w:asciiTheme="minorHAnsi" w:hAnsiTheme="minorHAnsi" w:cstheme="minorHAnsi"/>
        </w:rPr>
        <w:t xml:space="preserve">t would be </w:t>
      </w:r>
      <w:r w:rsidR="007373AF">
        <w:rPr>
          <w:rFonts w:asciiTheme="minorHAnsi" w:hAnsiTheme="minorHAnsi" w:cstheme="minorHAnsi"/>
        </w:rPr>
        <w:t>useful</w:t>
      </w:r>
      <w:r>
        <w:rPr>
          <w:rFonts w:asciiTheme="minorHAnsi" w:hAnsiTheme="minorHAnsi" w:cstheme="minorHAnsi"/>
        </w:rPr>
        <w:t xml:space="preserve"> to incorporate such </w:t>
      </w:r>
      <w:r w:rsidR="007373AF">
        <w:rPr>
          <w:rFonts w:asciiTheme="minorHAnsi" w:hAnsiTheme="minorHAnsi" w:cstheme="minorHAnsi"/>
        </w:rPr>
        <w:t>mea</w:t>
      </w:r>
      <w:r w:rsidR="00814748">
        <w:rPr>
          <w:rFonts w:asciiTheme="minorHAnsi" w:hAnsiTheme="minorHAnsi" w:cstheme="minorHAnsi"/>
        </w:rPr>
        <w:t>s</w:t>
      </w:r>
      <w:r w:rsidR="007373AF">
        <w:rPr>
          <w:rFonts w:asciiTheme="minorHAnsi" w:hAnsiTheme="minorHAnsi" w:cstheme="minorHAnsi"/>
        </w:rPr>
        <w:t>ures</w:t>
      </w:r>
      <w:r>
        <w:rPr>
          <w:rFonts w:asciiTheme="minorHAnsi" w:hAnsiTheme="minorHAnsi" w:cstheme="minorHAnsi"/>
        </w:rPr>
        <w:t xml:space="preserve"> in future research</w:t>
      </w:r>
      <w:r w:rsidR="009A4CC3">
        <w:rPr>
          <w:rFonts w:asciiTheme="minorHAnsi" w:hAnsiTheme="minorHAnsi" w:cstheme="minorHAnsi"/>
        </w:rPr>
        <w:t>,</w:t>
      </w:r>
      <w:r>
        <w:rPr>
          <w:rFonts w:asciiTheme="minorHAnsi" w:hAnsiTheme="minorHAnsi" w:cstheme="minorHAnsi"/>
        </w:rPr>
        <w:t xml:space="preserve"> </w:t>
      </w:r>
      <w:r w:rsidR="009A4CC3">
        <w:rPr>
          <w:rFonts w:asciiTheme="minorHAnsi" w:hAnsiTheme="minorHAnsi" w:cstheme="minorHAnsi"/>
        </w:rPr>
        <w:t xml:space="preserve">particularly </w:t>
      </w:r>
      <w:r>
        <w:rPr>
          <w:rFonts w:asciiTheme="minorHAnsi" w:hAnsiTheme="minorHAnsi" w:cstheme="minorHAnsi"/>
        </w:rPr>
        <w:t>in the South African setting</w:t>
      </w:r>
      <w:r w:rsidR="009A4CC3">
        <w:rPr>
          <w:rFonts w:asciiTheme="minorHAnsi" w:hAnsiTheme="minorHAnsi" w:cstheme="minorHAnsi"/>
        </w:rPr>
        <w:t>,</w:t>
      </w:r>
      <w:r>
        <w:rPr>
          <w:rFonts w:asciiTheme="minorHAnsi" w:hAnsiTheme="minorHAnsi" w:cstheme="minorHAnsi"/>
        </w:rPr>
        <w:t xml:space="preserve"> given the evidence for such effect</w:t>
      </w:r>
      <w:r w:rsidR="009A4CC3">
        <w:rPr>
          <w:rFonts w:asciiTheme="minorHAnsi" w:hAnsiTheme="minorHAnsi" w:cstheme="minorHAnsi"/>
        </w:rPr>
        <w:t>s</w:t>
      </w:r>
      <w:r>
        <w:rPr>
          <w:rFonts w:asciiTheme="minorHAnsi" w:hAnsiTheme="minorHAnsi" w:cstheme="minorHAnsi"/>
        </w:rPr>
        <w:t xml:space="preserve"> in other country settings</w:t>
      </w:r>
      <w:r w:rsidR="00814748">
        <w:rPr>
          <w:rFonts w:asciiTheme="minorHAnsi" w:hAnsiTheme="minorHAnsi" w:cstheme="minorHAnsi"/>
        </w:rPr>
        <w:t xml:space="preserve"> </w:t>
      </w:r>
      <w:r w:rsidR="00AA25B6">
        <w:rPr>
          <w:rFonts w:asciiTheme="minorHAnsi" w:hAnsiTheme="minorHAnsi" w:cstheme="minorHAnsi"/>
        </w:rPr>
        <w:t>(</w:t>
      </w:r>
      <w:r w:rsidR="00AA25B6" w:rsidRPr="008443FF">
        <w:rPr>
          <w:rFonts w:asciiTheme="minorHAnsi" w:hAnsiTheme="minorHAnsi" w:cstheme="minorHAnsi"/>
        </w:rPr>
        <w:t xml:space="preserve">Baker, </w:t>
      </w:r>
      <w:r w:rsidR="00AA25B6">
        <w:rPr>
          <w:rFonts w:asciiTheme="minorHAnsi" w:hAnsiTheme="minorHAnsi" w:cstheme="minorHAnsi"/>
        </w:rPr>
        <w:t>et al.</w:t>
      </w:r>
      <w:r w:rsidR="00814748" w:rsidRPr="008443FF">
        <w:rPr>
          <w:rFonts w:asciiTheme="minorHAnsi" w:hAnsiTheme="minorHAnsi" w:cstheme="minorHAnsi"/>
        </w:rPr>
        <w:t>, 1987; Van Beeck et al., 1991)</w:t>
      </w:r>
      <w:r>
        <w:rPr>
          <w:rFonts w:asciiTheme="minorHAnsi" w:hAnsiTheme="minorHAnsi" w:cstheme="minorHAnsi"/>
        </w:rPr>
        <w:t xml:space="preserve">, </w:t>
      </w:r>
      <w:r w:rsidR="009A4CC3">
        <w:rPr>
          <w:rFonts w:asciiTheme="minorHAnsi" w:hAnsiTheme="minorHAnsi" w:cstheme="minorHAnsi"/>
        </w:rPr>
        <w:t xml:space="preserve">as well as </w:t>
      </w:r>
      <w:r>
        <w:rPr>
          <w:rFonts w:asciiTheme="minorHAnsi" w:hAnsiTheme="minorHAnsi" w:cstheme="minorHAnsi"/>
        </w:rPr>
        <w:t xml:space="preserve">with our </w:t>
      </w:r>
      <w:r w:rsidR="00F2707A">
        <w:rPr>
          <w:rFonts w:asciiTheme="minorHAnsi" w:hAnsiTheme="minorHAnsi" w:cstheme="minorHAnsi"/>
        </w:rPr>
        <w:t>analyses</w:t>
      </w:r>
      <w:r>
        <w:rPr>
          <w:rFonts w:asciiTheme="minorHAnsi" w:hAnsiTheme="minorHAnsi" w:cstheme="minorHAnsi"/>
        </w:rPr>
        <w:t xml:space="preserve"> pointing to possible effects that have not been </w:t>
      </w:r>
      <w:r w:rsidR="00362C35">
        <w:rPr>
          <w:rFonts w:asciiTheme="minorHAnsi" w:hAnsiTheme="minorHAnsi" w:cstheme="minorHAnsi"/>
        </w:rPr>
        <w:t>considered</w:t>
      </w:r>
      <w:r>
        <w:rPr>
          <w:rFonts w:asciiTheme="minorHAnsi" w:hAnsiTheme="minorHAnsi" w:cstheme="minorHAnsi"/>
        </w:rPr>
        <w:t xml:space="preserve">. </w:t>
      </w:r>
      <w:r w:rsidR="009A4CC3">
        <w:rPr>
          <w:rFonts w:asciiTheme="minorHAnsi" w:hAnsiTheme="minorHAnsi" w:cstheme="minorHAnsi"/>
        </w:rPr>
        <w:t>In addition</w:t>
      </w:r>
      <w:r w:rsidR="006B3F1C" w:rsidRPr="008443FF">
        <w:rPr>
          <w:rFonts w:asciiTheme="minorHAnsi" w:hAnsiTheme="minorHAnsi" w:cstheme="minorHAnsi"/>
        </w:rPr>
        <w:t>, other GIS-based small area measures such as measures of accessibility or of relative deprivation would be useful</w:t>
      </w:r>
      <w:r w:rsidR="00644D44" w:rsidRPr="008443FF">
        <w:rPr>
          <w:rFonts w:asciiTheme="minorHAnsi" w:hAnsiTheme="minorHAnsi" w:cstheme="minorHAnsi"/>
        </w:rPr>
        <w:t xml:space="preserve">, especially towards further </w:t>
      </w:r>
      <w:r w:rsidR="005C7D53">
        <w:rPr>
          <w:rFonts w:asciiTheme="minorHAnsi" w:hAnsiTheme="minorHAnsi" w:cstheme="minorHAnsi"/>
        </w:rPr>
        <w:t>understanding</w:t>
      </w:r>
      <w:r w:rsidR="005C7D53" w:rsidRPr="008443FF">
        <w:rPr>
          <w:rFonts w:asciiTheme="minorHAnsi" w:hAnsiTheme="minorHAnsi" w:cstheme="minorHAnsi"/>
        </w:rPr>
        <w:t xml:space="preserve"> </w:t>
      </w:r>
      <w:r w:rsidR="00644D44" w:rsidRPr="008443FF">
        <w:rPr>
          <w:rFonts w:asciiTheme="minorHAnsi" w:hAnsiTheme="minorHAnsi" w:cstheme="minorHAnsi"/>
        </w:rPr>
        <w:t>the influences of population density on crashes and RTIs</w:t>
      </w:r>
      <w:r w:rsidR="006B3F1C" w:rsidRPr="008443FF">
        <w:rPr>
          <w:rFonts w:asciiTheme="minorHAnsi" w:hAnsiTheme="minorHAnsi" w:cstheme="minorHAnsi"/>
        </w:rPr>
        <w:t xml:space="preserve">. </w:t>
      </w:r>
      <w:r w:rsidR="00362C35">
        <w:rPr>
          <w:rFonts w:asciiTheme="minorHAnsi" w:hAnsiTheme="minorHAnsi" w:cstheme="minorHAnsi"/>
        </w:rPr>
        <w:t xml:space="preserve">It </w:t>
      </w:r>
      <w:r w:rsidR="006B3F1C" w:rsidRPr="008443FF">
        <w:rPr>
          <w:rFonts w:asciiTheme="minorHAnsi" w:hAnsiTheme="minorHAnsi" w:cstheme="minorHAnsi"/>
        </w:rPr>
        <w:t>would also be useful for future predictive-type modelling to build on findings from this research by employing more advanced methodologies including Bayesian approaches to account for small sample sizes (Jia, Muennig &amp; Borawski, 2004; MacNab, 2004).</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b/>
        </w:rPr>
        <w:t>CONCLUSION</w:t>
      </w:r>
    </w:p>
    <w:p w:rsidR="006B3F1C" w:rsidRPr="008443FF" w:rsidRDefault="006B3F1C">
      <w:pPr>
        <w:widowControl w:val="0"/>
        <w:spacing w:after="0" w:line="360" w:lineRule="auto"/>
        <w:rPr>
          <w:rFonts w:asciiTheme="minorHAnsi" w:hAnsiTheme="minorHAnsi" w:cstheme="minorHAnsi"/>
        </w:rPr>
      </w:pPr>
    </w:p>
    <w:p w:rsidR="006B3F1C" w:rsidRPr="008443FF" w:rsidRDefault="006B3F1C">
      <w:pPr>
        <w:widowControl w:val="0"/>
        <w:spacing w:after="0" w:line="360" w:lineRule="auto"/>
        <w:rPr>
          <w:rFonts w:asciiTheme="minorHAnsi" w:hAnsiTheme="minorHAnsi" w:cstheme="minorHAnsi"/>
        </w:rPr>
      </w:pPr>
      <w:r w:rsidRPr="008443FF">
        <w:rPr>
          <w:rFonts w:asciiTheme="minorHAnsi" w:hAnsiTheme="minorHAnsi" w:cstheme="minorHAnsi"/>
        </w:rPr>
        <w:t xml:space="preserve">This research has yielded </w:t>
      </w:r>
      <w:r w:rsidR="00644D44" w:rsidRPr="008443FF">
        <w:rPr>
          <w:rFonts w:asciiTheme="minorHAnsi" w:hAnsiTheme="minorHAnsi" w:cstheme="minorHAnsi"/>
        </w:rPr>
        <w:t xml:space="preserve">novel </w:t>
      </w:r>
      <w:r w:rsidRPr="008443FF">
        <w:rPr>
          <w:rFonts w:asciiTheme="minorHAnsi" w:hAnsiTheme="minorHAnsi" w:cstheme="minorHAnsi"/>
        </w:rPr>
        <w:t>insights on the nature, extent and distribution of injuries for the EMA. In addition, the presence of geographical disparities for disaggregated injury severity and road user groups, with relatively worse injury outcomes for low density areas, was confirmed at the small area level. The variations in RTIs, using a population density framework</w:t>
      </w:r>
      <w:r w:rsidR="007373AF">
        <w:rPr>
          <w:rFonts w:asciiTheme="minorHAnsi" w:hAnsiTheme="minorHAnsi" w:cstheme="minorHAnsi"/>
        </w:rPr>
        <w:t xml:space="preserve"> </w:t>
      </w:r>
      <w:r w:rsidRPr="008443FF">
        <w:rPr>
          <w:rFonts w:asciiTheme="minorHAnsi" w:hAnsiTheme="minorHAnsi" w:cstheme="minorHAnsi"/>
        </w:rPr>
        <w:t xml:space="preserve">correspond </w:t>
      </w:r>
      <w:r w:rsidR="00362C35">
        <w:rPr>
          <w:rFonts w:asciiTheme="minorHAnsi" w:hAnsiTheme="minorHAnsi" w:cstheme="minorHAnsi"/>
        </w:rPr>
        <w:t>to</w:t>
      </w:r>
      <w:r w:rsidR="00362C35" w:rsidRPr="008443FF">
        <w:rPr>
          <w:rFonts w:asciiTheme="minorHAnsi" w:hAnsiTheme="minorHAnsi" w:cstheme="minorHAnsi"/>
        </w:rPr>
        <w:t xml:space="preserve"> </w:t>
      </w:r>
      <w:r w:rsidRPr="008443FF">
        <w:rPr>
          <w:rFonts w:asciiTheme="minorHAnsi" w:hAnsiTheme="minorHAnsi" w:cstheme="minorHAnsi"/>
        </w:rPr>
        <w:t xml:space="preserve">several measures relating to the characteristics of crashes and measures of socio-economic deprivation. Whilst findings on the characteristics of crashes proxy many of the previously described risks, the findings on deprivation provide additional perspectives to rural-urban variations in RTIs, at least in a South African setting. </w:t>
      </w:r>
      <w:r w:rsidR="007373AF">
        <w:rPr>
          <w:rFonts w:asciiTheme="minorHAnsi" w:hAnsiTheme="minorHAnsi" w:cstheme="minorHAnsi"/>
        </w:rPr>
        <w:t xml:space="preserve">We suggest </w:t>
      </w:r>
      <w:r w:rsidRPr="008443FF">
        <w:rPr>
          <w:rFonts w:asciiTheme="minorHAnsi" w:hAnsiTheme="minorHAnsi" w:cstheme="minorHAnsi"/>
        </w:rPr>
        <w:t xml:space="preserve">that spatial and developmental policies especially at the city level recognise these influences on road safety. </w:t>
      </w:r>
    </w:p>
    <w:p w:rsidR="006B3F1C" w:rsidRDefault="006B3F1C">
      <w:pPr>
        <w:widowControl w:val="0"/>
        <w:spacing w:after="0" w:line="360" w:lineRule="auto"/>
        <w:rPr>
          <w:rFonts w:cs="Calibri"/>
        </w:rPr>
      </w:pPr>
    </w:p>
    <w:p w:rsidR="006B3F1C" w:rsidRDefault="006B3F1C">
      <w:pPr>
        <w:pageBreakBefore/>
        <w:widowControl w:val="0"/>
        <w:spacing w:after="0" w:line="360" w:lineRule="auto"/>
        <w:rPr>
          <w:rFonts w:cs="Calibri"/>
        </w:rPr>
      </w:pPr>
      <w:r>
        <w:rPr>
          <w:rFonts w:cs="Calibri"/>
          <w:b/>
        </w:rPr>
        <w:lastRenderedPageBreak/>
        <w:t>REFERENCES</w:t>
      </w:r>
    </w:p>
    <w:p w:rsidR="006B3F1C" w:rsidRDefault="006B3F1C">
      <w:pPr>
        <w:widowControl w:val="0"/>
        <w:spacing w:after="0" w:line="360" w:lineRule="auto"/>
        <w:rPr>
          <w:rFonts w:cs="Calibri"/>
        </w:rPr>
      </w:pPr>
    </w:p>
    <w:p w:rsidR="006B3F1C" w:rsidRDefault="006B3F1C">
      <w:pPr>
        <w:widowControl w:val="0"/>
        <w:spacing w:after="0" w:line="360" w:lineRule="auto"/>
        <w:ind w:left="284" w:hanging="284"/>
        <w:rPr>
          <w:rFonts w:eastAsia="Calibri" w:cs="Calibri"/>
        </w:rPr>
      </w:pPr>
      <w:r>
        <w:rPr>
          <w:rFonts w:eastAsia="Calibri" w:cs="Calibri"/>
        </w:rPr>
        <w:t>Aptel, I., Salmi, L.R., Masson, F., Bourde, A., Henrion, G. &amp; Erny, P. (1999). Road accident statistics: discrepancies between police and hospital data in a French island</w:t>
      </w:r>
      <w:r w:rsidR="005F34ED">
        <w:rPr>
          <w:rFonts w:eastAsia="Calibri" w:cs="Calibri"/>
        </w:rPr>
        <w:t>.</w:t>
      </w:r>
      <w:r>
        <w:rPr>
          <w:rFonts w:eastAsia="Calibri" w:cs="Calibri"/>
        </w:rPr>
        <w:t xml:space="preserve"> </w:t>
      </w:r>
      <w:r>
        <w:rPr>
          <w:rFonts w:eastAsia="Calibri" w:cs="Calibri"/>
          <w:i/>
          <w:iCs/>
        </w:rPr>
        <w:t>Accident Analysis and Prevention</w:t>
      </w:r>
      <w:r w:rsidR="00524662" w:rsidRPr="00524662">
        <w:rPr>
          <w:rFonts w:eastAsia="Calibri" w:cs="Calibri"/>
          <w:iCs/>
        </w:rPr>
        <w:t xml:space="preserve">, </w:t>
      </w:r>
      <w:r w:rsidRPr="00043C75">
        <w:rPr>
          <w:rFonts w:eastAsia="Calibri" w:cs="Calibri"/>
          <w:i/>
          <w:iCs/>
        </w:rPr>
        <w:t>31</w:t>
      </w:r>
      <w:r w:rsidRPr="005F34ED">
        <w:rPr>
          <w:rFonts w:eastAsia="Calibri" w:cs="Calibri"/>
        </w:rPr>
        <w:t>, 101-108.</w:t>
      </w:r>
    </w:p>
    <w:p w:rsidR="006B3F1C" w:rsidRDefault="006B3F1C">
      <w:pPr>
        <w:widowControl w:val="0"/>
        <w:spacing w:after="0" w:line="360" w:lineRule="auto"/>
        <w:ind w:left="284" w:hanging="284"/>
        <w:rPr>
          <w:rFonts w:eastAsia="Calibri" w:cs="Calibri"/>
        </w:rPr>
      </w:pPr>
      <w:r>
        <w:rPr>
          <w:rFonts w:eastAsia="Calibri" w:cs="Calibri"/>
        </w:rPr>
        <w:t xml:space="preserve">Babio, G.O. &amp; Daponte-Codina, A. (2006). </w:t>
      </w:r>
      <w:r>
        <w:rPr>
          <w:rFonts w:eastAsia="Calibri" w:cs="Calibri"/>
          <w:bCs/>
        </w:rPr>
        <w:t>Factors associated with seatbelt, helmet, and child safety seat use in a Spanish high-risk injury area</w:t>
      </w:r>
      <w:r w:rsidR="005F34ED">
        <w:rPr>
          <w:rFonts w:eastAsia="Calibri" w:cs="Calibri"/>
          <w:bCs/>
        </w:rPr>
        <w:t xml:space="preserve">. </w:t>
      </w:r>
      <w:r>
        <w:rPr>
          <w:rFonts w:eastAsia="Calibri" w:cs="Calibri"/>
          <w:i/>
          <w:iCs/>
        </w:rPr>
        <w:t>Journal of Trauma</w:t>
      </w:r>
      <w:r w:rsidR="00524662" w:rsidRPr="00524662">
        <w:rPr>
          <w:rFonts w:eastAsia="Calibri" w:cs="Calibri"/>
        </w:rPr>
        <w:t xml:space="preserve">, </w:t>
      </w:r>
      <w:r w:rsidRPr="00043C75">
        <w:rPr>
          <w:rFonts w:eastAsia="Calibri" w:cs="Calibri"/>
          <w:bCs/>
          <w:i/>
        </w:rPr>
        <w:t>60</w:t>
      </w:r>
      <w:r w:rsidRPr="005F34ED">
        <w:rPr>
          <w:rFonts w:eastAsia="Calibri" w:cs="Calibri"/>
          <w:bCs/>
        </w:rPr>
        <w:t xml:space="preserve">, </w:t>
      </w:r>
      <w:r w:rsidRPr="005F34ED">
        <w:rPr>
          <w:rFonts w:eastAsia="Calibri" w:cs="Calibri"/>
        </w:rPr>
        <w:t>620-626.</w:t>
      </w:r>
    </w:p>
    <w:p w:rsidR="006B3F1C" w:rsidRDefault="006B3F1C">
      <w:pPr>
        <w:widowControl w:val="0"/>
        <w:spacing w:after="0" w:line="360" w:lineRule="auto"/>
        <w:ind w:left="284" w:hanging="284"/>
        <w:rPr>
          <w:rFonts w:eastAsia="Calibri" w:cs="Calibri"/>
        </w:rPr>
      </w:pPr>
      <w:r>
        <w:rPr>
          <w:rFonts w:eastAsia="Calibri" w:cs="Calibri"/>
        </w:rPr>
        <w:t xml:space="preserve">Baker, S.P., Whitfield, R.A. &amp; O’Neill, B. (1987). Geographic variations in mortality from motor vehicle crashes. </w:t>
      </w:r>
      <w:r>
        <w:rPr>
          <w:rFonts w:eastAsia="Calibri" w:cs="Calibri"/>
          <w:i/>
          <w:iCs/>
        </w:rPr>
        <w:t>New England Journal of Medicine</w:t>
      </w:r>
      <w:r w:rsidR="00524662" w:rsidRPr="00524662">
        <w:rPr>
          <w:rFonts w:eastAsia="Calibri" w:cs="Calibri"/>
          <w:iCs/>
        </w:rPr>
        <w:t xml:space="preserve">, </w:t>
      </w:r>
      <w:r w:rsidRPr="00043C75">
        <w:rPr>
          <w:rFonts w:eastAsia="Calibri" w:cs="Calibri"/>
          <w:i/>
        </w:rPr>
        <w:t>316</w:t>
      </w:r>
      <w:r w:rsidRPr="003727FD">
        <w:rPr>
          <w:rFonts w:eastAsia="Calibri" w:cs="Calibri"/>
        </w:rPr>
        <w:t>, 1384-1387</w:t>
      </w:r>
      <w:r>
        <w:rPr>
          <w:rFonts w:eastAsia="Calibri" w:cs="Calibri"/>
        </w:rPr>
        <w:t>.</w:t>
      </w:r>
    </w:p>
    <w:p w:rsidR="006B3F1C" w:rsidRDefault="006B3F1C">
      <w:pPr>
        <w:widowControl w:val="0"/>
        <w:spacing w:after="0" w:line="360" w:lineRule="auto"/>
        <w:ind w:left="284" w:hanging="284"/>
        <w:rPr>
          <w:rFonts w:eastAsia="Calibri" w:cs="Calibri"/>
        </w:rPr>
      </w:pPr>
      <w:r>
        <w:rPr>
          <w:rFonts w:eastAsia="Calibri" w:cs="Calibri"/>
        </w:rPr>
        <w:t xml:space="preserve">Ballesteros, M.F., Dischinger, P.C. &amp; Langenberg, P. (2004). Pedestrian injuries and vehicle type in Maryland, 1995–1999, </w:t>
      </w:r>
      <w:r>
        <w:rPr>
          <w:rFonts w:eastAsia="Calibri" w:cs="Calibri"/>
          <w:i/>
          <w:iCs/>
        </w:rPr>
        <w:t>Accident Analysis and Prevention, 36</w:t>
      </w:r>
      <w:r>
        <w:rPr>
          <w:rFonts w:eastAsia="Calibri" w:cs="Calibri"/>
          <w:iCs/>
        </w:rPr>
        <w:t>(1), 73-81.</w:t>
      </w:r>
    </w:p>
    <w:p w:rsidR="006B3F1C" w:rsidRDefault="006B3F1C">
      <w:pPr>
        <w:widowControl w:val="0"/>
        <w:spacing w:after="0" w:line="360" w:lineRule="auto"/>
        <w:ind w:left="284" w:hanging="284"/>
        <w:rPr>
          <w:rFonts w:eastAsia="Calibri" w:cs="Calibri"/>
        </w:rPr>
      </w:pPr>
      <w:r>
        <w:rPr>
          <w:rFonts w:eastAsia="Calibri" w:cs="Calibri"/>
        </w:rPr>
        <w:t>Besag, J. &amp; Newell, J. (1991). The detection of clusters in rare diseases</w:t>
      </w:r>
      <w:r w:rsidR="003727FD">
        <w:rPr>
          <w:rFonts w:eastAsia="Calibri" w:cs="Calibri"/>
        </w:rPr>
        <w:t>.</w:t>
      </w:r>
      <w:r>
        <w:rPr>
          <w:rFonts w:eastAsia="Calibri" w:cs="Calibri"/>
        </w:rPr>
        <w:t xml:space="preserve"> </w:t>
      </w:r>
      <w:r>
        <w:rPr>
          <w:rFonts w:eastAsia="Calibri" w:cs="Calibri"/>
          <w:i/>
        </w:rPr>
        <w:t>Journal of the Royal Statistical Society</w:t>
      </w:r>
      <w:r w:rsidR="00524662" w:rsidRPr="00524662">
        <w:rPr>
          <w:rFonts w:eastAsia="Calibri" w:cs="Calibri"/>
        </w:rPr>
        <w:t xml:space="preserve">, Series A, </w:t>
      </w:r>
      <w:r w:rsidRPr="00043C75">
        <w:rPr>
          <w:rFonts w:eastAsia="Calibri" w:cs="Calibri"/>
          <w:i/>
        </w:rPr>
        <w:t>154</w:t>
      </w:r>
      <w:r w:rsidRPr="003727FD">
        <w:rPr>
          <w:rFonts w:eastAsia="Calibri" w:cs="Calibri"/>
        </w:rPr>
        <w:t>, 143-155.</w:t>
      </w:r>
      <w:r>
        <w:rPr>
          <w:rFonts w:eastAsia="Calibri" w:cs="Calibri"/>
        </w:rPr>
        <w:t xml:space="preserve"> </w:t>
      </w:r>
    </w:p>
    <w:p w:rsidR="006B3F1C" w:rsidRDefault="006B3F1C">
      <w:pPr>
        <w:widowControl w:val="0"/>
        <w:spacing w:after="0" w:line="360" w:lineRule="auto"/>
        <w:ind w:left="284" w:hanging="284"/>
        <w:rPr>
          <w:rFonts w:eastAsia="Calibri" w:cs="Calibri"/>
        </w:rPr>
      </w:pPr>
      <w:r>
        <w:rPr>
          <w:rFonts w:eastAsia="Calibri" w:cs="Calibri"/>
        </w:rPr>
        <w:t>Borrell, C., Plasencia, A., Huisman, M., Costa, G., Kunst, A., Andersen, O., Bopp, M., Borgan, J.K., Deboosere, P., Glickman, M., Gadeyne, S., Minder, C., Regidor, E., Spadea, T., Valkonen, T. &amp; Mackenbach, J.P. (2005). Education level inequalities and transportation injury mortality in the middle aged and elderly in European settings</w:t>
      </w:r>
      <w:r w:rsidR="003727FD">
        <w:rPr>
          <w:rFonts w:eastAsia="Calibri" w:cs="Calibri"/>
        </w:rPr>
        <w:t xml:space="preserve">. </w:t>
      </w:r>
      <w:r>
        <w:rPr>
          <w:rFonts w:eastAsia="Calibri" w:cs="Calibri"/>
          <w:i/>
        </w:rPr>
        <w:t>Injury Prevention</w:t>
      </w:r>
      <w:r w:rsidR="00524662" w:rsidRPr="00524662">
        <w:rPr>
          <w:rFonts w:eastAsia="Calibri" w:cs="Calibri"/>
        </w:rPr>
        <w:t xml:space="preserve">, </w:t>
      </w:r>
      <w:r w:rsidRPr="00043C75">
        <w:rPr>
          <w:rFonts w:eastAsia="Calibri" w:cs="Calibri"/>
          <w:i/>
        </w:rPr>
        <w:t>11</w:t>
      </w:r>
      <w:r w:rsidRPr="003727FD">
        <w:rPr>
          <w:rFonts w:eastAsia="Calibri" w:cs="Calibri"/>
        </w:rPr>
        <w:t>, 138–142.</w:t>
      </w:r>
    </w:p>
    <w:p w:rsidR="006B3F1C" w:rsidRDefault="006B3F1C">
      <w:pPr>
        <w:widowControl w:val="0"/>
        <w:spacing w:after="0" w:line="360" w:lineRule="auto"/>
        <w:ind w:left="284" w:hanging="284"/>
        <w:rPr>
          <w:rFonts w:eastAsia="Calibri" w:cs="Calibri"/>
          <w:bCs/>
        </w:rPr>
      </w:pPr>
      <w:r>
        <w:rPr>
          <w:rFonts w:eastAsia="Calibri" w:cs="Calibri"/>
        </w:rPr>
        <w:t xml:space="preserve">Breetzke, K. (2009). </w:t>
      </w:r>
      <w:r>
        <w:rPr>
          <w:rFonts w:eastAsia="Calibri" w:cs="Calibri"/>
          <w:i/>
        </w:rPr>
        <w:t>From conceptual frameworks to quantitative models: Spatial planning in the Durban metropolitan area, South Africa – the link to housing and infrastructure planning</w:t>
      </w:r>
      <w:r>
        <w:rPr>
          <w:rFonts w:eastAsia="Calibri" w:cs="Calibri"/>
        </w:rPr>
        <w:t xml:space="preserve">, Unpublished case study prepared for the </w:t>
      </w:r>
      <w:r>
        <w:rPr>
          <w:rFonts w:eastAsia="Calibri" w:cs="Calibri"/>
          <w:iCs/>
        </w:rPr>
        <w:t>Global Report on Human Settlements 2009.</w:t>
      </w:r>
      <w:r>
        <w:rPr>
          <w:rFonts w:eastAsia="Calibri" w:cs="Calibri"/>
        </w:rPr>
        <w:t xml:space="preserve"> Retrieved May 12, 2012 from </w:t>
      </w:r>
      <w:hyperlink r:id="rId9" w:history="1">
        <w:r>
          <w:rPr>
            <w:rStyle w:val="Hyperlink"/>
          </w:rPr>
          <w:t>http://www.unhabitat.org/downloads/docs/GRHS2009CaseStudyChapter08Durban.pdf</w:t>
        </w:r>
      </w:hyperlink>
      <w:r>
        <w:rPr>
          <w:rFonts w:eastAsia="Calibri" w:cs="Calibri"/>
        </w:rPr>
        <w:t>.</w:t>
      </w:r>
    </w:p>
    <w:p w:rsidR="006B3F1C" w:rsidRDefault="006B3F1C">
      <w:pPr>
        <w:widowControl w:val="0"/>
        <w:spacing w:after="0" w:line="360" w:lineRule="auto"/>
        <w:ind w:left="284" w:hanging="284"/>
        <w:rPr>
          <w:rFonts w:eastAsia="Calibri" w:cs="Calibri"/>
        </w:rPr>
      </w:pPr>
      <w:r>
        <w:rPr>
          <w:rFonts w:eastAsia="Calibri" w:cs="Calibri"/>
          <w:bCs/>
        </w:rPr>
        <w:t>Brodsky, H. &amp; Hakkert, A.S. (1988). Risk of a road accident in rainy weather</w:t>
      </w:r>
      <w:r w:rsidR="003727FD">
        <w:rPr>
          <w:rFonts w:eastAsia="Calibri" w:cs="Calibri"/>
          <w:bCs/>
        </w:rPr>
        <w:t>.</w:t>
      </w:r>
      <w:r>
        <w:rPr>
          <w:rFonts w:eastAsia="Calibri" w:cs="Calibri"/>
          <w:bCs/>
        </w:rPr>
        <w:t xml:space="preserve"> </w:t>
      </w:r>
      <w:hyperlink r:id="rId10" w:history="1">
        <w:r w:rsidR="00524662" w:rsidRPr="00524662">
          <w:rPr>
            <w:rStyle w:val="Hyperlink"/>
            <w:i/>
            <w:color w:val="auto"/>
            <w:u w:val="none"/>
          </w:rPr>
          <w:t>Accident Analysis and Prevention</w:t>
        </w:r>
      </w:hyperlink>
      <w:r w:rsidR="00524662" w:rsidRPr="00524662">
        <w:rPr>
          <w:rFonts w:eastAsia="Calibri" w:cs="Calibri"/>
        </w:rPr>
        <w:t xml:space="preserve">, </w:t>
      </w:r>
      <w:r w:rsidRPr="00043C75">
        <w:rPr>
          <w:rFonts w:eastAsia="Calibri" w:cs="Calibri"/>
          <w:i/>
        </w:rPr>
        <w:t>20</w:t>
      </w:r>
      <w:r w:rsidRPr="003727FD">
        <w:rPr>
          <w:rFonts w:eastAsia="Calibri" w:cs="Calibri"/>
        </w:rPr>
        <w:t>(3), 161-176.</w:t>
      </w:r>
    </w:p>
    <w:p w:rsidR="006B3F1C" w:rsidRPr="003727FD" w:rsidRDefault="006B3F1C">
      <w:pPr>
        <w:widowControl w:val="0"/>
        <w:spacing w:after="0" w:line="360" w:lineRule="auto"/>
        <w:ind w:left="284" w:hanging="284"/>
        <w:rPr>
          <w:rFonts w:eastAsia="Calibri" w:cs="Calibri"/>
        </w:rPr>
      </w:pPr>
      <w:r>
        <w:rPr>
          <w:rFonts w:eastAsia="Calibri" w:cs="Calibri"/>
        </w:rPr>
        <w:t>Carstairs, V. (1981). Small area analysis and health service research</w:t>
      </w:r>
      <w:r w:rsidR="003727FD">
        <w:rPr>
          <w:rFonts w:eastAsia="Calibri" w:cs="Calibri"/>
        </w:rPr>
        <w:t>.</w:t>
      </w:r>
      <w:r>
        <w:rPr>
          <w:rFonts w:eastAsia="Calibri" w:cs="Calibri"/>
        </w:rPr>
        <w:t xml:space="preserve"> </w:t>
      </w:r>
      <w:r>
        <w:rPr>
          <w:rFonts w:eastAsia="Calibri" w:cs="Calibri"/>
          <w:i/>
        </w:rPr>
        <w:t>Community Medicine</w:t>
      </w:r>
      <w:r w:rsidR="00524662" w:rsidRPr="00524662">
        <w:rPr>
          <w:rFonts w:eastAsia="Calibri" w:cs="Calibri"/>
        </w:rPr>
        <w:t xml:space="preserve">, </w:t>
      </w:r>
      <w:r w:rsidRPr="00043C75">
        <w:rPr>
          <w:rFonts w:eastAsia="Calibri" w:cs="Calibri"/>
          <w:i/>
        </w:rPr>
        <w:t>3</w:t>
      </w:r>
      <w:r w:rsidRPr="003727FD">
        <w:rPr>
          <w:rFonts w:eastAsia="Calibri" w:cs="Calibri"/>
        </w:rPr>
        <w:t>, 131-139.</w:t>
      </w:r>
    </w:p>
    <w:p w:rsidR="006B3F1C" w:rsidRDefault="006B3F1C">
      <w:pPr>
        <w:widowControl w:val="0"/>
        <w:spacing w:after="0" w:line="360" w:lineRule="auto"/>
        <w:ind w:left="284" w:hanging="284"/>
        <w:rPr>
          <w:rFonts w:eastAsia="Calibri" w:cs="Calibri"/>
          <w:bCs/>
        </w:rPr>
      </w:pPr>
      <w:r>
        <w:rPr>
          <w:rFonts w:eastAsia="Calibri" w:cs="Calibri"/>
        </w:rPr>
        <w:t xml:space="preserve">Chen, B.B.S., Maio, R.F., Green, P.E. &amp; Burney, R.E. (1995). Geographic variation in preventable deaths from motor vehicle crashes, </w:t>
      </w:r>
      <w:r>
        <w:rPr>
          <w:rFonts w:eastAsia="Calibri" w:cs="Calibri"/>
          <w:i/>
        </w:rPr>
        <w:t>Journal of Trauma, 38</w:t>
      </w:r>
      <w:r>
        <w:rPr>
          <w:rFonts w:eastAsia="Calibri" w:cs="Calibri"/>
        </w:rPr>
        <w:t>, 228-232.</w:t>
      </w:r>
    </w:p>
    <w:p w:rsidR="006B3F1C" w:rsidRDefault="006B3F1C">
      <w:pPr>
        <w:widowControl w:val="0"/>
        <w:spacing w:after="0" w:line="360" w:lineRule="auto"/>
        <w:ind w:left="284" w:hanging="284"/>
        <w:rPr>
          <w:rFonts w:eastAsia="Calibri" w:cs="Calibri"/>
        </w:rPr>
      </w:pPr>
      <w:r>
        <w:rPr>
          <w:rFonts w:eastAsia="Calibri" w:cs="Calibri"/>
          <w:bCs/>
        </w:rPr>
        <w:t>Chen, H.Y., Ivers, R.Q., Martiniuk, A.L.C., Boufous, S., Senserrick, T., Woodward, M., Stevenson, M., Williamson, A. &amp; Norton, R (2009). Risk and type of crash among young drivers by rurality of residence: Findings from the DRIVE study</w:t>
      </w:r>
      <w:r w:rsidR="003727FD">
        <w:rPr>
          <w:rFonts w:eastAsia="Calibri" w:cs="Calibri"/>
          <w:bCs/>
        </w:rPr>
        <w:t>.</w:t>
      </w:r>
      <w:r>
        <w:rPr>
          <w:rFonts w:eastAsia="Calibri" w:cs="Calibri"/>
          <w:bCs/>
        </w:rPr>
        <w:t xml:space="preserve"> </w:t>
      </w:r>
      <w:r>
        <w:rPr>
          <w:rFonts w:eastAsia="Calibri" w:cs="Calibri"/>
          <w:i/>
          <w:iCs/>
        </w:rPr>
        <w:t>Accident Analysis and Prevention</w:t>
      </w:r>
      <w:r w:rsidR="00524662" w:rsidRPr="00524662">
        <w:rPr>
          <w:rFonts w:eastAsia="Calibri" w:cs="Calibri"/>
          <w:iCs/>
        </w:rPr>
        <w:t xml:space="preserve">, </w:t>
      </w:r>
      <w:r w:rsidRPr="00043C75">
        <w:rPr>
          <w:rFonts w:eastAsia="Calibri" w:cs="Calibri"/>
          <w:i/>
          <w:iCs/>
        </w:rPr>
        <w:t>41</w:t>
      </w:r>
      <w:r w:rsidRPr="003727FD">
        <w:rPr>
          <w:rFonts w:eastAsia="Calibri" w:cs="Calibri"/>
          <w:iCs/>
        </w:rPr>
        <w:t>(4), pp. 679-682.</w:t>
      </w:r>
    </w:p>
    <w:p w:rsidR="006B3F1C" w:rsidRDefault="006B3F1C">
      <w:pPr>
        <w:widowControl w:val="0"/>
        <w:spacing w:after="0" w:line="360" w:lineRule="auto"/>
        <w:ind w:left="284" w:hanging="284"/>
        <w:rPr>
          <w:rFonts w:eastAsia="Calibri" w:cs="Calibri"/>
        </w:rPr>
      </w:pPr>
      <w:r>
        <w:rPr>
          <w:rFonts w:eastAsia="Calibri" w:cs="Calibri"/>
        </w:rPr>
        <w:t xml:space="preserve">Christie, N. (1995). </w:t>
      </w:r>
      <w:r>
        <w:rPr>
          <w:rFonts w:eastAsia="Calibri" w:cs="Calibri"/>
          <w:i/>
        </w:rPr>
        <w:t>The high risk child pedestrians: socio-economic and environmental factors in their accidents</w:t>
      </w:r>
      <w:r>
        <w:rPr>
          <w:rFonts w:eastAsia="Calibri" w:cs="Calibri"/>
        </w:rPr>
        <w:t xml:space="preserve">, TRRL Project Report 11. Crowthorne: Transport Road Research Laboratory.  </w:t>
      </w:r>
    </w:p>
    <w:p w:rsidR="006B3F1C" w:rsidRDefault="006B3F1C">
      <w:pPr>
        <w:widowControl w:val="0"/>
        <w:spacing w:after="0" w:line="360" w:lineRule="auto"/>
        <w:ind w:left="284" w:hanging="284"/>
        <w:rPr>
          <w:rFonts w:eastAsia="Calibri" w:cs="Calibri"/>
        </w:rPr>
      </w:pPr>
      <w:r>
        <w:rPr>
          <w:rFonts w:eastAsia="Calibri" w:cs="Calibri"/>
        </w:rPr>
        <w:t>Coovadia, H., Jewkes, R., Barron, P., Sanders, D. &amp; McIntyre, D. (2009). The health and health systems of South Africa: historical roots of current public health issues</w:t>
      </w:r>
      <w:r w:rsidR="003727FD">
        <w:rPr>
          <w:rFonts w:eastAsia="Calibri" w:cs="Calibri"/>
        </w:rPr>
        <w:t>.</w:t>
      </w:r>
      <w:r>
        <w:rPr>
          <w:rFonts w:eastAsia="Calibri" w:cs="Calibri"/>
        </w:rPr>
        <w:t xml:space="preserve"> </w:t>
      </w:r>
      <w:r>
        <w:rPr>
          <w:rFonts w:eastAsia="Calibri" w:cs="Calibri"/>
          <w:i/>
        </w:rPr>
        <w:t>The Lancet</w:t>
      </w:r>
      <w:r w:rsidR="00524662" w:rsidRPr="00524662">
        <w:rPr>
          <w:rFonts w:eastAsia="Calibri" w:cs="Calibri"/>
        </w:rPr>
        <w:t xml:space="preserve">, </w:t>
      </w:r>
      <w:r w:rsidRPr="00043C75">
        <w:rPr>
          <w:rFonts w:eastAsia="Calibri" w:cs="Calibri"/>
          <w:i/>
        </w:rPr>
        <w:t>374</w:t>
      </w:r>
      <w:r w:rsidR="00524662" w:rsidRPr="00524662">
        <w:rPr>
          <w:rFonts w:eastAsia="Calibri" w:cs="Calibri"/>
        </w:rPr>
        <w:t>,</w:t>
      </w:r>
      <w:r w:rsidRPr="003727FD">
        <w:rPr>
          <w:rFonts w:eastAsia="Calibri" w:cs="Calibri"/>
        </w:rPr>
        <w:t xml:space="preserve"> 11- 28.</w:t>
      </w:r>
    </w:p>
    <w:p w:rsidR="006B3F1C" w:rsidRDefault="006B3F1C">
      <w:pPr>
        <w:widowControl w:val="0"/>
        <w:spacing w:after="0" w:line="360" w:lineRule="auto"/>
        <w:ind w:left="284" w:hanging="284"/>
        <w:rPr>
          <w:rFonts w:eastAsia="Calibri" w:cs="Calibri"/>
        </w:rPr>
      </w:pPr>
      <w:r>
        <w:rPr>
          <w:rFonts w:eastAsia="Calibri" w:cs="Calibri"/>
        </w:rPr>
        <w:t xml:space="preserve">Department of Provincial and Local Government (DPLG) and Business Trust. (2007). </w:t>
      </w:r>
      <w:r>
        <w:rPr>
          <w:rFonts w:eastAsia="Calibri" w:cs="Calibri"/>
          <w:i/>
        </w:rPr>
        <w:t xml:space="preserve">Expanding economic opportunity in the Presidential poverty nodes. </w:t>
      </w:r>
      <w:r>
        <w:rPr>
          <w:rFonts w:eastAsia="Calibri" w:cs="Calibri"/>
        </w:rPr>
        <w:t xml:space="preserve">Pretoria: Provincial and Local Government </w:t>
      </w:r>
      <w:r>
        <w:rPr>
          <w:rFonts w:eastAsia="Calibri" w:cs="Calibri"/>
        </w:rPr>
        <w:lastRenderedPageBreak/>
        <w:t>and Business Trust.</w:t>
      </w:r>
    </w:p>
    <w:p w:rsidR="006B3F1C" w:rsidRDefault="006B3F1C">
      <w:pPr>
        <w:widowControl w:val="0"/>
        <w:spacing w:after="0" w:line="360" w:lineRule="auto"/>
        <w:ind w:left="284" w:hanging="284"/>
        <w:rPr>
          <w:rFonts w:eastAsia="Calibri" w:cs="Calibri"/>
        </w:rPr>
      </w:pPr>
      <w:r>
        <w:rPr>
          <w:rFonts w:eastAsia="Calibri" w:cs="Calibri"/>
        </w:rPr>
        <w:t xml:space="preserve">Dray, J., McGill, A., Muller, G., Muller, K. &amp; Skinner, D. (2006). </w:t>
      </w:r>
      <w:r>
        <w:rPr>
          <w:rFonts w:eastAsia="Calibri" w:cs="Calibri"/>
          <w:i/>
        </w:rPr>
        <w:t>eThekwini Municipality Economic Review 2006/2007</w:t>
      </w:r>
      <w:r>
        <w:rPr>
          <w:rFonts w:eastAsia="Calibri" w:cs="Calibri"/>
        </w:rPr>
        <w:t xml:space="preserve">. Durban:  eThekwini Municipality. </w:t>
      </w:r>
    </w:p>
    <w:p w:rsidR="006B3F1C" w:rsidRPr="003727FD" w:rsidRDefault="006B3F1C">
      <w:pPr>
        <w:widowControl w:val="0"/>
        <w:spacing w:after="0" w:line="360" w:lineRule="auto"/>
        <w:ind w:left="284" w:hanging="284"/>
        <w:rPr>
          <w:rFonts w:eastAsia="Calibri" w:cs="Calibri"/>
          <w:lang w:val="en-ZA"/>
        </w:rPr>
      </w:pPr>
      <w:r>
        <w:rPr>
          <w:rFonts w:eastAsia="Calibri" w:cs="Calibri"/>
        </w:rPr>
        <w:t>Dumbaugh, E. &amp; Rae, R. (2009). Safe urban form: revisiting the relationship between community design and traffic safety</w:t>
      </w:r>
      <w:r w:rsidR="003727FD">
        <w:rPr>
          <w:rFonts w:eastAsia="Calibri" w:cs="Calibri"/>
        </w:rPr>
        <w:t>.</w:t>
      </w:r>
      <w:r>
        <w:rPr>
          <w:rFonts w:eastAsia="Calibri" w:cs="Calibri"/>
        </w:rPr>
        <w:t xml:space="preserve"> </w:t>
      </w:r>
      <w:r>
        <w:rPr>
          <w:rFonts w:eastAsia="Calibri" w:cs="Calibri"/>
          <w:i/>
        </w:rPr>
        <w:t>Journal of the American Planning Association</w:t>
      </w:r>
      <w:r w:rsidR="00524662" w:rsidRPr="00524662">
        <w:rPr>
          <w:rFonts w:eastAsia="Calibri" w:cs="Calibri"/>
        </w:rPr>
        <w:t xml:space="preserve">, </w:t>
      </w:r>
      <w:r w:rsidRPr="00043C75">
        <w:rPr>
          <w:rFonts w:eastAsia="Calibri" w:cs="Calibri"/>
          <w:i/>
        </w:rPr>
        <w:t>75</w:t>
      </w:r>
      <w:r w:rsidRPr="003727FD">
        <w:rPr>
          <w:rFonts w:eastAsia="Calibri" w:cs="Calibri"/>
        </w:rPr>
        <w:t>(3), 309–330.</w:t>
      </w:r>
    </w:p>
    <w:p w:rsidR="006B3F1C" w:rsidRDefault="006B3F1C">
      <w:pPr>
        <w:widowControl w:val="0"/>
        <w:spacing w:after="0" w:line="360" w:lineRule="auto"/>
        <w:ind w:left="284" w:hanging="284"/>
        <w:rPr>
          <w:rFonts w:eastAsia="Calibri" w:cs="Calibri"/>
        </w:rPr>
      </w:pPr>
      <w:r>
        <w:rPr>
          <w:rFonts w:eastAsia="Calibri" w:cs="Calibri"/>
        </w:rPr>
        <w:t xml:space="preserve">eThekwini Municipality. (2002). </w:t>
      </w:r>
      <w:r>
        <w:rPr>
          <w:rFonts w:eastAsia="Calibri" w:cs="Calibri"/>
          <w:i/>
        </w:rPr>
        <w:t xml:space="preserve">eThekwini Municipality Integrated Development Plan 2002 – 2006. </w:t>
      </w:r>
      <w:r>
        <w:rPr>
          <w:rFonts w:eastAsia="Calibri" w:cs="Calibri"/>
        </w:rPr>
        <w:t>Durban: eThekwini Municipality.</w:t>
      </w:r>
    </w:p>
    <w:p w:rsidR="006B3F1C" w:rsidRDefault="006B3F1C">
      <w:pPr>
        <w:widowControl w:val="0"/>
        <w:spacing w:after="0" w:line="360" w:lineRule="auto"/>
        <w:ind w:left="284" w:hanging="284"/>
        <w:rPr>
          <w:rFonts w:eastAsia="Calibri" w:cs="Calibri"/>
        </w:rPr>
      </w:pPr>
      <w:r>
        <w:rPr>
          <w:rFonts w:eastAsia="Calibri" w:cs="Calibri"/>
        </w:rPr>
        <w:t xml:space="preserve">eThekwini Municipality. (2011). </w:t>
      </w:r>
      <w:r>
        <w:rPr>
          <w:rFonts w:eastAsia="Calibri" w:cs="Calibri"/>
          <w:i/>
        </w:rPr>
        <w:t xml:space="preserve">eThekwini Municipality Integrated Development Plan: 2011 to 2016. </w:t>
      </w:r>
      <w:r>
        <w:rPr>
          <w:rFonts w:eastAsia="Calibri" w:cs="Calibri"/>
        </w:rPr>
        <w:t>Durban: eThekwini Municipality.</w:t>
      </w:r>
    </w:p>
    <w:p w:rsidR="006B3F1C" w:rsidRDefault="006B3F1C">
      <w:pPr>
        <w:widowControl w:val="0"/>
        <w:spacing w:after="0" w:line="360" w:lineRule="auto"/>
        <w:ind w:left="284" w:hanging="284"/>
        <w:rPr>
          <w:rFonts w:eastAsia="Calibri" w:cs="Calibri"/>
        </w:rPr>
      </w:pPr>
      <w:r>
        <w:rPr>
          <w:rFonts w:eastAsia="Calibri" w:cs="Calibri"/>
        </w:rPr>
        <w:t xml:space="preserve">Gordhan, P. (2012). </w:t>
      </w:r>
      <w:r>
        <w:rPr>
          <w:rFonts w:eastAsia="Calibri" w:cs="Calibri"/>
          <w:bCs/>
          <w:i/>
        </w:rPr>
        <w:t>2012 Budget Speech by Minister of Finance Pravin Gordhan</w:t>
      </w:r>
      <w:r>
        <w:rPr>
          <w:rFonts w:eastAsia="Calibri" w:cs="Calibri"/>
          <w:bCs/>
        </w:rPr>
        <w:t xml:space="preserve">, Presented at Parliament on 22 February 2012, Cape Town, Western Cape. Retrieved March 01, 2012 from </w:t>
      </w:r>
      <w:hyperlink r:id="rId11" w:history="1">
        <w:r>
          <w:rPr>
            <w:rStyle w:val="Hyperlink"/>
          </w:rPr>
          <w:t>http://www.info.gov.za/speech/DynamicAction?pageid=461&amp;sid=25270&amp;tid=57402</w:t>
        </w:r>
      </w:hyperlink>
      <w:r>
        <w:rPr>
          <w:rFonts w:eastAsia="Calibri" w:cs="Calibri"/>
        </w:rPr>
        <w:t>.</w:t>
      </w:r>
    </w:p>
    <w:p w:rsidR="006B3F1C" w:rsidRPr="003727FD" w:rsidRDefault="006B3F1C">
      <w:pPr>
        <w:widowControl w:val="0"/>
        <w:spacing w:after="0" w:line="360" w:lineRule="auto"/>
        <w:ind w:left="284" w:hanging="284"/>
        <w:rPr>
          <w:rFonts w:eastAsia="Calibri" w:cs="Calibri"/>
        </w:rPr>
      </w:pPr>
      <w:r>
        <w:rPr>
          <w:rFonts w:eastAsia="Calibri" w:cs="Calibri"/>
        </w:rPr>
        <w:t>Haining, R., Wise, S. &amp; Blake, M. (1994). Constructing regions for small area analysis: material deprivation and colorectal cancer</w:t>
      </w:r>
      <w:r w:rsidR="003727FD">
        <w:rPr>
          <w:rFonts w:eastAsia="Calibri" w:cs="Calibri"/>
        </w:rPr>
        <w:t>.</w:t>
      </w:r>
      <w:r>
        <w:rPr>
          <w:rFonts w:eastAsia="Calibri" w:cs="Calibri"/>
        </w:rPr>
        <w:t xml:space="preserve"> </w:t>
      </w:r>
      <w:r>
        <w:rPr>
          <w:rFonts w:eastAsia="Calibri" w:cs="Calibri"/>
          <w:i/>
        </w:rPr>
        <w:t>Journal of Public Health Medicine</w:t>
      </w:r>
      <w:r w:rsidR="00524662" w:rsidRPr="00524662">
        <w:rPr>
          <w:rFonts w:eastAsia="Calibri" w:cs="Calibri"/>
        </w:rPr>
        <w:t xml:space="preserve">, </w:t>
      </w:r>
      <w:r w:rsidRPr="00043C75">
        <w:rPr>
          <w:rFonts w:eastAsia="Calibri" w:cs="Calibri"/>
          <w:i/>
        </w:rPr>
        <w:t>16</w:t>
      </w:r>
      <w:r w:rsidRPr="003727FD">
        <w:rPr>
          <w:rFonts w:eastAsia="Calibri" w:cs="Calibri"/>
        </w:rPr>
        <w:t>, 429-38.</w:t>
      </w:r>
    </w:p>
    <w:p w:rsidR="006B3F1C" w:rsidRPr="003727FD" w:rsidRDefault="006B3F1C">
      <w:pPr>
        <w:widowControl w:val="0"/>
        <w:spacing w:after="0" w:line="360" w:lineRule="auto"/>
        <w:ind w:left="284" w:hanging="284"/>
        <w:rPr>
          <w:rFonts w:eastAsia="Calibri" w:cs="Calibri"/>
          <w:lang w:val="en-ZA"/>
        </w:rPr>
      </w:pPr>
      <w:r>
        <w:rPr>
          <w:rFonts w:eastAsia="Calibri" w:cs="Calibri"/>
        </w:rPr>
        <w:t>Haynes, R., Lovett, A., Reading, R., Langford, I.H. &amp; Gale, S. (1999). Use of homogeneous social areas for ecological analyses: A study of accident rates in pre-school children</w:t>
      </w:r>
      <w:r w:rsidR="003727FD">
        <w:rPr>
          <w:rFonts w:eastAsia="Calibri" w:cs="Calibri"/>
        </w:rPr>
        <w:t>.</w:t>
      </w:r>
      <w:r>
        <w:rPr>
          <w:rFonts w:eastAsia="Calibri" w:cs="Calibri"/>
        </w:rPr>
        <w:t xml:space="preserve"> </w:t>
      </w:r>
      <w:r>
        <w:rPr>
          <w:rFonts w:eastAsia="Calibri" w:cs="Calibri"/>
          <w:i/>
        </w:rPr>
        <w:t>European Journal of Public Health</w:t>
      </w:r>
      <w:r w:rsidR="00524662" w:rsidRPr="00524662">
        <w:rPr>
          <w:rFonts w:eastAsia="Calibri" w:cs="Calibri"/>
        </w:rPr>
        <w:t xml:space="preserve">, </w:t>
      </w:r>
      <w:r w:rsidRPr="00043C75">
        <w:rPr>
          <w:rFonts w:eastAsia="Calibri" w:cs="Calibri"/>
          <w:i/>
        </w:rPr>
        <w:t>9</w:t>
      </w:r>
      <w:r w:rsidRPr="003727FD">
        <w:rPr>
          <w:rFonts w:eastAsia="Calibri" w:cs="Calibri"/>
        </w:rPr>
        <w:t>(3), pp. 218-222.</w:t>
      </w:r>
    </w:p>
    <w:p w:rsidR="006B3F1C" w:rsidRPr="003727FD" w:rsidRDefault="006B3F1C">
      <w:pPr>
        <w:widowControl w:val="0"/>
        <w:spacing w:after="0" w:line="360" w:lineRule="auto"/>
        <w:ind w:left="284" w:hanging="284"/>
        <w:rPr>
          <w:rFonts w:eastAsia="Calibri" w:cs="Calibri"/>
        </w:rPr>
      </w:pPr>
      <w:r>
        <w:rPr>
          <w:rFonts w:eastAsia="Calibri" w:cs="Calibri"/>
        </w:rPr>
        <w:t xml:space="preserve">Jia, H., Muennig, P. &amp; Borawski, E. (2004). </w:t>
      </w:r>
      <w:r>
        <w:rPr>
          <w:rFonts w:eastAsia="Calibri" w:cs="Calibri"/>
          <w:bCs/>
        </w:rPr>
        <w:t>Comparison of small-area analysis techniques for estimating county-level outcomes</w:t>
      </w:r>
      <w:r w:rsidR="003727FD">
        <w:rPr>
          <w:rFonts w:eastAsia="Calibri" w:cs="Calibri"/>
          <w:bCs/>
        </w:rPr>
        <w:t>.</w:t>
      </w:r>
      <w:r>
        <w:rPr>
          <w:rFonts w:eastAsia="Calibri" w:cs="Calibri"/>
          <w:bCs/>
        </w:rPr>
        <w:t xml:space="preserve"> </w:t>
      </w:r>
      <w:r>
        <w:rPr>
          <w:rFonts w:eastAsia="Calibri" w:cs="Calibri"/>
          <w:i/>
        </w:rPr>
        <w:t>American Journal of Preventive Medicine</w:t>
      </w:r>
      <w:r w:rsidR="00524662" w:rsidRPr="00524662">
        <w:rPr>
          <w:rFonts w:eastAsia="Calibri" w:cs="Calibri"/>
        </w:rPr>
        <w:t xml:space="preserve">, </w:t>
      </w:r>
      <w:r w:rsidRPr="00043C75">
        <w:rPr>
          <w:rFonts w:eastAsia="Calibri" w:cs="Calibri"/>
          <w:i/>
        </w:rPr>
        <w:t>26</w:t>
      </w:r>
      <w:r w:rsidRPr="003727FD">
        <w:rPr>
          <w:rFonts w:eastAsia="Calibri" w:cs="Calibri"/>
        </w:rPr>
        <w:t>(5), 453–460.</w:t>
      </w:r>
    </w:p>
    <w:p w:rsidR="006B3F1C" w:rsidRDefault="006B3F1C">
      <w:pPr>
        <w:widowControl w:val="0"/>
        <w:spacing w:after="0" w:line="360" w:lineRule="auto"/>
        <w:ind w:left="284" w:hanging="284"/>
        <w:rPr>
          <w:rFonts w:eastAsia="Calibri" w:cs="Calibri"/>
        </w:rPr>
      </w:pPr>
      <w:r>
        <w:rPr>
          <w:rFonts w:eastAsia="Calibri" w:cs="Calibri"/>
        </w:rPr>
        <w:t xml:space="preserve">Lyles, R.W., Campbell K.L., Blower D.F. &amp; Stamatiadis, P. (1991). Differential Truck Accident Rates for Michigan. </w:t>
      </w:r>
      <w:r>
        <w:rPr>
          <w:rFonts w:eastAsia="Calibri" w:cs="Calibri"/>
          <w:i/>
        </w:rPr>
        <w:t>Transportation Research Record: Journal of the Transportation Research Board, 1322</w:t>
      </w:r>
      <w:r>
        <w:rPr>
          <w:rFonts w:eastAsia="Calibri" w:cs="Calibri"/>
        </w:rPr>
        <w:t xml:space="preserve">, 62–69. </w:t>
      </w:r>
    </w:p>
    <w:p w:rsidR="006B3F1C" w:rsidRPr="003727FD" w:rsidRDefault="006B3F1C">
      <w:pPr>
        <w:widowControl w:val="0"/>
        <w:spacing w:after="0" w:line="360" w:lineRule="auto"/>
        <w:ind w:left="284" w:hanging="284"/>
        <w:rPr>
          <w:rFonts w:eastAsia="Calibri" w:cs="Calibri"/>
        </w:rPr>
      </w:pPr>
      <w:r>
        <w:rPr>
          <w:rFonts w:eastAsia="Calibri" w:cs="Calibri"/>
        </w:rPr>
        <w:t xml:space="preserve">MacNab, Y.C. (2004). Bayesian spatial and ecological models for small-area accident and injury analysis. </w:t>
      </w:r>
      <w:r>
        <w:rPr>
          <w:rFonts w:eastAsia="Calibri" w:cs="Calibri"/>
          <w:i/>
        </w:rPr>
        <w:t>Accident Analysis and Prevention</w:t>
      </w:r>
      <w:r w:rsidR="00524662" w:rsidRPr="00524662">
        <w:rPr>
          <w:rFonts w:eastAsia="Calibri" w:cs="Calibri"/>
        </w:rPr>
        <w:t xml:space="preserve">, </w:t>
      </w:r>
      <w:r w:rsidRPr="00043C75">
        <w:rPr>
          <w:rFonts w:eastAsia="Calibri" w:cs="Calibri"/>
          <w:i/>
        </w:rPr>
        <w:t>36</w:t>
      </w:r>
      <w:r w:rsidRPr="003727FD">
        <w:rPr>
          <w:rFonts w:eastAsia="Calibri" w:cs="Calibri"/>
        </w:rPr>
        <w:t>, 1019–1028.</w:t>
      </w:r>
    </w:p>
    <w:p w:rsidR="006B3F1C" w:rsidRDefault="006B3F1C">
      <w:pPr>
        <w:widowControl w:val="0"/>
        <w:spacing w:after="0" w:line="360" w:lineRule="auto"/>
        <w:ind w:left="284" w:hanging="284"/>
        <w:rPr>
          <w:rFonts w:eastAsia="Calibri" w:cs="Calibri"/>
        </w:rPr>
      </w:pPr>
      <w:r>
        <w:rPr>
          <w:rFonts w:eastAsia="Calibri" w:cs="Calibri"/>
        </w:rPr>
        <w:t xml:space="preserve">Macpherson, A., Roberts, I. &amp; Pless, I.B. (1998). Children’s exposure to traffic and pedestrian injuries. </w:t>
      </w:r>
      <w:r>
        <w:rPr>
          <w:rFonts w:eastAsia="Calibri" w:cs="Calibri"/>
          <w:i/>
        </w:rPr>
        <w:t>American Journal of Public Health</w:t>
      </w:r>
      <w:r w:rsidR="00524662" w:rsidRPr="00524662">
        <w:rPr>
          <w:rFonts w:eastAsia="Calibri" w:cs="Calibri"/>
        </w:rPr>
        <w:t xml:space="preserve">, </w:t>
      </w:r>
      <w:r w:rsidRPr="00043C75">
        <w:rPr>
          <w:rFonts w:eastAsia="Calibri" w:cs="Calibri"/>
          <w:i/>
        </w:rPr>
        <w:t>88</w:t>
      </w:r>
      <w:r w:rsidRPr="003727FD">
        <w:rPr>
          <w:rFonts w:eastAsia="Calibri" w:cs="Calibri"/>
        </w:rPr>
        <w:t>(12), 1840–1843.</w:t>
      </w:r>
      <w:r>
        <w:rPr>
          <w:rFonts w:eastAsia="Calibri" w:cs="Calibri"/>
        </w:rPr>
        <w:t xml:space="preserve"> </w:t>
      </w:r>
    </w:p>
    <w:p w:rsidR="006B3F1C" w:rsidRPr="003727FD" w:rsidRDefault="006B3F1C">
      <w:pPr>
        <w:widowControl w:val="0"/>
        <w:spacing w:after="0" w:line="360" w:lineRule="auto"/>
        <w:ind w:left="284" w:hanging="284"/>
        <w:rPr>
          <w:rFonts w:eastAsia="Calibri" w:cs="Calibri"/>
        </w:rPr>
      </w:pPr>
      <w:r>
        <w:rPr>
          <w:rFonts w:eastAsia="Calibri" w:cs="Calibri"/>
        </w:rPr>
        <w:t>Muelleman, R.L. &amp; Mueller, K. (1996). Fatal motor vehicle crashes: variations of crash characteristics within rural regions of different population densities</w:t>
      </w:r>
      <w:r w:rsidR="003727FD">
        <w:rPr>
          <w:rFonts w:eastAsia="Calibri" w:cs="Calibri"/>
        </w:rPr>
        <w:t>.</w:t>
      </w:r>
      <w:r>
        <w:rPr>
          <w:rFonts w:eastAsia="Calibri" w:cs="Calibri"/>
        </w:rPr>
        <w:t xml:space="preserve"> </w:t>
      </w:r>
      <w:r>
        <w:rPr>
          <w:rFonts w:eastAsia="Calibri" w:cs="Calibri"/>
          <w:i/>
          <w:iCs/>
        </w:rPr>
        <w:t>Journal of Trauma</w:t>
      </w:r>
      <w:r w:rsidR="00524662" w:rsidRPr="00524662">
        <w:rPr>
          <w:rFonts w:eastAsia="Calibri" w:cs="Calibri"/>
          <w:iCs/>
        </w:rPr>
        <w:t xml:space="preserve">, </w:t>
      </w:r>
      <w:r w:rsidRPr="00043C75">
        <w:rPr>
          <w:rFonts w:eastAsia="Calibri" w:cs="Calibri"/>
          <w:i/>
          <w:iCs/>
        </w:rPr>
        <w:t>41</w:t>
      </w:r>
      <w:r w:rsidRPr="003727FD">
        <w:rPr>
          <w:rFonts w:eastAsia="Calibri" w:cs="Calibri"/>
        </w:rPr>
        <w:t>, 315-320.</w:t>
      </w:r>
    </w:p>
    <w:p w:rsidR="006B3F1C" w:rsidRDefault="006B3F1C">
      <w:pPr>
        <w:widowControl w:val="0"/>
        <w:spacing w:after="0" w:line="360" w:lineRule="auto"/>
        <w:ind w:left="284" w:hanging="284"/>
        <w:rPr>
          <w:rFonts w:eastAsia="Calibri" w:cs="Calibri"/>
        </w:rPr>
      </w:pPr>
      <w:r>
        <w:rPr>
          <w:rFonts w:eastAsia="Calibri" w:cs="Calibri"/>
        </w:rPr>
        <w:t>Noland, R.B. &amp; Quddus, M.A. (2004). A spatially disaggregate analysis of road casualties in England</w:t>
      </w:r>
      <w:r w:rsidR="003727FD">
        <w:rPr>
          <w:rFonts w:eastAsia="Calibri" w:cs="Calibri"/>
        </w:rPr>
        <w:t>.</w:t>
      </w:r>
      <w:r>
        <w:rPr>
          <w:rFonts w:eastAsia="Calibri" w:cs="Calibri"/>
        </w:rPr>
        <w:t xml:space="preserve"> </w:t>
      </w:r>
      <w:r>
        <w:rPr>
          <w:rFonts w:eastAsia="Calibri" w:cs="Calibri"/>
          <w:i/>
          <w:iCs/>
        </w:rPr>
        <w:t>Accident Analysis and Prevention</w:t>
      </w:r>
      <w:r w:rsidR="00524662" w:rsidRPr="00524662">
        <w:rPr>
          <w:rFonts w:eastAsia="Calibri" w:cs="Calibri"/>
          <w:iCs/>
        </w:rPr>
        <w:t xml:space="preserve">, </w:t>
      </w:r>
      <w:r w:rsidRPr="00043C75">
        <w:rPr>
          <w:rFonts w:eastAsia="Calibri" w:cs="Calibri"/>
          <w:i/>
        </w:rPr>
        <w:t>36</w:t>
      </w:r>
      <w:r w:rsidRPr="003727FD">
        <w:rPr>
          <w:rFonts w:eastAsia="Calibri" w:cs="Calibri"/>
        </w:rPr>
        <w:t>, 973-984</w:t>
      </w:r>
      <w:r>
        <w:rPr>
          <w:rFonts w:eastAsia="Calibri" w:cs="Calibri"/>
        </w:rPr>
        <w:t>.</w:t>
      </w:r>
    </w:p>
    <w:p w:rsidR="006B3F1C" w:rsidRDefault="006B3F1C">
      <w:pPr>
        <w:widowControl w:val="0"/>
        <w:spacing w:after="0" w:line="360" w:lineRule="auto"/>
        <w:ind w:left="284" w:hanging="284"/>
        <w:rPr>
          <w:rFonts w:eastAsia="Calibri" w:cs="Calibri"/>
        </w:rPr>
      </w:pPr>
      <w:r>
        <w:rPr>
          <w:rFonts w:eastAsia="Calibri" w:cs="Calibri"/>
        </w:rPr>
        <w:t xml:space="preserve">Organisation for Economic Co-operation and Development (OECD). (2003). </w:t>
      </w:r>
      <w:r>
        <w:rPr>
          <w:rFonts w:eastAsia="Calibri" w:cs="Calibri"/>
          <w:i/>
        </w:rPr>
        <w:t>Road Safety: Impact of New Technologies</w:t>
      </w:r>
      <w:r>
        <w:rPr>
          <w:rFonts w:eastAsia="Calibri" w:cs="Calibri"/>
        </w:rPr>
        <w:t>. Paris, France: OECD Publishing.</w:t>
      </w:r>
    </w:p>
    <w:p w:rsidR="006B3F1C" w:rsidRDefault="006B3F1C">
      <w:pPr>
        <w:widowControl w:val="0"/>
        <w:spacing w:after="0" w:line="360" w:lineRule="auto"/>
        <w:ind w:left="284" w:hanging="284"/>
        <w:rPr>
          <w:rFonts w:eastAsia="Calibri" w:cs="Calibri"/>
        </w:rPr>
      </w:pPr>
      <w:r>
        <w:rPr>
          <w:rFonts w:eastAsia="Calibri" w:cs="Calibri"/>
        </w:rPr>
        <w:t xml:space="preserve">Peden, M., Scurfield, R., Sleet, D., Mohan, D., Hyder, A.A., Jarawan, E. &amp; Mathers, C. (2004). </w:t>
      </w:r>
      <w:r>
        <w:rPr>
          <w:rFonts w:eastAsia="Calibri" w:cs="Calibri"/>
          <w:i/>
        </w:rPr>
        <w:t>World report on road traffic injury prevention</w:t>
      </w:r>
      <w:r>
        <w:rPr>
          <w:rFonts w:eastAsia="Calibri" w:cs="Calibri"/>
        </w:rPr>
        <w:t xml:space="preserve">. </w:t>
      </w:r>
      <w:r>
        <w:rPr>
          <w:rFonts w:eastAsia="Calibri" w:cs="Calibri"/>
          <w:iCs/>
        </w:rPr>
        <w:t>Geneva: World Health Organization.</w:t>
      </w:r>
    </w:p>
    <w:p w:rsidR="006B3F1C" w:rsidRDefault="006B3F1C">
      <w:pPr>
        <w:widowControl w:val="0"/>
        <w:spacing w:after="0" w:line="360" w:lineRule="auto"/>
        <w:ind w:left="284" w:hanging="284"/>
        <w:rPr>
          <w:rFonts w:eastAsia="Calibri" w:cs="Calibri"/>
        </w:rPr>
      </w:pPr>
      <w:r>
        <w:rPr>
          <w:rFonts w:eastAsia="Calibri" w:cs="Calibri"/>
        </w:rPr>
        <w:t>Petch, R.O. &amp; Henson, R.R. (2000). Child road safety in the urban environment</w:t>
      </w:r>
      <w:r w:rsidR="003727FD">
        <w:rPr>
          <w:rFonts w:eastAsia="Calibri" w:cs="Calibri"/>
        </w:rPr>
        <w:t>.</w:t>
      </w:r>
      <w:r>
        <w:rPr>
          <w:rFonts w:eastAsia="Calibri" w:cs="Calibri"/>
        </w:rPr>
        <w:t xml:space="preserve"> </w:t>
      </w:r>
      <w:r>
        <w:rPr>
          <w:rFonts w:eastAsia="Calibri" w:cs="Calibri"/>
          <w:i/>
          <w:iCs/>
        </w:rPr>
        <w:t>Journal of Transport Geography</w:t>
      </w:r>
      <w:r w:rsidR="00524662" w:rsidRPr="00524662">
        <w:rPr>
          <w:rFonts w:eastAsia="Calibri" w:cs="Calibri"/>
          <w:iCs/>
        </w:rPr>
        <w:t xml:space="preserve">, </w:t>
      </w:r>
      <w:r w:rsidRPr="00043C75">
        <w:rPr>
          <w:rFonts w:eastAsia="Calibri" w:cs="Calibri"/>
          <w:i/>
          <w:iCs/>
        </w:rPr>
        <w:t>8</w:t>
      </w:r>
      <w:r w:rsidRPr="003727FD">
        <w:rPr>
          <w:rFonts w:eastAsia="Calibri" w:cs="Calibri"/>
        </w:rPr>
        <w:t>, 197-211.</w:t>
      </w:r>
    </w:p>
    <w:p w:rsidR="006B3F1C" w:rsidRPr="003727FD" w:rsidRDefault="006B3F1C">
      <w:pPr>
        <w:widowControl w:val="0"/>
        <w:spacing w:after="0" w:line="360" w:lineRule="auto"/>
        <w:ind w:left="284" w:hanging="284"/>
        <w:rPr>
          <w:rFonts w:eastAsia="Calibri" w:cs="Calibri"/>
        </w:rPr>
      </w:pPr>
      <w:r>
        <w:rPr>
          <w:rFonts w:eastAsia="Calibri" w:cs="Calibri"/>
        </w:rPr>
        <w:lastRenderedPageBreak/>
        <w:t>Ravallion, M., Chen, S. &amp; Sangraula, P. (2007). The Urbanization of Global Poverty</w:t>
      </w:r>
      <w:r w:rsidR="003727FD">
        <w:rPr>
          <w:rFonts w:eastAsia="Calibri" w:cs="Calibri"/>
        </w:rPr>
        <w:t>.</w:t>
      </w:r>
      <w:r>
        <w:rPr>
          <w:rFonts w:eastAsia="Calibri" w:cs="Calibri"/>
          <w:i/>
        </w:rPr>
        <w:t xml:space="preserve"> World Bank Research Digest</w:t>
      </w:r>
      <w:r w:rsidR="00524662" w:rsidRPr="00524662">
        <w:rPr>
          <w:rFonts w:eastAsia="Calibri" w:cs="Calibri"/>
        </w:rPr>
        <w:t>, 1</w:t>
      </w:r>
      <w:r w:rsidRPr="003727FD">
        <w:rPr>
          <w:rFonts w:eastAsia="Calibri" w:cs="Calibri"/>
        </w:rPr>
        <w:t>(4).</w:t>
      </w:r>
    </w:p>
    <w:p w:rsidR="006B3F1C" w:rsidRDefault="006B3F1C">
      <w:pPr>
        <w:widowControl w:val="0"/>
        <w:spacing w:after="0" w:line="360" w:lineRule="auto"/>
        <w:ind w:left="284" w:hanging="284"/>
        <w:rPr>
          <w:rFonts w:eastAsia="Calibri" w:cs="Calibri"/>
        </w:rPr>
      </w:pPr>
      <w:r>
        <w:rPr>
          <w:rFonts w:eastAsia="Calibri" w:cs="Calibri"/>
        </w:rPr>
        <w:t>Rivas-Ruiz, F., Perea-Milla, E. &amp; Jimenez-Puente, A. (2007). Geographic variability of fatal road traffic injuries in Spain during the period 2002-2004: an ecological study</w:t>
      </w:r>
      <w:r>
        <w:rPr>
          <w:rFonts w:eastAsia="Calibri" w:cs="Calibri"/>
          <w:i/>
        </w:rPr>
        <w:t>. BMC Public Health</w:t>
      </w:r>
      <w:r w:rsidR="00524662" w:rsidRPr="00524662">
        <w:rPr>
          <w:rFonts w:eastAsia="Calibri" w:cs="Calibri"/>
        </w:rPr>
        <w:t>, 7</w:t>
      </w:r>
      <w:r w:rsidRPr="003727FD">
        <w:rPr>
          <w:rFonts w:eastAsia="Calibri" w:cs="Calibri"/>
        </w:rPr>
        <w:t>.</w:t>
      </w:r>
      <w:r>
        <w:rPr>
          <w:rFonts w:eastAsia="Calibri" w:cs="Calibri"/>
        </w:rPr>
        <w:t xml:space="preserve"> </w:t>
      </w:r>
    </w:p>
    <w:p w:rsidR="006B3F1C" w:rsidRPr="003727FD" w:rsidRDefault="006B3F1C">
      <w:pPr>
        <w:widowControl w:val="0"/>
        <w:spacing w:after="0" w:line="360" w:lineRule="auto"/>
        <w:ind w:left="284" w:hanging="284"/>
        <w:rPr>
          <w:rFonts w:eastAsia="Calibri" w:cs="Calibri"/>
        </w:rPr>
      </w:pPr>
      <w:r>
        <w:rPr>
          <w:rFonts w:eastAsia="Calibri" w:cs="Calibri"/>
        </w:rPr>
        <w:t>Scheiner, J. &amp; Holz-Rau, C. (2011). A residential location approach to traffic safety: Two case studies from Germany</w:t>
      </w:r>
      <w:r w:rsidR="003727FD">
        <w:rPr>
          <w:rFonts w:eastAsia="Calibri" w:cs="Calibri"/>
        </w:rPr>
        <w:t>.</w:t>
      </w:r>
      <w:r>
        <w:rPr>
          <w:rFonts w:eastAsia="Calibri" w:cs="Calibri"/>
        </w:rPr>
        <w:t xml:space="preserve"> </w:t>
      </w:r>
      <w:r>
        <w:rPr>
          <w:rFonts w:eastAsia="Calibri" w:cs="Calibri"/>
          <w:i/>
        </w:rPr>
        <w:t>Accident Analysis and Prevention</w:t>
      </w:r>
      <w:r w:rsidR="00524662" w:rsidRPr="00524662">
        <w:rPr>
          <w:rFonts w:eastAsia="Calibri" w:cs="Calibri"/>
        </w:rPr>
        <w:t xml:space="preserve">, </w:t>
      </w:r>
      <w:r w:rsidRPr="00043C75">
        <w:rPr>
          <w:rFonts w:eastAsia="Calibri" w:cs="Calibri"/>
          <w:i/>
        </w:rPr>
        <w:t>43</w:t>
      </w:r>
      <w:r w:rsidRPr="003727FD">
        <w:rPr>
          <w:rFonts w:eastAsia="Calibri" w:cs="Calibri"/>
        </w:rPr>
        <w:t>, 307-322.</w:t>
      </w:r>
    </w:p>
    <w:p w:rsidR="006B3F1C" w:rsidRPr="003727FD" w:rsidRDefault="006B3F1C">
      <w:pPr>
        <w:widowControl w:val="0"/>
        <w:spacing w:after="0" w:line="360" w:lineRule="auto"/>
        <w:ind w:left="284" w:hanging="284"/>
        <w:rPr>
          <w:rFonts w:eastAsia="Calibri" w:cs="Calibri"/>
        </w:rPr>
      </w:pPr>
      <w:r>
        <w:rPr>
          <w:rFonts w:eastAsia="Calibri" w:cs="Calibri"/>
        </w:rPr>
        <w:t>Seedat, M., Van Niekerk, A., Jewkes, R., Suffla, S. &amp; Ratele, K.</w:t>
      </w:r>
      <w:r>
        <w:rPr>
          <w:rFonts w:eastAsia="Calibri" w:cs="Calibri"/>
          <w:lang w:val="nl-NL"/>
        </w:rPr>
        <w:t xml:space="preserve"> (2009). </w:t>
      </w:r>
      <w:r>
        <w:rPr>
          <w:rFonts w:eastAsia="Calibri" w:cs="Calibri"/>
        </w:rPr>
        <w:t>Violence and injuries in South Africa: Prioritising an agenda for prevention</w:t>
      </w:r>
      <w:r w:rsidR="003727FD">
        <w:rPr>
          <w:rFonts w:eastAsia="Calibri" w:cs="Calibri"/>
        </w:rPr>
        <w:t>.</w:t>
      </w:r>
      <w:r>
        <w:rPr>
          <w:rFonts w:eastAsia="Calibri" w:cs="Calibri"/>
        </w:rPr>
        <w:t xml:space="preserve"> </w:t>
      </w:r>
      <w:r>
        <w:rPr>
          <w:rFonts w:eastAsia="Calibri" w:cs="Calibri"/>
          <w:i/>
          <w:lang w:val="nl-NL"/>
        </w:rPr>
        <w:t>Lancet</w:t>
      </w:r>
      <w:r w:rsidR="00524662" w:rsidRPr="00524662">
        <w:rPr>
          <w:rFonts w:eastAsia="Calibri" w:cs="Calibri"/>
          <w:lang w:val="nl-NL"/>
        </w:rPr>
        <w:t xml:space="preserve">, </w:t>
      </w:r>
      <w:r w:rsidRPr="00043C75">
        <w:rPr>
          <w:rFonts w:eastAsia="Calibri" w:cs="Calibri"/>
          <w:i/>
          <w:lang w:val="nl-NL"/>
        </w:rPr>
        <w:t>374</w:t>
      </w:r>
      <w:r w:rsidRPr="003727FD">
        <w:rPr>
          <w:rFonts w:eastAsia="Calibri" w:cs="Calibri"/>
          <w:lang w:val="nl-NL"/>
        </w:rPr>
        <w:t>, 68-79</w:t>
      </w:r>
      <w:r w:rsidR="00524662" w:rsidRPr="00524662">
        <w:rPr>
          <w:rFonts w:eastAsia="Calibri" w:cs="Calibri"/>
          <w:lang w:val="nl-NL"/>
        </w:rPr>
        <w:t>.</w:t>
      </w:r>
    </w:p>
    <w:p w:rsidR="006B3F1C" w:rsidRPr="00043C75" w:rsidRDefault="006B3F1C">
      <w:pPr>
        <w:widowControl w:val="0"/>
        <w:spacing w:after="0" w:line="360" w:lineRule="auto"/>
        <w:ind w:left="284" w:hanging="284"/>
        <w:rPr>
          <w:rFonts w:eastAsia="Calibri" w:cs="Calibri"/>
        </w:rPr>
      </w:pPr>
      <w:r>
        <w:rPr>
          <w:rFonts w:eastAsia="Calibri" w:cs="Calibri"/>
        </w:rPr>
        <w:t>Sonkin, B., Edwards, P., Roberts, I. &amp; Green, J. (2006). Walking, cycling and transport safety: an analysis of child road deaths</w:t>
      </w:r>
      <w:r w:rsidR="00043C75">
        <w:rPr>
          <w:rFonts w:eastAsia="Calibri" w:cs="Calibri"/>
        </w:rPr>
        <w:t>.</w:t>
      </w:r>
      <w:r>
        <w:rPr>
          <w:rFonts w:eastAsia="Calibri" w:cs="Calibri"/>
        </w:rPr>
        <w:t xml:space="preserve"> </w:t>
      </w:r>
      <w:r>
        <w:rPr>
          <w:rFonts w:eastAsia="Calibri" w:cs="Calibri"/>
          <w:i/>
        </w:rPr>
        <w:t>Journal of the Royal Society of Medicine</w:t>
      </w:r>
      <w:r w:rsidR="00524662" w:rsidRPr="00524662">
        <w:rPr>
          <w:rFonts w:eastAsia="Calibri" w:cs="Calibri"/>
        </w:rPr>
        <w:t xml:space="preserve">, </w:t>
      </w:r>
      <w:r w:rsidRPr="00043C75">
        <w:rPr>
          <w:rFonts w:eastAsia="Calibri" w:cs="Calibri"/>
          <w:i/>
        </w:rPr>
        <w:t>99</w:t>
      </w:r>
      <w:r w:rsidRPr="00043C75">
        <w:rPr>
          <w:rFonts w:eastAsia="Calibri" w:cs="Calibri"/>
        </w:rPr>
        <w:t>, 402–405.</w:t>
      </w:r>
    </w:p>
    <w:p w:rsidR="006B3F1C" w:rsidRDefault="006B3F1C">
      <w:pPr>
        <w:widowControl w:val="0"/>
        <w:spacing w:after="0" w:line="360" w:lineRule="auto"/>
        <w:ind w:left="284" w:hanging="284"/>
        <w:rPr>
          <w:rFonts w:eastAsia="Calibri" w:cs="Calibri"/>
        </w:rPr>
      </w:pPr>
      <w:r>
        <w:rPr>
          <w:rFonts w:eastAsia="Calibri" w:cs="Calibri"/>
        </w:rPr>
        <w:t xml:space="preserve">South African Medical Research Council and University of South Africa Crime, Violence and Injury Lead Programme (SAMRC-UNISA CVILP). (2005). </w:t>
      </w:r>
      <w:r>
        <w:rPr>
          <w:rFonts w:eastAsia="Calibri" w:cs="Calibri"/>
          <w:i/>
        </w:rPr>
        <w:t>A profile of fatal injuries in South Africa, 6th Annual Report of the National Injury Mortality Surveillance System (NIMSS)</w:t>
      </w:r>
      <w:r>
        <w:rPr>
          <w:rFonts w:eastAsia="Calibri" w:cs="Calibri"/>
        </w:rPr>
        <w:t xml:space="preserve">. Tygerberg, Western Cape: South African Medical Research Council. </w:t>
      </w:r>
    </w:p>
    <w:p w:rsidR="006B3F1C" w:rsidRPr="00043C75" w:rsidRDefault="006B3F1C">
      <w:pPr>
        <w:widowControl w:val="0"/>
        <w:spacing w:after="0" w:line="360" w:lineRule="auto"/>
        <w:ind w:left="284" w:hanging="284"/>
        <w:rPr>
          <w:rFonts w:eastAsia="Calibri" w:cs="Calibri"/>
        </w:rPr>
      </w:pPr>
      <w:r>
        <w:rPr>
          <w:rFonts w:eastAsia="Calibri" w:cs="Calibri"/>
        </w:rPr>
        <w:t>Spoerri, A., Egger, M. &amp; von Elm, E. (2011). Mortality from road traffic accidents in Switzerland: Longitudinal and spatial analyses</w:t>
      </w:r>
      <w:r w:rsidR="00043C75">
        <w:rPr>
          <w:rFonts w:eastAsia="Calibri" w:cs="Calibri"/>
        </w:rPr>
        <w:t>.</w:t>
      </w:r>
      <w:r>
        <w:rPr>
          <w:rFonts w:eastAsia="Calibri" w:cs="Calibri"/>
        </w:rPr>
        <w:t xml:space="preserve"> </w:t>
      </w:r>
      <w:r>
        <w:rPr>
          <w:rFonts w:eastAsia="Calibri" w:cs="Calibri"/>
          <w:i/>
        </w:rPr>
        <w:t>Accident Analysis and Prevention</w:t>
      </w:r>
      <w:r w:rsidR="00524662" w:rsidRPr="00524662">
        <w:rPr>
          <w:rFonts w:eastAsia="Calibri" w:cs="Calibri"/>
        </w:rPr>
        <w:t xml:space="preserve">, </w:t>
      </w:r>
      <w:r w:rsidRPr="00043C75">
        <w:rPr>
          <w:rFonts w:eastAsia="Calibri" w:cs="Calibri"/>
          <w:i/>
        </w:rPr>
        <w:t>43</w:t>
      </w:r>
      <w:r w:rsidRPr="00043C75">
        <w:rPr>
          <w:rFonts w:eastAsia="Calibri" w:cs="Calibri"/>
        </w:rPr>
        <w:t xml:space="preserve">, 40-48. </w:t>
      </w:r>
    </w:p>
    <w:p w:rsidR="006B3F1C" w:rsidRDefault="006B3F1C">
      <w:pPr>
        <w:widowControl w:val="0"/>
        <w:spacing w:after="0" w:line="360" w:lineRule="auto"/>
        <w:ind w:left="284" w:hanging="284"/>
        <w:rPr>
          <w:rFonts w:eastAsia="Calibri" w:cs="Calibri"/>
        </w:rPr>
      </w:pPr>
      <w:r>
        <w:rPr>
          <w:rFonts w:eastAsia="Calibri" w:cs="Calibri"/>
        </w:rPr>
        <w:t xml:space="preserve">Statistics South Africa (StatsSA). (2003). </w:t>
      </w:r>
      <w:r>
        <w:rPr>
          <w:rFonts w:eastAsia="Calibri" w:cs="Calibri"/>
          <w:i/>
        </w:rPr>
        <w:t>Investigation into appropriate definitions of urban &amp; rural areas for SA</w:t>
      </w:r>
      <w:r>
        <w:rPr>
          <w:rFonts w:eastAsia="Calibri" w:cs="Calibri"/>
        </w:rPr>
        <w:t>, Report No. 03-02-20 (2001). Pretoria: Statistics South Africa.</w:t>
      </w:r>
    </w:p>
    <w:p w:rsidR="006B3F1C" w:rsidRDefault="006B3F1C">
      <w:pPr>
        <w:widowControl w:val="0"/>
        <w:spacing w:after="0" w:line="360" w:lineRule="auto"/>
        <w:ind w:left="284" w:hanging="284"/>
        <w:rPr>
          <w:rFonts w:eastAsia="Calibri" w:cs="Calibri"/>
        </w:rPr>
      </w:pPr>
      <w:r>
        <w:rPr>
          <w:rFonts w:eastAsia="Calibri" w:cs="Calibri"/>
        </w:rPr>
        <w:t xml:space="preserve">Statistics South Africa (StatsSA). (2004). </w:t>
      </w:r>
      <w:r>
        <w:rPr>
          <w:rFonts w:eastAsia="Calibri" w:cs="Calibri"/>
          <w:i/>
        </w:rPr>
        <w:t>Census 2001: Concepts and definitions</w:t>
      </w:r>
      <w:r>
        <w:rPr>
          <w:rFonts w:eastAsia="Calibri" w:cs="Calibri"/>
        </w:rPr>
        <w:t>, Report no. 03-02-26 (2001), Version 2. Pretoria: Statistics South Africa.</w:t>
      </w:r>
    </w:p>
    <w:p w:rsidR="006B3F1C" w:rsidRDefault="006B3F1C">
      <w:pPr>
        <w:widowControl w:val="0"/>
        <w:spacing w:after="0" w:line="360" w:lineRule="auto"/>
        <w:ind w:left="284" w:hanging="284"/>
        <w:rPr>
          <w:rFonts w:eastAsia="Calibri" w:cs="Calibri"/>
          <w:lang w:val="en-US"/>
        </w:rPr>
      </w:pPr>
      <w:r>
        <w:rPr>
          <w:rFonts w:eastAsia="Calibri" w:cs="Calibri"/>
        </w:rPr>
        <w:t xml:space="preserve">Statistics South Africa (StatsSA). (2005). </w:t>
      </w:r>
      <w:r>
        <w:rPr>
          <w:rFonts w:eastAsia="Calibri" w:cs="Calibri"/>
          <w:i/>
        </w:rPr>
        <w:t>Small area statistics (metadata)</w:t>
      </w:r>
      <w:r>
        <w:rPr>
          <w:rFonts w:eastAsia="Calibri" w:cs="Calibri"/>
        </w:rPr>
        <w:t xml:space="preserve">, [CD-ROM]. Pretoria: Statistics South Africa. </w:t>
      </w:r>
    </w:p>
    <w:p w:rsidR="006B3F1C" w:rsidRDefault="006B3F1C">
      <w:pPr>
        <w:widowControl w:val="0"/>
        <w:spacing w:after="0" w:line="360" w:lineRule="auto"/>
        <w:ind w:left="284" w:hanging="284"/>
        <w:rPr>
          <w:rFonts w:eastAsia="Calibri" w:cs="Calibri"/>
        </w:rPr>
      </w:pPr>
      <w:r>
        <w:rPr>
          <w:rFonts w:eastAsia="Calibri" w:cs="Calibri"/>
          <w:lang w:val="en-US"/>
        </w:rPr>
        <w:t>Strine, T.W., Beck, L.F., Bolen, J., Okoro, C., Dhingra, S. &amp; Balluz, L. (2010). Geographic and sociodemographic variation in self-reported seat belt use in the United States</w:t>
      </w:r>
      <w:r w:rsidR="00043C75">
        <w:rPr>
          <w:rFonts w:eastAsia="Calibri" w:cs="Calibri"/>
          <w:lang w:val="en-US"/>
        </w:rPr>
        <w:t>.</w:t>
      </w:r>
      <w:r>
        <w:rPr>
          <w:rFonts w:eastAsia="Calibri" w:cs="Calibri"/>
          <w:lang w:val="en-US"/>
        </w:rPr>
        <w:t xml:space="preserve"> </w:t>
      </w:r>
      <w:r>
        <w:rPr>
          <w:rFonts w:eastAsia="Calibri" w:cs="Calibri"/>
          <w:i/>
        </w:rPr>
        <w:t>Accident Analysis and Prevention</w:t>
      </w:r>
      <w:r w:rsidR="0083278C">
        <w:rPr>
          <w:rFonts w:eastAsia="Calibri" w:cs="Calibri"/>
          <w:i/>
        </w:rPr>
        <w:t xml:space="preserve">, </w:t>
      </w:r>
      <w:r w:rsidR="00524662" w:rsidRPr="00524662">
        <w:rPr>
          <w:rFonts w:eastAsia="Calibri" w:cs="Calibri"/>
          <w:lang w:val="en-US"/>
        </w:rPr>
        <w:t>42</w:t>
      </w:r>
      <w:r w:rsidRPr="00043C75">
        <w:rPr>
          <w:rFonts w:eastAsia="Calibri" w:cs="Calibri"/>
          <w:lang w:val="en-US"/>
        </w:rPr>
        <w:t>(4), 1066-1071.</w:t>
      </w:r>
    </w:p>
    <w:p w:rsidR="00865204" w:rsidRPr="00043C75" w:rsidRDefault="006B3F1C">
      <w:pPr>
        <w:widowControl w:val="0"/>
        <w:spacing w:after="0" w:line="360" w:lineRule="auto"/>
        <w:ind w:left="284" w:hanging="284"/>
        <w:rPr>
          <w:rFonts w:eastAsia="Calibri" w:cs="Calibri"/>
        </w:rPr>
      </w:pPr>
      <w:r>
        <w:rPr>
          <w:rFonts w:eastAsia="Calibri" w:cs="Calibri"/>
        </w:rPr>
        <w:t>Sukhai, A. &amp; Jones, A.P</w:t>
      </w:r>
      <w:r w:rsidR="00FE438C">
        <w:rPr>
          <w:rFonts w:eastAsia="Calibri" w:cs="Calibri"/>
        </w:rPr>
        <w:t xml:space="preserve"> (</w:t>
      </w:r>
      <w:r w:rsidR="00865204">
        <w:rPr>
          <w:rFonts w:eastAsia="Calibri" w:cs="Calibri"/>
        </w:rPr>
        <w:t>2013</w:t>
      </w:r>
      <w:r w:rsidR="00FE438C" w:rsidRPr="00865204">
        <w:rPr>
          <w:rFonts w:eastAsia="Calibri" w:cs="Calibri"/>
        </w:rPr>
        <w:t>)</w:t>
      </w:r>
      <w:r w:rsidRPr="00865204">
        <w:rPr>
          <w:rFonts w:eastAsia="Calibri" w:cs="Calibri"/>
        </w:rPr>
        <w:t>.</w:t>
      </w:r>
      <w:r>
        <w:rPr>
          <w:rFonts w:eastAsia="Calibri" w:cs="Calibri"/>
        </w:rPr>
        <w:t xml:space="preserve"> Understanding geographical variations in road traf</w:t>
      </w:r>
      <w:r w:rsidR="00FE438C">
        <w:rPr>
          <w:rFonts w:eastAsia="Calibri" w:cs="Calibri"/>
        </w:rPr>
        <w:t>fic fatalities in South Africa</w:t>
      </w:r>
      <w:r w:rsidR="00043C75">
        <w:rPr>
          <w:rFonts w:eastAsia="Calibri" w:cs="Calibri"/>
        </w:rPr>
        <w:t>.</w:t>
      </w:r>
      <w:r w:rsidR="00F4488E">
        <w:rPr>
          <w:rFonts w:eastAsia="Calibri" w:cs="Calibri"/>
        </w:rPr>
        <w:t xml:space="preserve"> </w:t>
      </w:r>
      <w:r w:rsidR="00F4488E">
        <w:rPr>
          <w:rFonts w:eastAsia="Calibri" w:cs="Calibri"/>
          <w:i/>
        </w:rPr>
        <w:t>South African Geographical Journal</w:t>
      </w:r>
      <w:r w:rsidR="00524662" w:rsidRPr="00524662">
        <w:rPr>
          <w:rFonts w:eastAsia="Calibri" w:cs="Calibri"/>
        </w:rPr>
        <w:t xml:space="preserve">, </w:t>
      </w:r>
      <w:r w:rsidR="00865204" w:rsidRPr="002C4CB9">
        <w:rPr>
          <w:rFonts w:eastAsia="Calibri" w:cs="Calibri"/>
          <w:i/>
        </w:rPr>
        <w:t>95</w:t>
      </w:r>
      <w:r w:rsidR="00865204" w:rsidRPr="00043C75">
        <w:rPr>
          <w:rFonts w:eastAsia="Calibri" w:cs="Calibri"/>
        </w:rPr>
        <w:t>, 187-204.</w:t>
      </w:r>
    </w:p>
    <w:p w:rsidR="006B3F1C" w:rsidRPr="00043C75" w:rsidRDefault="006B3F1C">
      <w:pPr>
        <w:widowControl w:val="0"/>
        <w:spacing w:after="0" w:line="360" w:lineRule="auto"/>
        <w:ind w:left="284" w:hanging="284"/>
        <w:rPr>
          <w:rFonts w:eastAsia="Calibri" w:cs="Calibri"/>
          <w:lang w:val="en-ZA"/>
        </w:rPr>
      </w:pPr>
      <w:r>
        <w:rPr>
          <w:rFonts w:eastAsia="Calibri" w:cs="Calibri"/>
        </w:rPr>
        <w:t>Sukhai, A., Jones, A.P. &amp; Haynes, R. (2009). Epidemiology and risk of road traffic mortality in South Africa</w:t>
      </w:r>
      <w:r w:rsidR="00043C75">
        <w:rPr>
          <w:rFonts w:eastAsia="Calibri" w:cs="Calibri"/>
        </w:rPr>
        <w:t>.</w:t>
      </w:r>
      <w:r>
        <w:rPr>
          <w:rFonts w:eastAsia="Calibri" w:cs="Calibri"/>
        </w:rPr>
        <w:t xml:space="preserve"> </w:t>
      </w:r>
      <w:r>
        <w:rPr>
          <w:rFonts w:eastAsia="Calibri" w:cs="Calibri"/>
          <w:i/>
        </w:rPr>
        <w:t>South African Geographical Journal</w:t>
      </w:r>
      <w:r w:rsidR="00524662" w:rsidRPr="00524662">
        <w:rPr>
          <w:rFonts w:eastAsia="Calibri" w:cs="Calibri"/>
        </w:rPr>
        <w:t xml:space="preserve">, </w:t>
      </w:r>
      <w:r w:rsidRPr="002C4CB9">
        <w:rPr>
          <w:rFonts w:eastAsia="Calibri" w:cs="Calibri"/>
          <w:i/>
        </w:rPr>
        <w:t>91</w:t>
      </w:r>
      <w:r w:rsidRPr="00043C75">
        <w:rPr>
          <w:rFonts w:eastAsia="Calibri" w:cs="Calibri"/>
        </w:rPr>
        <w:t>, 4-15.</w:t>
      </w:r>
    </w:p>
    <w:p w:rsidR="006B3F1C" w:rsidRDefault="006B3F1C">
      <w:pPr>
        <w:widowControl w:val="0"/>
        <w:spacing w:after="0" w:line="360" w:lineRule="auto"/>
        <w:ind w:left="284" w:hanging="284"/>
        <w:rPr>
          <w:rFonts w:eastAsia="Calibri" w:cs="Calibri"/>
        </w:rPr>
      </w:pPr>
      <w:r>
        <w:rPr>
          <w:rFonts w:eastAsia="Calibri" w:cs="Calibri"/>
        </w:rPr>
        <w:t xml:space="preserve">UN- HABITAT. (2009). </w:t>
      </w:r>
      <w:r>
        <w:rPr>
          <w:rFonts w:eastAsia="Calibri" w:cs="Calibri"/>
          <w:i/>
        </w:rPr>
        <w:t>Planning sustainable cities: Global report on human settlements 2009</w:t>
      </w:r>
      <w:r>
        <w:rPr>
          <w:rFonts w:eastAsia="Calibri" w:cs="Calibri"/>
        </w:rPr>
        <w:t>. London: Earthscan.</w:t>
      </w:r>
    </w:p>
    <w:p w:rsidR="006B3F1C" w:rsidRDefault="006B3F1C">
      <w:pPr>
        <w:widowControl w:val="0"/>
        <w:spacing w:after="0" w:line="360" w:lineRule="auto"/>
        <w:ind w:left="284" w:hanging="284"/>
        <w:rPr>
          <w:rFonts w:eastAsia="Calibri" w:cs="Calibri"/>
          <w:lang w:val="en-ZA"/>
        </w:rPr>
      </w:pPr>
      <w:r>
        <w:rPr>
          <w:rFonts w:eastAsia="Calibri" w:cs="Calibri"/>
        </w:rPr>
        <w:t>Van Beeck, E.F., Mackenbach, J.P., Looman, C.W.N. &amp; Kunst, A.E. (1991). Determinants of Traffic Accident Mortality in the Netherlands: A Geographical Analysis</w:t>
      </w:r>
      <w:r w:rsidR="00043C75">
        <w:rPr>
          <w:rFonts w:eastAsia="Calibri" w:cs="Calibri"/>
        </w:rPr>
        <w:t>.</w:t>
      </w:r>
      <w:r>
        <w:rPr>
          <w:rFonts w:eastAsia="Calibri" w:cs="Calibri"/>
        </w:rPr>
        <w:t xml:space="preserve"> </w:t>
      </w:r>
      <w:r>
        <w:rPr>
          <w:rFonts w:eastAsia="Calibri" w:cs="Calibri"/>
          <w:i/>
        </w:rPr>
        <w:t>International Journal of Epidemiology</w:t>
      </w:r>
      <w:r w:rsidR="00524662" w:rsidRPr="00524662">
        <w:rPr>
          <w:rFonts w:eastAsia="Calibri" w:cs="Calibri"/>
        </w:rPr>
        <w:t xml:space="preserve">, </w:t>
      </w:r>
      <w:r w:rsidRPr="002C4CB9">
        <w:rPr>
          <w:rFonts w:eastAsia="Calibri" w:cs="Calibri"/>
          <w:i/>
        </w:rPr>
        <w:t>20</w:t>
      </w:r>
      <w:r w:rsidRPr="00043C75">
        <w:rPr>
          <w:rFonts w:eastAsia="Calibri" w:cs="Calibri"/>
        </w:rPr>
        <w:t>(3), pp. 698-706.</w:t>
      </w:r>
    </w:p>
    <w:p w:rsidR="006B3F1C" w:rsidRDefault="006B3F1C">
      <w:pPr>
        <w:widowControl w:val="0"/>
        <w:spacing w:after="0" w:line="360" w:lineRule="auto"/>
        <w:ind w:left="284" w:hanging="284"/>
        <w:rPr>
          <w:rFonts w:eastAsia="Calibri" w:cs="Calibri"/>
        </w:rPr>
      </w:pPr>
      <w:r>
        <w:rPr>
          <w:rFonts w:eastAsia="Calibri" w:cs="Calibri"/>
          <w:lang w:val="en-ZA"/>
        </w:rPr>
        <w:t>Vearey, J., Palmary, I., Thomas, L., Nunez, L. &amp; Drimie, S. (2010). Urban health in Johannesburg: The importance of place in understanding intra-urban inequalities in a context of migration and HIV</w:t>
      </w:r>
      <w:r w:rsidR="00043C75">
        <w:rPr>
          <w:rFonts w:eastAsia="Calibri" w:cs="Calibri"/>
          <w:lang w:val="en-ZA"/>
        </w:rPr>
        <w:t>.</w:t>
      </w:r>
      <w:r>
        <w:rPr>
          <w:rFonts w:eastAsia="Calibri" w:cs="Calibri"/>
          <w:lang w:val="en-ZA"/>
        </w:rPr>
        <w:t xml:space="preserve"> </w:t>
      </w:r>
      <w:r>
        <w:rPr>
          <w:rFonts w:eastAsia="Calibri" w:cs="Calibri"/>
          <w:i/>
          <w:lang w:val="en-ZA"/>
        </w:rPr>
        <w:lastRenderedPageBreak/>
        <w:t>Health &amp; Place</w:t>
      </w:r>
      <w:r w:rsidR="00524662" w:rsidRPr="00524662">
        <w:rPr>
          <w:rFonts w:eastAsia="Calibri" w:cs="Calibri"/>
          <w:lang w:val="en-ZA"/>
        </w:rPr>
        <w:t xml:space="preserve">, </w:t>
      </w:r>
      <w:r w:rsidRPr="002C4CB9">
        <w:rPr>
          <w:rFonts w:eastAsia="Calibri" w:cs="Calibri"/>
          <w:i/>
          <w:lang w:val="en-ZA"/>
        </w:rPr>
        <w:t>16</w:t>
      </w:r>
      <w:r w:rsidRPr="00043C75">
        <w:rPr>
          <w:rFonts w:eastAsia="Calibri" w:cs="Calibri"/>
          <w:lang w:val="en-ZA"/>
        </w:rPr>
        <w:t>(4), 694-702.</w:t>
      </w:r>
    </w:p>
    <w:p w:rsidR="006B3F1C" w:rsidRDefault="006B3F1C">
      <w:pPr>
        <w:widowControl w:val="0"/>
        <w:spacing w:after="0" w:line="360" w:lineRule="auto"/>
        <w:ind w:left="284" w:hanging="284"/>
        <w:rPr>
          <w:rFonts w:cs="Calibri"/>
        </w:rPr>
      </w:pPr>
      <w:r>
        <w:rPr>
          <w:rFonts w:eastAsia="Calibri" w:cs="Calibri"/>
        </w:rPr>
        <w:t xml:space="preserve">World Health Organization and UN-HABITAT (WHO &amp; UN-HABITAT). (2010). </w:t>
      </w:r>
      <w:r>
        <w:rPr>
          <w:rFonts w:eastAsia="Calibri" w:cs="Calibri"/>
          <w:i/>
        </w:rPr>
        <w:t xml:space="preserve">Hidden cities: unmasking and overcoming health inequities in urban settings. </w:t>
      </w:r>
      <w:r>
        <w:rPr>
          <w:rFonts w:eastAsia="Calibri" w:cs="Calibri"/>
        </w:rPr>
        <w:t xml:space="preserve">Switzerland: </w:t>
      </w:r>
      <w:r>
        <w:rPr>
          <w:rFonts w:eastAsia="Calibri" w:cs="Calibri"/>
          <w:iCs/>
        </w:rPr>
        <w:t>World Health Organization</w:t>
      </w:r>
      <w:r>
        <w:rPr>
          <w:rFonts w:eastAsia="Calibri" w:cs="Calibri"/>
        </w:rPr>
        <w:t xml:space="preserve"> and UN-HABITAT. </w:t>
      </w:r>
    </w:p>
    <w:p w:rsidR="006B3F1C" w:rsidRDefault="006B3F1C">
      <w:pPr>
        <w:widowControl w:val="0"/>
        <w:spacing w:after="0" w:line="360" w:lineRule="auto"/>
        <w:rPr>
          <w:rFonts w:cs="Calibri"/>
        </w:rPr>
      </w:pPr>
    </w:p>
    <w:p w:rsidR="006B3F1C" w:rsidRDefault="006B3F1C">
      <w:pPr>
        <w:widowControl w:val="0"/>
        <w:spacing w:after="0" w:line="360" w:lineRule="auto"/>
        <w:rPr>
          <w:rFonts w:cs="Calibri"/>
        </w:rPr>
      </w:pPr>
    </w:p>
    <w:p w:rsidR="006B3F1C" w:rsidRDefault="006B3F1C">
      <w:pPr>
        <w:pageBreakBefore/>
        <w:widowControl w:val="0"/>
        <w:spacing w:after="0" w:line="360" w:lineRule="auto"/>
        <w:rPr>
          <w:rFonts w:cs="Calibri"/>
          <w:b/>
        </w:rPr>
      </w:pPr>
      <w:r>
        <w:rPr>
          <w:rFonts w:cs="Calibri"/>
          <w:b/>
        </w:rPr>
        <w:lastRenderedPageBreak/>
        <w:t>TABLES AND FIGURES</w:t>
      </w:r>
    </w:p>
    <w:p w:rsidR="006B3F1C" w:rsidRDefault="006B3F1C">
      <w:pPr>
        <w:widowControl w:val="0"/>
        <w:spacing w:after="0" w:line="360" w:lineRule="auto"/>
        <w:rPr>
          <w:rFonts w:cs="Calibri"/>
          <w:b/>
        </w:rPr>
      </w:pPr>
    </w:p>
    <w:p w:rsidR="006B3F1C" w:rsidRDefault="006B3F1C">
      <w:pPr>
        <w:widowControl w:val="0"/>
        <w:spacing w:after="0" w:line="360" w:lineRule="auto"/>
        <w:rPr>
          <w:rFonts w:cs="Calibri"/>
        </w:rPr>
      </w:pPr>
      <w:r>
        <w:rPr>
          <w:rFonts w:cs="Calibri"/>
        </w:rPr>
        <w:t>Table 1: Summary of explanatory measures</w:t>
      </w:r>
    </w:p>
    <w:p w:rsidR="006B3F1C" w:rsidRPr="006C293F" w:rsidRDefault="006B3F1C">
      <w:pPr>
        <w:widowControl w:val="0"/>
        <w:spacing w:after="0" w:line="360" w:lineRule="auto"/>
        <w:rPr>
          <w:rFonts w:cs="Calibri"/>
        </w:rPr>
      </w:pPr>
      <w:r w:rsidRPr="006C293F">
        <w:rPr>
          <w:rFonts w:cs="Calibri"/>
        </w:rPr>
        <w:t xml:space="preserve">Table 2: </w:t>
      </w:r>
      <w:r w:rsidR="00336AD1">
        <w:rPr>
          <w:rFonts w:cs="Calibri"/>
        </w:rPr>
        <w:t xml:space="preserve"> </w:t>
      </w:r>
      <w:r w:rsidR="006C293F" w:rsidRPr="006C293F">
        <w:rPr>
          <w:rFonts w:asciiTheme="minorHAnsi" w:eastAsiaTheme="minorHAnsi" w:hAnsiTheme="minorHAnsi" w:cstheme="minorBidi"/>
          <w:kern w:val="0"/>
          <w:sz w:val="20"/>
          <w:szCs w:val="20"/>
          <w:lang w:val="en-ZA" w:eastAsia="en-US"/>
        </w:rPr>
        <w:t>Summary of literature on selected explanatory measures</w:t>
      </w:r>
    </w:p>
    <w:p w:rsidR="006B3F1C" w:rsidRDefault="006B3F1C">
      <w:pPr>
        <w:widowControl w:val="0"/>
        <w:spacing w:after="0" w:line="360" w:lineRule="auto"/>
        <w:rPr>
          <w:rFonts w:cs="Calibri"/>
        </w:rPr>
      </w:pPr>
      <w:r>
        <w:rPr>
          <w:rFonts w:cs="Calibri"/>
        </w:rPr>
        <w:t xml:space="preserve">Table 3: </w:t>
      </w:r>
      <w:r w:rsidR="006C293F">
        <w:rPr>
          <w:rFonts w:cs="Calibri"/>
        </w:rPr>
        <w:t xml:space="preserve"> Injury outcomes by quartiles of crude population density</w:t>
      </w:r>
    </w:p>
    <w:p w:rsidR="001A2C5A" w:rsidRDefault="001A2C5A" w:rsidP="001A2C5A">
      <w:pPr>
        <w:widowControl w:val="0"/>
        <w:spacing w:after="0" w:line="360" w:lineRule="auto"/>
        <w:rPr>
          <w:rFonts w:cs="Calibri"/>
        </w:rPr>
      </w:pPr>
      <w:r w:rsidRPr="008443FF">
        <w:rPr>
          <w:rFonts w:cs="Calibri"/>
        </w:rPr>
        <w:t>Table 4: Population density effect from unadjusted and adjusted models for injury outcomes</w:t>
      </w:r>
    </w:p>
    <w:p w:rsidR="006B3F1C" w:rsidRDefault="006B3F1C">
      <w:pPr>
        <w:widowControl w:val="0"/>
        <w:spacing w:after="0" w:line="360" w:lineRule="auto"/>
        <w:rPr>
          <w:rFonts w:cs="Calibri"/>
        </w:rPr>
      </w:pPr>
    </w:p>
    <w:p w:rsidR="006B3F1C" w:rsidRDefault="006B3F1C">
      <w:pPr>
        <w:widowControl w:val="0"/>
        <w:spacing w:after="0" w:line="360" w:lineRule="auto"/>
        <w:rPr>
          <w:rFonts w:cs="Calibri"/>
        </w:rPr>
      </w:pPr>
      <w:r>
        <w:rPr>
          <w:rFonts w:cs="Calibri"/>
        </w:rPr>
        <w:t>Figure 1: Population density of EMA suburbs</w:t>
      </w:r>
    </w:p>
    <w:p w:rsidR="006B3F1C" w:rsidRPr="00D2359C" w:rsidRDefault="006B3F1C" w:rsidP="006B3F1C">
      <w:pPr>
        <w:widowControl w:val="0"/>
        <w:spacing w:after="0" w:line="240" w:lineRule="auto"/>
        <w:rPr>
          <w:rFonts w:cstheme="minorHAnsi"/>
          <w:b/>
          <w:sz w:val="20"/>
          <w:szCs w:val="20"/>
        </w:rPr>
      </w:pPr>
      <w:r>
        <w:rPr>
          <w:rFonts w:cs="Calibri"/>
        </w:rPr>
        <w:br w:type="page"/>
      </w:r>
      <w:r w:rsidRPr="00D2359C">
        <w:rPr>
          <w:rFonts w:cstheme="minorHAnsi"/>
          <w:b/>
          <w:sz w:val="20"/>
          <w:szCs w:val="20"/>
        </w:rPr>
        <w:lastRenderedPageBreak/>
        <w:t>Table 1: Summary of explanatory measures</w:t>
      </w:r>
    </w:p>
    <w:p w:rsidR="006B3F1C" w:rsidRPr="00D80848" w:rsidRDefault="006B3F1C" w:rsidP="006B3F1C">
      <w:pPr>
        <w:widowControl w:val="0"/>
        <w:spacing w:after="0" w:line="240" w:lineRule="auto"/>
        <w:rPr>
          <w:rFonts w:cstheme="minorHAnsi"/>
          <w:b/>
          <w:sz w:val="18"/>
          <w:szCs w:val="18"/>
        </w:rPr>
      </w:pPr>
    </w:p>
    <w:tbl>
      <w:tblPr>
        <w:tblW w:w="5000" w:type="pct"/>
        <w:tblLook w:val="04A0" w:firstRow="1" w:lastRow="0" w:firstColumn="1" w:lastColumn="0" w:noHBand="0" w:noVBand="1"/>
      </w:tblPr>
      <w:tblGrid>
        <w:gridCol w:w="5070"/>
        <w:gridCol w:w="1224"/>
        <w:gridCol w:w="1317"/>
        <w:gridCol w:w="1675"/>
      </w:tblGrid>
      <w:tr w:rsidR="006B3F1C" w:rsidRPr="00D80848" w:rsidTr="006B3F1C">
        <w:trPr>
          <w:trHeight w:val="255"/>
        </w:trPr>
        <w:tc>
          <w:tcPr>
            <w:tcW w:w="2730" w:type="pct"/>
            <w:tcBorders>
              <w:top w:val="single" w:sz="4" w:space="0" w:color="auto"/>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center"/>
              <w:rPr>
                <w:rFonts w:eastAsia="Times New Roman" w:cstheme="minorHAnsi"/>
                <w:sz w:val="18"/>
                <w:szCs w:val="18"/>
                <w:lang w:eastAsia="en-ZA"/>
              </w:rPr>
            </w:pPr>
          </w:p>
        </w:tc>
        <w:tc>
          <w:tcPr>
            <w:tcW w:w="659" w:type="pct"/>
            <w:tcBorders>
              <w:top w:val="single" w:sz="4" w:space="0" w:color="auto"/>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center"/>
              <w:rPr>
                <w:rFonts w:eastAsia="Times New Roman" w:cstheme="minorHAnsi"/>
                <w:bCs/>
                <w:sz w:val="18"/>
                <w:szCs w:val="18"/>
                <w:lang w:eastAsia="en-ZA"/>
              </w:rPr>
            </w:pPr>
            <w:r w:rsidRPr="00D80848">
              <w:rPr>
                <w:rFonts w:eastAsia="Times New Roman" w:cstheme="minorHAnsi"/>
                <w:bCs/>
                <w:sz w:val="18"/>
                <w:szCs w:val="18"/>
                <w:lang w:eastAsia="en-ZA"/>
              </w:rPr>
              <w:t>Min</w:t>
            </w:r>
          </w:p>
        </w:tc>
        <w:tc>
          <w:tcPr>
            <w:tcW w:w="709" w:type="pct"/>
            <w:tcBorders>
              <w:top w:val="single" w:sz="4" w:space="0" w:color="auto"/>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center"/>
              <w:rPr>
                <w:rFonts w:eastAsia="Times New Roman" w:cstheme="minorHAnsi"/>
                <w:bCs/>
                <w:sz w:val="18"/>
                <w:szCs w:val="18"/>
                <w:lang w:eastAsia="en-ZA"/>
              </w:rPr>
            </w:pPr>
            <w:r w:rsidRPr="00D80848">
              <w:rPr>
                <w:rFonts w:eastAsia="Times New Roman" w:cstheme="minorHAnsi"/>
                <w:bCs/>
                <w:sz w:val="18"/>
                <w:szCs w:val="18"/>
                <w:lang w:eastAsia="en-ZA"/>
              </w:rPr>
              <w:t>Max</w:t>
            </w:r>
          </w:p>
        </w:tc>
        <w:tc>
          <w:tcPr>
            <w:tcW w:w="902" w:type="pct"/>
            <w:tcBorders>
              <w:top w:val="single" w:sz="4" w:space="0" w:color="auto"/>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center"/>
              <w:rPr>
                <w:rFonts w:eastAsia="Times New Roman" w:cstheme="minorHAnsi"/>
                <w:bCs/>
                <w:sz w:val="18"/>
                <w:szCs w:val="18"/>
                <w:lang w:eastAsia="en-ZA"/>
              </w:rPr>
            </w:pPr>
            <w:r w:rsidRPr="00D80848">
              <w:rPr>
                <w:rFonts w:eastAsia="Times New Roman" w:cstheme="minorHAnsi"/>
                <w:bCs/>
                <w:sz w:val="18"/>
                <w:szCs w:val="18"/>
                <w:lang w:eastAsia="en-ZA"/>
              </w:rPr>
              <w:t>Mean</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bCs/>
                <w:sz w:val="18"/>
                <w:szCs w:val="18"/>
                <w:lang w:eastAsia="en-ZA"/>
              </w:rPr>
            </w:pPr>
          </w:p>
          <w:p w:rsidR="006B3F1C" w:rsidRPr="00D80848" w:rsidRDefault="006B3F1C" w:rsidP="006B3F1C">
            <w:pPr>
              <w:widowControl w:val="0"/>
              <w:spacing w:after="0" w:line="240" w:lineRule="auto"/>
              <w:rPr>
                <w:rFonts w:eastAsia="Times New Roman" w:cstheme="minorHAnsi"/>
                <w:bCs/>
                <w:sz w:val="18"/>
                <w:szCs w:val="18"/>
                <w:u w:val="single"/>
                <w:lang w:eastAsia="en-ZA"/>
              </w:rPr>
            </w:pPr>
            <w:r w:rsidRPr="00D80848">
              <w:rPr>
                <w:rFonts w:eastAsia="Times New Roman" w:cstheme="minorHAnsi"/>
                <w:bCs/>
                <w:sz w:val="18"/>
                <w:szCs w:val="18"/>
                <w:u w:val="single"/>
                <w:lang w:eastAsia="en-ZA"/>
              </w:rPr>
              <w:t>Crash characteristics</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bCs/>
                <w:i/>
                <w:sz w:val="18"/>
                <w:szCs w:val="18"/>
                <w:lang w:eastAsia="en-ZA"/>
              </w:rPr>
            </w:pPr>
            <w:r w:rsidRPr="00D80848">
              <w:rPr>
                <w:rFonts w:eastAsia="Times New Roman" w:cstheme="minorHAnsi"/>
                <w:bCs/>
                <w:i/>
                <w:sz w:val="18"/>
                <w:szCs w:val="18"/>
                <w:lang w:eastAsia="en-ZA"/>
              </w:rPr>
              <w:t>Day of week</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Saturday</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100.00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17.94</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Sunday</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28.95</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12.83</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bCs/>
                <w:i/>
                <w:sz w:val="18"/>
                <w:szCs w:val="18"/>
                <w:lang w:eastAsia="en-ZA"/>
              </w:rPr>
            </w:pPr>
            <w:r w:rsidRPr="00D80848">
              <w:rPr>
                <w:rFonts w:eastAsia="Times New Roman" w:cstheme="minorHAnsi"/>
                <w:bCs/>
                <w:i/>
                <w:sz w:val="18"/>
                <w:szCs w:val="18"/>
                <w:lang w:eastAsia="en-ZA"/>
              </w:rPr>
              <w:t>Time of day</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Night</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37.84</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24.40</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Twilight</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25.00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10.19</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Morning peak (6-8am)</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25.00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12.62</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Evening peak (4-6pm)</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6.25</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100.00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17.08</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bCs/>
                <w:i/>
                <w:sz w:val="18"/>
                <w:szCs w:val="18"/>
                <w:lang w:eastAsia="en-ZA"/>
              </w:rPr>
            </w:pPr>
            <w:r w:rsidRPr="00D80848">
              <w:rPr>
                <w:rFonts w:eastAsia="Times New Roman" w:cstheme="minorHAnsi"/>
                <w:bCs/>
                <w:i/>
                <w:sz w:val="18"/>
                <w:szCs w:val="18"/>
                <w:lang w:eastAsia="en-ZA"/>
              </w:rPr>
              <w:t>Road condition</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Wet road surface</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25.00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12.36</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bCs/>
                <w:i/>
                <w:sz w:val="18"/>
                <w:szCs w:val="18"/>
                <w:lang w:eastAsia="en-ZA"/>
              </w:rPr>
            </w:pPr>
            <w:r w:rsidRPr="00D80848">
              <w:rPr>
                <w:rFonts w:eastAsia="Times New Roman" w:cstheme="minorHAnsi"/>
                <w:bCs/>
                <w:i/>
                <w:sz w:val="18"/>
                <w:szCs w:val="18"/>
                <w:lang w:eastAsia="en-ZA"/>
              </w:rPr>
              <w:t>Crash type</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xml:space="preserve">% Head on </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4.11</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0.94</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xml:space="preserve">% Single vehicles overturned </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100.00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6.08</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xml:space="preserve">% Vehicle- animal  </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20.00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2.56</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xml:space="preserve">% Vehicle- fixed object </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50.00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10.24</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xml:space="preserve">% Turning </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18.98</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10.84</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bCs/>
                <w:i/>
                <w:sz w:val="18"/>
                <w:szCs w:val="18"/>
                <w:lang w:eastAsia="en-ZA"/>
              </w:rPr>
            </w:pPr>
            <w:r w:rsidRPr="00D80848">
              <w:rPr>
                <w:rFonts w:eastAsia="Times New Roman" w:cstheme="minorHAnsi"/>
                <w:bCs/>
                <w:i/>
                <w:sz w:val="18"/>
                <w:szCs w:val="18"/>
                <w:lang w:eastAsia="en-ZA"/>
              </w:rPr>
              <w:t>Vehicle type</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Car</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73.99</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55.03</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LDV</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38.46</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18.95</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Minibus taxi</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100.00</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13.64</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Bus</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7.69</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1.81</w:t>
            </w:r>
          </w:p>
        </w:tc>
      </w:tr>
      <w:tr w:rsidR="006B3F1C" w:rsidRPr="00D80848" w:rsidTr="006B3F1C">
        <w:trPr>
          <w:trHeight w:val="255"/>
        </w:trPr>
        <w:tc>
          <w:tcPr>
            <w:tcW w:w="2730" w:type="pct"/>
            <w:tcBorders>
              <w:top w:val="nil"/>
              <w:left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Medium/ heavy commercial</w:t>
            </w:r>
          </w:p>
        </w:tc>
        <w:tc>
          <w:tcPr>
            <w:tcW w:w="659"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27.27</w:t>
            </w:r>
          </w:p>
        </w:tc>
        <w:tc>
          <w:tcPr>
            <w:tcW w:w="902"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3.29</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tabs>
                <w:tab w:val="left" w:pos="300"/>
              </w:tabs>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ab/>
              <w:t>% Articulated</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36.54</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3.15</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sz w:val="18"/>
                <w:szCs w:val="18"/>
                <w:u w:val="single"/>
                <w:lang w:eastAsia="en-ZA"/>
              </w:rPr>
            </w:pPr>
            <w:r w:rsidRPr="00D80848">
              <w:rPr>
                <w:rFonts w:eastAsia="Times New Roman" w:cstheme="minorHAnsi"/>
                <w:sz w:val="18"/>
                <w:szCs w:val="18"/>
                <w:u w:val="single"/>
                <w:lang w:eastAsia="en-ZA"/>
              </w:rPr>
              <w:t>Socio-economic deprivation</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 Population living in a shack</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31.61</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3.73</w:t>
            </w:r>
          </w:p>
        </w:tc>
      </w:tr>
      <w:tr w:rsidR="006B3F1C" w:rsidRPr="00D80848" w:rsidTr="006B3F1C">
        <w:trPr>
          <w:trHeight w:val="255"/>
        </w:trPr>
        <w:tc>
          <w:tcPr>
            <w:tcW w:w="2730"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val="en-ZA" w:eastAsia="en-ZA"/>
              </w:rPr>
              <w:t>% Population with less than secondary level education</w:t>
            </w:r>
          </w:p>
        </w:tc>
        <w:tc>
          <w:tcPr>
            <w:tcW w:w="65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37.65</w:t>
            </w:r>
          </w:p>
        </w:tc>
        <w:tc>
          <w:tcPr>
            <w:tcW w:w="902" w:type="pct"/>
            <w:tcBorders>
              <w:top w:val="nil"/>
              <w:left w:val="nil"/>
              <w:bottom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16.55</w:t>
            </w:r>
          </w:p>
        </w:tc>
      </w:tr>
      <w:tr w:rsidR="006B3F1C" w:rsidRPr="00D80848" w:rsidTr="006B3F1C">
        <w:trPr>
          <w:trHeight w:val="255"/>
        </w:trPr>
        <w:tc>
          <w:tcPr>
            <w:tcW w:w="2730"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 Population who are unemployed</w:t>
            </w:r>
          </w:p>
        </w:tc>
        <w:tc>
          <w:tcPr>
            <w:tcW w:w="659"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33.42</w:t>
            </w:r>
          </w:p>
        </w:tc>
        <w:tc>
          <w:tcPr>
            <w:tcW w:w="902" w:type="pct"/>
            <w:tcBorders>
              <w:top w:val="nil"/>
              <w:left w:val="nil"/>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15.86</w:t>
            </w:r>
          </w:p>
        </w:tc>
      </w:tr>
      <w:tr w:rsidR="006B3F1C" w:rsidRPr="00D80848" w:rsidTr="006B3F1C">
        <w:trPr>
          <w:trHeight w:val="255"/>
        </w:trPr>
        <w:tc>
          <w:tcPr>
            <w:tcW w:w="2730" w:type="pct"/>
            <w:tcBorders>
              <w:top w:val="nil"/>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 Population with monthly income of R400 or less</w:t>
            </w:r>
          </w:p>
          <w:p w:rsidR="006B3F1C" w:rsidRPr="00D80848" w:rsidRDefault="006B3F1C" w:rsidP="006B3F1C">
            <w:pPr>
              <w:widowControl w:val="0"/>
              <w:spacing w:after="0" w:line="240" w:lineRule="auto"/>
              <w:rPr>
                <w:rFonts w:eastAsia="Times New Roman" w:cstheme="minorHAnsi"/>
                <w:sz w:val="18"/>
                <w:szCs w:val="18"/>
                <w:lang w:eastAsia="en-ZA"/>
              </w:rPr>
            </w:pPr>
          </w:p>
        </w:tc>
        <w:tc>
          <w:tcPr>
            <w:tcW w:w="659" w:type="pct"/>
            <w:tcBorders>
              <w:top w:val="nil"/>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0.00</w:t>
            </w:r>
          </w:p>
        </w:tc>
        <w:tc>
          <w:tcPr>
            <w:tcW w:w="709" w:type="pct"/>
            <w:tcBorders>
              <w:top w:val="nil"/>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88.59</w:t>
            </w:r>
          </w:p>
        </w:tc>
        <w:tc>
          <w:tcPr>
            <w:tcW w:w="902" w:type="pct"/>
            <w:tcBorders>
              <w:top w:val="nil"/>
              <w:left w:val="nil"/>
              <w:bottom w:val="single" w:sz="4" w:space="0" w:color="auto"/>
              <w:right w:val="nil"/>
            </w:tcBorders>
            <w:shd w:val="clear" w:color="auto" w:fill="auto"/>
            <w:noWrap/>
            <w:vAlign w:val="center"/>
            <w:hideMark/>
          </w:tcPr>
          <w:p w:rsidR="006B3F1C" w:rsidRPr="00D80848" w:rsidRDefault="006B3F1C" w:rsidP="006B3F1C">
            <w:pPr>
              <w:widowControl w:val="0"/>
              <w:spacing w:after="0" w:line="240" w:lineRule="auto"/>
              <w:jc w:val="right"/>
              <w:rPr>
                <w:rFonts w:eastAsia="Times New Roman" w:cstheme="minorHAnsi"/>
                <w:sz w:val="18"/>
                <w:szCs w:val="18"/>
                <w:lang w:eastAsia="en-ZA"/>
              </w:rPr>
            </w:pPr>
            <w:r w:rsidRPr="00D80848">
              <w:rPr>
                <w:rFonts w:eastAsia="Times New Roman" w:cstheme="minorHAnsi"/>
                <w:sz w:val="18"/>
                <w:szCs w:val="18"/>
                <w:lang w:eastAsia="en-ZA"/>
              </w:rPr>
              <w:t>65.00</w:t>
            </w:r>
          </w:p>
        </w:tc>
      </w:tr>
    </w:tbl>
    <w:p w:rsidR="006B3F1C" w:rsidRPr="00D80848" w:rsidRDefault="006B3F1C" w:rsidP="006B3F1C">
      <w:pPr>
        <w:widowControl w:val="0"/>
        <w:spacing w:after="0" w:line="240" w:lineRule="auto"/>
        <w:rPr>
          <w:rFonts w:eastAsia="Times New Roman" w:cstheme="minorHAnsi"/>
          <w:sz w:val="18"/>
          <w:szCs w:val="18"/>
          <w:lang w:eastAsia="en-ZA"/>
        </w:rPr>
      </w:pPr>
    </w:p>
    <w:p w:rsidR="006B3F1C" w:rsidRPr="00C14FF0" w:rsidRDefault="006B3F1C" w:rsidP="006B3F1C">
      <w:pPr>
        <w:widowControl w:val="0"/>
        <w:spacing w:after="0" w:line="240" w:lineRule="auto"/>
        <w:rPr>
          <w:rFonts w:ascii="Arial" w:eastAsia="Times New Roman" w:hAnsi="Arial" w:cs="Arial"/>
          <w:sz w:val="18"/>
          <w:szCs w:val="18"/>
          <w:lang w:eastAsia="en-ZA"/>
        </w:rPr>
      </w:pPr>
    </w:p>
    <w:p w:rsidR="006B3F1C" w:rsidRPr="00C14FF0" w:rsidRDefault="006B3F1C" w:rsidP="006B3F1C">
      <w:pPr>
        <w:widowControl w:val="0"/>
        <w:spacing w:after="0" w:line="240" w:lineRule="auto"/>
        <w:rPr>
          <w:rFonts w:ascii="Arial" w:eastAsia="Times New Roman" w:hAnsi="Arial" w:cs="Arial"/>
          <w:sz w:val="18"/>
          <w:szCs w:val="18"/>
          <w:lang w:eastAsia="en-ZA"/>
        </w:rPr>
      </w:pPr>
    </w:p>
    <w:p w:rsidR="00D2359C" w:rsidRDefault="00D2359C">
      <w:pPr>
        <w:suppressAutoHyphens w:val="0"/>
        <w:spacing w:after="0" w:line="240" w:lineRule="auto"/>
        <w:rPr>
          <w:rFonts w:ascii="Arial" w:eastAsia="Times New Roman" w:hAnsi="Arial" w:cs="Arial"/>
          <w:sz w:val="18"/>
          <w:szCs w:val="18"/>
          <w:lang w:eastAsia="en-ZA"/>
        </w:rPr>
      </w:pPr>
      <w:r>
        <w:rPr>
          <w:rFonts w:ascii="Arial" w:eastAsia="Times New Roman" w:hAnsi="Arial" w:cs="Arial"/>
          <w:sz w:val="18"/>
          <w:szCs w:val="18"/>
          <w:lang w:eastAsia="en-ZA"/>
        </w:rPr>
        <w:br w:type="page"/>
      </w:r>
    </w:p>
    <w:p w:rsidR="00D2359C" w:rsidRPr="00D2359C" w:rsidRDefault="00D2359C" w:rsidP="00D2359C">
      <w:pPr>
        <w:suppressAutoHyphens w:val="0"/>
        <w:spacing w:after="0"/>
        <w:rPr>
          <w:rFonts w:asciiTheme="minorHAnsi" w:eastAsiaTheme="minorHAnsi" w:hAnsiTheme="minorHAnsi" w:cstheme="minorBidi"/>
          <w:b/>
          <w:kern w:val="0"/>
          <w:sz w:val="20"/>
          <w:szCs w:val="20"/>
          <w:lang w:val="en-ZA" w:eastAsia="en-US"/>
        </w:rPr>
      </w:pPr>
      <w:r w:rsidRPr="00D2359C">
        <w:rPr>
          <w:rFonts w:asciiTheme="minorHAnsi" w:eastAsiaTheme="minorHAnsi" w:hAnsiTheme="minorHAnsi" w:cstheme="minorBidi"/>
          <w:b/>
          <w:kern w:val="0"/>
          <w:sz w:val="20"/>
          <w:szCs w:val="20"/>
          <w:lang w:val="en-ZA" w:eastAsia="en-US"/>
        </w:rPr>
        <w:lastRenderedPageBreak/>
        <w:t>Table 2: Summary of literature on selected explanatory measures</w:t>
      </w:r>
    </w:p>
    <w:p w:rsidR="00D2359C" w:rsidRPr="00D2359C" w:rsidRDefault="00D2359C" w:rsidP="00D2359C">
      <w:pPr>
        <w:suppressAutoHyphens w:val="0"/>
        <w:spacing w:after="0"/>
        <w:rPr>
          <w:rFonts w:asciiTheme="minorHAnsi" w:eastAsiaTheme="minorHAnsi" w:hAnsiTheme="minorHAnsi" w:cstheme="minorBidi"/>
          <w:b/>
          <w:kern w:val="0"/>
          <w:lang w:val="en-ZA" w:eastAsia="en-US"/>
        </w:rPr>
      </w:pPr>
    </w:p>
    <w:tbl>
      <w:tblPr>
        <w:tblStyle w:val="TableGrid1"/>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6"/>
        <w:gridCol w:w="2708"/>
        <w:gridCol w:w="3622"/>
      </w:tblGrid>
      <w:tr w:rsidR="00D2359C" w:rsidRPr="00D2359C" w:rsidTr="00E845CA">
        <w:trPr>
          <w:trHeight w:val="255"/>
        </w:trPr>
        <w:tc>
          <w:tcPr>
            <w:tcW w:w="1592" w:type="pct"/>
            <w:tcBorders>
              <w:top w:val="single" w:sz="4" w:space="0" w:color="auto"/>
              <w:bottom w:val="single" w:sz="4" w:space="0" w:color="auto"/>
            </w:tcBorders>
          </w:tcPr>
          <w:p w:rsidR="00D2359C" w:rsidRPr="00D2359C" w:rsidRDefault="00D2359C" w:rsidP="00394D10">
            <w:pPr>
              <w:suppressAutoHyphens w:val="0"/>
              <w:spacing w:after="0" w:line="240" w:lineRule="auto"/>
              <w:jc w:val="center"/>
              <w:rPr>
                <w:rFonts w:asciiTheme="minorHAnsi" w:eastAsiaTheme="minorHAnsi" w:hAnsiTheme="minorHAnsi" w:cstheme="minorBidi"/>
                <w:b/>
                <w:kern w:val="0"/>
                <w:sz w:val="18"/>
                <w:szCs w:val="18"/>
                <w:lang w:val="en-ZA" w:eastAsia="en-US"/>
              </w:rPr>
            </w:pPr>
            <w:r w:rsidRPr="00D2359C">
              <w:rPr>
                <w:rFonts w:asciiTheme="minorHAnsi" w:eastAsiaTheme="minorHAnsi" w:hAnsiTheme="minorHAnsi" w:cstheme="minorBidi"/>
                <w:b/>
                <w:kern w:val="0"/>
                <w:sz w:val="18"/>
                <w:szCs w:val="18"/>
                <w:lang w:val="en-ZA" w:eastAsia="en-US"/>
              </w:rPr>
              <w:t>Explanatory effects</w:t>
            </w:r>
          </w:p>
        </w:tc>
        <w:tc>
          <w:tcPr>
            <w:tcW w:w="1458" w:type="pct"/>
            <w:tcBorders>
              <w:top w:val="single" w:sz="4" w:space="0" w:color="auto"/>
              <w:bottom w:val="single" w:sz="4" w:space="0" w:color="auto"/>
            </w:tcBorders>
          </w:tcPr>
          <w:p w:rsidR="00D2359C" w:rsidRPr="00D2359C" w:rsidRDefault="00D2359C" w:rsidP="00394D10">
            <w:pPr>
              <w:suppressAutoHyphens w:val="0"/>
              <w:spacing w:after="0" w:line="240" w:lineRule="auto"/>
              <w:jc w:val="center"/>
              <w:rPr>
                <w:rFonts w:asciiTheme="minorHAnsi" w:eastAsiaTheme="minorHAnsi" w:hAnsiTheme="minorHAnsi" w:cstheme="minorBidi"/>
                <w:b/>
                <w:kern w:val="0"/>
                <w:sz w:val="18"/>
                <w:szCs w:val="18"/>
                <w:lang w:val="en-ZA" w:eastAsia="en-US"/>
              </w:rPr>
            </w:pPr>
            <w:r w:rsidRPr="00D2359C">
              <w:rPr>
                <w:rFonts w:asciiTheme="minorHAnsi" w:eastAsiaTheme="minorHAnsi" w:hAnsiTheme="minorHAnsi" w:cstheme="minorBidi"/>
                <w:b/>
                <w:kern w:val="0"/>
                <w:sz w:val="18"/>
                <w:szCs w:val="18"/>
                <w:lang w:val="en-ZA" w:eastAsia="en-US"/>
              </w:rPr>
              <w:t>Associations</w:t>
            </w:r>
          </w:p>
        </w:tc>
        <w:tc>
          <w:tcPr>
            <w:tcW w:w="1950" w:type="pct"/>
            <w:tcBorders>
              <w:top w:val="single" w:sz="4" w:space="0" w:color="auto"/>
              <w:bottom w:val="single" w:sz="4" w:space="0" w:color="auto"/>
            </w:tcBorders>
          </w:tcPr>
          <w:p w:rsidR="00D2359C" w:rsidRPr="00D2359C" w:rsidRDefault="00D2359C" w:rsidP="00394D10">
            <w:pPr>
              <w:suppressAutoHyphens w:val="0"/>
              <w:spacing w:after="0" w:line="240" w:lineRule="auto"/>
              <w:jc w:val="center"/>
              <w:rPr>
                <w:rFonts w:asciiTheme="minorHAnsi" w:eastAsiaTheme="minorHAnsi" w:hAnsiTheme="minorHAnsi" w:cstheme="minorBidi"/>
                <w:b/>
                <w:kern w:val="0"/>
                <w:sz w:val="18"/>
                <w:szCs w:val="18"/>
                <w:lang w:val="en-ZA" w:eastAsia="en-US"/>
              </w:rPr>
            </w:pPr>
            <w:r w:rsidRPr="00D2359C">
              <w:rPr>
                <w:rFonts w:asciiTheme="minorHAnsi" w:eastAsiaTheme="minorHAnsi" w:hAnsiTheme="minorHAnsi" w:cstheme="minorBidi"/>
                <w:b/>
                <w:kern w:val="0"/>
                <w:sz w:val="18"/>
                <w:szCs w:val="18"/>
                <w:lang w:val="en-ZA" w:eastAsia="en-US"/>
              </w:rPr>
              <w:t>References</w:t>
            </w:r>
          </w:p>
        </w:tc>
      </w:tr>
      <w:tr w:rsidR="00D2359C" w:rsidRPr="00D2359C" w:rsidTr="00E845CA">
        <w:tc>
          <w:tcPr>
            <w:tcW w:w="1592" w:type="pct"/>
            <w:tcBorders>
              <w:top w:val="single" w:sz="4" w:space="0" w:color="auto"/>
            </w:tcBorders>
          </w:tcPr>
          <w:p w:rsidR="00D2359C" w:rsidRPr="00D2359C" w:rsidRDefault="00D2359C" w:rsidP="00D2359C">
            <w:pPr>
              <w:suppressAutoHyphens w:val="0"/>
              <w:spacing w:after="0" w:line="240" w:lineRule="auto"/>
              <w:rPr>
                <w:rFonts w:asciiTheme="minorHAnsi" w:eastAsiaTheme="minorHAnsi" w:hAnsiTheme="minorHAnsi" w:cstheme="minorBidi"/>
                <w:b/>
                <w:kern w:val="0"/>
                <w:sz w:val="18"/>
                <w:szCs w:val="18"/>
                <w:lang w:val="en-ZA" w:eastAsia="en-US"/>
              </w:rPr>
            </w:pPr>
          </w:p>
        </w:tc>
        <w:tc>
          <w:tcPr>
            <w:tcW w:w="1458" w:type="pct"/>
            <w:tcBorders>
              <w:top w:val="single" w:sz="4" w:space="0" w:color="auto"/>
            </w:tcBorders>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p>
        </w:tc>
        <w:tc>
          <w:tcPr>
            <w:tcW w:w="1950" w:type="pct"/>
            <w:tcBorders>
              <w:top w:val="single" w:sz="4" w:space="0" w:color="auto"/>
            </w:tcBorders>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u w:val="single"/>
                <w:lang w:val="en-ZA" w:eastAsia="en-US"/>
              </w:rPr>
            </w:pPr>
            <w:r w:rsidRPr="00D2359C">
              <w:rPr>
                <w:rFonts w:asciiTheme="minorHAnsi" w:eastAsiaTheme="minorHAnsi" w:hAnsiTheme="minorHAnsi" w:cstheme="minorBidi"/>
                <w:kern w:val="0"/>
                <w:sz w:val="18"/>
                <w:szCs w:val="18"/>
                <w:u w:val="single"/>
                <w:lang w:val="en-ZA" w:eastAsia="en-US"/>
              </w:rPr>
              <w:t xml:space="preserve">Temporal patterns </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Evenings hours and weekends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Higher fatal injuries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HAnsi"/>
                <w:kern w:val="0"/>
                <w:sz w:val="18"/>
                <w:szCs w:val="18"/>
                <w:lang w:val="en-ZA" w:eastAsia="en-US"/>
              </w:rPr>
              <w:t>Sukhai et al., 2009; Peden et al., 2004</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b/>
                <w:kern w:val="0"/>
                <w:sz w:val="18"/>
                <w:szCs w:val="18"/>
                <w:lang w:val="en-ZA" w:eastAsia="en-US"/>
              </w:rPr>
            </w:pP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u w:val="single"/>
                <w:lang w:val="en-ZA" w:eastAsia="en-US"/>
              </w:rPr>
            </w:pPr>
            <w:r w:rsidRPr="00D2359C">
              <w:rPr>
                <w:rFonts w:asciiTheme="minorHAnsi" w:eastAsiaTheme="minorHAnsi" w:hAnsiTheme="minorHAnsi" w:cstheme="minorBidi"/>
                <w:kern w:val="0"/>
                <w:sz w:val="18"/>
                <w:szCs w:val="18"/>
                <w:u w:val="single"/>
                <w:lang w:val="en-ZA" w:eastAsia="en-US"/>
              </w:rPr>
              <w:t>Weather</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Rainfall</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HAnsi"/>
                <w:bCs/>
                <w:kern w:val="0"/>
                <w:sz w:val="18"/>
                <w:szCs w:val="18"/>
                <w:lang w:val="en-ZA" w:eastAsia="en-US"/>
              </w:rPr>
              <w:t>Higher risk of injury crashes in rainy conditions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r w:rsidRPr="00D2359C">
              <w:rPr>
                <w:rFonts w:asciiTheme="minorHAnsi" w:eastAsiaTheme="minorHAnsi" w:hAnsiTheme="minorHAnsi" w:cstheme="minorHAnsi"/>
                <w:bCs/>
                <w:kern w:val="0"/>
                <w:sz w:val="18"/>
                <w:szCs w:val="18"/>
                <w:lang w:val="en-ZA" w:eastAsia="en-US"/>
              </w:rPr>
              <w:t xml:space="preserve">Brodsky &amp; Hakkert, </w:t>
            </w:r>
            <w:r w:rsidR="00461A85" w:rsidRPr="00D2359C">
              <w:rPr>
                <w:rFonts w:asciiTheme="minorHAnsi" w:eastAsiaTheme="minorHAnsi" w:hAnsiTheme="minorHAnsi" w:cstheme="minorHAnsi"/>
                <w:bCs/>
                <w:kern w:val="0"/>
                <w:sz w:val="18"/>
                <w:szCs w:val="18"/>
                <w:lang w:val="en-ZA" w:eastAsia="en-US"/>
              </w:rPr>
              <w:t>19</w:t>
            </w:r>
            <w:r w:rsidR="00461A85">
              <w:rPr>
                <w:rFonts w:asciiTheme="minorHAnsi" w:eastAsiaTheme="minorHAnsi" w:hAnsiTheme="minorHAnsi" w:cstheme="minorHAnsi"/>
                <w:bCs/>
                <w:kern w:val="0"/>
                <w:sz w:val="18"/>
                <w:szCs w:val="18"/>
                <w:lang w:val="en-ZA" w:eastAsia="en-US"/>
              </w:rPr>
              <w:t>8</w:t>
            </w:r>
            <w:r w:rsidR="00461A85" w:rsidRPr="00D2359C">
              <w:rPr>
                <w:rFonts w:asciiTheme="minorHAnsi" w:eastAsiaTheme="minorHAnsi" w:hAnsiTheme="minorHAnsi" w:cstheme="minorHAnsi"/>
                <w:bCs/>
                <w:kern w:val="0"/>
                <w:sz w:val="18"/>
                <w:szCs w:val="18"/>
                <w:lang w:val="en-ZA" w:eastAsia="en-US"/>
              </w:rPr>
              <w:t>8</w:t>
            </w:r>
          </w:p>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b/>
                <w:kern w:val="0"/>
                <w:sz w:val="18"/>
                <w:szCs w:val="18"/>
                <w:lang w:val="en-ZA" w:eastAsia="en-US"/>
              </w:rPr>
            </w:pP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u w:val="single"/>
                <w:lang w:val="en-ZA" w:eastAsia="en-US"/>
              </w:rPr>
            </w:pPr>
            <w:r w:rsidRPr="00D2359C">
              <w:rPr>
                <w:rFonts w:asciiTheme="minorHAnsi" w:eastAsiaTheme="minorHAnsi" w:hAnsiTheme="minorHAnsi" w:cstheme="minorBidi"/>
                <w:kern w:val="0"/>
                <w:sz w:val="18"/>
                <w:szCs w:val="18"/>
                <w:u w:val="single"/>
                <w:lang w:val="en-ZA" w:eastAsia="en-US"/>
              </w:rPr>
              <w:t xml:space="preserve">High risk driving behaviours </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DUI, speeding, non-wearing of seatbelts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Higher  injury rates</w:t>
            </w:r>
            <w:r w:rsidRPr="00D2359C">
              <w:rPr>
                <w:rFonts w:asciiTheme="minorHAnsi" w:eastAsiaTheme="minorHAnsi" w:hAnsiTheme="minorHAnsi" w:cstheme="minorBidi"/>
                <w:kern w:val="0"/>
                <w:sz w:val="18"/>
                <w:szCs w:val="18"/>
                <w:lang w:val="en-ZA" w:eastAsia="en-US"/>
              </w:rPr>
              <w:t xml:space="preserve"> </w:t>
            </w:r>
            <w:r w:rsidRPr="00D2359C">
              <w:rPr>
                <w:rFonts w:asciiTheme="minorHAnsi" w:eastAsiaTheme="minorHAnsi" w:hAnsiTheme="minorHAnsi" w:cstheme="minorHAnsi"/>
                <w:kern w:val="0"/>
                <w:sz w:val="18"/>
                <w:szCs w:val="18"/>
                <w:lang w:val="en-ZA" w:eastAsia="en-US"/>
              </w:rPr>
              <w:t>in low density rural areas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HAnsi"/>
                <w:kern w:val="0"/>
                <w:sz w:val="18"/>
                <w:szCs w:val="18"/>
                <w:lang w:val="en-ZA" w:eastAsia="en-US"/>
              </w:rPr>
              <w:t>Strine et al., 2010; Dumbaugh &amp; Rae, 2009; Besag &amp; Newell, 1991</w:t>
            </w:r>
          </w:p>
        </w:tc>
      </w:tr>
      <w:tr w:rsidR="00D2359C" w:rsidRPr="00D2359C" w:rsidTr="00E845CA">
        <w:trPr>
          <w:trHeight w:val="189"/>
        </w:trPr>
        <w:tc>
          <w:tcPr>
            <w:tcW w:w="1592" w:type="pct"/>
          </w:tcPr>
          <w:p w:rsidR="00D2359C" w:rsidRPr="00D2359C" w:rsidRDefault="00D2359C" w:rsidP="00D2359C">
            <w:pPr>
              <w:suppressAutoHyphens w:val="0"/>
              <w:spacing w:after="0" w:line="240" w:lineRule="auto"/>
              <w:rPr>
                <w:rFonts w:asciiTheme="minorHAnsi" w:eastAsiaTheme="minorHAnsi" w:hAnsiTheme="minorHAnsi" w:cstheme="minorHAnsi"/>
                <w:b/>
                <w:bCs/>
                <w:kern w:val="0"/>
                <w:sz w:val="18"/>
                <w:szCs w:val="18"/>
                <w:lang w:val="en-ZA" w:eastAsia="en-US"/>
              </w:rPr>
            </w:pP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p>
        </w:tc>
      </w:tr>
      <w:tr w:rsidR="00D2359C" w:rsidRPr="00D2359C" w:rsidTr="00E845CA">
        <w:trPr>
          <w:trHeight w:val="189"/>
        </w:trPr>
        <w:tc>
          <w:tcPr>
            <w:tcW w:w="1592"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u w:val="single"/>
                <w:lang w:val="en-ZA" w:eastAsia="en-US"/>
              </w:rPr>
            </w:pPr>
            <w:r w:rsidRPr="00D2359C">
              <w:rPr>
                <w:rFonts w:asciiTheme="minorHAnsi" w:eastAsiaTheme="minorHAnsi" w:hAnsiTheme="minorHAnsi" w:cstheme="minorHAnsi"/>
                <w:bCs/>
                <w:kern w:val="0"/>
                <w:sz w:val="18"/>
                <w:szCs w:val="18"/>
                <w:u w:val="single"/>
                <w:lang w:val="en-ZA" w:eastAsia="en-US"/>
              </w:rPr>
              <w:t>Crash and vehicle types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HAnsi"/>
                <w:kern w:val="0"/>
                <w:sz w:val="18"/>
                <w:szCs w:val="18"/>
                <w:lang w:val="en-ZA" w:eastAsia="en-US"/>
              </w:rPr>
              <w:t>Speed-related single vehicle crashes among young drivers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Higher crashes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bCs/>
                <w:kern w:val="0"/>
                <w:sz w:val="18"/>
                <w:szCs w:val="18"/>
                <w:lang w:val="en-ZA" w:eastAsia="en-US"/>
              </w:rPr>
            </w:pPr>
            <w:r w:rsidRPr="00D2359C">
              <w:rPr>
                <w:rFonts w:asciiTheme="minorHAnsi" w:eastAsiaTheme="minorHAnsi" w:hAnsiTheme="minorHAnsi" w:cstheme="minorHAnsi"/>
                <w:bCs/>
                <w:kern w:val="0"/>
                <w:sz w:val="18"/>
                <w:szCs w:val="18"/>
                <w:lang w:val="en-ZA" w:eastAsia="en-US"/>
              </w:rPr>
              <w:t>Chen et al., 2009</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Pedestrian injuries involving sport utility vehicles and pick-up trucks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Higher injury severity scores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Ballesteros, Dischinger &amp; Langenberg, 2004</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Involvement of large trucks in rural crashes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Higher crash risk</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Muelleman &amp; Mueller, 1996; Lyles, Campbell, Blower &amp; Stamatiadis, 1991</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HAnsi"/>
                <w:b/>
                <w:kern w:val="0"/>
                <w:sz w:val="18"/>
                <w:szCs w:val="18"/>
                <w:lang w:val="en-ZA" w:eastAsia="en-US"/>
              </w:rPr>
            </w:pP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u w:val="single"/>
                <w:lang w:val="en-ZA" w:eastAsia="en-US"/>
              </w:rPr>
            </w:pPr>
            <w:r w:rsidRPr="00D2359C">
              <w:rPr>
                <w:rFonts w:asciiTheme="minorHAnsi" w:eastAsiaTheme="minorHAnsi" w:hAnsiTheme="minorHAnsi" w:cstheme="minorHAnsi"/>
                <w:kern w:val="0"/>
                <w:sz w:val="18"/>
                <w:szCs w:val="18"/>
                <w:u w:val="single"/>
                <w:lang w:val="en-ZA" w:eastAsia="en-US"/>
              </w:rPr>
              <w:t>Socio-economic status and deprivation</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Socio-economic status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Higher crashes and RTIs with lower socio-economic status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HAnsi"/>
                <w:kern w:val="0"/>
                <w:sz w:val="18"/>
                <w:szCs w:val="18"/>
                <w:lang w:val="en-ZA" w:eastAsia="en-US"/>
              </w:rPr>
              <w:t>Sukhai and Jones, 2013; Spoerri et al., 2011; Rivas-Ruiz, Perea-Milla &amp; Jimenez-Puente, 2007; Borrell et al., 2005; Christie, 1995</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HAnsi"/>
                <w:b/>
                <w:kern w:val="0"/>
                <w:sz w:val="18"/>
                <w:szCs w:val="18"/>
                <w:lang w:val="en-ZA" w:eastAsia="en-US"/>
              </w:rPr>
            </w:pPr>
            <w:r w:rsidRPr="00D2359C">
              <w:rPr>
                <w:rFonts w:asciiTheme="minorHAnsi" w:eastAsiaTheme="minorHAnsi" w:hAnsiTheme="minorHAnsi" w:cstheme="minorBidi"/>
                <w:kern w:val="0"/>
                <w:sz w:val="18"/>
                <w:szCs w:val="18"/>
                <w:lang w:val="en-ZA" w:eastAsia="en-US"/>
              </w:rPr>
              <w:t>Deprived communities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Bidi"/>
                <w:kern w:val="0"/>
                <w:sz w:val="18"/>
                <w:szCs w:val="18"/>
                <w:lang w:val="en-ZA" w:eastAsia="en-US"/>
              </w:rPr>
              <w:t>Higher traffic-related risk exposure in deprived communities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HAnsi"/>
                <w:kern w:val="0"/>
                <w:sz w:val="18"/>
                <w:szCs w:val="18"/>
                <w:lang w:val="en-ZA" w:eastAsia="en-US"/>
              </w:rPr>
            </w:pPr>
            <w:r w:rsidRPr="00D2359C">
              <w:rPr>
                <w:rFonts w:asciiTheme="minorHAnsi" w:eastAsiaTheme="minorHAnsi" w:hAnsiTheme="minorHAnsi" w:cstheme="minorBidi"/>
                <w:kern w:val="0"/>
                <w:sz w:val="18"/>
                <w:szCs w:val="18"/>
                <w:lang w:val="en-ZA" w:eastAsia="en-US"/>
              </w:rPr>
              <w:t>Babio &amp; Daponte-Codina, 2006; Sonkin, Edwards, Roberts &amp; Green, 2006; Macpherson, Roberts &amp; Pless, 1998</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b/>
                <w:kern w:val="0"/>
                <w:sz w:val="18"/>
                <w:szCs w:val="18"/>
                <w:lang w:val="en-ZA" w:eastAsia="en-US"/>
              </w:rPr>
            </w:pP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u w:val="single"/>
                <w:lang w:val="en-ZA" w:eastAsia="en-US"/>
              </w:rPr>
            </w:pPr>
            <w:r w:rsidRPr="00D2359C">
              <w:rPr>
                <w:rFonts w:asciiTheme="minorHAnsi" w:eastAsiaTheme="minorHAnsi" w:hAnsiTheme="minorHAnsi" w:cstheme="minorBidi"/>
                <w:kern w:val="0"/>
                <w:sz w:val="18"/>
                <w:szCs w:val="18"/>
                <w:u w:val="single"/>
                <w:lang w:val="en-ZA" w:eastAsia="en-US"/>
              </w:rPr>
              <w:t xml:space="preserve">Population and road user groups </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Vehicle occupants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Higher fatal injuries in rural areas in low density rural areas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Spoerri et al., 2011; Muelleman &amp; Mueller, 1996; Chen, Maio, Green &amp; Burney, 1995</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Pedestrians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 xml:space="preserve">Higher risk and injury in urban areas </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Scheiner &amp; Holz-Rau, 2011; Petch &amp; Henson, 2000</w:t>
            </w:r>
          </w:p>
        </w:tc>
      </w:tr>
      <w:tr w:rsidR="00D2359C" w:rsidRPr="00D2359C" w:rsidTr="00E845CA">
        <w:tc>
          <w:tcPr>
            <w:tcW w:w="1592"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Child pedestrians</w:t>
            </w:r>
          </w:p>
        </w:tc>
        <w:tc>
          <w:tcPr>
            <w:tcW w:w="1458"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Higher risk of injury in urban areas</w:t>
            </w:r>
          </w:p>
        </w:tc>
        <w:tc>
          <w:tcPr>
            <w:tcW w:w="1950" w:type="pct"/>
          </w:tcPr>
          <w:p w:rsidR="00D2359C" w:rsidRPr="00D2359C" w:rsidRDefault="00D2359C" w:rsidP="00D2359C">
            <w:pPr>
              <w:suppressAutoHyphens w:val="0"/>
              <w:spacing w:after="0" w:line="240" w:lineRule="auto"/>
              <w:rPr>
                <w:rFonts w:asciiTheme="minorHAnsi" w:eastAsiaTheme="minorHAnsi" w:hAnsiTheme="minorHAnsi" w:cstheme="minorBidi"/>
                <w:kern w:val="0"/>
                <w:sz w:val="18"/>
                <w:szCs w:val="18"/>
                <w:lang w:val="en-ZA" w:eastAsia="en-US"/>
              </w:rPr>
            </w:pPr>
            <w:r w:rsidRPr="00D2359C">
              <w:rPr>
                <w:rFonts w:asciiTheme="minorHAnsi" w:eastAsiaTheme="minorHAnsi" w:hAnsiTheme="minorHAnsi" w:cstheme="minorBidi"/>
                <w:kern w:val="0"/>
                <w:sz w:val="18"/>
                <w:szCs w:val="18"/>
                <w:lang w:val="en-ZA" w:eastAsia="en-US"/>
              </w:rPr>
              <w:t>Scheiner &amp; Holz-Rau, 2011; Petch &amp; Henson, 2000</w:t>
            </w:r>
          </w:p>
        </w:tc>
      </w:tr>
    </w:tbl>
    <w:p w:rsidR="00D2359C" w:rsidRPr="00D2359C" w:rsidRDefault="00D2359C" w:rsidP="00D2359C">
      <w:pPr>
        <w:suppressAutoHyphens w:val="0"/>
        <w:spacing w:after="0"/>
        <w:rPr>
          <w:rFonts w:asciiTheme="minorHAnsi" w:eastAsiaTheme="minorHAnsi" w:hAnsiTheme="minorHAnsi" w:cstheme="minorBidi"/>
          <w:kern w:val="0"/>
          <w:lang w:val="en-ZA" w:eastAsia="en-US"/>
        </w:rPr>
      </w:pPr>
    </w:p>
    <w:p w:rsidR="00D2359C" w:rsidRPr="00D2359C" w:rsidRDefault="00D2359C" w:rsidP="00D2359C">
      <w:pPr>
        <w:suppressAutoHyphens w:val="0"/>
        <w:spacing w:after="0"/>
        <w:rPr>
          <w:rFonts w:asciiTheme="minorHAnsi" w:eastAsiaTheme="minorHAnsi" w:hAnsiTheme="minorHAnsi" w:cstheme="minorBidi"/>
          <w:kern w:val="0"/>
          <w:lang w:val="en-ZA" w:eastAsia="en-US"/>
        </w:rPr>
      </w:pPr>
    </w:p>
    <w:p w:rsidR="006B3F1C" w:rsidRDefault="006B3F1C" w:rsidP="006B3F1C">
      <w:pPr>
        <w:rPr>
          <w:rFonts w:ascii="Arial" w:eastAsia="Times New Roman" w:hAnsi="Arial" w:cs="Arial"/>
          <w:sz w:val="18"/>
          <w:szCs w:val="18"/>
          <w:lang w:eastAsia="en-ZA"/>
        </w:rPr>
      </w:pPr>
      <w:r>
        <w:rPr>
          <w:rFonts w:ascii="Arial" w:eastAsia="Times New Roman" w:hAnsi="Arial" w:cs="Arial"/>
          <w:sz w:val="18"/>
          <w:szCs w:val="18"/>
          <w:lang w:eastAsia="en-ZA"/>
        </w:rPr>
        <w:br w:type="page"/>
      </w:r>
    </w:p>
    <w:p w:rsidR="006B3F1C" w:rsidRPr="00D80848" w:rsidRDefault="006B3F1C" w:rsidP="006B3F1C">
      <w:pPr>
        <w:widowControl w:val="0"/>
        <w:spacing w:after="0" w:line="240" w:lineRule="auto"/>
        <w:rPr>
          <w:b/>
          <w:sz w:val="20"/>
          <w:szCs w:val="20"/>
        </w:rPr>
      </w:pPr>
      <w:r w:rsidRPr="00D80848">
        <w:rPr>
          <w:b/>
          <w:sz w:val="20"/>
          <w:szCs w:val="20"/>
        </w:rPr>
        <w:lastRenderedPageBreak/>
        <w:t xml:space="preserve">Table </w:t>
      </w:r>
      <w:r w:rsidR="003A427A">
        <w:rPr>
          <w:b/>
          <w:sz w:val="20"/>
          <w:szCs w:val="20"/>
        </w:rPr>
        <w:t>3</w:t>
      </w:r>
      <w:r w:rsidRPr="00D80848">
        <w:rPr>
          <w:b/>
          <w:sz w:val="20"/>
          <w:szCs w:val="20"/>
        </w:rPr>
        <w:t xml:space="preserve">: Injury outcome by quartiles of crude population density </w:t>
      </w:r>
    </w:p>
    <w:p w:rsidR="006B3F1C" w:rsidRPr="00D80848" w:rsidRDefault="006B3F1C" w:rsidP="006B3F1C">
      <w:pPr>
        <w:widowControl w:val="0"/>
        <w:spacing w:after="0" w:line="240" w:lineRule="auto"/>
        <w:rPr>
          <w:rFonts w:cstheme="minorHAnsi"/>
          <w:b/>
          <w:sz w:val="18"/>
          <w:szCs w:val="18"/>
        </w:rPr>
      </w:pPr>
    </w:p>
    <w:tbl>
      <w:tblPr>
        <w:tblW w:w="9085" w:type="dxa"/>
        <w:tblLayout w:type="fixed"/>
        <w:tblCellMar>
          <w:left w:w="0" w:type="dxa"/>
          <w:right w:w="0" w:type="dxa"/>
        </w:tblCellMar>
        <w:tblLook w:val="04A0" w:firstRow="1" w:lastRow="0" w:firstColumn="1" w:lastColumn="0" w:noHBand="0" w:noVBand="1"/>
      </w:tblPr>
      <w:tblGrid>
        <w:gridCol w:w="4691"/>
        <w:gridCol w:w="886"/>
        <w:gridCol w:w="886"/>
        <w:gridCol w:w="886"/>
        <w:gridCol w:w="886"/>
        <w:gridCol w:w="850"/>
      </w:tblGrid>
      <w:tr w:rsidR="006B3F1C" w:rsidRPr="00D80848" w:rsidTr="006B3F1C">
        <w:trPr>
          <w:trHeight w:val="255"/>
        </w:trPr>
        <w:tc>
          <w:tcPr>
            <w:tcW w:w="4691" w:type="dxa"/>
            <w:tcBorders>
              <w:top w:val="single" w:sz="4" w:space="0" w:color="auto"/>
              <w:left w:val="nil"/>
              <w:bottom w:val="single" w:sz="4" w:space="0" w:color="auto"/>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center"/>
              <w:rPr>
                <w:rFonts w:cstheme="minorHAnsi"/>
                <w:bCs/>
                <w:sz w:val="18"/>
                <w:szCs w:val="18"/>
              </w:rPr>
            </w:pPr>
          </w:p>
        </w:tc>
        <w:tc>
          <w:tcPr>
            <w:tcW w:w="886" w:type="dxa"/>
            <w:tcBorders>
              <w:top w:val="single" w:sz="4" w:space="0" w:color="auto"/>
              <w:left w:val="nil"/>
              <w:bottom w:val="single" w:sz="4" w:space="0" w:color="auto"/>
              <w:right w:val="nil"/>
            </w:tcBorders>
            <w:shd w:val="clear" w:color="auto" w:fill="auto"/>
            <w:vAlign w:val="center"/>
          </w:tcPr>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Quartile 1</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(18.5-</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367.7)</w:t>
            </w:r>
          </w:p>
        </w:tc>
        <w:tc>
          <w:tcPr>
            <w:tcW w:w="886" w:type="dxa"/>
            <w:tcBorders>
              <w:top w:val="single" w:sz="4" w:space="0" w:color="auto"/>
              <w:left w:val="nil"/>
              <w:bottom w:val="single" w:sz="4" w:space="0" w:color="auto"/>
              <w:right w:val="nil"/>
            </w:tcBorders>
            <w:shd w:val="clear" w:color="auto" w:fill="auto"/>
            <w:vAlign w:val="center"/>
          </w:tcPr>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Quartile 2</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(367.8-</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1191.6)</w:t>
            </w:r>
          </w:p>
        </w:tc>
        <w:tc>
          <w:tcPr>
            <w:tcW w:w="886" w:type="dxa"/>
            <w:tcBorders>
              <w:top w:val="single" w:sz="4" w:space="0" w:color="auto"/>
              <w:left w:val="nil"/>
              <w:bottom w:val="single" w:sz="4" w:space="0" w:color="auto"/>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Quartile 3</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(1191.7-</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2856.4)</w:t>
            </w:r>
          </w:p>
        </w:tc>
        <w:tc>
          <w:tcPr>
            <w:tcW w:w="886" w:type="dxa"/>
            <w:tcBorders>
              <w:top w:val="single" w:sz="4" w:space="0" w:color="auto"/>
              <w:left w:val="nil"/>
              <w:bottom w:val="single" w:sz="4" w:space="0" w:color="auto"/>
            </w:tcBorders>
            <w:shd w:val="clear" w:color="auto" w:fill="auto"/>
            <w:vAlign w:val="center"/>
          </w:tcPr>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Quartile 4</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 xml:space="preserve"> (28656.5-</w:t>
            </w:r>
          </w:p>
          <w:p w:rsidR="006B3F1C" w:rsidRPr="00D80848" w:rsidRDefault="006B3F1C" w:rsidP="006B3F1C">
            <w:pPr>
              <w:widowControl w:val="0"/>
              <w:spacing w:after="0" w:line="240" w:lineRule="auto"/>
              <w:jc w:val="center"/>
              <w:rPr>
                <w:rFonts w:cstheme="minorHAnsi"/>
                <w:bCs/>
                <w:sz w:val="18"/>
                <w:szCs w:val="18"/>
              </w:rPr>
            </w:pPr>
            <w:r w:rsidRPr="00D80848">
              <w:rPr>
                <w:rFonts w:cstheme="minorHAnsi"/>
                <w:bCs/>
                <w:sz w:val="18"/>
                <w:szCs w:val="18"/>
              </w:rPr>
              <w:t>10225.8)</w:t>
            </w:r>
          </w:p>
        </w:tc>
        <w:tc>
          <w:tcPr>
            <w:tcW w:w="850" w:type="dxa"/>
            <w:tcBorders>
              <w:top w:val="single" w:sz="4" w:space="0" w:color="auto"/>
              <w:bottom w:val="single" w:sz="4" w:space="0" w:color="auto"/>
            </w:tcBorders>
            <w:shd w:val="clear" w:color="auto" w:fill="auto"/>
            <w:noWrap/>
            <w:tcMar>
              <w:top w:w="13" w:type="dxa"/>
              <w:left w:w="13" w:type="dxa"/>
              <w:bottom w:w="0" w:type="dxa"/>
              <w:right w:w="13" w:type="dxa"/>
            </w:tcMar>
            <w:vAlign w:val="center"/>
            <w:hideMark/>
          </w:tcPr>
          <w:p w:rsidR="00521010" w:rsidRDefault="006B3F1C" w:rsidP="006B3F1C">
            <w:pPr>
              <w:widowControl w:val="0"/>
              <w:spacing w:after="0" w:line="240" w:lineRule="auto"/>
              <w:jc w:val="center"/>
              <w:rPr>
                <w:rFonts w:cstheme="minorHAnsi"/>
                <w:bCs/>
                <w:sz w:val="18"/>
                <w:szCs w:val="18"/>
              </w:rPr>
            </w:pPr>
            <w:r w:rsidRPr="00D80848">
              <w:rPr>
                <w:rFonts w:cstheme="minorHAnsi"/>
                <w:bCs/>
                <w:sz w:val="18"/>
                <w:szCs w:val="18"/>
              </w:rPr>
              <w:t>P-value</w:t>
            </w:r>
            <w:r w:rsidR="00B761FB">
              <w:rPr>
                <w:rFonts w:cstheme="minorHAnsi"/>
                <w:bCs/>
                <w:sz w:val="18"/>
                <w:szCs w:val="18"/>
              </w:rPr>
              <w:t xml:space="preserve"> </w:t>
            </w:r>
          </w:p>
          <w:p w:rsidR="00521010" w:rsidRDefault="00B761FB" w:rsidP="006B3F1C">
            <w:pPr>
              <w:widowControl w:val="0"/>
              <w:spacing w:after="0" w:line="240" w:lineRule="auto"/>
              <w:jc w:val="center"/>
              <w:rPr>
                <w:rFonts w:cstheme="minorHAnsi"/>
                <w:bCs/>
                <w:sz w:val="18"/>
                <w:szCs w:val="18"/>
              </w:rPr>
            </w:pPr>
            <w:r>
              <w:rPr>
                <w:rFonts w:cstheme="minorHAnsi"/>
                <w:bCs/>
                <w:sz w:val="18"/>
                <w:szCs w:val="18"/>
              </w:rPr>
              <w:t xml:space="preserve">for </w:t>
            </w:r>
          </w:p>
          <w:p w:rsidR="006B3F1C" w:rsidRPr="00D80848" w:rsidRDefault="00B761FB" w:rsidP="006B3F1C">
            <w:pPr>
              <w:widowControl w:val="0"/>
              <w:spacing w:after="0" w:line="240" w:lineRule="auto"/>
              <w:jc w:val="center"/>
              <w:rPr>
                <w:rFonts w:cstheme="minorHAnsi"/>
                <w:bCs/>
                <w:sz w:val="18"/>
                <w:szCs w:val="18"/>
              </w:rPr>
            </w:pPr>
            <w:r>
              <w:rPr>
                <w:rFonts w:cstheme="minorHAnsi"/>
                <w:bCs/>
                <w:sz w:val="18"/>
                <w:szCs w:val="18"/>
              </w:rPr>
              <w:t>trend</w:t>
            </w:r>
          </w:p>
        </w:tc>
      </w:tr>
      <w:tr w:rsidR="006B3F1C" w:rsidRPr="00D80848" w:rsidTr="006B3F1C">
        <w:trPr>
          <w:trHeight w:val="255"/>
        </w:trPr>
        <w:tc>
          <w:tcPr>
            <w:tcW w:w="4691" w:type="dxa"/>
            <w:tcBorders>
              <w:top w:val="single" w:sz="4" w:space="0" w:color="auto"/>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bCs/>
                <w:sz w:val="18"/>
                <w:szCs w:val="18"/>
                <w:u w:val="single"/>
              </w:rPr>
            </w:pPr>
            <w:r w:rsidRPr="00D80848">
              <w:rPr>
                <w:rFonts w:cstheme="minorHAnsi"/>
                <w:bCs/>
                <w:sz w:val="18"/>
                <w:szCs w:val="18"/>
                <w:u w:val="single"/>
              </w:rPr>
              <w:t>Injuries</w:t>
            </w:r>
          </w:p>
        </w:tc>
        <w:tc>
          <w:tcPr>
            <w:tcW w:w="886" w:type="dxa"/>
            <w:tcBorders>
              <w:top w:val="single" w:sz="4" w:space="0" w:color="auto"/>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single" w:sz="4" w:space="0" w:color="auto"/>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single" w:sz="4" w:space="0" w:color="auto"/>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single" w:sz="4" w:space="0" w:color="auto"/>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single" w:sz="4" w:space="0" w:color="auto"/>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r w:rsidRPr="00D80848">
              <w:rPr>
                <w:rFonts w:cstheme="minorHAnsi"/>
                <w:sz w:val="18"/>
                <w:szCs w:val="18"/>
              </w:rPr>
              <w:t>Rate of fatal injury per 100K population*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274.25</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237.69</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71.52</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80.79</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0.08</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r w:rsidRPr="00D80848">
              <w:rPr>
                <w:rFonts w:cstheme="minorHAnsi"/>
                <w:sz w:val="18"/>
                <w:szCs w:val="18"/>
              </w:rPr>
              <w:t>Rate of pedestrian fatal injury per 100K population*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109.44</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144.06</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45.80</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53.53</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0.27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r w:rsidRPr="00D80848">
              <w:rPr>
                <w:rFonts w:cstheme="minorHAnsi"/>
                <w:sz w:val="18"/>
                <w:szCs w:val="18"/>
              </w:rPr>
              <w:t>Rate of serious injury per 100K population*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1250.22</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1116.15</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334.27</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727.91</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0.27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r w:rsidRPr="00D80848">
              <w:rPr>
                <w:rFonts w:cstheme="minorHAnsi"/>
                <w:sz w:val="18"/>
                <w:szCs w:val="18"/>
              </w:rPr>
              <w:t>Rate of pedestrian serious injury per 100K population*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243.99</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448.30</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145.10</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415.38</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0.81</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r w:rsidRPr="00D80848">
              <w:rPr>
                <w:rFonts w:cstheme="minorHAnsi"/>
                <w:sz w:val="18"/>
                <w:szCs w:val="18"/>
              </w:rPr>
              <w:t xml:space="preserve">Crash severity index </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0.068</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0.062</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0.066</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0.078</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0.36</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bCs/>
                <w:i/>
                <w:sz w:val="18"/>
                <w:szCs w:val="18"/>
              </w:rPr>
            </w:pPr>
            <w:r w:rsidRPr="00D80848">
              <w:rPr>
                <w:rFonts w:eastAsia="Times New Roman" w:cstheme="minorHAnsi"/>
                <w:bCs/>
                <w:sz w:val="18"/>
                <w:szCs w:val="18"/>
                <w:u w:val="single"/>
                <w:lang w:eastAsia="en-ZA"/>
              </w:rPr>
              <w:t>Crash characteristics</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bCs/>
                <w:i/>
                <w:sz w:val="18"/>
                <w:szCs w:val="18"/>
              </w:rPr>
            </w:pPr>
            <w:r w:rsidRPr="00D80848">
              <w:rPr>
                <w:rFonts w:cstheme="minorHAnsi"/>
                <w:bCs/>
                <w:i/>
                <w:sz w:val="18"/>
                <w:szCs w:val="18"/>
              </w:rPr>
              <w:t>Day of week</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Saturday</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13.38</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12.21</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15.03</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16.22</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0.17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Sunday</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9.67</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8.24</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10.38</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11.65</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0.27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bCs/>
                <w:i/>
                <w:sz w:val="18"/>
                <w:szCs w:val="18"/>
              </w:rPr>
            </w:pPr>
            <w:r w:rsidRPr="00D80848">
              <w:rPr>
                <w:rFonts w:cstheme="minorHAnsi"/>
                <w:bCs/>
                <w:i/>
                <w:sz w:val="18"/>
                <w:szCs w:val="18"/>
              </w:rPr>
              <w:tab/>
              <w:t>Time of day</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Night</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20.54</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18.21</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21.06</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20.68</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0.67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Twilight</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8.64</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8.66</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10.03</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9.49</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0.25</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Morning peak (6-8am)</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11.57</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13.08</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14.56</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12.30</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0.63</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Evening peak (4-6pm)</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16.70</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16.74</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16.83</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16.12</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0.34</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bCs/>
                <w:i/>
                <w:sz w:val="18"/>
                <w:szCs w:val="18"/>
              </w:rPr>
            </w:pPr>
            <w:r w:rsidRPr="00D80848">
              <w:rPr>
                <w:rFonts w:cstheme="minorHAnsi"/>
                <w:bCs/>
                <w:i/>
                <w:sz w:val="18"/>
                <w:szCs w:val="18"/>
              </w:rPr>
              <w:t>Road condition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Wet road surface</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12.86</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13.28</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12.66</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10.06</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0.20</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bCs/>
                <w:i/>
                <w:sz w:val="18"/>
                <w:szCs w:val="18"/>
              </w:rPr>
            </w:pPr>
            <w:r w:rsidRPr="00D80848">
              <w:rPr>
                <w:rFonts w:cstheme="minorHAnsi"/>
                <w:bCs/>
                <w:i/>
                <w:sz w:val="18"/>
                <w:szCs w:val="18"/>
              </w:rPr>
              <w:t>Crash type</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xml:space="preserve">% Head on </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0.45</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0.40</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0.61</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0.50</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0.48</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xml:space="preserve">% Single vehicles overturned </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2.75</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2.29</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2.39</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0.68</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0.14</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xml:space="preserve">% Vehicle- animal  </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1.12</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0.81</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0.77</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0.29</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0.047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xml:space="preserve">% Vehicle- fixed object </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7.56</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8.09</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8.90</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5.49</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0.52</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xml:space="preserve">% Turning </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11.66</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14.49</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14.92</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14.13</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0.31</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bCs/>
                <w:i/>
                <w:sz w:val="18"/>
                <w:szCs w:val="18"/>
              </w:rPr>
            </w:pPr>
            <w:r w:rsidRPr="00D80848">
              <w:rPr>
                <w:rFonts w:cstheme="minorHAnsi"/>
                <w:bCs/>
                <w:i/>
                <w:sz w:val="18"/>
                <w:szCs w:val="18"/>
              </w:rPr>
              <w:t>Vehicle type</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Car</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58.95</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58.75</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61.91</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60.42</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0.34</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LDV</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17.19</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17.53</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18.45</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14.86</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0.49</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Minibus taxi</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5.59</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8.02</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7.44</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14.03</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0.13</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Bus</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1.30</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1.48</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1.59</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2.64</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0.12</w:t>
            </w:r>
          </w:p>
        </w:tc>
      </w:tr>
      <w:tr w:rsidR="006B3F1C" w:rsidRPr="00D80848" w:rsidTr="006B3F1C">
        <w:trPr>
          <w:trHeight w:val="255"/>
        </w:trPr>
        <w:tc>
          <w:tcPr>
            <w:tcW w:w="4691" w:type="dxa"/>
            <w:tcBorders>
              <w:top w:val="nil"/>
              <w:left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Medium/ heavy commercial</w:t>
            </w:r>
          </w:p>
        </w:tc>
        <w:tc>
          <w:tcPr>
            <w:tcW w:w="886" w:type="dxa"/>
            <w:tcBorders>
              <w:top w:val="nil"/>
              <w:left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3.91</w:t>
            </w:r>
          </w:p>
        </w:tc>
        <w:tc>
          <w:tcPr>
            <w:tcW w:w="886" w:type="dxa"/>
            <w:tcBorders>
              <w:top w:val="nil"/>
              <w:left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3.99</w:t>
            </w:r>
          </w:p>
        </w:tc>
        <w:tc>
          <w:tcPr>
            <w:tcW w:w="886" w:type="dxa"/>
            <w:tcBorders>
              <w:top w:val="nil"/>
              <w:left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3.10</w:t>
            </w:r>
          </w:p>
        </w:tc>
        <w:tc>
          <w:tcPr>
            <w:tcW w:w="886" w:type="dxa"/>
            <w:tcBorders>
              <w:top w:val="nil"/>
              <w:lef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2.49</w:t>
            </w:r>
          </w:p>
        </w:tc>
        <w:tc>
          <w:tcPr>
            <w:tcW w:w="850" w:type="dxa"/>
            <w:tcBorders>
              <w:top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0.07</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tabs>
                <w:tab w:val="left" w:pos="288"/>
              </w:tabs>
              <w:spacing w:after="0" w:line="240" w:lineRule="auto"/>
              <w:rPr>
                <w:rFonts w:cstheme="minorHAnsi"/>
                <w:sz w:val="18"/>
                <w:szCs w:val="18"/>
              </w:rPr>
            </w:pPr>
            <w:r w:rsidRPr="00D80848">
              <w:rPr>
                <w:rFonts w:cstheme="minorHAnsi"/>
                <w:sz w:val="18"/>
                <w:szCs w:val="18"/>
              </w:rPr>
              <w:tab/>
              <w:t>% Articulated</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9.51</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7.08</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3.53</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1.80</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0.01</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eastAsia="Times New Roman" w:cstheme="minorHAnsi"/>
                <w:sz w:val="18"/>
                <w:szCs w:val="18"/>
                <w:u w:val="single"/>
                <w:lang w:eastAsia="en-ZA"/>
              </w:rPr>
            </w:pPr>
            <w:r w:rsidRPr="00D80848">
              <w:rPr>
                <w:rFonts w:eastAsia="Times New Roman" w:cstheme="minorHAnsi"/>
                <w:sz w:val="18"/>
                <w:szCs w:val="18"/>
                <w:u w:val="single"/>
                <w:lang w:eastAsia="en-ZA"/>
              </w:rPr>
              <w:t>Socio-economic deprivation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 Population living in a shack</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2.10</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1.55</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4.49</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6.17</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0.09</w:t>
            </w:r>
          </w:p>
        </w:tc>
      </w:tr>
      <w:tr w:rsidR="006B3F1C" w:rsidRPr="00D80848" w:rsidTr="006B3F1C">
        <w:trPr>
          <w:trHeight w:val="255"/>
        </w:trPr>
        <w:tc>
          <w:tcPr>
            <w:tcW w:w="4691"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val="en-ZA" w:eastAsia="en-ZA"/>
              </w:rPr>
              <w:t>% Population with less than secondary level education</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22.47</w:t>
            </w:r>
          </w:p>
        </w:tc>
        <w:tc>
          <w:tcPr>
            <w:tcW w:w="886" w:type="dxa"/>
            <w:tcBorders>
              <w:top w:val="nil"/>
              <w:left w:val="nil"/>
              <w:bottom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17.37</w:t>
            </w:r>
          </w:p>
        </w:tc>
        <w:tc>
          <w:tcPr>
            <w:tcW w:w="886" w:type="dxa"/>
            <w:tcBorders>
              <w:top w:val="nil"/>
              <w:left w:val="nil"/>
              <w:bottom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17.32</w:t>
            </w:r>
          </w:p>
        </w:tc>
        <w:tc>
          <w:tcPr>
            <w:tcW w:w="886" w:type="dxa"/>
            <w:tcBorders>
              <w:top w:val="nil"/>
              <w:left w:val="nil"/>
              <w:bottom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15.21</w:t>
            </w:r>
          </w:p>
        </w:tc>
        <w:tc>
          <w:tcPr>
            <w:tcW w:w="850" w:type="dxa"/>
            <w:tcBorders>
              <w:top w:val="nil"/>
              <w:bottom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0.09</w:t>
            </w:r>
          </w:p>
        </w:tc>
      </w:tr>
      <w:tr w:rsidR="006B3F1C" w:rsidRPr="00D80848" w:rsidTr="006B3F1C">
        <w:trPr>
          <w:trHeight w:val="255"/>
        </w:trPr>
        <w:tc>
          <w:tcPr>
            <w:tcW w:w="4691" w:type="dxa"/>
            <w:tcBorders>
              <w:top w:val="nil"/>
              <w:left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 Population who are unemployed</w:t>
            </w:r>
          </w:p>
        </w:tc>
        <w:tc>
          <w:tcPr>
            <w:tcW w:w="886" w:type="dxa"/>
            <w:tcBorders>
              <w:top w:val="nil"/>
              <w:left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18.45</w:t>
            </w:r>
          </w:p>
        </w:tc>
        <w:tc>
          <w:tcPr>
            <w:tcW w:w="886" w:type="dxa"/>
            <w:tcBorders>
              <w:top w:val="nil"/>
              <w:left w:val="nil"/>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16.90</w:t>
            </w:r>
          </w:p>
        </w:tc>
        <w:tc>
          <w:tcPr>
            <w:tcW w:w="886" w:type="dxa"/>
            <w:tcBorders>
              <w:top w:val="nil"/>
              <w:left w:val="nil"/>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19.48</w:t>
            </w:r>
          </w:p>
        </w:tc>
        <w:tc>
          <w:tcPr>
            <w:tcW w:w="886" w:type="dxa"/>
            <w:tcBorders>
              <w:top w:val="nil"/>
              <w:lef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19.52</w:t>
            </w:r>
          </w:p>
        </w:tc>
        <w:tc>
          <w:tcPr>
            <w:tcW w:w="850" w:type="dxa"/>
            <w:tcBorders>
              <w:top w:val="nil"/>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0.39</w:t>
            </w:r>
          </w:p>
        </w:tc>
      </w:tr>
      <w:tr w:rsidR="006B3F1C" w:rsidRPr="00D80848" w:rsidTr="006B3F1C">
        <w:trPr>
          <w:trHeight w:val="255"/>
        </w:trPr>
        <w:tc>
          <w:tcPr>
            <w:tcW w:w="4691" w:type="dxa"/>
            <w:tcBorders>
              <w:top w:val="nil"/>
              <w:left w:val="nil"/>
              <w:bottom w:val="single" w:sz="4" w:space="0" w:color="auto"/>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rPr>
                <w:rFonts w:eastAsia="Times New Roman" w:cstheme="minorHAnsi"/>
                <w:sz w:val="18"/>
                <w:szCs w:val="18"/>
                <w:lang w:eastAsia="en-ZA"/>
              </w:rPr>
            </w:pPr>
            <w:r w:rsidRPr="00D80848">
              <w:rPr>
                <w:rFonts w:eastAsia="Times New Roman" w:cstheme="minorHAnsi"/>
                <w:sz w:val="18"/>
                <w:szCs w:val="18"/>
                <w:lang w:eastAsia="en-ZA"/>
              </w:rPr>
              <w:t>% Population with monthly income of R400 or less</w:t>
            </w:r>
          </w:p>
          <w:p w:rsidR="006B3F1C" w:rsidRPr="00D80848" w:rsidRDefault="006B3F1C" w:rsidP="006B3F1C">
            <w:pPr>
              <w:widowControl w:val="0"/>
              <w:spacing w:after="0" w:line="240" w:lineRule="auto"/>
              <w:rPr>
                <w:rFonts w:eastAsia="Times New Roman" w:cstheme="minorHAnsi"/>
                <w:sz w:val="18"/>
                <w:szCs w:val="18"/>
                <w:lang w:eastAsia="en-ZA"/>
              </w:rPr>
            </w:pPr>
          </w:p>
        </w:tc>
        <w:tc>
          <w:tcPr>
            <w:tcW w:w="886" w:type="dxa"/>
            <w:tcBorders>
              <w:top w:val="nil"/>
              <w:left w:val="nil"/>
              <w:bottom w:val="single" w:sz="4" w:space="0" w:color="auto"/>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77.21</w:t>
            </w:r>
          </w:p>
        </w:tc>
        <w:tc>
          <w:tcPr>
            <w:tcW w:w="886" w:type="dxa"/>
            <w:tcBorders>
              <w:top w:val="nil"/>
              <w:left w:val="nil"/>
              <w:bottom w:val="single" w:sz="4" w:space="0" w:color="auto"/>
              <w:right w:val="nil"/>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68.29</w:t>
            </w:r>
          </w:p>
        </w:tc>
        <w:tc>
          <w:tcPr>
            <w:tcW w:w="886" w:type="dxa"/>
            <w:tcBorders>
              <w:top w:val="nil"/>
              <w:left w:val="nil"/>
              <w:bottom w:val="single" w:sz="4" w:space="0" w:color="auto"/>
              <w:right w:val="nil"/>
            </w:tcBorders>
            <w:shd w:val="clear" w:color="auto" w:fill="auto"/>
            <w:noWrap/>
            <w:tcMar>
              <w:top w:w="13" w:type="dxa"/>
              <w:left w:w="13" w:type="dxa"/>
              <w:bottom w:w="0" w:type="dxa"/>
              <w:right w:w="13" w:type="dxa"/>
            </w:tcMar>
            <w:vAlign w:val="center"/>
            <w:hideMark/>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71.18</w:t>
            </w:r>
          </w:p>
        </w:tc>
        <w:tc>
          <w:tcPr>
            <w:tcW w:w="886" w:type="dxa"/>
            <w:tcBorders>
              <w:top w:val="nil"/>
              <w:left w:val="nil"/>
              <w:bottom w:val="single" w:sz="4" w:space="0" w:color="auto"/>
            </w:tcBorders>
            <w:shd w:val="clear" w:color="auto" w:fill="auto"/>
            <w:vAlign w:val="center"/>
          </w:tcPr>
          <w:p w:rsidR="006B3F1C" w:rsidRPr="00D80848" w:rsidRDefault="006B3F1C" w:rsidP="006B3F1C">
            <w:pPr>
              <w:widowControl w:val="0"/>
              <w:spacing w:after="0" w:line="240" w:lineRule="auto"/>
              <w:jc w:val="right"/>
              <w:rPr>
                <w:rFonts w:cstheme="minorHAnsi"/>
                <w:sz w:val="18"/>
                <w:szCs w:val="18"/>
              </w:rPr>
            </w:pPr>
            <w:r w:rsidRPr="00D80848">
              <w:rPr>
                <w:rFonts w:cstheme="minorHAnsi"/>
                <w:sz w:val="18"/>
                <w:szCs w:val="18"/>
              </w:rPr>
              <w:t>68.63</w:t>
            </w:r>
          </w:p>
        </w:tc>
        <w:tc>
          <w:tcPr>
            <w:tcW w:w="850" w:type="dxa"/>
            <w:tcBorders>
              <w:top w:val="nil"/>
              <w:bottom w:val="single" w:sz="4" w:space="0" w:color="auto"/>
            </w:tcBorders>
            <w:shd w:val="clear" w:color="auto" w:fill="auto"/>
            <w:noWrap/>
            <w:tcMar>
              <w:top w:w="13" w:type="dxa"/>
              <w:left w:w="13" w:type="dxa"/>
              <w:bottom w:w="0" w:type="dxa"/>
              <w:right w:w="13" w:type="dxa"/>
            </w:tcMar>
            <w:vAlign w:val="center"/>
            <w:hideMark/>
          </w:tcPr>
          <w:p w:rsidR="006B3F1C" w:rsidRPr="00D80848" w:rsidRDefault="00154A02" w:rsidP="006B3F1C">
            <w:pPr>
              <w:widowControl w:val="0"/>
              <w:spacing w:after="0" w:line="240" w:lineRule="auto"/>
              <w:jc w:val="right"/>
              <w:rPr>
                <w:rFonts w:cstheme="minorHAnsi"/>
                <w:sz w:val="18"/>
                <w:szCs w:val="18"/>
              </w:rPr>
            </w:pPr>
            <w:r>
              <w:rPr>
                <w:rFonts w:cstheme="minorHAnsi"/>
                <w:sz w:val="18"/>
                <w:szCs w:val="18"/>
              </w:rPr>
              <w:t>0.29</w:t>
            </w:r>
          </w:p>
        </w:tc>
      </w:tr>
    </w:tbl>
    <w:p w:rsidR="006B3F1C" w:rsidRPr="00D80848" w:rsidRDefault="006B3F1C" w:rsidP="006B3F1C">
      <w:pPr>
        <w:widowControl w:val="0"/>
        <w:spacing w:after="0" w:line="240" w:lineRule="auto"/>
        <w:rPr>
          <w:rFonts w:eastAsia="Times New Roman" w:cstheme="minorHAnsi"/>
          <w:sz w:val="18"/>
          <w:szCs w:val="18"/>
          <w:lang w:eastAsia="en-ZA"/>
        </w:rPr>
      </w:pPr>
    </w:p>
    <w:p w:rsidR="006B3F1C" w:rsidRPr="00D80848" w:rsidRDefault="006B3F1C" w:rsidP="006B3F1C">
      <w:pPr>
        <w:widowControl w:val="0"/>
        <w:spacing w:after="0" w:line="240" w:lineRule="auto"/>
        <w:rPr>
          <w:rFonts w:cstheme="minorHAnsi"/>
          <w:sz w:val="18"/>
          <w:szCs w:val="18"/>
        </w:rPr>
      </w:pPr>
      <w:r w:rsidRPr="00D80848">
        <w:rPr>
          <w:rFonts w:eastAsia="Times New Roman" w:cstheme="minorHAnsi"/>
          <w:sz w:val="18"/>
          <w:szCs w:val="18"/>
          <w:lang w:eastAsia="en-ZA"/>
        </w:rPr>
        <w:t>* 5-year rate (2005-2009)</w:t>
      </w:r>
    </w:p>
    <w:p w:rsidR="00F4488E" w:rsidRDefault="006B3F1C" w:rsidP="006B3F1C">
      <w:pPr>
        <w:widowControl w:val="0"/>
        <w:rPr>
          <w:b/>
          <w:sz w:val="20"/>
          <w:szCs w:val="20"/>
        </w:rPr>
      </w:pPr>
      <w:r>
        <w:rPr>
          <w:b/>
          <w:sz w:val="20"/>
          <w:szCs w:val="20"/>
        </w:rPr>
        <w:br/>
      </w:r>
    </w:p>
    <w:p w:rsidR="00F4488E" w:rsidRDefault="00F4488E">
      <w:pPr>
        <w:suppressAutoHyphens w:val="0"/>
        <w:spacing w:after="0" w:line="240" w:lineRule="auto"/>
        <w:rPr>
          <w:b/>
          <w:sz w:val="20"/>
          <w:szCs w:val="20"/>
        </w:rPr>
      </w:pPr>
      <w:r>
        <w:rPr>
          <w:b/>
          <w:sz w:val="20"/>
          <w:szCs w:val="20"/>
        </w:rPr>
        <w:br w:type="page"/>
      </w:r>
    </w:p>
    <w:p w:rsidR="00175E55" w:rsidRPr="00D77A77" w:rsidRDefault="00175E55" w:rsidP="00175E55">
      <w:pPr>
        <w:spacing w:after="0" w:line="240" w:lineRule="auto"/>
        <w:rPr>
          <w:b/>
          <w:sz w:val="20"/>
          <w:szCs w:val="20"/>
        </w:rPr>
      </w:pPr>
      <w:r w:rsidRPr="00FE438C">
        <w:rPr>
          <w:b/>
          <w:sz w:val="20"/>
          <w:szCs w:val="20"/>
        </w:rPr>
        <w:lastRenderedPageBreak/>
        <w:t>Table 4: Population density effect from unadjusted and adjusted models for injury outcomes</w:t>
      </w:r>
    </w:p>
    <w:p w:rsidR="00175E55" w:rsidRPr="00175E55" w:rsidRDefault="00175E55" w:rsidP="00175E55">
      <w:pPr>
        <w:spacing w:after="0" w:line="240" w:lineRule="auto"/>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5"/>
        <w:gridCol w:w="1005"/>
        <w:gridCol w:w="1170"/>
        <w:gridCol w:w="536"/>
        <w:gridCol w:w="755"/>
        <w:gridCol w:w="222"/>
        <w:gridCol w:w="1005"/>
        <w:gridCol w:w="1170"/>
        <w:gridCol w:w="536"/>
        <w:gridCol w:w="755"/>
      </w:tblGrid>
      <w:tr w:rsidR="00175E55" w:rsidRPr="00175E55" w:rsidTr="001C6A4E">
        <w:trPr>
          <w:trHeight w:val="300"/>
        </w:trPr>
        <w:tc>
          <w:tcPr>
            <w:tcW w:w="0" w:type="auto"/>
            <w:tcBorders>
              <w:top w:val="single" w:sz="4" w:space="0" w:color="auto"/>
              <w:left w:val="nil"/>
              <w:bottom w:val="nil"/>
              <w:right w:val="nil"/>
            </w:tcBorders>
            <w:noWrap/>
            <w:hideMark/>
          </w:tcPr>
          <w:p w:rsidR="00175E55" w:rsidRPr="00175E55" w:rsidRDefault="00175E55" w:rsidP="00175E55">
            <w:pPr>
              <w:spacing w:after="0" w:line="240" w:lineRule="auto"/>
              <w:jc w:val="center"/>
              <w:rPr>
                <w:rFonts w:asciiTheme="minorHAnsi" w:hAnsiTheme="minorHAnsi" w:cstheme="minorHAnsi"/>
                <w:sz w:val="18"/>
                <w:szCs w:val="18"/>
              </w:rPr>
            </w:pPr>
          </w:p>
        </w:tc>
        <w:tc>
          <w:tcPr>
            <w:tcW w:w="0" w:type="auto"/>
            <w:gridSpan w:val="4"/>
            <w:tcBorders>
              <w:top w:val="single" w:sz="4" w:space="0" w:color="auto"/>
              <w:left w:val="nil"/>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b/>
                <w:sz w:val="18"/>
                <w:szCs w:val="18"/>
              </w:rPr>
              <w:t>Unadjusted model</w:t>
            </w:r>
          </w:p>
        </w:tc>
        <w:tc>
          <w:tcPr>
            <w:tcW w:w="0" w:type="auto"/>
            <w:tcBorders>
              <w:top w:val="single" w:sz="4" w:space="0" w:color="auto"/>
              <w:left w:val="nil"/>
              <w:bottom w:val="nil"/>
              <w:right w:val="nil"/>
            </w:tcBorders>
            <w:vAlign w:val="center"/>
          </w:tcPr>
          <w:p w:rsidR="00175E55" w:rsidRPr="00175E55" w:rsidRDefault="00175E55" w:rsidP="00175E55">
            <w:pPr>
              <w:spacing w:after="0" w:line="240" w:lineRule="auto"/>
              <w:jc w:val="center"/>
              <w:rPr>
                <w:rFonts w:asciiTheme="minorHAnsi" w:hAnsiTheme="minorHAnsi" w:cstheme="minorHAnsi"/>
                <w:b/>
                <w:sz w:val="18"/>
                <w:szCs w:val="18"/>
              </w:rPr>
            </w:pPr>
          </w:p>
        </w:tc>
        <w:tc>
          <w:tcPr>
            <w:tcW w:w="0" w:type="auto"/>
            <w:gridSpan w:val="4"/>
            <w:tcBorders>
              <w:top w:val="single" w:sz="4" w:space="0" w:color="auto"/>
              <w:left w:val="nil"/>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b/>
                <w:sz w:val="18"/>
                <w:szCs w:val="18"/>
              </w:rPr>
              <w:t>Adjusted model</w:t>
            </w:r>
          </w:p>
        </w:tc>
      </w:tr>
      <w:tr w:rsidR="00521010" w:rsidRPr="00175E55" w:rsidTr="001C6A4E">
        <w:trPr>
          <w:trHeight w:val="300"/>
        </w:trPr>
        <w:tc>
          <w:tcPr>
            <w:tcW w:w="0" w:type="auto"/>
            <w:tcBorders>
              <w:top w:val="nil"/>
              <w:left w:val="nil"/>
              <w:bottom w:val="single" w:sz="4" w:space="0" w:color="auto"/>
              <w:right w:val="nil"/>
            </w:tcBorders>
            <w:noWrap/>
            <w:hideMark/>
          </w:tcPr>
          <w:p w:rsidR="00175E55" w:rsidRPr="00175E55" w:rsidRDefault="00175E55" w:rsidP="00175E55">
            <w:pPr>
              <w:spacing w:after="0" w:line="240" w:lineRule="auto"/>
              <w:jc w:val="center"/>
              <w:rPr>
                <w:rFonts w:asciiTheme="minorHAnsi" w:hAnsiTheme="minorHAnsi" w:cstheme="minorHAnsi"/>
                <w:sz w:val="18"/>
                <w:szCs w:val="18"/>
              </w:rPr>
            </w:pP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Coefficient</w:t>
            </w: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Standardised</w:t>
            </w:r>
          </w:p>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coefficient</w:t>
            </w: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S.E</w:t>
            </w: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P-value</w:t>
            </w:r>
          </w:p>
        </w:tc>
        <w:tc>
          <w:tcPr>
            <w:tcW w:w="0" w:type="auto"/>
            <w:tcBorders>
              <w:top w:val="nil"/>
              <w:left w:val="nil"/>
              <w:bottom w:val="single" w:sz="4" w:space="0" w:color="auto"/>
              <w:right w:val="nil"/>
            </w:tcBorders>
            <w:vAlign w:val="center"/>
          </w:tcPr>
          <w:p w:rsidR="00175E55" w:rsidRPr="00175E55" w:rsidRDefault="00175E55" w:rsidP="00175E55">
            <w:pPr>
              <w:spacing w:after="0" w:line="240" w:lineRule="auto"/>
              <w:jc w:val="center"/>
              <w:rPr>
                <w:rFonts w:asciiTheme="minorHAnsi" w:hAnsiTheme="minorHAnsi" w:cstheme="minorHAnsi"/>
                <w:sz w:val="18"/>
                <w:szCs w:val="18"/>
              </w:rPr>
            </w:pP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Coefficient</w:t>
            </w: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Standardised</w:t>
            </w:r>
          </w:p>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coefficient</w:t>
            </w: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S.E</w:t>
            </w:r>
          </w:p>
        </w:tc>
        <w:tc>
          <w:tcPr>
            <w:tcW w:w="0" w:type="auto"/>
            <w:tcBorders>
              <w:left w:val="nil"/>
              <w:bottom w:val="single" w:sz="4" w:space="0" w:color="auto"/>
              <w:right w:val="nil"/>
            </w:tcBorders>
            <w:noWrap/>
            <w:vAlign w:val="center"/>
            <w:hideMark/>
          </w:tcPr>
          <w:p w:rsidR="00175E55" w:rsidRPr="00175E55" w:rsidRDefault="00175E55" w:rsidP="00175E55">
            <w:pPr>
              <w:spacing w:after="0" w:line="240" w:lineRule="auto"/>
              <w:jc w:val="center"/>
              <w:rPr>
                <w:rFonts w:asciiTheme="minorHAnsi" w:hAnsiTheme="minorHAnsi" w:cstheme="minorHAnsi"/>
                <w:sz w:val="18"/>
                <w:szCs w:val="18"/>
              </w:rPr>
            </w:pPr>
            <w:r w:rsidRPr="00175E55">
              <w:rPr>
                <w:rFonts w:asciiTheme="minorHAnsi" w:hAnsiTheme="minorHAnsi" w:cstheme="minorHAnsi"/>
                <w:sz w:val="18"/>
                <w:szCs w:val="18"/>
              </w:rPr>
              <w:t>P-value</w:t>
            </w:r>
          </w:p>
        </w:tc>
      </w:tr>
      <w:tr w:rsidR="00521010" w:rsidRPr="00175E55" w:rsidTr="001C6A4E">
        <w:trPr>
          <w:trHeight w:val="300"/>
        </w:trPr>
        <w:tc>
          <w:tcPr>
            <w:tcW w:w="0" w:type="auto"/>
            <w:tcBorders>
              <w:top w:val="single" w:sz="4" w:space="0" w:color="auto"/>
              <w:left w:val="nil"/>
              <w:bottom w:val="nil"/>
              <w:right w:val="nil"/>
            </w:tcBorders>
            <w:noWrap/>
            <w:vAlign w:val="center"/>
            <w:hideMark/>
          </w:tcPr>
          <w:p w:rsidR="00175E55" w:rsidRPr="00175E55" w:rsidRDefault="00175E55" w:rsidP="00175E55">
            <w:pPr>
              <w:spacing w:after="0" w:line="240" w:lineRule="auto"/>
              <w:rPr>
                <w:rFonts w:asciiTheme="minorHAnsi" w:hAnsiTheme="minorHAnsi" w:cstheme="minorHAnsi"/>
                <w:sz w:val="18"/>
                <w:szCs w:val="18"/>
              </w:rPr>
            </w:pPr>
            <w:r w:rsidRPr="00175E55">
              <w:rPr>
                <w:rFonts w:asciiTheme="minorHAnsi" w:hAnsiTheme="minorHAnsi" w:cstheme="minorHAnsi"/>
                <w:sz w:val="18"/>
                <w:szCs w:val="18"/>
              </w:rPr>
              <w:t>Fatal injury</w:t>
            </w:r>
          </w:p>
        </w:tc>
        <w:tc>
          <w:tcPr>
            <w:tcW w:w="0" w:type="auto"/>
            <w:tcBorders>
              <w:top w:val="single" w:sz="4" w:space="0" w:color="auto"/>
              <w:left w:val="nil"/>
              <w:bottom w:val="nil"/>
              <w:right w:val="nil"/>
            </w:tcBorders>
            <w:noWrap/>
            <w:vAlign w:val="center"/>
            <w:hideMark/>
          </w:tcPr>
          <w:p w:rsidR="00175E55" w:rsidRPr="00175E55" w:rsidRDefault="00521010" w:rsidP="006444A7">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3</w:t>
            </w:r>
            <w:r>
              <w:rPr>
                <w:rFonts w:asciiTheme="minorHAnsi" w:hAnsiTheme="minorHAnsi" w:cstheme="minorHAnsi"/>
                <w:sz w:val="18"/>
                <w:szCs w:val="18"/>
              </w:rPr>
              <w:t>.</w:t>
            </w:r>
            <w:r w:rsidR="00175E55" w:rsidRPr="00175E55">
              <w:rPr>
                <w:rFonts w:asciiTheme="minorHAnsi" w:hAnsiTheme="minorHAnsi" w:cstheme="minorHAnsi"/>
                <w:sz w:val="18"/>
                <w:szCs w:val="18"/>
              </w:rPr>
              <w:t>19</w:t>
            </w:r>
          </w:p>
        </w:tc>
        <w:tc>
          <w:tcPr>
            <w:tcW w:w="0" w:type="auto"/>
            <w:tcBorders>
              <w:top w:val="single" w:sz="4" w:space="0" w:color="auto"/>
              <w:left w:val="nil"/>
              <w:bottom w:val="nil"/>
              <w:right w:val="nil"/>
            </w:tcBorders>
            <w:noWrap/>
            <w:vAlign w:val="center"/>
            <w:hideMark/>
          </w:tcPr>
          <w:p w:rsidR="00175E55" w:rsidRPr="00175E55" w:rsidRDefault="00521010" w:rsidP="00521010">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129</w:t>
            </w:r>
            <w:r>
              <w:rPr>
                <w:rFonts w:asciiTheme="minorHAnsi" w:hAnsiTheme="minorHAnsi" w:cstheme="minorHAnsi"/>
                <w:sz w:val="18"/>
                <w:szCs w:val="18"/>
              </w:rPr>
              <w:t>.</w:t>
            </w:r>
            <w:r w:rsidR="00175E55" w:rsidRPr="00175E55">
              <w:rPr>
                <w:rFonts w:asciiTheme="minorHAnsi" w:hAnsiTheme="minorHAnsi" w:cstheme="minorHAnsi"/>
                <w:sz w:val="18"/>
                <w:szCs w:val="18"/>
              </w:rPr>
              <w:t>31</w:t>
            </w:r>
          </w:p>
        </w:tc>
        <w:tc>
          <w:tcPr>
            <w:tcW w:w="0" w:type="auto"/>
            <w:tcBorders>
              <w:top w:val="single" w:sz="4" w:space="0" w:color="auto"/>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44</w:t>
            </w:r>
          </w:p>
        </w:tc>
        <w:tc>
          <w:tcPr>
            <w:tcW w:w="0" w:type="auto"/>
            <w:tcBorders>
              <w:top w:val="single" w:sz="4" w:space="0" w:color="auto"/>
              <w:left w:val="nil"/>
              <w:bottom w:val="nil"/>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&lt;0.001</w:t>
            </w:r>
          </w:p>
        </w:tc>
        <w:tc>
          <w:tcPr>
            <w:tcW w:w="0" w:type="auto"/>
            <w:tcBorders>
              <w:top w:val="single" w:sz="4" w:space="0" w:color="auto"/>
              <w:left w:val="nil"/>
              <w:bottom w:val="nil"/>
              <w:right w:val="nil"/>
            </w:tcBorders>
            <w:vAlign w:val="center"/>
          </w:tcPr>
          <w:p w:rsidR="00175E55" w:rsidRPr="00175E55" w:rsidRDefault="00175E55" w:rsidP="00175E55">
            <w:pPr>
              <w:spacing w:after="0" w:line="240" w:lineRule="auto"/>
              <w:jc w:val="right"/>
              <w:rPr>
                <w:rFonts w:asciiTheme="minorHAnsi" w:hAnsiTheme="minorHAnsi" w:cstheme="minorHAnsi"/>
                <w:sz w:val="18"/>
                <w:szCs w:val="18"/>
              </w:rPr>
            </w:pPr>
          </w:p>
        </w:tc>
        <w:tc>
          <w:tcPr>
            <w:tcW w:w="0" w:type="auto"/>
            <w:tcBorders>
              <w:top w:val="single" w:sz="4" w:space="0" w:color="auto"/>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2</w:t>
            </w:r>
            <w:r>
              <w:rPr>
                <w:rFonts w:asciiTheme="minorHAnsi" w:hAnsiTheme="minorHAnsi" w:cstheme="minorHAnsi"/>
                <w:sz w:val="18"/>
                <w:szCs w:val="18"/>
              </w:rPr>
              <w:t>.</w:t>
            </w:r>
            <w:r w:rsidR="00175E55" w:rsidRPr="00175E55">
              <w:rPr>
                <w:rFonts w:asciiTheme="minorHAnsi" w:hAnsiTheme="minorHAnsi" w:cstheme="minorHAnsi"/>
                <w:sz w:val="18"/>
                <w:szCs w:val="18"/>
              </w:rPr>
              <w:t>04</w:t>
            </w:r>
          </w:p>
        </w:tc>
        <w:tc>
          <w:tcPr>
            <w:tcW w:w="0" w:type="auto"/>
            <w:tcBorders>
              <w:top w:val="single" w:sz="4" w:space="0" w:color="auto"/>
              <w:left w:val="nil"/>
              <w:bottom w:val="nil"/>
              <w:right w:val="nil"/>
            </w:tcBorders>
            <w:noWrap/>
            <w:vAlign w:val="center"/>
            <w:hideMark/>
          </w:tcPr>
          <w:p w:rsidR="00175E55" w:rsidRPr="00175E55" w:rsidRDefault="00521010" w:rsidP="00521010">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82</w:t>
            </w:r>
            <w:r>
              <w:rPr>
                <w:rFonts w:asciiTheme="minorHAnsi" w:hAnsiTheme="minorHAnsi" w:cstheme="minorHAnsi"/>
                <w:sz w:val="18"/>
                <w:szCs w:val="18"/>
              </w:rPr>
              <w:t>.70</w:t>
            </w:r>
          </w:p>
        </w:tc>
        <w:tc>
          <w:tcPr>
            <w:tcW w:w="0" w:type="auto"/>
            <w:tcBorders>
              <w:top w:val="single" w:sz="4" w:space="0" w:color="auto"/>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55</w:t>
            </w:r>
          </w:p>
        </w:tc>
        <w:tc>
          <w:tcPr>
            <w:tcW w:w="0" w:type="auto"/>
            <w:tcBorders>
              <w:top w:val="single" w:sz="4" w:space="0" w:color="auto"/>
              <w:left w:val="nil"/>
              <w:bottom w:val="nil"/>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&lt;0.001</w:t>
            </w:r>
          </w:p>
        </w:tc>
      </w:tr>
      <w:tr w:rsidR="00521010" w:rsidRPr="00175E55" w:rsidTr="00175E55">
        <w:trPr>
          <w:trHeight w:val="300"/>
        </w:trPr>
        <w:tc>
          <w:tcPr>
            <w:tcW w:w="0" w:type="auto"/>
            <w:tcBorders>
              <w:top w:val="nil"/>
              <w:left w:val="nil"/>
              <w:bottom w:val="nil"/>
              <w:right w:val="nil"/>
            </w:tcBorders>
            <w:noWrap/>
            <w:vAlign w:val="center"/>
            <w:hideMark/>
          </w:tcPr>
          <w:p w:rsidR="00175E55" w:rsidRPr="00175E55" w:rsidRDefault="00175E55" w:rsidP="00175E55">
            <w:pPr>
              <w:spacing w:after="0" w:line="240" w:lineRule="auto"/>
              <w:rPr>
                <w:rFonts w:asciiTheme="minorHAnsi" w:hAnsiTheme="minorHAnsi" w:cstheme="minorHAnsi"/>
                <w:sz w:val="18"/>
                <w:szCs w:val="18"/>
              </w:rPr>
            </w:pPr>
            <w:r w:rsidRPr="00175E55">
              <w:rPr>
                <w:rFonts w:asciiTheme="minorHAnsi" w:hAnsiTheme="minorHAnsi" w:cstheme="minorHAnsi"/>
                <w:sz w:val="18"/>
                <w:szCs w:val="18"/>
              </w:rPr>
              <w:t>Fatal pedestrian injury</w:t>
            </w: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2</w:t>
            </w:r>
            <w:r>
              <w:rPr>
                <w:rFonts w:asciiTheme="minorHAnsi" w:hAnsiTheme="minorHAnsi" w:cstheme="minorHAnsi"/>
                <w:sz w:val="18"/>
                <w:szCs w:val="18"/>
              </w:rPr>
              <w:t>.</w:t>
            </w:r>
            <w:r w:rsidR="00175E55" w:rsidRPr="00175E55">
              <w:rPr>
                <w:rFonts w:asciiTheme="minorHAnsi" w:hAnsiTheme="minorHAnsi" w:cstheme="minorHAnsi"/>
                <w:sz w:val="18"/>
                <w:szCs w:val="18"/>
              </w:rPr>
              <w:t>46</w:t>
            </w:r>
          </w:p>
        </w:tc>
        <w:tc>
          <w:tcPr>
            <w:tcW w:w="0" w:type="auto"/>
            <w:tcBorders>
              <w:top w:val="nil"/>
              <w:left w:val="nil"/>
              <w:bottom w:val="nil"/>
              <w:right w:val="nil"/>
            </w:tcBorders>
            <w:noWrap/>
            <w:vAlign w:val="center"/>
            <w:hideMark/>
          </w:tcPr>
          <w:p w:rsidR="00175E55" w:rsidRPr="00175E55" w:rsidRDefault="00521010" w:rsidP="00521010">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134</w:t>
            </w:r>
            <w:r>
              <w:rPr>
                <w:rFonts w:asciiTheme="minorHAnsi" w:hAnsiTheme="minorHAnsi" w:cstheme="minorHAnsi"/>
                <w:sz w:val="18"/>
                <w:szCs w:val="18"/>
              </w:rPr>
              <w:t>.</w:t>
            </w:r>
            <w:r w:rsidR="00175E55" w:rsidRPr="00175E55">
              <w:rPr>
                <w:rFonts w:asciiTheme="minorHAnsi" w:hAnsiTheme="minorHAnsi" w:cstheme="minorHAnsi"/>
                <w:sz w:val="18"/>
                <w:szCs w:val="18"/>
              </w:rPr>
              <w:t>8</w:t>
            </w:r>
            <w:r>
              <w:rPr>
                <w:rFonts w:asciiTheme="minorHAnsi" w:hAnsiTheme="minorHAnsi" w:cstheme="minorHAnsi"/>
                <w:sz w:val="18"/>
                <w:szCs w:val="18"/>
              </w:rPr>
              <w:t>4</w:t>
            </w: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46</w:t>
            </w:r>
          </w:p>
        </w:tc>
        <w:tc>
          <w:tcPr>
            <w:tcW w:w="0" w:type="auto"/>
            <w:tcBorders>
              <w:top w:val="nil"/>
              <w:left w:val="nil"/>
              <w:bottom w:val="nil"/>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&lt;0.001</w:t>
            </w:r>
          </w:p>
        </w:tc>
        <w:tc>
          <w:tcPr>
            <w:tcW w:w="0" w:type="auto"/>
            <w:tcBorders>
              <w:top w:val="nil"/>
              <w:left w:val="nil"/>
              <w:bottom w:val="nil"/>
              <w:right w:val="nil"/>
            </w:tcBorders>
            <w:vAlign w:val="center"/>
          </w:tcPr>
          <w:p w:rsidR="00175E55" w:rsidRPr="00175E55" w:rsidRDefault="00175E55" w:rsidP="00175E55">
            <w:pPr>
              <w:spacing w:after="0" w:line="240" w:lineRule="auto"/>
              <w:jc w:val="right"/>
              <w:rPr>
                <w:rFonts w:asciiTheme="minorHAnsi" w:hAnsiTheme="minorHAnsi" w:cstheme="minorHAnsi"/>
                <w:sz w:val="18"/>
                <w:szCs w:val="18"/>
              </w:rPr>
            </w:pP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1</w:t>
            </w:r>
            <w:r>
              <w:rPr>
                <w:rFonts w:asciiTheme="minorHAnsi" w:hAnsiTheme="minorHAnsi" w:cstheme="minorHAnsi"/>
                <w:sz w:val="18"/>
                <w:szCs w:val="18"/>
              </w:rPr>
              <w:t>.</w:t>
            </w:r>
            <w:r w:rsidR="00175E55" w:rsidRPr="00175E55">
              <w:rPr>
                <w:rFonts w:asciiTheme="minorHAnsi" w:hAnsiTheme="minorHAnsi" w:cstheme="minorHAnsi"/>
                <w:sz w:val="18"/>
                <w:szCs w:val="18"/>
              </w:rPr>
              <w:t>34</w:t>
            </w:r>
          </w:p>
        </w:tc>
        <w:tc>
          <w:tcPr>
            <w:tcW w:w="0" w:type="auto"/>
            <w:tcBorders>
              <w:top w:val="nil"/>
              <w:left w:val="nil"/>
              <w:bottom w:val="nil"/>
              <w:right w:val="nil"/>
            </w:tcBorders>
            <w:noWrap/>
            <w:vAlign w:val="center"/>
            <w:hideMark/>
          </w:tcPr>
          <w:p w:rsidR="00175E55" w:rsidRPr="00175E55" w:rsidRDefault="00521010" w:rsidP="00521010">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73</w:t>
            </w:r>
            <w:r>
              <w:rPr>
                <w:rFonts w:asciiTheme="minorHAnsi" w:hAnsiTheme="minorHAnsi" w:cstheme="minorHAnsi"/>
                <w:sz w:val="18"/>
                <w:szCs w:val="18"/>
              </w:rPr>
              <w:t>.</w:t>
            </w:r>
            <w:r w:rsidR="00175E55" w:rsidRPr="00175E55">
              <w:rPr>
                <w:rFonts w:asciiTheme="minorHAnsi" w:hAnsiTheme="minorHAnsi" w:cstheme="minorHAnsi"/>
                <w:sz w:val="18"/>
                <w:szCs w:val="18"/>
              </w:rPr>
              <w:t>4</w:t>
            </w:r>
            <w:r>
              <w:rPr>
                <w:rFonts w:asciiTheme="minorHAnsi" w:hAnsiTheme="minorHAnsi" w:cstheme="minorHAnsi"/>
                <w:sz w:val="18"/>
                <w:szCs w:val="18"/>
              </w:rPr>
              <w:t>5</w:t>
            </w: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56</w:t>
            </w:r>
          </w:p>
        </w:tc>
        <w:tc>
          <w:tcPr>
            <w:tcW w:w="0" w:type="auto"/>
            <w:tcBorders>
              <w:top w:val="nil"/>
              <w:left w:val="nil"/>
              <w:bottom w:val="nil"/>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0.017</w:t>
            </w:r>
          </w:p>
        </w:tc>
      </w:tr>
      <w:tr w:rsidR="00521010" w:rsidRPr="00175E55" w:rsidTr="001C6A4E">
        <w:trPr>
          <w:trHeight w:val="300"/>
        </w:trPr>
        <w:tc>
          <w:tcPr>
            <w:tcW w:w="0" w:type="auto"/>
            <w:tcBorders>
              <w:top w:val="nil"/>
              <w:left w:val="nil"/>
              <w:bottom w:val="nil"/>
              <w:right w:val="nil"/>
            </w:tcBorders>
            <w:noWrap/>
            <w:vAlign w:val="center"/>
            <w:hideMark/>
          </w:tcPr>
          <w:p w:rsidR="00175E55" w:rsidRPr="00175E55" w:rsidRDefault="00175E55" w:rsidP="00175E55">
            <w:pPr>
              <w:spacing w:after="0" w:line="240" w:lineRule="auto"/>
              <w:rPr>
                <w:rFonts w:asciiTheme="minorHAnsi" w:hAnsiTheme="minorHAnsi" w:cstheme="minorHAnsi"/>
                <w:sz w:val="18"/>
                <w:szCs w:val="18"/>
              </w:rPr>
            </w:pPr>
            <w:r w:rsidRPr="00175E55">
              <w:rPr>
                <w:rFonts w:asciiTheme="minorHAnsi" w:hAnsiTheme="minorHAnsi" w:cstheme="minorHAnsi"/>
                <w:sz w:val="18"/>
                <w:szCs w:val="18"/>
              </w:rPr>
              <w:t>Serious injury</w:t>
            </w: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2</w:t>
            </w:r>
            <w:r>
              <w:rPr>
                <w:rFonts w:asciiTheme="minorHAnsi" w:hAnsiTheme="minorHAnsi" w:cstheme="minorHAnsi"/>
                <w:sz w:val="18"/>
                <w:szCs w:val="18"/>
              </w:rPr>
              <w:t>.</w:t>
            </w:r>
            <w:r w:rsidR="00175E55" w:rsidRPr="00175E55">
              <w:rPr>
                <w:rFonts w:asciiTheme="minorHAnsi" w:hAnsiTheme="minorHAnsi" w:cstheme="minorHAnsi"/>
                <w:sz w:val="18"/>
                <w:szCs w:val="18"/>
              </w:rPr>
              <w:t>59</w:t>
            </w:r>
          </w:p>
        </w:tc>
        <w:tc>
          <w:tcPr>
            <w:tcW w:w="0" w:type="auto"/>
            <w:tcBorders>
              <w:top w:val="nil"/>
              <w:left w:val="nil"/>
              <w:bottom w:val="nil"/>
              <w:right w:val="nil"/>
            </w:tcBorders>
            <w:noWrap/>
            <w:vAlign w:val="center"/>
            <w:hideMark/>
          </w:tcPr>
          <w:p w:rsidR="00175E55" w:rsidRPr="00175E55" w:rsidRDefault="00175E55" w:rsidP="00521010">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-12</w:t>
            </w:r>
            <w:r w:rsidR="00521010">
              <w:rPr>
                <w:rFonts w:asciiTheme="minorHAnsi" w:hAnsiTheme="minorHAnsi" w:cstheme="minorHAnsi"/>
                <w:sz w:val="18"/>
                <w:szCs w:val="18"/>
              </w:rPr>
              <w:t>.</w:t>
            </w:r>
            <w:r w:rsidRPr="00175E55">
              <w:rPr>
                <w:rFonts w:asciiTheme="minorHAnsi" w:hAnsiTheme="minorHAnsi" w:cstheme="minorHAnsi"/>
                <w:sz w:val="18"/>
                <w:szCs w:val="18"/>
              </w:rPr>
              <w:t>80</w:t>
            </w: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45</w:t>
            </w:r>
          </w:p>
        </w:tc>
        <w:tc>
          <w:tcPr>
            <w:tcW w:w="0" w:type="auto"/>
            <w:tcBorders>
              <w:top w:val="nil"/>
              <w:left w:val="nil"/>
              <w:bottom w:val="nil"/>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&lt;0.001</w:t>
            </w:r>
          </w:p>
        </w:tc>
        <w:tc>
          <w:tcPr>
            <w:tcW w:w="0" w:type="auto"/>
            <w:tcBorders>
              <w:top w:val="nil"/>
              <w:left w:val="nil"/>
              <w:bottom w:val="nil"/>
              <w:right w:val="nil"/>
            </w:tcBorders>
            <w:vAlign w:val="center"/>
          </w:tcPr>
          <w:p w:rsidR="00175E55" w:rsidRPr="00175E55" w:rsidRDefault="00175E55" w:rsidP="00175E55">
            <w:pPr>
              <w:spacing w:after="0" w:line="240" w:lineRule="auto"/>
              <w:jc w:val="right"/>
              <w:rPr>
                <w:rFonts w:asciiTheme="minorHAnsi" w:hAnsiTheme="minorHAnsi" w:cstheme="minorHAnsi"/>
                <w:sz w:val="18"/>
                <w:szCs w:val="18"/>
              </w:rPr>
            </w:pP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1</w:t>
            </w:r>
            <w:r>
              <w:rPr>
                <w:rFonts w:asciiTheme="minorHAnsi" w:hAnsiTheme="minorHAnsi" w:cstheme="minorHAnsi"/>
                <w:sz w:val="18"/>
                <w:szCs w:val="18"/>
              </w:rPr>
              <w:t>.</w:t>
            </w:r>
            <w:r w:rsidR="00175E55" w:rsidRPr="00175E55">
              <w:rPr>
                <w:rFonts w:asciiTheme="minorHAnsi" w:hAnsiTheme="minorHAnsi" w:cstheme="minorHAnsi"/>
                <w:sz w:val="18"/>
                <w:szCs w:val="18"/>
              </w:rPr>
              <w:t>83</w:t>
            </w:r>
          </w:p>
        </w:tc>
        <w:tc>
          <w:tcPr>
            <w:tcW w:w="0" w:type="auto"/>
            <w:tcBorders>
              <w:top w:val="nil"/>
              <w:left w:val="nil"/>
              <w:bottom w:val="nil"/>
              <w:right w:val="nil"/>
            </w:tcBorders>
            <w:noWrap/>
            <w:vAlign w:val="center"/>
            <w:hideMark/>
          </w:tcPr>
          <w:p w:rsidR="00175E55" w:rsidRPr="00175E55" w:rsidRDefault="00521010" w:rsidP="00521010">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9</w:t>
            </w:r>
            <w:r>
              <w:rPr>
                <w:rFonts w:asciiTheme="minorHAnsi" w:hAnsiTheme="minorHAnsi" w:cstheme="minorHAnsi"/>
                <w:sz w:val="18"/>
                <w:szCs w:val="18"/>
              </w:rPr>
              <w:t>.</w:t>
            </w:r>
            <w:r w:rsidR="00175E55" w:rsidRPr="00175E55">
              <w:rPr>
                <w:rFonts w:asciiTheme="minorHAnsi" w:hAnsiTheme="minorHAnsi" w:cstheme="minorHAnsi"/>
                <w:sz w:val="18"/>
                <w:szCs w:val="18"/>
              </w:rPr>
              <w:t>0</w:t>
            </w:r>
            <w:r>
              <w:rPr>
                <w:rFonts w:asciiTheme="minorHAnsi" w:hAnsiTheme="minorHAnsi" w:cstheme="minorHAnsi"/>
                <w:sz w:val="18"/>
                <w:szCs w:val="18"/>
              </w:rPr>
              <w:t>5</w:t>
            </w:r>
          </w:p>
        </w:tc>
        <w:tc>
          <w:tcPr>
            <w:tcW w:w="0" w:type="auto"/>
            <w:tcBorders>
              <w:top w:val="nil"/>
              <w:left w:val="nil"/>
              <w:bottom w:val="nil"/>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59</w:t>
            </w:r>
          </w:p>
        </w:tc>
        <w:tc>
          <w:tcPr>
            <w:tcW w:w="0" w:type="auto"/>
            <w:tcBorders>
              <w:top w:val="nil"/>
              <w:left w:val="nil"/>
              <w:bottom w:val="nil"/>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0.002</w:t>
            </w:r>
          </w:p>
        </w:tc>
      </w:tr>
      <w:tr w:rsidR="00521010" w:rsidRPr="00175E55" w:rsidTr="001C6A4E">
        <w:trPr>
          <w:trHeight w:val="300"/>
        </w:trPr>
        <w:tc>
          <w:tcPr>
            <w:tcW w:w="0" w:type="auto"/>
            <w:tcBorders>
              <w:top w:val="nil"/>
              <w:left w:val="nil"/>
              <w:bottom w:val="single" w:sz="4" w:space="0" w:color="auto"/>
              <w:right w:val="nil"/>
            </w:tcBorders>
            <w:noWrap/>
            <w:vAlign w:val="center"/>
            <w:hideMark/>
          </w:tcPr>
          <w:p w:rsidR="00175E55" w:rsidRPr="00175E55" w:rsidRDefault="00175E55" w:rsidP="00175E55">
            <w:pPr>
              <w:spacing w:after="0" w:line="240" w:lineRule="auto"/>
              <w:rPr>
                <w:rFonts w:asciiTheme="minorHAnsi" w:hAnsiTheme="minorHAnsi" w:cstheme="minorHAnsi"/>
                <w:sz w:val="18"/>
                <w:szCs w:val="18"/>
              </w:rPr>
            </w:pPr>
            <w:r w:rsidRPr="00175E55">
              <w:rPr>
                <w:rFonts w:asciiTheme="minorHAnsi" w:hAnsiTheme="minorHAnsi" w:cstheme="minorHAnsi"/>
                <w:sz w:val="18"/>
                <w:szCs w:val="18"/>
              </w:rPr>
              <w:t>Serious pedestrian injury</w:t>
            </w:r>
          </w:p>
        </w:tc>
        <w:tc>
          <w:tcPr>
            <w:tcW w:w="0" w:type="auto"/>
            <w:tcBorders>
              <w:top w:val="nil"/>
              <w:left w:val="nil"/>
              <w:bottom w:val="single" w:sz="4" w:space="0" w:color="auto"/>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1</w:t>
            </w:r>
            <w:r>
              <w:rPr>
                <w:rFonts w:asciiTheme="minorHAnsi" w:hAnsiTheme="minorHAnsi" w:cstheme="minorHAnsi"/>
                <w:sz w:val="18"/>
                <w:szCs w:val="18"/>
              </w:rPr>
              <w:t>.</w:t>
            </w:r>
            <w:r w:rsidR="00175E55" w:rsidRPr="00175E55">
              <w:rPr>
                <w:rFonts w:asciiTheme="minorHAnsi" w:hAnsiTheme="minorHAnsi" w:cstheme="minorHAnsi"/>
                <w:sz w:val="18"/>
                <w:szCs w:val="18"/>
              </w:rPr>
              <w:t>51</w:t>
            </w:r>
          </w:p>
        </w:tc>
        <w:tc>
          <w:tcPr>
            <w:tcW w:w="0" w:type="auto"/>
            <w:tcBorders>
              <w:top w:val="nil"/>
              <w:left w:val="nil"/>
              <w:bottom w:val="single" w:sz="4" w:space="0" w:color="auto"/>
              <w:right w:val="nil"/>
            </w:tcBorders>
            <w:noWrap/>
            <w:vAlign w:val="center"/>
            <w:hideMark/>
          </w:tcPr>
          <w:p w:rsidR="00175E55" w:rsidRPr="00175E55" w:rsidRDefault="00175E55" w:rsidP="00521010">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-10</w:t>
            </w:r>
            <w:r w:rsidR="00521010">
              <w:rPr>
                <w:rFonts w:asciiTheme="minorHAnsi" w:hAnsiTheme="minorHAnsi" w:cstheme="minorHAnsi"/>
                <w:sz w:val="18"/>
                <w:szCs w:val="18"/>
              </w:rPr>
              <w:t>.</w:t>
            </w:r>
            <w:r w:rsidRPr="00175E55">
              <w:rPr>
                <w:rFonts w:asciiTheme="minorHAnsi" w:hAnsiTheme="minorHAnsi" w:cstheme="minorHAnsi"/>
                <w:sz w:val="18"/>
                <w:szCs w:val="18"/>
              </w:rPr>
              <w:t>0</w:t>
            </w:r>
            <w:r w:rsidR="00521010">
              <w:rPr>
                <w:rFonts w:asciiTheme="minorHAnsi" w:hAnsiTheme="minorHAnsi" w:cstheme="minorHAnsi"/>
                <w:sz w:val="18"/>
                <w:szCs w:val="18"/>
              </w:rPr>
              <w:t>2</w:t>
            </w:r>
          </w:p>
        </w:tc>
        <w:tc>
          <w:tcPr>
            <w:tcW w:w="0" w:type="auto"/>
            <w:tcBorders>
              <w:top w:val="nil"/>
              <w:left w:val="nil"/>
              <w:bottom w:val="single" w:sz="4" w:space="0" w:color="auto"/>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47</w:t>
            </w:r>
          </w:p>
        </w:tc>
        <w:tc>
          <w:tcPr>
            <w:tcW w:w="0" w:type="auto"/>
            <w:tcBorders>
              <w:top w:val="nil"/>
              <w:left w:val="nil"/>
              <w:bottom w:val="single" w:sz="4" w:space="0" w:color="auto"/>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0.001</w:t>
            </w:r>
          </w:p>
        </w:tc>
        <w:tc>
          <w:tcPr>
            <w:tcW w:w="0" w:type="auto"/>
            <w:tcBorders>
              <w:top w:val="nil"/>
              <w:left w:val="nil"/>
              <w:bottom w:val="single" w:sz="4" w:space="0" w:color="auto"/>
              <w:right w:val="nil"/>
            </w:tcBorders>
            <w:vAlign w:val="center"/>
          </w:tcPr>
          <w:p w:rsidR="00175E55" w:rsidRPr="00175E55" w:rsidRDefault="00175E55" w:rsidP="00175E55">
            <w:pPr>
              <w:spacing w:after="0" w:line="240" w:lineRule="auto"/>
              <w:jc w:val="right"/>
              <w:rPr>
                <w:rFonts w:asciiTheme="minorHAnsi" w:hAnsiTheme="minorHAnsi" w:cstheme="minorHAnsi"/>
                <w:sz w:val="18"/>
                <w:szCs w:val="18"/>
              </w:rPr>
            </w:pPr>
          </w:p>
        </w:tc>
        <w:tc>
          <w:tcPr>
            <w:tcW w:w="0" w:type="auto"/>
            <w:tcBorders>
              <w:top w:val="nil"/>
              <w:left w:val="nil"/>
              <w:bottom w:val="single" w:sz="4" w:space="0" w:color="auto"/>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1</w:t>
            </w:r>
            <w:r>
              <w:rPr>
                <w:rFonts w:asciiTheme="minorHAnsi" w:hAnsiTheme="minorHAnsi" w:cstheme="minorHAnsi"/>
                <w:sz w:val="18"/>
                <w:szCs w:val="18"/>
              </w:rPr>
              <w:t>.</w:t>
            </w:r>
            <w:r w:rsidR="00175E55" w:rsidRPr="00175E55">
              <w:rPr>
                <w:rFonts w:asciiTheme="minorHAnsi" w:hAnsiTheme="minorHAnsi" w:cstheme="minorHAnsi"/>
                <w:sz w:val="18"/>
                <w:szCs w:val="18"/>
              </w:rPr>
              <w:t>38</w:t>
            </w:r>
          </w:p>
        </w:tc>
        <w:tc>
          <w:tcPr>
            <w:tcW w:w="0" w:type="auto"/>
            <w:tcBorders>
              <w:top w:val="nil"/>
              <w:left w:val="nil"/>
              <w:bottom w:val="single" w:sz="4" w:space="0" w:color="auto"/>
              <w:right w:val="nil"/>
            </w:tcBorders>
            <w:noWrap/>
            <w:vAlign w:val="center"/>
            <w:hideMark/>
          </w:tcPr>
          <w:p w:rsidR="00175E55" w:rsidRPr="00175E55" w:rsidRDefault="00521010" w:rsidP="00521010">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w:t>
            </w:r>
            <w:r w:rsidR="00175E55" w:rsidRPr="00175E55">
              <w:rPr>
                <w:rFonts w:asciiTheme="minorHAnsi" w:hAnsiTheme="minorHAnsi" w:cstheme="minorHAnsi"/>
                <w:sz w:val="18"/>
                <w:szCs w:val="18"/>
              </w:rPr>
              <w:t>9</w:t>
            </w:r>
            <w:r>
              <w:rPr>
                <w:rFonts w:asciiTheme="minorHAnsi" w:hAnsiTheme="minorHAnsi" w:cstheme="minorHAnsi"/>
                <w:sz w:val="18"/>
                <w:szCs w:val="18"/>
              </w:rPr>
              <w:t>.</w:t>
            </w:r>
            <w:r w:rsidR="00175E55" w:rsidRPr="00175E55">
              <w:rPr>
                <w:rFonts w:asciiTheme="minorHAnsi" w:hAnsiTheme="minorHAnsi" w:cstheme="minorHAnsi"/>
                <w:sz w:val="18"/>
                <w:szCs w:val="18"/>
              </w:rPr>
              <w:t>1</w:t>
            </w:r>
            <w:r>
              <w:rPr>
                <w:rFonts w:asciiTheme="minorHAnsi" w:hAnsiTheme="minorHAnsi" w:cstheme="minorHAnsi"/>
                <w:sz w:val="18"/>
                <w:szCs w:val="18"/>
              </w:rPr>
              <w:t>6</w:t>
            </w:r>
          </w:p>
        </w:tc>
        <w:tc>
          <w:tcPr>
            <w:tcW w:w="0" w:type="auto"/>
            <w:tcBorders>
              <w:top w:val="nil"/>
              <w:left w:val="nil"/>
              <w:bottom w:val="single" w:sz="4" w:space="0" w:color="auto"/>
              <w:right w:val="nil"/>
            </w:tcBorders>
            <w:noWrap/>
            <w:vAlign w:val="center"/>
            <w:hideMark/>
          </w:tcPr>
          <w:p w:rsidR="00175E55" w:rsidRPr="00175E55" w:rsidRDefault="00521010" w:rsidP="00175E55">
            <w:pPr>
              <w:spacing w:after="0" w:line="240" w:lineRule="auto"/>
              <w:jc w:val="right"/>
              <w:rPr>
                <w:rFonts w:asciiTheme="minorHAnsi" w:hAnsiTheme="minorHAnsi" w:cstheme="minorHAnsi"/>
                <w:sz w:val="18"/>
                <w:szCs w:val="18"/>
              </w:rPr>
            </w:pPr>
            <w:r>
              <w:rPr>
                <w:rFonts w:asciiTheme="minorHAnsi" w:hAnsiTheme="minorHAnsi" w:cstheme="minorHAnsi"/>
                <w:sz w:val="18"/>
                <w:szCs w:val="18"/>
              </w:rPr>
              <w:t>0.</w:t>
            </w:r>
            <w:r w:rsidR="00175E55" w:rsidRPr="00175E55">
              <w:rPr>
                <w:rFonts w:asciiTheme="minorHAnsi" w:hAnsiTheme="minorHAnsi" w:cstheme="minorHAnsi"/>
                <w:sz w:val="18"/>
                <w:szCs w:val="18"/>
              </w:rPr>
              <w:t>5</w:t>
            </w:r>
            <w:r>
              <w:rPr>
                <w:rFonts w:asciiTheme="minorHAnsi" w:hAnsiTheme="minorHAnsi" w:cstheme="minorHAnsi"/>
                <w:sz w:val="18"/>
                <w:szCs w:val="18"/>
              </w:rPr>
              <w:t>0</w:t>
            </w:r>
          </w:p>
        </w:tc>
        <w:tc>
          <w:tcPr>
            <w:tcW w:w="0" w:type="auto"/>
            <w:tcBorders>
              <w:top w:val="nil"/>
              <w:left w:val="nil"/>
              <w:bottom w:val="single" w:sz="4" w:space="0" w:color="auto"/>
              <w:right w:val="nil"/>
            </w:tcBorders>
            <w:noWrap/>
            <w:vAlign w:val="center"/>
            <w:hideMark/>
          </w:tcPr>
          <w:p w:rsidR="00175E55" w:rsidRPr="00175E55" w:rsidRDefault="00175E55" w:rsidP="00175E55">
            <w:pPr>
              <w:spacing w:after="0" w:line="240" w:lineRule="auto"/>
              <w:jc w:val="right"/>
              <w:rPr>
                <w:rFonts w:asciiTheme="minorHAnsi" w:hAnsiTheme="minorHAnsi" w:cstheme="minorHAnsi"/>
                <w:sz w:val="18"/>
                <w:szCs w:val="18"/>
              </w:rPr>
            </w:pPr>
            <w:r w:rsidRPr="00175E55">
              <w:rPr>
                <w:rFonts w:asciiTheme="minorHAnsi" w:hAnsiTheme="minorHAnsi" w:cstheme="minorHAnsi"/>
                <w:sz w:val="18"/>
                <w:szCs w:val="18"/>
              </w:rPr>
              <w:t>0.006</w:t>
            </w:r>
          </w:p>
        </w:tc>
      </w:tr>
    </w:tbl>
    <w:p w:rsidR="00175E55" w:rsidRDefault="00175E55" w:rsidP="00175E55">
      <w:pPr>
        <w:spacing w:after="0" w:line="240" w:lineRule="auto"/>
      </w:pPr>
      <w:r>
        <w:t xml:space="preserve">  </w:t>
      </w:r>
    </w:p>
    <w:p w:rsidR="006B3F1C" w:rsidRPr="00D80848" w:rsidRDefault="00D77A77" w:rsidP="00D77A77">
      <w:pPr>
        <w:spacing w:after="0" w:line="240" w:lineRule="auto"/>
        <w:rPr>
          <w:b/>
          <w:sz w:val="20"/>
          <w:szCs w:val="20"/>
        </w:rPr>
      </w:pPr>
      <w:r>
        <w:br w:type="page"/>
      </w:r>
      <w:r w:rsidR="006B3F1C" w:rsidRPr="00D80848">
        <w:rPr>
          <w:b/>
          <w:sz w:val="20"/>
          <w:szCs w:val="20"/>
        </w:rPr>
        <w:lastRenderedPageBreak/>
        <w:t>Figure 1: Population density of EMA suburbs</w:t>
      </w:r>
    </w:p>
    <w:p w:rsidR="006B3F1C" w:rsidRPr="00CE1950" w:rsidRDefault="00D32FCF" w:rsidP="006B3F1C">
      <w:pPr>
        <w:widowControl w:val="0"/>
        <w:spacing w:after="0" w:line="240" w:lineRule="auto"/>
        <w:rPr>
          <w:sz w:val="20"/>
          <w:szCs w:val="20"/>
        </w:rPr>
      </w:pPr>
      <w:r>
        <w:rPr>
          <w:noProof/>
          <w:sz w:val="20"/>
          <w:szCs w:val="20"/>
        </w:rPr>
        <w:drawing>
          <wp:inline distT="0" distB="0" distL="0" distR="0">
            <wp:extent cx="4235450" cy="4321810"/>
            <wp:effectExtent l="0" t="0" r="0" b="2540"/>
            <wp:docPr id="1" name="Picture 9" descr="PopDen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pDensity"/>
                    <pic:cNvPicPr>
                      <a:picLocks noChangeAspect="1" noChangeArrowheads="1"/>
                    </pic:cNvPicPr>
                  </pic:nvPicPr>
                  <pic:blipFill>
                    <a:blip r:embed="rId12" cstate="print">
                      <a:extLst>
                        <a:ext uri="{28A0092B-C50C-407E-A947-70E740481C1C}">
                          <a14:useLocalDpi xmlns:a14="http://schemas.microsoft.com/office/drawing/2010/main" val="0"/>
                        </a:ext>
                      </a:extLst>
                    </a:blip>
                    <a:srcRect l="16814" t="4745" r="18370" b="1695"/>
                    <a:stretch>
                      <a:fillRect/>
                    </a:stretch>
                  </pic:blipFill>
                  <pic:spPr bwMode="auto">
                    <a:xfrm>
                      <a:off x="0" y="0"/>
                      <a:ext cx="4235450" cy="4321810"/>
                    </a:xfrm>
                    <a:prstGeom prst="rect">
                      <a:avLst/>
                    </a:prstGeom>
                    <a:noFill/>
                    <a:ln>
                      <a:noFill/>
                    </a:ln>
                  </pic:spPr>
                </pic:pic>
              </a:graphicData>
            </a:graphic>
          </wp:inline>
        </w:drawing>
      </w:r>
    </w:p>
    <w:p w:rsidR="006B3F1C" w:rsidRPr="00CE1950" w:rsidRDefault="006B3F1C" w:rsidP="006B3F1C">
      <w:pPr>
        <w:widowControl w:val="0"/>
        <w:spacing w:after="0" w:line="240" w:lineRule="auto"/>
        <w:rPr>
          <w:b/>
          <w:sz w:val="20"/>
          <w:szCs w:val="20"/>
        </w:rPr>
      </w:pPr>
    </w:p>
    <w:p w:rsidR="006B3F1C" w:rsidRDefault="006B3F1C">
      <w:pPr>
        <w:widowControl w:val="0"/>
        <w:spacing w:after="0" w:line="360" w:lineRule="auto"/>
        <w:rPr>
          <w:rFonts w:cs="Calibri"/>
        </w:rPr>
      </w:pPr>
    </w:p>
    <w:sectPr w:rsidR="006B3F1C" w:rsidSect="00653AE8">
      <w:headerReference w:type="default" r:id="rId13"/>
      <w:footerReference w:type="even" r:id="rId14"/>
      <w:footerReference w:type="default" r:id="rId15"/>
      <w:headerReference w:type="first" r:id="rId16"/>
      <w:footerReference w:type="first" r:id="rId17"/>
      <w:pgSz w:w="11906" w:h="16838"/>
      <w:pgMar w:top="907" w:right="1418" w:bottom="907" w:left="1418" w:header="709" w:footer="709" w:gutter="0"/>
      <w:cols w:space="72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2E9" w:rsidRDefault="001A52E9">
      <w:pPr>
        <w:spacing w:after="0" w:line="240" w:lineRule="auto"/>
      </w:pPr>
      <w:r>
        <w:separator/>
      </w:r>
    </w:p>
  </w:endnote>
  <w:endnote w:type="continuationSeparator" w:id="0">
    <w:p w:rsidR="001A52E9" w:rsidRDefault="001A5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ont371">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4ED" w:rsidRDefault="005F34E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4ED" w:rsidRDefault="00524662">
    <w:pPr>
      <w:pStyle w:val="Footer"/>
      <w:jc w:val="right"/>
    </w:pPr>
    <w:r>
      <w:fldChar w:fldCharType="begin"/>
    </w:r>
    <w:r w:rsidR="005F34ED">
      <w:instrText xml:space="preserve"> PAGE </w:instrText>
    </w:r>
    <w:r>
      <w:fldChar w:fldCharType="separate"/>
    </w:r>
    <w:r w:rsidR="009F72E2">
      <w:rPr>
        <w:noProof/>
      </w:rPr>
      <w:t>2</w:t>
    </w:r>
    <w:r>
      <w:rPr>
        <w:noProof/>
      </w:rPr>
      <w:fldChar w:fldCharType="end"/>
    </w:r>
  </w:p>
  <w:p w:rsidR="005F34ED" w:rsidRDefault="005F34E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4ED" w:rsidRDefault="005F34E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2E9" w:rsidRDefault="001A52E9">
      <w:pPr>
        <w:spacing w:after="0" w:line="240" w:lineRule="auto"/>
      </w:pPr>
      <w:r>
        <w:separator/>
      </w:r>
    </w:p>
  </w:footnote>
  <w:footnote w:type="continuationSeparator" w:id="0">
    <w:p w:rsidR="001A52E9" w:rsidRDefault="001A52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4ED" w:rsidRDefault="005F34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4ED" w:rsidRDefault="005F34E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F1C"/>
    <w:rsid w:val="00005B7D"/>
    <w:rsid w:val="000323AC"/>
    <w:rsid w:val="00043A45"/>
    <w:rsid w:val="00043C75"/>
    <w:rsid w:val="00070757"/>
    <w:rsid w:val="000840BA"/>
    <w:rsid w:val="00094279"/>
    <w:rsid w:val="00094A38"/>
    <w:rsid w:val="000C6AA8"/>
    <w:rsid w:val="000D0AB8"/>
    <w:rsid w:val="000D61CC"/>
    <w:rsid w:val="000D798A"/>
    <w:rsid w:val="001040D2"/>
    <w:rsid w:val="00115BCD"/>
    <w:rsid w:val="00126EF2"/>
    <w:rsid w:val="00135253"/>
    <w:rsid w:val="00154A02"/>
    <w:rsid w:val="001628C8"/>
    <w:rsid w:val="00163D13"/>
    <w:rsid w:val="00175E55"/>
    <w:rsid w:val="00187D90"/>
    <w:rsid w:val="00194C43"/>
    <w:rsid w:val="00195CBF"/>
    <w:rsid w:val="001A2C5A"/>
    <w:rsid w:val="001A52E9"/>
    <w:rsid w:val="001C6A4E"/>
    <w:rsid w:val="001D2953"/>
    <w:rsid w:val="001D4FAF"/>
    <w:rsid w:val="001F091B"/>
    <w:rsid w:val="0020001E"/>
    <w:rsid w:val="0022035F"/>
    <w:rsid w:val="00232624"/>
    <w:rsid w:val="002332AB"/>
    <w:rsid w:val="002433FC"/>
    <w:rsid w:val="002470DF"/>
    <w:rsid w:val="0028085A"/>
    <w:rsid w:val="00286315"/>
    <w:rsid w:val="00293496"/>
    <w:rsid w:val="00297ED3"/>
    <w:rsid w:val="002A1721"/>
    <w:rsid w:val="002A4C33"/>
    <w:rsid w:val="002A4F1F"/>
    <w:rsid w:val="002C4CB9"/>
    <w:rsid w:val="002C7FB2"/>
    <w:rsid w:val="002D1FC5"/>
    <w:rsid w:val="002D4677"/>
    <w:rsid w:val="00304C6D"/>
    <w:rsid w:val="003057A4"/>
    <w:rsid w:val="00316271"/>
    <w:rsid w:val="003316B3"/>
    <w:rsid w:val="00336AD1"/>
    <w:rsid w:val="00345B45"/>
    <w:rsid w:val="00346DD4"/>
    <w:rsid w:val="00357462"/>
    <w:rsid w:val="003615E2"/>
    <w:rsid w:val="00362C35"/>
    <w:rsid w:val="003727FD"/>
    <w:rsid w:val="00372A95"/>
    <w:rsid w:val="003836F7"/>
    <w:rsid w:val="00394D10"/>
    <w:rsid w:val="003A10F6"/>
    <w:rsid w:val="003A2461"/>
    <w:rsid w:val="003A427A"/>
    <w:rsid w:val="003C3340"/>
    <w:rsid w:val="003D45E1"/>
    <w:rsid w:val="003D69FA"/>
    <w:rsid w:val="003F10C6"/>
    <w:rsid w:val="003F1F44"/>
    <w:rsid w:val="00414B74"/>
    <w:rsid w:val="00420F19"/>
    <w:rsid w:val="00424D7F"/>
    <w:rsid w:val="00442040"/>
    <w:rsid w:val="004477F1"/>
    <w:rsid w:val="00461A85"/>
    <w:rsid w:val="00466679"/>
    <w:rsid w:val="00481B7B"/>
    <w:rsid w:val="00487054"/>
    <w:rsid w:val="00497A4E"/>
    <w:rsid w:val="004A152F"/>
    <w:rsid w:val="004A359F"/>
    <w:rsid w:val="004C0C6B"/>
    <w:rsid w:val="004D27A5"/>
    <w:rsid w:val="00502F96"/>
    <w:rsid w:val="00503621"/>
    <w:rsid w:val="005044A1"/>
    <w:rsid w:val="005139B3"/>
    <w:rsid w:val="00521010"/>
    <w:rsid w:val="00524662"/>
    <w:rsid w:val="00542C01"/>
    <w:rsid w:val="00554416"/>
    <w:rsid w:val="00556FFB"/>
    <w:rsid w:val="005707FD"/>
    <w:rsid w:val="005727AE"/>
    <w:rsid w:val="005734DD"/>
    <w:rsid w:val="00581C9A"/>
    <w:rsid w:val="005B6A92"/>
    <w:rsid w:val="005C7D53"/>
    <w:rsid w:val="005D48AD"/>
    <w:rsid w:val="005E61D7"/>
    <w:rsid w:val="005F34ED"/>
    <w:rsid w:val="005F63E8"/>
    <w:rsid w:val="0061510C"/>
    <w:rsid w:val="00617D6A"/>
    <w:rsid w:val="0062162E"/>
    <w:rsid w:val="0063641E"/>
    <w:rsid w:val="006377E6"/>
    <w:rsid w:val="00643DE7"/>
    <w:rsid w:val="006444A7"/>
    <w:rsid w:val="00644D44"/>
    <w:rsid w:val="00652E8C"/>
    <w:rsid w:val="00653AE8"/>
    <w:rsid w:val="00671399"/>
    <w:rsid w:val="00674550"/>
    <w:rsid w:val="0069091F"/>
    <w:rsid w:val="00692FB3"/>
    <w:rsid w:val="006B3F1C"/>
    <w:rsid w:val="006B5B14"/>
    <w:rsid w:val="006B6823"/>
    <w:rsid w:val="006C293F"/>
    <w:rsid w:val="006D6302"/>
    <w:rsid w:val="006E0858"/>
    <w:rsid w:val="006E3EB1"/>
    <w:rsid w:val="006E7065"/>
    <w:rsid w:val="006F279F"/>
    <w:rsid w:val="0071416A"/>
    <w:rsid w:val="0071443A"/>
    <w:rsid w:val="00725F85"/>
    <w:rsid w:val="007302C8"/>
    <w:rsid w:val="007373AF"/>
    <w:rsid w:val="0074046C"/>
    <w:rsid w:val="00760736"/>
    <w:rsid w:val="007623B3"/>
    <w:rsid w:val="00787696"/>
    <w:rsid w:val="00791F5D"/>
    <w:rsid w:val="007A251E"/>
    <w:rsid w:val="007A6CDC"/>
    <w:rsid w:val="007C1C41"/>
    <w:rsid w:val="007C226E"/>
    <w:rsid w:val="007C3C92"/>
    <w:rsid w:val="007C59A0"/>
    <w:rsid w:val="007D2D56"/>
    <w:rsid w:val="00804401"/>
    <w:rsid w:val="008073FF"/>
    <w:rsid w:val="00812B99"/>
    <w:rsid w:val="00814748"/>
    <w:rsid w:val="0083278C"/>
    <w:rsid w:val="008434C6"/>
    <w:rsid w:val="008443FF"/>
    <w:rsid w:val="008557FC"/>
    <w:rsid w:val="00855B0A"/>
    <w:rsid w:val="00860EE1"/>
    <w:rsid w:val="00865204"/>
    <w:rsid w:val="008717B7"/>
    <w:rsid w:val="00873DCA"/>
    <w:rsid w:val="008775CD"/>
    <w:rsid w:val="00884833"/>
    <w:rsid w:val="00890689"/>
    <w:rsid w:val="008C6B72"/>
    <w:rsid w:val="008C6FAD"/>
    <w:rsid w:val="008D0B02"/>
    <w:rsid w:val="008E6727"/>
    <w:rsid w:val="008F78F7"/>
    <w:rsid w:val="00901FEF"/>
    <w:rsid w:val="00916F20"/>
    <w:rsid w:val="0091742D"/>
    <w:rsid w:val="00925001"/>
    <w:rsid w:val="00941F32"/>
    <w:rsid w:val="0094585A"/>
    <w:rsid w:val="00947694"/>
    <w:rsid w:val="00954D5F"/>
    <w:rsid w:val="0095650B"/>
    <w:rsid w:val="0096394F"/>
    <w:rsid w:val="00967AA6"/>
    <w:rsid w:val="00972841"/>
    <w:rsid w:val="00972CA0"/>
    <w:rsid w:val="00985ECC"/>
    <w:rsid w:val="0099764D"/>
    <w:rsid w:val="009A2D0E"/>
    <w:rsid w:val="009A35A8"/>
    <w:rsid w:val="009A4CC3"/>
    <w:rsid w:val="009A504D"/>
    <w:rsid w:val="009A688F"/>
    <w:rsid w:val="009B196D"/>
    <w:rsid w:val="009B2915"/>
    <w:rsid w:val="009C4540"/>
    <w:rsid w:val="009E112B"/>
    <w:rsid w:val="009F72E2"/>
    <w:rsid w:val="00A12CF7"/>
    <w:rsid w:val="00A24436"/>
    <w:rsid w:val="00A24CDD"/>
    <w:rsid w:val="00A430EF"/>
    <w:rsid w:val="00A461E8"/>
    <w:rsid w:val="00A61C15"/>
    <w:rsid w:val="00A8276B"/>
    <w:rsid w:val="00A867B6"/>
    <w:rsid w:val="00A92760"/>
    <w:rsid w:val="00A944EA"/>
    <w:rsid w:val="00AA0257"/>
    <w:rsid w:val="00AA25B6"/>
    <w:rsid w:val="00AC45CA"/>
    <w:rsid w:val="00AD69F6"/>
    <w:rsid w:val="00B01AC0"/>
    <w:rsid w:val="00B47136"/>
    <w:rsid w:val="00B472E2"/>
    <w:rsid w:val="00B55556"/>
    <w:rsid w:val="00B742F1"/>
    <w:rsid w:val="00B761FB"/>
    <w:rsid w:val="00B764EE"/>
    <w:rsid w:val="00B7731E"/>
    <w:rsid w:val="00B826F3"/>
    <w:rsid w:val="00B84EC5"/>
    <w:rsid w:val="00B92A8A"/>
    <w:rsid w:val="00B964A6"/>
    <w:rsid w:val="00BB20EA"/>
    <w:rsid w:val="00BB7FCD"/>
    <w:rsid w:val="00BC07DC"/>
    <w:rsid w:val="00BD4E9C"/>
    <w:rsid w:val="00BF376A"/>
    <w:rsid w:val="00C34737"/>
    <w:rsid w:val="00C526BD"/>
    <w:rsid w:val="00C75079"/>
    <w:rsid w:val="00C93EB7"/>
    <w:rsid w:val="00C95AB0"/>
    <w:rsid w:val="00CA66F4"/>
    <w:rsid w:val="00CB3697"/>
    <w:rsid w:val="00CB598A"/>
    <w:rsid w:val="00CC170D"/>
    <w:rsid w:val="00CC75AE"/>
    <w:rsid w:val="00CF66F5"/>
    <w:rsid w:val="00D114B9"/>
    <w:rsid w:val="00D228EE"/>
    <w:rsid w:val="00D2359C"/>
    <w:rsid w:val="00D25783"/>
    <w:rsid w:val="00D30131"/>
    <w:rsid w:val="00D32FCF"/>
    <w:rsid w:val="00D4224B"/>
    <w:rsid w:val="00D628F7"/>
    <w:rsid w:val="00D64FB3"/>
    <w:rsid w:val="00D77A77"/>
    <w:rsid w:val="00DB0D91"/>
    <w:rsid w:val="00DB3D70"/>
    <w:rsid w:val="00DC11CF"/>
    <w:rsid w:val="00DE0BF0"/>
    <w:rsid w:val="00DE6C8E"/>
    <w:rsid w:val="00E07BB8"/>
    <w:rsid w:val="00E3366B"/>
    <w:rsid w:val="00E37CB6"/>
    <w:rsid w:val="00E4771D"/>
    <w:rsid w:val="00E55C9B"/>
    <w:rsid w:val="00E609D0"/>
    <w:rsid w:val="00E67431"/>
    <w:rsid w:val="00E715C2"/>
    <w:rsid w:val="00E76BA9"/>
    <w:rsid w:val="00E845CA"/>
    <w:rsid w:val="00E90ADC"/>
    <w:rsid w:val="00E9309B"/>
    <w:rsid w:val="00E9390D"/>
    <w:rsid w:val="00E95ACB"/>
    <w:rsid w:val="00EA09C2"/>
    <w:rsid w:val="00EA6F0E"/>
    <w:rsid w:val="00EB049D"/>
    <w:rsid w:val="00EB1EB5"/>
    <w:rsid w:val="00EC2531"/>
    <w:rsid w:val="00EC47B2"/>
    <w:rsid w:val="00ED035F"/>
    <w:rsid w:val="00ED5045"/>
    <w:rsid w:val="00EE1588"/>
    <w:rsid w:val="00EE424A"/>
    <w:rsid w:val="00EE6023"/>
    <w:rsid w:val="00EF7D5B"/>
    <w:rsid w:val="00F06F31"/>
    <w:rsid w:val="00F20556"/>
    <w:rsid w:val="00F24B17"/>
    <w:rsid w:val="00F24F5E"/>
    <w:rsid w:val="00F2707A"/>
    <w:rsid w:val="00F35B53"/>
    <w:rsid w:val="00F438A4"/>
    <w:rsid w:val="00F4488E"/>
    <w:rsid w:val="00F62349"/>
    <w:rsid w:val="00F64C77"/>
    <w:rsid w:val="00F76933"/>
    <w:rsid w:val="00F777C3"/>
    <w:rsid w:val="00FA2D6F"/>
    <w:rsid w:val="00FA4E3B"/>
    <w:rsid w:val="00FC0C77"/>
    <w:rsid w:val="00FC485C"/>
    <w:rsid w:val="00FC5BD1"/>
    <w:rsid w:val="00FE438C"/>
    <w:rsid w:val="00FF0BC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B3AF03F2-2C3B-4B61-BA0E-3C6BCF19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3AE8"/>
    <w:pPr>
      <w:suppressAutoHyphens/>
      <w:spacing w:after="200" w:line="276" w:lineRule="auto"/>
    </w:pPr>
    <w:rPr>
      <w:rFonts w:ascii="Calibri" w:eastAsia="SimSun" w:hAnsi="Calibri" w:cs="font371"/>
      <w:kern w:val="1"/>
      <w:sz w:val="22"/>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653AE8"/>
  </w:style>
  <w:style w:type="character" w:customStyle="1" w:styleId="BalloonTextChar">
    <w:name w:val="Balloon Text Char"/>
    <w:basedOn w:val="DefaultParagraphFont"/>
    <w:rsid w:val="00653AE8"/>
    <w:rPr>
      <w:rFonts w:ascii="Tahoma" w:hAnsi="Tahoma" w:cs="Tahoma"/>
      <w:sz w:val="16"/>
      <w:szCs w:val="16"/>
      <w:lang w:eastAsia="en-US"/>
    </w:rPr>
  </w:style>
  <w:style w:type="character" w:customStyle="1" w:styleId="CommentTextChar">
    <w:name w:val="Comment Text Char"/>
    <w:basedOn w:val="DefaultParagraphFont"/>
    <w:rsid w:val="00653AE8"/>
    <w:rPr>
      <w:rFonts w:ascii="Arial" w:eastAsia="Times New Roman" w:hAnsi="Arial" w:cs="Times New Roman"/>
      <w:sz w:val="20"/>
      <w:szCs w:val="20"/>
      <w:lang w:eastAsia="en-GB"/>
    </w:rPr>
  </w:style>
  <w:style w:type="character" w:customStyle="1" w:styleId="HeaderChar">
    <w:name w:val="Header Char"/>
    <w:basedOn w:val="DefaultParagraphFont"/>
    <w:rsid w:val="00653AE8"/>
  </w:style>
  <w:style w:type="character" w:customStyle="1" w:styleId="FooterChar">
    <w:name w:val="Footer Char"/>
    <w:basedOn w:val="DefaultParagraphFont"/>
    <w:rsid w:val="00653AE8"/>
  </w:style>
  <w:style w:type="character" w:customStyle="1" w:styleId="HTMLPreformattedChar">
    <w:name w:val="HTML Preformatted Char"/>
    <w:basedOn w:val="DefaultParagraphFont"/>
    <w:rsid w:val="00653AE8"/>
    <w:rPr>
      <w:rFonts w:ascii="Courier New" w:eastAsia="Times New Roman" w:hAnsi="Courier New" w:cs="Courier New"/>
      <w:color w:val="000000"/>
      <w:sz w:val="18"/>
      <w:szCs w:val="18"/>
      <w:lang w:eastAsia="en-GB"/>
    </w:rPr>
  </w:style>
  <w:style w:type="character" w:customStyle="1" w:styleId="CommentReference1">
    <w:name w:val="Comment Reference1"/>
    <w:basedOn w:val="DefaultParagraphFont"/>
    <w:rsid w:val="00653AE8"/>
    <w:rPr>
      <w:sz w:val="16"/>
      <w:szCs w:val="16"/>
    </w:rPr>
  </w:style>
  <w:style w:type="character" w:customStyle="1" w:styleId="CommentSubjectChar">
    <w:name w:val="Comment Subject Char"/>
    <w:basedOn w:val="CommentTextChar"/>
    <w:rsid w:val="00653AE8"/>
    <w:rPr>
      <w:rFonts w:ascii="Arial" w:eastAsia="Times New Roman" w:hAnsi="Arial" w:cs="Times New Roman"/>
      <w:b/>
      <w:bCs/>
      <w:sz w:val="20"/>
      <w:szCs w:val="20"/>
      <w:lang w:eastAsia="en-GB"/>
    </w:rPr>
  </w:style>
  <w:style w:type="character" w:styleId="Hyperlink">
    <w:name w:val="Hyperlink"/>
    <w:basedOn w:val="DefaultParagraphFont"/>
    <w:rsid w:val="00653AE8"/>
    <w:rPr>
      <w:color w:val="0000FF"/>
      <w:u w:val="single"/>
    </w:rPr>
  </w:style>
  <w:style w:type="character" w:customStyle="1" w:styleId="apple-converted-space">
    <w:name w:val="apple-converted-space"/>
    <w:basedOn w:val="DefaultParagraphFont"/>
    <w:rsid w:val="00653AE8"/>
  </w:style>
  <w:style w:type="character" w:styleId="FollowedHyperlink">
    <w:name w:val="FollowedHyperlink"/>
    <w:basedOn w:val="DefaultParagraphFont"/>
    <w:rsid w:val="00653AE8"/>
    <w:rPr>
      <w:color w:val="800080"/>
      <w:u w:val="single"/>
    </w:rPr>
  </w:style>
  <w:style w:type="character" w:customStyle="1" w:styleId="mixed-citation">
    <w:name w:val="mixed-citation"/>
    <w:basedOn w:val="DefaultParagraphFont"/>
    <w:rsid w:val="00653AE8"/>
  </w:style>
  <w:style w:type="paragraph" w:customStyle="1" w:styleId="Heading">
    <w:name w:val="Heading"/>
    <w:basedOn w:val="Normal"/>
    <w:next w:val="BodyText"/>
    <w:rsid w:val="00653AE8"/>
    <w:pPr>
      <w:keepNext/>
      <w:spacing w:before="240" w:after="120"/>
    </w:pPr>
    <w:rPr>
      <w:rFonts w:ascii="Arial" w:eastAsia="Microsoft YaHei" w:hAnsi="Arial" w:cs="Mangal"/>
      <w:sz w:val="28"/>
      <w:szCs w:val="28"/>
    </w:rPr>
  </w:style>
  <w:style w:type="paragraph" w:styleId="BodyText">
    <w:name w:val="Body Text"/>
    <w:basedOn w:val="Normal"/>
    <w:rsid w:val="00653AE8"/>
    <w:pPr>
      <w:spacing w:after="120"/>
    </w:pPr>
  </w:style>
  <w:style w:type="paragraph" w:styleId="List">
    <w:name w:val="List"/>
    <w:basedOn w:val="BodyText"/>
    <w:rsid w:val="00653AE8"/>
    <w:rPr>
      <w:rFonts w:cs="Mangal"/>
    </w:rPr>
  </w:style>
  <w:style w:type="paragraph" w:styleId="Caption">
    <w:name w:val="caption"/>
    <w:basedOn w:val="Normal"/>
    <w:qFormat/>
    <w:rsid w:val="00653AE8"/>
    <w:pPr>
      <w:suppressLineNumbers/>
      <w:spacing w:before="120" w:after="120"/>
    </w:pPr>
    <w:rPr>
      <w:rFonts w:cs="Mangal"/>
      <w:i/>
      <w:iCs/>
      <w:sz w:val="24"/>
      <w:szCs w:val="24"/>
    </w:rPr>
  </w:style>
  <w:style w:type="paragraph" w:customStyle="1" w:styleId="Index">
    <w:name w:val="Index"/>
    <w:basedOn w:val="Normal"/>
    <w:rsid w:val="00653AE8"/>
    <w:pPr>
      <w:suppressLineNumbers/>
    </w:pPr>
    <w:rPr>
      <w:rFonts w:cs="Mangal"/>
    </w:rPr>
  </w:style>
  <w:style w:type="paragraph" w:styleId="BalloonText">
    <w:name w:val="Balloon Text"/>
    <w:basedOn w:val="Normal"/>
    <w:rsid w:val="00653AE8"/>
    <w:pPr>
      <w:spacing w:after="0" w:line="100" w:lineRule="atLeast"/>
    </w:pPr>
    <w:rPr>
      <w:rFonts w:ascii="Tahoma" w:hAnsi="Tahoma" w:cs="Tahoma"/>
      <w:sz w:val="16"/>
      <w:szCs w:val="16"/>
    </w:rPr>
  </w:style>
  <w:style w:type="paragraph" w:styleId="ListParagraph">
    <w:name w:val="List Paragraph"/>
    <w:basedOn w:val="Normal"/>
    <w:qFormat/>
    <w:rsid w:val="00653AE8"/>
    <w:pPr>
      <w:spacing w:after="0" w:line="100" w:lineRule="atLeast"/>
      <w:ind w:left="720"/>
    </w:pPr>
    <w:rPr>
      <w:rFonts w:cs="Calibri"/>
      <w:lang w:eastAsia="en-ZA"/>
    </w:rPr>
  </w:style>
  <w:style w:type="paragraph" w:customStyle="1" w:styleId="CommentText1">
    <w:name w:val="Comment Text1"/>
    <w:basedOn w:val="Normal"/>
    <w:rsid w:val="00653AE8"/>
    <w:pPr>
      <w:spacing w:after="0" w:line="100" w:lineRule="atLeast"/>
    </w:pPr>
    <w:rPr>
      <w:rFonts w:ascii="Arial" w:eastAsia="Times New Roman" w:hAnsi="Arial" w:cs="Times New Roman"/>
      <w:sz w:val="20"/>
      <w:szCs w:val="20"/>
    </w:rPr>
  </w:style>
  <w:style w:type="paragraph" w:styleId="Header">
    <w:name w:val="header"/>
    <w:basedOn w:val="Normal"/>
    <w:rsid w:val="00653AE8"/>
    <w:pPr>
      <w:suppressLineNumbers/>
      <w:tabs>
        <w:tab w:val="center" w:pos="4513"/>
        <w:tab w:val="right" w:pos="9026"/>
      </w:tabs>
      <w:spacing w:after="0" w:line="100" w:lineRule="atLeast"/>
    </w:pPr>
  </w:style>
  <w:style w:type="paragraph" w:styleId="Footer">
    <w:name w:val="footer"/>
    <w:basedOn w:val="Normal"/>
    <w:rsid w:val="00653AE8"/>
    <w:pPr>
      <w:suppressLineNumbers/>
      <w:tabs>
        <w:tab w:val="center" w:pos="4513"/>
        <w:tab w:val="right" w:pos="9026"/>
      </w:tabs>
      <w:spacing w:after="0" w:line="100" w:lineRule="atLeast"/>
    </w:pPr>
  </w:style>
  <w:style w:type="paragraph" w:styleId="HTMLPreformatted">
    <w:name w:val="HTML Preformatted"/>
    <w:basedOn w:val="Normal"/>
    <w:rsid w:val="00653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pPr>
    <w:rPr>
      <w:rFonts w:ascii="Courier New" w:eastAsia="Times New Roman" w:hAnsi="Courier New" w:cs="Courier New"/>
      <w:color w:val="000000"/>
      <w:sz w:val="18"/>
      <w:szCs w:val="18"/>
    </w:rPr>
  </w:style>
  <w:style w:type="paragraph" w:customStyle="1" w:styleId="CommentSubject1">
    <w:name w:val="Comment Subject1"/>
    <w:basedOn w:val="CommentText1"/>
    <w:rsid w:val="00653AE8"/>
    <w:pPr>
      <w:spacing w:after="200"/>
    </w:pPr>
    <w:rPr>
      <w:rFonts w:ascii="Calibri" w:hAnsi="Calibri" w:cs="Calibri"/>
      <w:b/>
      <w:bCs/>
      <w:lang w:eastAsia="en-US"/>
    </w:rPr>
  </w:style>
  <w:style w:type="paragraph" w:styleId="Revision">
    <w:name w:val="Revision"/>
    <w:rsid w:val="00653AE8"/>
    <w:pPr>
      <w:suppressAutoHyphens/>
      <w:spacing w:line="100" w:lineRule="atLeast"/>
    </w:pPr>
    <w:rPr>
      <w:rFonts w:ascii="Calibri" w:eastAsia="SimSun" w:hAnsi="Calibri" w:cs="font371"/>
      <w:kern w:val="1"/>
      <w:sz w:val="22"/>
      <w:szCs w:val="22"/>
      <w:lang w:val="en-GB" w:eastAsia="en-GB"/>
    </w:rPr>
  </w:style>
  <w:style w:type="paragraph" w:customStyle="1" w:styleId="TableContents">
    <w:name w:val="Table Contents"/>
    <w:basedOn w:val="Normal"/>
    <w:rsid w:val="00653AE8"/>
    <w:pPr>
      <w:suppressLineNumbers/>
    </w:pPr>
  </w:style>
  <w:style w:type="paragraph" w:customStyle="1" w:styleId="TableHeading">
    <w:name w:val="Table Heading"/>
    <w:basedOn w:val="TableContents"/>
    <w:rsid w:val="00653AE8"/>
    <w:pPr>
      <w:jc w:val="center"/>
    </w:pPr>
    <w:rPr>
      <w:b/>
      <w:bCs/>
    </w:rPr>
  </w:style>
  <w:style w:type="table" w:styleId="TableGrid">
    <w:name w:val="Table Grid"/>
    <w:basedOn w:val="TableNormal"/>
    <w:uiPriority w:val="59"/>
    <w:rsid w:val="006B3F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30131"/>
    <w:rPr>
      <w:sz w:val="16"/>
      <w:szCs w:val="16"/>
    </w:rPr>
  </w:style>
  <w:style w:type="paragraph" w:styleId="CommentText">
    <w:name w:val="annotation text"/>
    <w:basedOn w:val="Normal"/>
    <w:link w:val="CommentTextChar1"/>
    <w:uiPriority w:val="99"/>
    <w:semiHidden/>
    <w:unhideWhenUsed/>
    <w:rsid w:val="00D30131"/>
    <w:rPr>
      <w:sz w:val="20"/>
      <w:szCs w:val="20"/>
    </w:rPr>
  </w:style>
  <w:style w:type="character" w:customStyle="1" w:styleId="CommentTextChar1">
    <w:name w:val="Comment Text Char1"/>
    <w:basedOn w:val="DefaultParagraphFont"/>
    <w:link w:val="CommentText"/>
    <w:uiPriority w:val="99"/>
    <w:semiHidden/>
    <w:rsid w:val="00D30131"/>
    <w:rPr>
      <w:rFonts w:ascii="Calibri" w:eastAsia="SimSun" w:hAnsi="Calibri" w:cs="font371"/>
      <w:kern w:val="1"/>
      <w:lang w:val="en-GB" w:eastAsia="en-GB"/>
    </w:rPr>
  </w:style>
  <w:style w:type="paragraph" w:styleId="CommentSubject">
    <w:name w:val="annotation subject"/>
    <w:basedOn w:val="CommentText"/>
    <w:next w:val="CommentText"/>
    <w:link w:val="CommentSubjectChar1"/>
    <w:uiPriority w:val="99"/>
    <w:semiHidden/>
    <w:unhideWhenUsed/>
    <w:rsid w:val="00D30131"/>
    <w:rPr>
      <w:b/>
      <w:bCs/>
    </w:rPr>
  </w:style>
  <w:style w:type="character" w:customStyle="1" w:styleId="CommentSubjectChar1">
    <w:name w:val="Comment Subject Char1"/>
    <w:basedOn w:val="CommentTextChar1"/>
    <w:link w:val="CommentSubject"/>
    <w:uiPriority w:val="99"/>
    <w:semiHidden/>
    <w:rsid w:val="00D30131"/>
    <w:rPr>
      <w:rFonts w:ascii="Calibri" w:eastAsia="SimSun" w:hAnsi="Calibri" w:cs="font371"/>
      <w:b/>
      <w:bCs/>
      <w:kern w:val="1"/>
      <w:lang w:val="en-GB" w:eastAsia="en-GB"/>
    </w:rPr>
  </w:style>
  <w:style w:type="table" w:customStyle="1" w:styleId="TableGrid1">
    <w:name w:val="Table Grid1"/>
    <w:basedOn w:val="TableNormal"/>
    <w:next w:val="TableGrid"/>
    <w:uiPriority w:val="59"/>
    <w:rsid w:val="00D2359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4151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jones@uea.ac.uk"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nesh.sukhai@mrc.ac.za" TargetMode="External"/><Relationship Id="rId12" Type="http://schemas.openxmlformats.org/officeDocument/2006/relationships/image" Target="media/image1.jpe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info.gov.za/speech/DynamicAction?pageid=461&amp;sid=25270&amp;tid=57402"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sciencedirect.com/science/journal/0001457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unhabitat.org/downloads/docs/GRHS2009CaseStudyChapter08Durban.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FF6C48-C03D-491B-867B-742D4C242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7983</Words>
  <Characters>45508</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MRC</Company>
  <LinksUpToDate>false</LinksUpToDate>
  <CharactersWithSpaces>53385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Anesh Sukhai</dc:creator>
  <cp:lastModifiedBy>Andrew Jones</cp:lastModifiedBy>
  <cp:revision>2</cp:revision>
  <cp:lastPrinted>2014-04-01T15:34:00Z</cp:lastPrinted>
  <dcterms:created xsi:type="dcterms:W3CDTF">2015-01-05T22:53:00Z</dcterms:created>
  <dcterms:modified xsi:type="dcterms:W3CDTF">2015-01-05T22:53:00Z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MRC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