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FACA8" w14:textId="77777777" w:rsidR="006006FB" w:rsidRPr="009645E5" w:rsidRDefault="006006FB">
      <w:pPr>
        <w:pStyle w:val="BodyA"/>
        <w:jc w:val="center"/>
        <w:rPr>
          <w:rFonts w:ascii="Times New Roman" w:hAnsi="Times New Roman" w:cs="Times New Roman"/>
          <w:b/>
          <w:bCs/>
          <w:sz w:val="28"/>
          <w:szCs w:val="28"/>
          <w:lang w:val="en-GB"/>
        </w:rPr>
      </w:pPr>
      <w:bookmarkStart w:id="0" w:name="_GoBack"/>
      <w:bookmarkEnd w:id="0"/>
    </w:p>
    <w:p w14:paraId="722A8375" w14:textId="77777777" w:rsidR="005A51AF" w:rsidRPr="009645E5" w:rsidRDefault="00D70D82">
      <w:pPr>
        <w:pStyle w:val="BodyA"/>
        <w:jc w:val="center"/>
        <w:rPr>
          <w:rFonts w:ascii="Times New Roman" w:eastAsia="Times New Roman Bold" w:hAnsi="Times New Roman" w:cs="Times New Roman"/>
          <w:b/>
          <w:bCs/>
          <w:sz w:val="28"/>
          <w:szCs w:val="28"/>
          <w:lang w:val="en-GB"/>
        </w:rPr>
      </w:pPr>
      <w:r w:rsidRPr="009645E5">
        <w:rPr>
          <w:rFonts w:ascii="Times New Roman" w:hAnsi="Times New Roman" w:cs="Times New Roman"/>
          <w:b/>
          <w:bCs/>
          <w:sz w:val="28"/>
          <w:szCs w:val="28"/>
          <w:lang w:val="en-GB"/>
        </w:rPr>
        <w:t>Litigating Labour: Condoning Unreasonable Risk Taking in Childbirth?</w:t>
      </w:r>
    </w:p>
    <w:p w14:paraId="64020C73" w14:textId="05D1371F" w:rsidR="005A51AF" w:rsidRPr="009645E5" w:rsidRDefault="005A51AF">
      <w:pPr>
        <w:pStyle w:val="BodyA"/>
        <w:jc w:val="center"/>
        <w:rPr>
          <w:rFonts w:ascii="Times New Roman" w:eastAsia="Times New Roman" w:hAnsi="Times New Roman" w:cs="Times New Roman"/>
          <w:sz w:val="28"/>
          <w:szCs w:val="28"/>
          <w:lang w:val="en-GB"/>
        </w:rPr>
      </w:pPr>
    </w:p>
    <w:p w14:paraId="3DA475D0" w14:textId="2051A3C4" w:rsidR="005A51AF" w:rsidRPr="00146425" w:rsidRDefault="00146425">
      <w:pPr>
        <w:pStyle w:val="BodyA"/>
        <w:jc w:val="center"/>
        <w:rPr>
          <w:rFonts w:ascii="Times New Roman" w:hAnsi="Times New Roman" w:cs="Times New Roman"/>
          <w:bCs/>
          <w:i/>
          <w:sz w:val="28"/>
          <w:szCs w:val="28"/>
          <w:lang w:val="en-GB"/>
        </w:rPr>
      </w:pPr>
      <w:r w:rsidRPr="00146425">
        <w:rPr>
          <w:rFonts w:ascii="Times New Roman" w:hAnsi="Times New Roman" w:cs="Times New Roman"/>
          <w:bCs/>
          <w:i/>
          <w:sz w:val="28"/>
          <w:szCs w:val="28"/>
          <w:lang w:val="en-GB"/>
        </w:rPr>
        <w:t>Rob Heywood*</w:t>
      </w:r>
    </w:p>
    <w:p w14:paraId="739ACD16" w14:textId="77777777" w:rsidR="00B53D28" w:rsidRDefault="00B53D28">
      <w:pPr>
        <w:pStyle w:val="BodyA"/>
        <w:jc w:val="center"/>
        <w:rPr>
          <w:rFonts w:ascii="Times New Roman" w:hAnsi="Times New Roman" w:cs="Times New Roman"/>
          <w:b/>
          <w:bCs/>
          <w:sz w:val="24"/>
          <w:szCs w:val="24"/>
          <w:lang w:val="en-GB"/>
        </w:rPr>
      </w:pPr>
    </w:p>
    <w:p w14:paraId="10FAAA14" w14:textId="68C9AD5A" w:rsidR="00B53D28" w:rsidRPr="00B53D28" w:rsidRDefault="00B53D28" w:rsidP="00B53D28">
      <w:pPr>
        <w:pStyle w:val="BodyA"/>
        <w:jc w:val="both"/>
        <w:rPr>
          <w:rFonts w:ascii="Times New Roman" w:eastAsia="Times New Roman" w:hAnsi="Times New Roman" w:cs="Times New Roman"/>
          <w:sz w:val="24"/>
          <w:szCs w:val="24"/>
          <w:lang w:val="en-GB"/>
        </w:rPr>
      </w:pPr>
      <w:r>
        <w:rPr>
          <w:rFonts w:ascii="Times New Roman" w:hAnsi="Times New Roman" w:cs="Times New Roman"/>
          <w:b/>
          <w:bCs/>
          <w:sz w:val="24"/>
          <w:szCs w:val="24"/>
          <w:lang w:val="en-GB"/>
        </w:rPr>
        <w:t xml:space="preserve">Abstract: </w:t>
      </w:r>
      <w:r w:rsidR="006B1F81">
        <w:rPr>
          <w:rFonts w:ascii="Times New Roman" w:eastAsia="Times New Roman" w:hAnsi="Times New Roman" w:cs="Times New Roman"/>
          <w:sz w:val="24"/>
          <w:szCs w:val="24"/>
          <w:lang w:val="en-GB"/>
        </w:rPr>
        <w:t xml:space="preserve">Given the enormity of </w:t>
      </w:r>
      <w:r w:rsidRPr="009645E5">
        <w:rPr>
          <w:rFonts w:ascii="Times New Roman" w:eastAsia="Times New Roman" w:hAnsi="Times New Roman" w:cs="Times New Roman"/>
          <w:sz w:val="24"/>
          <w:szCs w:val="24"/>
          <w:lang w:val="en-GB"/>
        </w:rPr>
        <w:t xml:space="preserve">obstetric litigation and all its associated complexities, in 2012 the </w:t>
      </w:r>
      <w:r w:rsidRPr="009645E5">
        <w:rPr>
          <w:rFonts w:ascii="Times New Roman" w:hAnsi="Times New Roman" w:cs="Times New Roman"/>
          <w:sz w:val="24"/>
          <w:szCs w:val="24"/>
          <w:lang w:val="en-GB"/>
        </w:rPr>
        <w:t>National Health Service Litigation Authority (NHSLA) produced a report entitled ‘Ten Years of Maternity Claims: An Analysis of NHS Litigation Authority Data’</w:t>
      </w:r>
      <w:r>
        <w:rPr>
          <w:rFonts w:ascii="Times New Roman" w:hAnsi="Times New Roman" w:cs="Times New Roman"/>
          <w:sz w:val="24"/>
          <w:szCs w:val="24"/>
          <w:lang w:val="en-GB"/>
        </w:rPr>
        <w:t xml:space="preserve"> (the 2012 Report).  </w:t>
      </w:r>
      <w:r w:rsidRPr="009645E5">
        <w:rPr>
          <w:rFonts w:ascii="Times New Roman" w:hAnsi="Times New Roman" w:cs="Times New Roman"/>
          <w:sz w:val="24"/>
          <w:szCs w:val="24"/>
          <w:lang w:val="en-GB"/>
        </w:rPr>
        <w:t xml:space="preserve">This document identified, </w:t>
      </w:r>
      <w:r w:rsidRPr="009645E5">
        <w:rPr>
          <w:rFonts w:ascii="Times New Roman" w:hAnsi="Times New Roman" w:cs="Times New Roman"/>
          <w:i/>
          <w:iCs/>
          <w:sz w:val="24"/>
          <w:szCs w:val="24"/>
          <w:lang w:val="en-GB"/>
        </w:rPr>
        <w:t>inter alia</w:t>
      </w:r>
      <w:r w:rsidRPr="009645E5">
        <w:rPr>
          <w:rFonts w:ascii="Times New Roman" w:hAnsi="Times New Roman" w:cs="Times New Roman"/>
          <w:sz w:val="24"/>
          <w:szCs w:val="24"/>
          <w:lang w:val="en-GB"/>
        </w:rPr>
        <w:t>, a number of problematic areas in respect of litigation trends and illuminated a range of clinical situations in which cl</w:t>
      </w:r>
      <w:r>
        <w:rPr>
          <w:rFonts w:ascii="Times New Roman" w:hAnsi="Times New Roman" w:cs="Times New Roman"/>
          <w:sz w:val="24"/>
          <w:szCs w:val="24"/>
          <w:lang w:val="en-GB"/>
        </w:rPr>
        <w:t xml:space="preserve">aims are most likely to arise.  </w:t>
      </w:r>
      <w:r w:rsidRPr="009645E5">
        <w:rPr>
          <w:rFonts w:ascii="Times New Roman" w:eastAsia="Times New Roman" w:hAnsi="Times New Roman" w:cs="Times New Roman"/>
          <w:sz w:val="24"/>
          <w:szCs w:val="24"/>
          <w:lang w:val="en-GB"/>
        </w:rPr>
        <w:t xml:space="preserve">It is against this backdrop that </w:t>
      </w:r>
      <w:r w:rsidRPr="009645E5">
        <w:rPr>
          <w:rFonts w:ascii="Times New Roman" w:hAnsi="Times New Roman" w:cs="Times New Roman"/>
          <w:sz w:val="24"/>
          <w:szCs w:val="24"/>
          <w:lang w:val="en-GB"/>
        </w:rPr>
        <w:t xml:space="preserve">this article seeks to </w:t>
      </w:r>
      <w:r w:rsidR="006B1F81">
        <w:rPr>
          <w:rFonts w:ascii="Times New Roman" w:hAnsi="Times New Roman" w:cs="Times New Roman"/>
          <w:sz w:val="24"/>
          <w:szCs w:val="24"/>
          <w:lang w:val="en-GB"/>
        </w:rPr>
        <w:t xml:space="preserve">critically analyse a </w:t>
      </w:r>
      <w:r w:rsidR="006B1F81" w:rsidRPr="006B1F81">
        <w:rPr>
          <w:rFonts w:ascii="Times New Roman" w:hAnsi="Times New Roman" w:cs="Times New Roman"/>
          <w:color w:val="FF0000"/>
          <w:sz w:val="24"/>
          <w:szCs w:val="24"/>
          <w:lang w:val="en-GB"/>
        </w:rPr>
        <w:t>body</w:t>
      </w:r>
      <w:r w:rsidR="006B1F81">
        <w:rPr>
          <w:rFonts w:ascii="Times New Roman" w:hAnsi="Times New Roman" w:cs="Times New Roman"/>
          <w:sz w:val="24"/>
          <w:szCs w:val="24"/>
          <w:lang w:val="en-GB"/>
        </w:rPr>
        <w:t xml:space="preserve"> </w:t>
      </w:r>
      <w:r w:rsidRPr="009645E5">
        <w:rPr>
          <w:rFonts w:ascii="Times New Roman" w:hAnsi="Times New Roman" w:cs="Times New Roman"/>
          <w:sz w:val="24"/>
          <w:szCs w:val="24"/>
          <w:lang w:val="en-GB"/>
        </w:rPr>
        <w:t>of case law that has occurred since the publication of the 2012 Report.</w:t>
      </w:r>
      <w:r>
        <w:rPr>
          <w:rFonts w:ascii="Times New Roman" w:hAnsi="Times New Roman" w:cs="Times New Roman"/>
          <w:sz w:val="24"/>
          <w:szCs w:val="24"/>
          <w:lang w:val="en-GB"/>
        </w:rPr>
        <w:t xml:space="preserve">  </w:t>
      </w:r>
      <w:r w:rsidRPr="009645E5">
        <w:rPr>
          <w:rFonts w:ascii="Times New Roman" w:hAnsi="Times New Roman" w:cs="Times New Roman"/>
          <w:sz w:val="24"/>
          <w:szCs w:val="24"/>
          <w:lang w:val="en-GB"/>
        </w:rPr>
        <w:t>Focusing on breach of duty,</w:t>
      </w:r>
      <w:r w:rsidR="00572B1D">
        <w:rPr>
          <w:rFonts w:ascii="Times New Roman" w:hAnsi="Times New Roman" w:cs="Times New Roman"/>
          <w:color w:val="FF2D21" w:themeColor="accent5"/>
          <w:sz w:val="24"/>
          <w:szCs w:val="24"/>
          <w:lang w:val="en-GB"/>
        </w:rPr>
        <w:t xml:space="preserve"> the paper seeks to evaluate </w:t>
      </w:r>
      <w:r w:rsidR="0053195F">
        <w:rPr>
          <w:rFonts w:ascii="Times New Roman" w:hAnsi="Times New Roman" w:cs="Times New Roman"/>
          <w:color w:val="FF2D21" w:themeColor="accent5"/>
          <w:sz w:val="24"/>
          <w:szCs w:val="24"/>
          <w:lang w:val="en-GB"/>
        </w:rPr>
        <w:t xml:space="preserve">whether or not the weighing of risks and benefits, as advocated in the case of </w:t>
      </w:r>
      <w:r w:rsidR="0053195F" w:rsidRPr="001D250F">
        <w:rPr>
          <w:rFonts w:ascii="Times New Roman" w:hAnsi="Times New Roman" w:cs="Times New Roman"/>
          <w:i/>
          <w:color w:val="FF2D21" w:themeColor="accent5"/>
          <w:sz w:val="24"/>
          <w:szCs w:val="24"/>
          <w:lang w:val="en-GB"/>
        </w:rPr>
        <w:t>Bolitho</w:t>
      </w:r>
      <w:r w:rsidR="0053195F">
        <w:rPr>
          <w:rFonts w:ascii="Times New Roman" w:hAnsi="Times New Roman" w:cs="Times New Roman"/>
          <w:color w:val="FF2D21" w:themeColor="accent5"/>
          <w:sz w:val="24"/>
          <w:szCs w:val="24"/>
          <w:lang w:val="en-GB"/>
        </w:rPr>
        <w:t xml:space="preserve"> as a means of assessing</w:t>
      </w:r>
      <w:r w:rsidR="00CC5038">
        <w:rPr>
          <w:rFonts w:ascii="Times New Roman" w:hAnsi="Times New Roman" w:cs="Times New Roman"/>
          <w:color w:val="FF2D21" w:themeColor="accent5"/>
          <w:sz w:val="24"/>
          <w:szCs w:val="24"/>
          <w:lang w:val="en-GB"/>
        </w:rPr>
        <w:t xml:space="preserve"> the question of breach</w:t>
      </w:r>
      <w:r w:rsidR="001D250F">
        <w:rPr>
          <w:rFonts w:ascii="Times New Roman" w:hAnsi="Times New Roman" w:cs="Times New Roman"/>
          <w:color w:val="FF2D21" w:themeColor="accent5"/>
          <w:sz w:val="24"/>
          <w:szCs w:val="24"/>
          <w:lang w:val="en-GB"/>
        </w:rPr>
        <w:t xml:space="preserve">, has been appropriately utilised by judges in recent childbirth cases.  </w:t>
      </w:r>
      <w:r w:rsidR="001D250F">
        <w:rPr>
          <w:rFonts w:ascii="Times New Roman" w:hAnsi="Times New Roman" w:cs="Times New Roman"/>
          <w:sz w:val="24"/>
          <w:szCs w:val="24"/>
          <w:lang w:val="en-GB"/>
        </w:rPr>
        <w:t xml:space="preserve">It </w:t>
      </w:r>
      <w:r w:rsidRPr="009645E5">
        <w:rPr>
          <w:rFonts w:ascii="Times New Roman" w:hAnsi="Times New Roman" w:cs="Times New Roman"/>
          <w:sz w:val="24"/>
          <w:szCs w:val="24"/>
          <w:lang w:val="en-GB"/>
        </w:rPr>
        <w:t>is an important and original piece of research as it is the first of its kind to investigate how judges have dealt with specific aspects of childbirth identified as being contentious</w:t>
      </w:r>
      <w:r>
        <w:rPr>
          <w:rFonts w:ascii="Times New Roman" w:hAnsi="Times New Roman" w:cs="Times New Roman"/>
          <w:sz w:val="24"/>
          <w:szCs w:val="24"/>
          <w:lang w:val="en-GB"/>
        </w:rPr>
        <w:t xml:space="preserve"> in the wake of the 2012 Report.</w:t>
      </w:r>
      <w:r w:rsidRPr="009645E5">
        <w:rPr>
          <w:rFonts w:ascii="Times New Roman" w:hAnsi="Times New Roman" w:cs="Times New Roman"/>
          <w:sz w:val="24"/>
          <w:szCs w:val="24"/>
          <w:lang w:val="en-GB"/>
        </w:rPr>
        <w:t xml:space="preserve"> </w:t>
      </w:r>
    </w:p>
    <w:p w14:paraId="48230D3D" w14:textId="77777777" w:rsidR="00B53D28" w:rsidRDefault="00B53D28" w:rsidP="00B53D28">
      <w:pPr>
        <w:pStyle w:val="BodyA"/>
        <w:jc w:val="both"/>
        <w:rPr>
          <w:rFonts w:ascii="Times New Roman" w:hAnsi="Times New Roman" w:cs="Times New Roman"/>
          <w:b/>
          <w:bCs/>
          <w:sz w:val="24"/>
          <w:szCs w:val="24"/>
          <w:lang w:val="en-GB"/>
        </w:rPr>
      </w:pPr>
    </w:p>
    <w:p w14:paraId="6E8B7945" w14:textId="020214D5" w:rsidR="00B53D28" w:rsidRPr="00E6743F" w:rsidRDefault="00B53D28" w:rsidP="00B53D28">
      <w:pPr>
        <w:pStyle w:val="BodyA"/>
        <w:jc w:val="both"/>
        <w:rPr>
          <w:rFonts w:ascii="Times New Roman" w:hAnsi="Times New Roman" w:cs="Times New Roman"/>
          <w:sz w:val="24"/>
          <w:szCs w:val="24"/>
          <w:lang w:val="en-GB"/>
        </w:rPr>
      </w:pPr>
      <w:r>
        <w:rPr>
          <w:rFonts w:ascii="Times New Roman" w:hAnsi="Times New Roman" w:cs="Times New Roman"/>
          <w:b/>
          <w:bCs/>
          <w:sz w:val="24"/>
          <w:szCs w:val="24"/>
          <w:lang w:val="en-GB"/>
        </w:rPr>
        <w:t xml:space="preserve">Keywords: </w:t>
      </w:r>
      <w:r w:rsidR="00E6743F">
        <w:rPr>
          <w:rFonts w:ascii="Times New Roman" w:hAnsi="Times New Roman" w:cs="Times New Roman"/>
          <w:sz w:val="24"/>
          <w:szCs w:val="24"/>
          <w:lang w:val="en-GB"/>
        </w:rPr>
        <w:t xml:space="preserve">Clinical Negligence; Childbirth; Breach of Duty; </w:t>
      </w:r>
      <w:r w:rsidR="00E6743F" w:rsidRPr="00E6743F">
        <w:rPr>
          <w:rFonts w:ascii="Times New Roman" w:hAnsi="Times New Roman" w:cs="Times New Roman"/>
          <w:i/>
          <w:iCs/>
          <w:sz w:val="24"/>
          <w:szCs w:val="24"/>
          <w:lang w:val="en-GB"/>
        </w:rPr>
        <w:t>Bolitho</w:t>
      </w:r>
      <w:r w:rsidR="00E6743F">
        <w:rPr>
          <w:rFonts w:ascii="Times New Roman" w:hAnsi="Times New Roman" w:cs="Times New Roman"/>
          <w:sz w:val="24"/>
          <w:szCs w:val="24"/>
          <w:lang w:val="en-GB"/>
        </w:rPr>
        <w:t>; Doctors; Midwives.</w:t>
      </w:r>
    </w:p>
    <w:p w14:paraId="36E3EA90" w14:textId="77777777" w:rsidR="00B53D28" w:rsidRPr="009645E5" w:rsidRDefault="00B53D28">
      <w:pPr>
        <w:pStyle w:val="BodyA"/>
        <w:jc w:val="center"/>
        <w:rPr>
          <w:rFonts w:ascii="Times New Roman" w:hAnsi="Times New Roman" w:cs="Times New Roman"/>
          <w:b/>
          <w:bCs/>
          <w:sz w:val="24"/>
          <w:szCs w:val="24"/>
          <w:lang w:val="en-GB"/>
        </w:rPr>
      </w:pPr>
    </w:p>
    <w:p w14:paraId="694884D3" w14:textId="77777777" w:rsidR="003B037D" w:rsidRPr="009645E5" w:rsidRDefault="003B037D">
      <w:pPr>
        <w:pStyle w:val="BodyA"/>
        <w:jc w:val="center"/>
        <w:rPr>
          <w:rFonts w:ascii="Times New Roman" w:eastAsia="Times New Roman" w:hAnsi="Times New Roman" w:cs="Times New Roman"/>
          <w:sz w:val="24"/>
          <w:szCs w:val="24"/>
          <w:lang w:val="en-GB"/>
        </w:rPr>
      </w:pPr>
    </w:p>
    <w:p w14:paraId="1E1C91CF" w14:textId="77777777" w:rsidR="005A51AF" w:rsidRPr="009645E5" w:rsidRDefault="00D70D82">
      <w:pPr>
        <w:pStyle w:val="BodyA"/>
        <w:jc w:val="center"/>
        <w:rPr>
          <w:rFonts w:ascii="Times New Roman" w:eastAsia="Times New Roman Bold" w:hAnsi="Times New Roman" w:cs="Times New Roman"/>
          <w:b/>
          <w:bCs/>
          <w:sz w:val="24"/>
          <w:szCs w:val="24"/>
          <w:lang w:val="en-GB"/>
        </w:rPr>
      </w:pPr>
      <w:r w:rsidRPr="009645E5">
        <w:rPr>
          <w:rFonts w:ascii="Times New Roman" w:hAnsi="Times New Roman" w:cs="Times New Roman"/>
          <w:b/>
          <w:bCs/>
          <w:sz w:val="24"/>
          <w:szCs w:val="24"/>
          <w:lang w:val="en-GB"/>
        </w:rPr>
        <w:t>I. Introduction</w:t>
      </w:r>
    </w:p>
    <w:p w14:paraId="49126F0A" w14:textId="77777777" w:rsidR="005A51AF" w:rsidRPr="009645E5" w:rsidRDefault="005A51AF">
      <w:pPr>
        <w:pStyle w:val="BodyA"/>
        <w:jc w:val="center"/>
        <w:rPr>
          <w:rFonts w:ascii="Times New Roman" w:eastAsia="Times New Roman Bold" w:hAnsi="Times New Roman" w:cs="Times New Roman"/>
          <w:sz w:val="24"/>
          <w:szCs w:val="24"/>
          <w:lang w:val="en-GB"/>
        </w:rPr>
      </w:pPr>
    </w:p>
    <w:p w14:paraId="633ABF5A" w14:textId="77777777" w:rsidR="005A51AF" w:rsidRPr="009645E5" w:rsidRDefault="00D70D82">
      <w:pPr>
        <w:pStyle w:val="BodyA"/>
        <w:spacing w:line="360" w:lineRule="auto"/>
        <w:jc w:val="both"/>
        <w:rPr>
          <w:rFonts w:ascii="Times New Roman" w:eastAsia="Times New Roman" w:hAnsi="Times New Roman" w:cs="Times New Roman"/>
          <w:sz w:val="24"/>
          <w:szCs w:val="24"/>
          <w:lang w:val="en-GB"/>
        </w:rPr>
      </w:pPr>
      <w:r w:rsidRPr="009645E5">
        <w:rPr>
          <w:rFonts w:ascii="Times New Roman" w:hAnsi="Times New Roman" w:cs="Times New Roman"/>
          <w:sz w:val="24"/>
          <w:szCs w:val="24"/>
          <w:lang w:val="en-GB"/>
        </w:rPr>
        <w:t xml:space="preserve">Cinema audiences across the world sat, mesmerised, as the gravel-voiced actor Oscar Isaac crooned his rendition of the old ballad folk song </w:t>
      </w:r>
      <w:r w:rsidRPr="009645E5">
        <w:rPr>
          <w:rFonts w:ascii="Times New Roman" w:hAnsi="Times New Roman" w:cs="Times New Roman"/>
          <w:i/>
          <w:iCs/>
          <w:sz w:val="24"/>
          <w:szCs w:val="24"/>
          <w:lang w:val="en-GB"/>
        </w:rPr>
        <w:t>The Death of Queen Jane</w:t>
      </w:r>
      <w:r w:rsidRPr="009645E5">
        <w:rPr>
          <w:rFonts w:ascii="Times New Roman" w:hAnsi="Times New Roman" w:cs="Times New Roman"/>
          <w:sz w:val="24"/>
          <w:szCs w:val="24"/>
          <w:lang w:val="en-GB"/>
        </w:rPr>
        <w:t xml:space="preserve"> in the 2013 Coen Brothers</w:t>
      </w:r>
      <w:r w:rsidR="00D348F2" w:rsidRPr="009645E5">
        <w:rPr>
          <w:rFonts w:ascii="Times New Roman" w:hAnsi="Times New Roman" w:cs="Times New Roman"/>
          <w:sz w:val="24"/>
          <w:szCs w:val="24"/>
          <w:lang w:val="en-GB"/>
        </w:rPr>
        <w:t>’</w:t>
      </w:r>
      <w:r w:rsidRPr="009645E5">
        <w:rPr>
          <w:rFonts w:ascii="Times New Roman" w:hAnsi="Times New Roman" w:cs="Times New Roman"/>
          <w:sz w:val="24"/>
          <w:szCs w:val="24"/>
          <w:lang w:val="en-GB"/>
        </w:rPr>
        <w:t xml:space="preserve"> film </w:t>
      </w:r>
      <w:r w:rsidRPr="009645E5">
        <w:rPr>
          <w:rFonts w:ascii="Times New Roman" w:hAnsi="Times New Roman" w:cs="Times New Roman"/>
          <w:i/>
          <w:iCs/>
          <w:sz w:val="24"/>
          <w:szCs w:val="24"/>
          <w:lang w:val="en-GB"/>
        </w:rPr>
        <w:t>Inside Llewyn Davis</w:t>
      </w:r>
      <w:r w:rsidRPr="009645E5">
        <w:rPr>
          <w:rFonts w:ascii="Times New Roman" w:hAnsi="Times New Roman" w:cs="Times New Roman"/>
          <w:sz w:val="24"/>
          <w:szCs w:val="24"/>
          <w:lang w:val="en-GB"/>
        </w:rPr>
        <w:t>.</w:t>
      </w:r>
      <w:r w:rsidRPr="009645E5">
        <w:rPr>
          <w:rFonts w:ascii="Times New Roman" w:eastAsia="Times New Roman" w:hAnsi="Times New Roman" w:cs="Times New Roman"/>
          <w:sz w:val="24"/>
          <w:szCs w:val="24"/>
          <w:vertAlign w:val="superscript"/>
          <w:lang w:val="en-GB"/>
        </w:rPr>
        <w:footnoteReference w:id="2"/>
      </w:r>
      <w:r w:rsidRPr="009645E5">
        <w:rPr>
          <w:rFonts w:ascii="Times New Roman" w:hAnsi="Times New Roman" w:cs="Times New Roman"/>
          <w:sz w:val="24"/>
          <w:szCs w:val="24"/>
          <w:lang w:val="en-GB"/>
        </w:rPr>
        <w:t xml:space="preserve">  The harrowing lyrics tell the tale of the troublesome nine day labour of Queen Jane, in which she repeatedly asks her women and King Henry to </w:t>
      </w:r>
      <w:r w:rsidR="00D348F2" w:rsidRPr="009645E5">
        <w:rPr>
          <w:rFonts w:ascii="Times New Roman" w:hAnsi="Times New Roman" w:cs="Times New Roman"/>
          <w:sz w:val="24"/>
          <w:szCs w:val="24"/>
          <w:lang w:val="en-GB"/>
        </w:rPr>
        <w:t>‘</w:t>
      </w:r>
      <w:r w:rsidRPr="009645E5">
        <w:rPr>
          <w:rFonts w:ascii="Times New Roman" w:hAnsi="Times New Roman" w:cs="Times New Roman"/>
          <w:sz w:val="24"/>
          <w:szCs w:val="24"/>
          <w:lang w:val="en-GB"/>
        </w:rPr>
        <w:t>open her right side</w:t>
      </w:r>
      <w:r w:rsidR="00D348F2" w:rsidRPr="009645E5">
        <w:rPr>
          <w:rFonts w:ascii="Times New Roman" w:hAnsi="Times New Roman" w:cs="Times New Roman"/>
          <w:sz w:val="24"/>
          <w:szCs w:val="24"/>
          <w:lang w:val="en-GB"/>
        </w:rPr>
        <w:t>’</w:t>
      </w:r>
      <w:r w:rsidRPr="009645E5">
        <w:rPr>
          <w:rFonts w:ascii="Times New Roman" w:hAnsi="Times New Roman" w:cs="Times New Roman"/>
          <w:sz w:val="24"/>
          <w:szCs w:val="24"/>
          <w:lang w:val="en-GB"/>
        </w:rPr>
        <w:t xml:space="preserve"> to find her baby.  The song ends with a vivid juxtaposition between the celebratory emotions after the eventual successful birth and the mournful sorrow of the consequential death of the Queen.</w:t>
      </w:r>
    </w:p>
    <w:p w14:paraId="5FCBCF0A" w14:textId="469D52D3" w:rsidR="005A51AF" w:rsidRPr="009645E5" w:rsidRDefault="00D70D82">
      <w:pPr>
        <w:pStyle w:val="BodyA"/>
        <w:spacing w:line="360" w:lineRule="auto"/>
        <w:jc w:val="both"/>
        <w:rPr>
          <w:rFonts w:ascii="Times New Roman" w:eastAsia="Times New Roman" w:hAnsi="Times New Roman" w:cs="Times New Roman"/>
          <w:sz w:val="24"/>
          <w:szCs w:val="24"/>
          <w:lang w:val="en-GB"/>
        </w:rPr>
      </w:pPr>
      <w:r w:rsidRPr="009645E5">
        <w:rPr>
          <w:rFonts w:ascii="Times New Roman" w:eastAsia="Times New Roman" w:hAnsi="Times New Roman" w:cs="Times New Roman"/>
          <w:sz w:val="24"/>
          <w:szCs w:val="24"/>
          <w:lang w:val="en-GB"/>
        </w:rPr>
        <w:tab/>
        <w:t>The</w:t>
      </w:r>
      <w:r w:rsidRPr="009645E5">
        <w:rPr>
          <w:rFonts w:ascii="Times New Roman" w:hAnsi="Times New Roman" w:cs="Times New Roman"/>
          <w:sz w:val="24"/>
          <w:szCs w:val="24"/>
          <w:lang w:val="en-GB"/>
        </w:rPr>
        <w:t xml:space="preserve"> stark message from the ballad transcends centuries</w:t>
      </w:r>
      <w:r w:rsidR="00D348F2" w:rsidRPr="009645E5">
        <w:rPr>
          <w:rFonts w:ascii="Times New Roman" w:hAnsi="Times New Roman" w:cs="Times New Roman"/>
          <w:sz w:val="24"/>
          <w:szCs w:val="24"/>
          <w:lang w:val="en-GB"/>
        </w:rPr>
        <w:t>’</w:t>
      </w:r>
      <w:r w:rsidRPr="009645E5">
        <w:rPr>
          <w:rFonts w:ascii="Times New Roman" w:hAnsi="Times New Roman" w:cs="Times New Roman"/>
          <w:sz w:val="24"/>
          <w:szCs w:val="24"/>
          <w:lang w:val="en-GB"/>
        </w:rPr>
        <w:t xml:space="preserve"> worth of medical advancement. Childbi</w:t>
      </w:r>
      <w:r w:rsidR="0073354F" w:rsidRPr="009645E5">
        <w:rPr>
          <w:rFonts w:ascii="Times New Roman" w:hAnsi="Times New Roman" w:cs="Times New Roman"/>
          <w:sz w:val="24"/>
          <w:szCs w:val="24"/>
          <w:lang w:val="en-GB"/>
        </w:rPr>
        <w:t>rth is a risky business; i</w:t>
      </w:r>
      <w:r w:rsidRPr="009645E5">
        <w:rPr>
          <w:rFonts w:ascii="Times New Roman" w:hAnsi="Times New Roman" w:cs="Times New Roman"/>
          <w:sz w:val="24"/>
          <w:szCs w:val="24"/>
          <w:lang w:val="en-GB"/>
        </w:rPr>
        <w:t>t is fraught with danger for both mother and child.  In a situation where so much can go wrong in a relatively short period of time, where decisions have to be made quickly and in the heat of the moment</w:t>
      </w:r>
      <w:r w:rsidR="0073354F" w:rsidRPr="009645E5">
        <w:rPr>
          <w:rFonts w:ascii="Times New Roman" w:hAnsi="Times New Roman" w:cs="Times New Roman"/>
          <w:sz w:val="24"/>
          <w:szCs w:val="24"/>
          <w:lang w:val="en-GB"/>
        </w:rPr>
        <w:t>,</w:t>
      </w:r>
      <w:r w:rsidRPr="009645E5">
        <w:rPr>
          <w:rFonts w:ascii="Times New Roman" w:hAnsi="Times New Roman" w:cs="Times New Roman"/>
          <w:sz w:val="24"/>
          <w:szCs w:val="24"/>
          <w:lang w:val="en-GB"/>
        </w:rPr>
        <w:t xml:space="preserve"> and where errors can lead to the most severe consequences</w:t>
      </w:r>
      <w:r w:rsidR="006006FB" w:rsidRPr="009645E5">
        <w:rPr>
          <w:rFonts w:ascii="Times New Roman" w:hAnsi="Times New Roman" w:cs="Times New Roman"/>
          <w:sz w:val="24"/>
          <w:szCs w:val="24"/>
          <w:lang w:val="en-GB"/>
        </w:rPr>
        <w:t xml:space="preserve">, it is unsurprising that this field of medicine </w:t>
      </w:r>
      <w:r w:rsidRPr="009645E5">
        <w:rPr>
          <w:rFonts w:ascii="Times New Roman" w:hAnsi="Times New Roman" w:cs="Times New Roman"/>
          <w:sz w:val="24"/>
          <w:szCs w:val="24"/>
          <w:lang w:val="en-GB"/>
        </w:rPr>
        <w:t>attracts high levels of litigation.</w:t>
      </w:r>
      <w:r w:rsidRPr="009645E5">
        <w:rPr>
          <w:rFonts w:ascii="Times New Roman" w:eastAsia="Times New Roman" w:hAnsi="Times New Roman" w:cs="Times New Roman"/>
          <w:sz w:val="24"/>
          <w:szCs w:val="24"/>
          <w:vertAlign w:val="superscript"/>
          <w:lang w:val="en-GB"/>
        </w:rPr>
        <w:footnoteReference w:id="3"/>
      </w:r>
    </w:p>
    <w:p w14:paraId="4830B748" w14:textId="14029F27" w:rsidR="0028753A" w:rsidRDefault="00D70D82" w:rsidP="00586A23">
      <w:pPr>
        <w:pStyle w:val="BodyA"/>
        <w:spacing w:line="360" w:lineRule="auto"/>
        <w:jc w:val="both"/>
        <w:rPr>
          <w:rFonts w:ascii="Times New Roman" w:hAnsi="Times New Roman" w:cs="Times New Roman"/>
          <w:color w:val="FF0000"/>
          <w:sz w:val="24"/>
          <w:szCs w:val="24"/>
        </w:rPr>
      </w:pPr>
      <w:r w:rsidRPr="009645E5">
        <w:rPr>
          <w:rFonts w:ascii="Times New Roman" w:eastAsia="Times New Roman" w:hAnsi="Times New Roman" w:cs="Times New Roman"/>
          <w:sz w:val="24"/>
          <w:szCs w:val="24"/>
          <w:lang w:val="en-GB"/>
        </w:rPr>
        <w:lastRenderedPageBreak/>
        <w:tab/>
        <w:t>The reality is that not many childbirth cases actually make it as far as the courtroom.</w:t>
      </w:r>
      <w:r w:rsidRPr="009645E5">
        <w:rPr>
          <w:rFonts w:ascii="Times New Roman" w:eastAsia="Times New Roman" w:hAnsi="Times New Roman" w:cs="Times New Roman"/>
          <w:sz w:val="24"/>
          <w:szCs w:val="24"/>
          <w:vertAlign w:val="superscript"/>
          <w:lang w:val="en-GB"/>
        </w:rPr>
        <w:footnoteReference w:id="4"/>
      </w:r>
      <w:r w:rsidRPr="009645E5">
        <w:rPr>
          <w:rFonts w:ascii="Times New Roman" w:hAnsi="Times New Roman" w:cs="Times New Roman"/>
          <w:sz w:val="24"/>
          <w:szCs w:val="24"/>
          <w:lang w:val="en-GB"/>
        </w:rPr>
        <w:t xml:space="preserve">  Nevertheless, given the intricate and delicate nature of the </w:t>
      </w:r>
      <w:r w:rsidR="0073354F" w:rsidRPr="009645E5">
        <w:rPr>
          <w:rFonts w:ascii="Times New Roman" w:hAnsi="Times New Roman" w:cs="Times New Roman"/>
          <w:sz w:val="24"/>
          <w:szCs w:val="24"/>
          <w:lang w:val="en-GB"/>
        </w:rPr>
        <w:t>process, in those cases that do</w:t>
      </w:r>
      <w:r w:rsidR="00015C42" w:rsidRPr="009645E5">
        <w:rPr>
          <w:rFonts w:ascii="Times New Roman" w:hAnsi="Times New Roman" w:cs="Times New Roman"/>
          <w:sz w:val="24"/>
          <w:szCs w:val="24"/>
          <w:lang w:val="en-GB"/>
        </w:rPr>
        <w:t>,</w:t>
      </w:r>
      <w:r w:rsidR="0073354F" w:rsidRPr="009645E5">
        <w:rPr>
          <w:rFonts w:ascii="Times New Roman" w:hAnsi="Times New Roman" w:cs="Times New Roman"/>
          <w:sz w:val="24"/>
          <w:szCs w:val="24"/>
          <w:lang w:val="en-GB"/>
        </w:rPr>
        <w:t xml:space="preserve"> </w:t>
      </w:r>
      <w:r w:rsidRPr="009645E5">
        <w:rPr>
          <w:rFonts w:ascii="Times New Roman" w:hAnsi="Times New Roman" w:cs="Times New Roman"/>
          <w:sz w:val="24"/>
          <w:szCs w:val="24"/>
          <w:lang w:val="en-GB"/>
        </w:rPr>
        <w:t>judges have, justifiably</w:t>
      </w:r>
      <w:r w:rsidR="0073354F" w:rsidRPr="009645E5">
        <w:rPr>
          <w:rFonts w:ascii="Times New Roman" w:hAnsi="Times New Roman" w:cs="Times New Roman"/>
          <w:sz w:val="24"/>
          <w:szCs w:val="24"/>
          <w:lang w:val="en-GB"/>
        </w:rPr>
        <w:t xml:space="preserve"> to an extent</w:t>
      </w:r>
      <w:r w:rsidRPr="009645E5">
        <w:rPr>
          <w:rFonts w:ascii="Times New Roman" w:hAnsi="Times New Roman" w:cs="Times New Roman"/>
          <w:sz w:val="24"/>
          <w:szCs w:val="24"/>
          <w:lang w:val="en-GB"/>
        </w:rPr>
        <w:t>, sought to constrain the legal exposure of healthcare professionals within the framework of the negligence action.</w:t>
      </w:r>
      <w:r w:rsidR="006B1F81">
        <w:rPr>
          <w:rFonts w:ascii="Times New Roman" w:hAnsi="Times New Roman" w:cs="Times New Roman"/>
          <w:sz w:val="24"/>
          <w:szCs w:val="24"/>
          <w:lang w:val="en-GB"/>
        </w:rPr>
        <w:t xml:space="preserve">  </w:t>
      </w:r>
      <w:r w:rsidR="006B1F81">
        <w:rPr>
          <w:rFonts w:ascii="Times New Roman" w:hAnsi="Times New Roman" w:cs="Times New Roman"/>
          <w:color w:val="FF0000"/>
          <w:sz w:val="24"/>
          <w:szCs w:val="24"/>
          <w:lang w:val="en-GB"/>
        </w:rPr>
        <w:t xml:space="preserve">This has been achieved principally through the development of the </w:t>
      </w:r>
      <w:r w:rsidR="007D117C" w:rsidRPr="007D117C">
        <w:rPr>
          <w:rFonts w:ascii="Times New Roman" w:hAnsi="Times New Roman" w:cs="Times New Roman"/>
          <w:i/>
          <w:color w:val="FF0000"/>
          <w:sz w:val="24"/>
          <w:szCs w:val="24"/>
          <w:lang w:val="en-GB"/>
        </w:rPr>
        <w:t>Bolam</w:t>
      </w:r>
      <w:r w:rsidR="007D117C">
        <w:rPr>
          <w:rFonts w:ascii="Times New Roman" w:hAnsi="Times New Roman" w:cs="Times New Roman"/>
          <w:color w:val="FF0000"/>
          <w:sz w:val="24"/>
          <w:szCs w:val="24"/>
          <w:lang w:val="en-GB"/>
        </w:rPr>
        <w:t xml:space="preserve"> </w:t>
      </w:r>
      <w:r w:rsidR="006B1F81">
        <w:rPr>
          <w:rFonts w:ascii="Times New Roman" w:hAnsi="Times New Roman" w:cs="Times New Roman"/>
          <w:color w:val="FF0000"/>
          <w:sz w:val="24"/>
          <w:szCs w:val="24"/>
          <w:lang w:val="en-GB"/>
        </w:rPr>
        <w:t>test</w:t>
      </w:r>
      <w:r w:rsidR="007D117C">
        <w:rPr>
          <w:rFonts w:ascii="Times New Roman" w:hAnsi="Times New Roman" w:cs="Times New Roman"/>
          <w:color w:val="FF0000"/>
          <w:sz w:val="24"/>
          <w:szCs w:val="24"/>
          <w:lang w:val="en-GB"/>
        </w:rPr>
        <w:t>,</w:t>
      </w:r>
      <w:r w:rsidR="006B1F81">
        <w:rPr>
          <w:rFonts w:ascii="Times New Roman" w:hAnsi="Times New Roman" w:cs="Times New Roman"/>
          <w:color w:val="FF0000"/>
          <w:sz w:val="24"/>
          <w:szCs w:val="24"/>
          <w:lang w:val="en-GB"/>
        </w:rPr>
        <w:t xml:space="preserve"> articulated by McNair J in </w:t>
      </w:r>
      <w:r w:rsidR="006B1F81" w:rsidRPr="006B1F81">
        <w:rPr>
          <w:rFonts w:ascii="Times New Roman" w:hAnsi="Times New Roman" w:cs="Times New Roman"/>
          <w:i/>
          <w:iCs/>
          <w:color w:val="FF0000"/>
          <w:sz w:val="24"/>
          <w:szCs w:val="24"/>
          <w:lang w:val="en-GB"/>
        </w:rPr>
        <w:t>Bolam v Friern Hospital Management Committee</w:t>
      </w:r>
      <w:r w:rsidR="006B1F81">
        <w:rPr>
          <w:rFonts w:ascii="Times New Roman" w:hAnsi="Times New Roman" w:cs="Times New Roman"/>
          <w:color w:val="FF0000"/>
          <w:sz w:val="24"/>
          <w:szCs w:val="24"/>
          <w:lang w:val="en-GB"/>
        </w:rPr>
        <w:t>.</w:t>
      </w:r>
      <w:r w:rsidR="006B1F81">
        <w:rPr>
          <w:rStyle w:val="FootnoteReference"/>
          <w:rFonts w:ascii="Times New Roman" w:hAnsi="Times New Roman" w:cs="Times New Roman"/>
          <w:color w:val="FF0000"/>
          <w:sz w:val="24"/>
          <w:szCs w:val="24"/>
          <w:lang w:val="en-GB"/>
        </w:rPr>
        <w:footnoteReference w:id="5"/>
      </w:r>
      <w:r w:rsidR="006B1F81">
        <w:rPr>
          <w:rFonts w:ascii="Times New Roman" w:hAnsi="Times New Roman" w:cs="Times New Roman"/>
          <w:color w:val="FF0000"/>
          <w:sz w:val="24"/>
          <w:szCs w:val="24"/>
          <w:lang w:val="en-GB"/>
        </w:rPr>
        <w:t xml:space="preserve">  Here it was stated</w:t>
      </w:r>
      <w:r w:rsidR="00586A23">
        <w:rPr>
          <w:rFonts w:ascii="Times New Roman" w:hAnsi="Times New Roman" w:cs="Times New Roman"/>
          <w:color w:val="FF0000"/>
          <w:sz w:val="24"/>
          <w:szCs w:val="24"/>
          <w:lang w:val="en-GB"/>
        </w:rPr>
        <w:t xml:space="preserve"> </w:t>
      </w:r>
      <w:r w:rsidR="00586A23" w:rsidRPr="00586A23">
        <w:rPr>
          <w:rFonts w:ascii="Times New Roman" w:hAnsi="Times New Roman" w:cs="Times New Roman"/>
          <w:color w:val="FF0000"/>
          <w:sz w:val="24"/>
          <w:szCs w:val="24"/>
        </w:rPr>
        <w:t xml:space="preserve">that </w:t>
      </w:r>
      <w:r w:rsidR="00586A23">
        <w:rPr>
          <w:rFonts w:ascii="Times New Roman" w:hAnsi="Times New Roman" w:cs="Times New Roman"/>
          <w:color w:val="FF0000"/>
          <w:sz w:val="24"/>
          <w:szCs w:val="24"/>
        </w:rPr>
        <w:t>a doctor ‘</w:t>
      </w:r>
      <w:r w:rsidR="00586A23" w:rsidRPr="00586A23">
        <w:rPr>
          <w:rFonts w:ascii="Times New Roman" w:hAnsi="Times New Roman" w:cs="Times New Roman"/>
          <w:color w:val="FF0000"/>
          <w:sz w:val="24"/>
          <w:szCs w:val="24"/>
        </w:rPr>
        <w:t xml:space="preserve">is not guilty of negligence if he has acted in accordance with a practice accepted as proper by a responsible body of medical men </w:t>
      </w:r>
      <w:r w:rsidR="00586A23">
        <w:rPr>
          <w:rFonts w:ascii="Times New Roman" w:hAnsi="Times New Roman" w:cs="Times New Roman"/>
          <w:color w:val="FF0000"/>
          <w:sz w:val="24"/>
          <w:szCs w:val="24"/>
        </w:rPr>
        <w:t>skilled in that particular art’.</w:t>
      </w:r>
      <w:r w:rsidR="00586A23">
        <w:rPr>
          <w:rStyle w:val="FootnoteReference"/>
          <w:rFonts w:ascii="Times New Roman" w:hAnsi="Times New Roman" w:cs="Times New Roman"/>
          <w:color w:val="FF0000"/>
          <w:sz w:val="24"/>
          <w:szCs w:val="24"/>
        </w:rPr>
        <w:footnoteReference w:id="6"/>
      </w:r>
      <w:r w:rsidR="005B2EAE">
        <w:rPr>
          <w:rFonts w:ascii="Times New Roman" w:hAnsi="Times New Roman" w:cs="Times New Roman"/>
          <w:color w:val="FF0000"/>
          <w:sz w:val="24"/>
          <w:szCs w:val="24"/>
        </w:rPr>
        <w:t xml:space="preserve">  </w:t>
      </w:r>
      <w:r w:rsidR="005B2EAE" w:rsidRPr="005B2EAE">
        <w:rPr>
          <w:rFonts w:ascii="Times New Roman" w:hAnsi="Times New Roman" w:cs="Times New Roman"/>
          <w:i/>
          <w:color w:val="FF0000"/>
          <w:sz w:val="24"/>
          <w:szCs w:val="24"/>
        </w:rPr>
        <w:t>Bolam</w:t>
      </w:r>
      <w:r w:rsidR="005B2EAE">
        <w:rPr>
          <w:rFonts w:ascii="Times New Roman" w:hAnsi="Times New Roman" w:cs="Times New Roman"/>
          <w:color w:val="FF0000"/>
          <w:sz w:val="24"/>
          <w:szCs w:val="24"/>
        </w:rPr>
        <w:t xml:space="preserve"> thus promulgated a standard of reasonableness in which the adequacy of a doctor’s conduct would be judged by reference to her professional peers.  On one level </w:t>
      </w:r>
      <w:r w:rsidR="00EB430A">
        <w:rPr>
          <w:rFonts w:ascii="Times New Roman" w:hAnsi="Times New Roman" w:cs="Times New Roman"/>
          <w:color w:val="FF0000"/>
          <w:sz w:val="24"/>
          <w:szCs w:val="24"/>
        </w:rPr>
        <w:t xml:space="preserve">there is nothing untoward about this approach </w:t>
      </w:r>
      <w:r w:rsidR="0028753A">
        <w:rPr>
          <w:rFonts w:ascii="Times New Roman" w:hAnsi="Times New Roman" w:cs="Times New Roman"/>
          <w:color w:val="FF0000"/>
          <w:sz w:val="24"/>
          <w:szCs w:val="24"/>
        </w:rPr>
        <w:t xml:space="preserve">as it does not depart from traditional principles of </w:t>
      </w:r>
      <w:r w:rsidR="00EB430A">
        <w:rPr>
          <w:rFonts w:ascii="Times New Roman" w:hAnsi="Times New Roman" w:cs="Times New Roman"/>
          <w:color w:val="FF0000"/>
          <w:sz w:val="24"/>
          <w:szCs w:val="24"/>
        </w:rPr>
        <w:t xml:space="preserve">professional </w:t>
      </w:r>
      <w:r w:rsidR="0028753A">
        <w:rPr>
          <w:rFonts w:ascii="Times New Roman" w:hAnsi="Times New Roman" w:cs="Times New Roman"/>
          <w:color w:val="FF0000"/>
          <w:sz w:val="24"/>
          <w:szCs w:val="24"/>
        </w:rPr>
        <w:t>negli</w:t>
      </w:r>
      <w:r w:rsidR="00EB430A">
        <w:rPr>
          <w:rFonts w:ascii="Times New Roman" w:hAnsi="Times New Roman" w:cs="Times New Roman"/>
          <w:color w:val="FF0000"/>
          <w:sz w:val="24"/>
          <w:szCs w:val="24"/>
        </w:rPr>
        <w:t xml:space="preserve">gence, but </w:t>
      </w:r>
      <w:r w:rsidR="0028753A" w:rsidRPr="0028753A">
        <w:rPr>
          <w:rFonts w:ascii="Times New Roman" w:hAnsi="Times New Roman" w:cs="Times New Roman"/>
          <w:i/>
          <w:color w:val="FF0000"/>
          <w:sz w:val="24"/>
          <w:szCs w:val="24"/>
        </w:rPr>
        <w:t>Bolam</w:t>
      </w:r>
      <w:r w:rsidR="00EB430A">
        <w:rPr>
          <w:rFonts w:ascii="Times New Roman" w:hAnsi="Times New Roman" w:cs="Times New Roman"/>
          <w:color w:val="FF0000"/>
          <w:sz w:val="24"/>
          <w:szCs w:val="24"/>
        </w:rPr>
        <w:t xml:space="preserve"> has since been </w:t>
      </w:r>
      <w:r w:rsidR="0028753A">
        <w:rPr>
          <w:rFonts w:ascii="Times New Roman" w:hAnsi="Times New Roman" w:cs="Times New Roman"/>
          <w:color w:val="FF0000"/>
          <w:sz w:val="24"/>
          <w:szCs w:val="24"/>
        </w:rPr>
        <w:t>interpreted in a</w:t>
      </w:r>
      <w:r w:rsidR="00EB430A">
        <w:rPr>
          <w:rFonts w:ascii="Times New Roman" w:hAnsi="Times New Roman" w:cs="Times New Roman"/>
          <w:color w:val="FF0000"/>
          <w:sz w:val="24"/>
          <w:szCs w:val="24"/>
        </w:rPr>
        <w:t xml:space="preserve"> manner which arguably affords too much deference to expert medical testimony offered on behalf defendant doctors.  This has caused particular problems in the context of maternity litigation.</w:t>
      </w:r>
    </w:p>
    <w:p w14:paraId="28D28954" w14:textId="256B5AA0" w:rsidR="005A51AF" w:rsidRPr="0028753A" w:rsidRDefault="0028753A" w:rsidP="00586A23">
      <w:pPr>
        <w:pStyle w:val="BodyA"/>
        <w:spacing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sidR="00D70D82" w:rsidRPr="009645E5">
        <w:rPr>
          <w:rFonts w:ascii="Times New Roman" w:hAnsi="Times New Roman" w:cs="Times New Roman"/>
          <w:sz w:val="24"/>
          <w:szCs w:val="24"/>
          <w:lang w:val="en-GB"/>
        </w:rPr>
        <w:t xml:space="preserve">One only has to cast the mind back to the early </w:t>
      </w:r>
      <w:r w:rsidR="00D70D82" w:rsidRPr="00050B01">
        <w:rPr>
          <w:rFonts w:ascii="Times New Roman" w:hAnsi="Times New Roman" w:cs="Times New Roman"/>
          <w:color w:val="FF0000"/>
          <w:sz w:val="24"/>
          <w:szCs w:val="24"/>
          <w:lang w:val="en-GB"/>
        </w:rPr>
        <w:t>1980s</w:t>
      </w:r>
      <w:r w:rsidR="00673788">
        <w:rPr>
          <w:rFonts w:ascii="Times New Roman" w:hAnsi="Times New Roman" w:cs="Times New Roman"/>
          <w:sz w:val="24"/>
          <w:szCs w:val="24"/>
          <w:lang w:val="en-GB"/>
        </w:rPr>
        <w:t xml:space="preserve"> in order to gain a snapshot of historical </w:t>
      </w:r>
      <w:r w:rsidR="00D70D82" w:rsidRPr="009645E5">
        <w:rPr>
          <w:rFonts w:ascii="Times New Roman" w:hAnsi="Times New Roman" w:cs="Times New Roman"/>
          <w:sz w:val="24"/>
          <w:szCs w:val="24"/>
          <w:lang w:val="en-GB"/>
        </w:rPr>
        <w:t>judicial attitudes towards allegations of negligence in childbirth</w:t>
      </w:r>
      <w:r w:rsidR="0073354F" w:rsidRPr="009645E5">
        <w:rPr>
          <w:rFonts w:ascii="Times New Roman" w:hAnsi="Times New Roman" w:cs="Times New Roman"/>
          <w:sz w:val="24"/>
          <w:szCs w:val="24"/>
          <w:lang w:val="en-GB"/>
        </w:rPr>
        <w:t xml:space="preserve">.  </w:t>
      </w:r>
      <w:r w:rsidR="00D70D82" w:rsidRPr="009645E5">
        <w:rPr>
          <w:rFonts w:ascii="Times New Roman" w:hAnsi="Times New Roman" w:cs="Times New Roman"/>
          <w:sz w:val="24"/>
          <w:szCs w:val="24"/>
          <w:lang w:val="en-GB"/>
        </w:rPr>
        <w:t xml:space="preserve">In </w:t>
      </w:r>
      <w:r w:rsidR="00D70D82" w:rsidRPr="009645E5">
        <w:rPr>
          <w:rFonts w:ascii="Times New Roman" w:hAnsi="Times New Roman" w:cs="Times New Roman"/>
          <w:i/>
          <w:iCs/>
          <w:sz w:val="24"/>
          <w:szCs w:val="24"/>
          <w:lang w:val="en-GB"/>
        </w:rPr>
        <w:t>Whitehouse v Jordan</w:t>
      </w:r>
      <w:r w:rsidR="00D70D82" w:rsidRPr="009645E5">
        <w:rPr>
          <w:rFonts w:ascii="Times New Roman" w:eastAsia="Times New Roman" w:hAnsi="Times New Roman" w:cs="Times New Roman"/>
          <w:sz w:val="24"/>
          <w:szCs w:val="24"/>
          <w:vertAlign w:val="superscript"/>
          <w:lang w:val="en-GB"/>
        </w:rPr>
        <w:footnoteReference w:id="7"/>
      </w:r>
      <w:r w:rsidR="005E261E" w:rsidRPr="009645E5">
        <w:rPr>
          <w:rFonts w:ascii="Times New Roman" w:hAnsi="Times New Roman" w:cs="Times New Roman"/>
          <w:sz w:val="24"/>
          <w:szCs w:val="24"/>
          <w:lang w:val="en-GB"/>
        </w:rPr>
        <w:t xml:space="preserve">, </w:t>
      </w:r>
      <w:r w:rsidR="00D70D82" w:rsidRPr="009645E5">
        <w:rPr>
          <w:rFonts w:ascii="Times New Roman" w:hAnsi="Times New Roman" w:cs="Times New Roman"/>
          <w:sz w:val="24"/>
          <w:szCs w:val="24"/>
          <w:lang w:val="en-GB"/>
        </w:rPr>
        <w:t xml:space="preserve">a case in which it was argued that a consultant obstetrician pulled too long and too hard during a trial of forceps delivery, Lord Denning, in the Court of Appeal, famously stated that </w:t>
      </w:r>
      <w:r w:rsidR="00D348F2" w:rsidRPr="009645E5">
        <w:rPr>
          <w:rFonts w:ascii="Times New Roman" w:hAnsi="Times New Roman" w:cs="Times New Roman"/>
          <w:sz w:val="24"/>
          <w:szCs w:val="24"/>
          <w:lang w:val="en-GB"/>
        </w:rPr>
        <w:t>‘</w:t>
      </w:r>
      <w:r w:rsidR="00D70D82" w:rsidRPr="009645E5">
        <w:rPr>
          <w:rFonts w:ascii="Times New Roman" w:hAnsi="Times New Roman" w:cs="Times New Roman"/>
          <w:sz w:val="24"/>
          <w:szCs w:val="24"/>
          <w:lang w:val="en-GB"/>
        </w:rPr>
        <w:t>we must say, and say firmly, that, in a professional man, an error of judgment is not negligent</w:t>
      </w:r>
      <w:r w:rsidR="00D348F2" w:rsidRPr="009645E5">
        <w:rPr>
          <w:rFonts w:ascii="Times New Roman" w:hAnsi="Times New Roman" w:cs="Times New Roman"/>
          <w:sz w:val="24"/>
          <w:szCs w:val="24"/>
          <w:lang w:val="en-GB"/>
        </w:rPr>
        <w:t>’</w:t>
      </w:r>
      <w:r w:rsidR="00D70D82" w:rsidRPr="009645E5">
        <w:rPr>
          <w:rFonts w:ascii="Times New Roman" w:hAnsi="Times New Roman" w:cs="Times New Roman"/>
          <w:sz w:val="24"/>
          <w:szCs w:val="24"/>
          <w:lang w:val="en-GB"/>
        </w:rPr>
        <w:t>.</w:t>
      </w:r>
      <w:r w:rsidR="00D70D82" w:rsidRPr="009645E5">
        <w:rPr>
          <w:rFonts w:ascii="Times New Roman" w:eastAsia="Times New Roman" w:hAnsi="Times New Roman" w:cs="Times New Roman"/>
          <w:sz w:val="24"/>
          <w:szCs w:val="24"/>
          <w:vertAlign w:val="superscript"/>
          <w:lang w:val="en-GB"/>
        </w:rPr>
        <w:footnoteReference w:id="8"/>
      </w:r>
      <w:r w:rsidR="00D70D82" w:rsidRPr="009645E5">
        <w:rPr>
          <w:rFonts w:ascii="Times New Roman" w:hAnsi="Times New Roman" w:cs="Times New Roman"/>
          <w:sz w:val="24"/>
          <w:szCs w:val="24"/>
          <w:lang w:val="en-GB"/>
        </w:rPr>
        <w:t xml:space="preserve">  Thus, even if the consultant had pulled too long and too hard with the forceps during the delivery it was only a mistake and, in the eyes of Lord Denning, this could never amount to negligence on the part of a doctor.</w:t>
      </w:r>
      <w:r w:rsidR="00D70D82" w:rsidRPr="009645E5">
        <w:rPr>
          <w:rFonts w:ascii="Times New Roman" w:eastAsia="Times New Roman" w:hAnsi="Times New Roman" w:cs="Times New Roman"/>
          <w:sz w:val="24"/>
          <w:szCs w:val="24"/>
          <w:vertAlign w:val="superscript"/>
          <w:lang w:val="en-GB"/>
        </w:rPr>
        <w:footnoteReference w:id="9"/>
      </w:r>
      <w:r w:rsidR="00D70D82" w:rsidRPr="009645E5">
        <w:rPr>
          <w:rFonts w:ascii="Times New Roman" w:hAnsi="Times New Roman" w:cs="Times New Roman"/>
          <w:sz w:val="24"/>
          <w:szCs w:val="24"/>
          <w:lang w:val="en-GB"/>
        </w:rPr>
        <w:t xml:space="preserve">  His interpre</w:t>
      </w:r>
      <w:r w:rsidR="00604999" w:rsidRPr="009645E5">
        <w:rPr>
          <w:rFonts w:ascii="Times New Roman" w:hAnsi="Times New Roman" w:cs="Times New Roman"/>
          <w:sz w:val="24"/>
          <w:szCs w:val="24"/>
          <w:lang w:val="en-GB"/>
        </w:rPr>
        <w:t xml:space="preserve">tation of the law was reined in </w:t>
      </w:r>
      <w:r w:rsidR="00D70D82" w:rsidRPr="009645E5">
        <w:rPr>
          <w:rFonts w:ascii="Times New Roman" w:hAnsi="Times New Roman" w:cs="Times New Roman"/>
          <w:sz w:val="24"/>
          <w:szCs w:val="24"/>
          <w:lang w:val="en-GB"/>
        </w:rPr>
        <w:t xml:space="preserve">when the case was appealed to the House of Lords where it was held by Lord Fraser that </w:t>
      </w:r>
      <w:r w:rsidR="00D348F2" w:rsidRPr="009645E5">
        <w:rPr>
          <w:rFonts w:ascii="Times New Roman" w:hAnsi="Times New Roman" w:cs="Times New Roman"/>
          <w:sz w:val="24"/>
          <w:szCs w:val="24"/>
          <w:lang w:val="en-GB"/>
        </w:rPr>
        <w:t>‘</w:t>
      </w:r>
      <w:r w:rsidR="00D70D82" w:rsidRPr="009645E5">
        <w:rPr>
          <w:rFonts w:ascii="Times New Roman" w:hAnsi="Times New Roman" w:cs="Times New Roman"/>
          <w:sz w:val="24"/>
          <w:szCs w:val="24"/>
          <w:lang w:val="en-GB"/>
        </w:rPr>
        <w:t>the true position is that an error of judgment may, or may not, be negligent; it depends on the nature of the error</w:t>
      </w:r>
      <w:r w:rsidR="00D348F2" w:rsidRPr="009645E5">
        <w:rPr>
          <w:rFonts w:ascii="Times New Roman" w:hAnsi="Times New Roman" w:cs="Times New Roman"/>
          <w:sz w:val="24"/>
          <w:szCs w:val="24"/>
          <w:lang w:val="en-GB"/>
        </w:rPr>
        <w:t>’</w:t>
      </w:r>
      <w:r w:rsidR="00D70D82" w:rsidRPr="009645E5">
        <w:rPr>
          <w:rFonts w:ascii="Times New Roman" w:hAnsi="Times New Roman" w:cs="Times New Roman"/>
          <w:sz w:val="24"/>
          <w:szCs w:val="24"/>
          <w:lang w:val="en-GB"/>
        </w:rPr>
        <w:t>.</w:t>
      </w:r>
      <w:r w:rsidR="00D70D82" w:rsidRPr="009645E5">
        <w:rPr>
          <w:rFonts w:ascii="Times New Roman" w:eastAsia="Times New Roman" w:hAnsi="Times New Roman" w:cs="Times New Roman"/>
          <w:sz w:val="24"/>
          <w:szCs w:val="24"/>
          <w:vertAlign w:val="superscript"/>
          <w:lang w:val="en-GB"/>
        </w:rPr>
        <w:footnoteReference w:id="10"/>
      </w:r>
      <w:r w:rsidR="00D70D82" w:rsidRPr="009645E5">
        <w:rPr>
          <w:rFonts w:ascii="Times New Roman" w:hAnsi="Times New Roman" w:cs="Times New Roman"/>
          <w:sz w:val="24"/>
          <w:szCs w:val="24"/>
          <w:lang w:val="en-GB"/>
        </w:rPr>
        <w:t xml:space="preserve">  If, therefore, the error was one that would not have been made by a reasonably competent doctor acting in accordance with a practice </w:t>
      </w:r>
      <w:r w:rsidR="00D70D82" w:rsidRPr="009645E5">
        <w:rPr>
          <w:rFonts w:ascii="Times New Roman" w:hAnsi="Times New Roman" w:cs="Times New Roman"/>
          <w:sz w:val="24"/>
          <w:szCs w:val="24"/>
          <w:lang w:val="en-GB"/>
        </w:rPr>
        <w:lastRenderedPageBreak/>
        <w:t>accepted as proper by a responsible body of medical opinion, it ought rightly to be regarded as negligent.</w:t>
      </w:r>
      <w:r w:rsidR="00604999" w:rsidRPr="009645E5">
        <w:rPr>
          <w:rFonts w:ascii="Times New Roman" w:hAnsi="Times New Roman" w:cs="Times New Roman"/>
          <w:sz w:val="24"/>
          <w:szCs w:val="24"/>
          <w:lang w:val="en-GB"/>
        </w:rPr>
        <w:t xml:space="preserve">  Yet, </w:t>
      </w:r>
      <w:r w:rsidR="00D70D82" w:rsidRPr="009645E5">
        <w:rPr>
          <w:rFonts w:ascii="Times New Roman" w:hAnsi="Times New Roman" w:cs="Times New Roman"/>
          <w:sz w:val="24"/>
          <w:szCs w:val="24"/>
          <w:lang w:val="en-GB"/>
        </w:rPr>
        <w:t>regardless of the fact that Lord Denning</w:t>
      </w:r>
      <w:r w:rsidR="00D348F2" w:rsidRPr="009645E5">
        <w:rPr>
          <w:rFonts w:ascii="Times New Roman" w:hAnsi="Times New Roman" w:cs="Times New Roman"/>
          <w:sz w:val="24"/>
          <w:szCs w:val="24"/>
          <w:lang w:val="en-GB"/>
        </w:rPr>
        <w:t>’</w:t>
      </w:r>
      <w:r w:rsidR="00D70D82" w:rsidRPr="009645E5">
        <w:rPr>
          <w:rFonts w:ascii="Times New Roman" w:hAnsi="Times New Roman" w:cs="Times New Roman"/>
          <w:sz w:val="24"/>
          <w:szCs w:val="24"/>
          <w:lang w:val="en-GB"/>
        </w:rPr>
        <w:t>s view of the law was criticised, the outcome of the case in the House of Lords remained unchanged from the Court of Appeal and the claimant lost.  Receiving approval for the first time from the then highest domestic court,</w:t>
      </w:r>
      <w:r w:rsidR="00604999" w:rsidRPr="009645E5">
        <w:rPr>
          <w:rFonts w:ascii="Times New Roman" w:hAnsi="Times New Roman" w:cs="Times New Roman"/>
          <w:sz w:val="24"/>
          <w:szCs w:val="24"/>
          <w:lang w:val="en-GB"/>
        </w:rPr>
        <w:t xml:space="preserve"> </w:t>
      </w:r>
      <w:r w:rsidR="00D70D82" w:rsidRPr="009645E5">
        <w:rPr>
          <w:rFonts w:ascii="Times New Roman" w:hAnsi="Times New Roman" w:cs="Times New Roman"/>
          <w:i/>
          <w:iCs/>
          <w:sz w:val="24"/>
          <w:szCs w:val="24"/>
          <w:lang w:val="en-GB"/>
        </w:rPr>
        <w:t>Bolam</w:t>
      </w:r>
      <w:r w:rsidR="00D348F2" w:rsidRPr="009645E5">
        <w:rPr>
          <w:rFonts w:ascii="Times New Roman" w:hAnsi="Times New Roman" w:cs="Times New Roman"/>
          <w:i/>
          <w:iCs/>
          <w:sz w:val="24"/>
          <w:szCs w:val="24"/>
          <w:lang w:val="en-GB"/>
        </w:rPr>
        <w:t>’</w:t>
      </w:r>
      <w:r w:rsidR="00D70D82" w:rsidRPr="009645E5">
        <w:rPr>
          <w:rFonts w:ascii="Times New Roman" w:hAnsi="Times New Roman" w:cs="Times New Roman"/>
          <w:i/>
          <w:iCs/>
          <w:sz w:val="24"/>
          <w:szCs w:val="24"/>
          <w:lang w:val="en-GB"/>
        </w:rPr>
        <w:t>s</w:t>
      </w:r>
      <w:r w:rsidR="00D70D82" w:rsidRPr="009645E5">
        <w:rPr>
          <w:rFonts w:ascii="Times New Roman" w:eastAsia="Times New Roman" w:hAnsi="Times New Roman" w:cs="Times New Roman"/>
          <w:sz w:val="24"/>
          <w:szCs w:val="24"/>
          <w:vertAlign w:val="superscript"/>
          <w:lang w:val="en-GB"/>
        </w:rPr>
        <w:footnoteReference w:id="11"/>
      </w:r>
      <w:r w:rsidR="00D70D82" w:rsidRPr="009645E5">
        <w:rPr>
          <w:rFonts w:ascii="Times New Roman" w:hAnsi="Times New Roman" w:cs="Times New Roman"/>
          <w:i/>
          <w:iCs/>
          <w:sz w:val="24"/>
          <w:szCs w:val="24"/>
          <w:lang w:val="en-GB"/>
        </w:rPr>
        <w:t xml:space="preserve"> </w:t>
      </w:r>
      <w:r w:rsidR="00D70D82" w:rsidRPr="009645E5">
        <w:rPr>
          <w:rFonts w:ascii="Times New Roman" w:hAnsi="Times New Roman" w:cs="Times New Roman"/>
          <w:sz w:val="24"/>
          <w:szCs w:val="24"/>
          <w:lang w:val="en-GB"/>
        </w:rPr>
        <w:t xml:space="preserve">star was in its ascendancy </w:t>
      </w:r>
      <w:r w:rsidR="00604999" w:rsidRPr="009645E5">
        <w:rPr>
          <w:rFonts w:ascii="Times New Roman" w:hAnsi="Times New Roman" w:cs="Times New Roman"/>
          <w:sz w:val="24"/>
          <w:szCs w:val="24"/>
          <w:lang w:val="en-GB"/>
        </w:rPr>
        <w:t xml:space="preserve">from that point on in terms of clinical negligence cases </w:t>
      </w:r>
      <w:r w:rsidR="00D70D82" w:rsidRPr="009645E5">
        <w:rPr>
          <w:rFonts w:ascii="Times New Roman" w:hAnsi="Times New Roman" w:cs="Times New Roman"/>
          <w:sz w:val="24"/>
          <w:szCs w:val="24"/>
          <w:lang w:val="en-GB"/>
        </w:rPr>
        <w:t>and served to inhibit claimants in establishing breach, an attitude which remain</w:t>
      </w:r>
      <w:r w:rsidR="00823211" w:rsidRPr="009645E5">
        <w:rPr>
          <w:rFonts w:ascii="Times New Roman" w:hAnsi="Times New Roman" w:cs="Times New Roman"/>
          <w:sz w:val="24"/>
          <w:szCs w:val="24"/>
          <w:lang w:val="en-GB"/>
        </w:rPr>
        <w:t>ed</w:t>
      </w:r>
      <w:r w:rsidR="00D70D82" w:rsidRPr="009645E5">
        <w:rPr>
          <w:rFonts w:ascii="Times New Roman" w:hAnsi="Times New Roman" w:cs="Times New Roman"/>
          <w:sz w:val="24"/>
          <w:szCs w:val="24"/>
          <w:lang w:val="en-GB"/>
        </w:rPr>
        <w:t xml:space="preserve"> largely unchanged until the late </w:t>
      </w:r>
      <w:r w:rsidR="00D70D82" w:rsidRPr="00050B01">
        <w:rPr>
          <w:rFonts w:ascii="Times New Roman" w:hAnsi="Times New Roman" w:cs="Times New Roman"/>
          <w:color w:val="FF0000"/>
          <w:sz w:val="24"/>
          <w:szCs w:val="24"/>
          <w:lang w:val="en-GB"/>
        </w:rPr>
        <w:t>1990s</w:t>
      </w:r>
      <w:r w:rsidR="00D70D82" w:rsidRPr="009645E5">
        <w:rPr>
          <w:rFonts w:ascii="Times New Roman" w:hAnsi="Times New Roman" w:cs="Times New Roman"/>
          <w:sz w:val="24"/>
          <w:szCs w:val="24"/>
          <w:lang w:val="en-GB"/>
        </w:rPr>
        <w:t xml:space="preserve"> when the House of Lords delivered its subsequent judgment in </w:t>
      </w:r>
      <w:r w:rsidR="00D70D82" w:rsidRPr="009645E5">
        <w:rPr>
          <w:rFonts w:ascii="Times New Roman" w:hAnsi="Times New Roman" w:cs="Times New Roman"/>
          <w:i/>
          <w:iCs/>
          <w:sz w:val="24"/>
          <w:szCs w:val="24"/>
          <w:lang w:val="en-GB"/>
        </w:rPr>
        <w:t>Bolitho</w:t>
      </w:r>
      <w:r w:rsidR="00D70D82" w:rsidRPr="009645E5">
        <w:rPr>
          <w:rFonts w:ascii="Times New Roman" w:hAnsi="Times New Roman" w:cs="Times New Roman"/>
          <w:sz w:val="24"/>
          <w:szCs w:val="24"/>
          <w:lang w:val="en-GB"/>
        </w:rPr>
        <w:t>.</w:t>
      </w:r>
      <w:r w:rsidR="00D70D82" w:rsidRPr="009645E5">
        <w:rPr>
          <w:rFonts w:ascii="Times New Roman" w:eastAsia="Times New Roman" w:hAnsi="Times New Roman" w:cs="Times New Roman"/>
          <w:sz w:val="24"/>
          <w:szCs w:val="24"/>
          <w:vertAlign w:val="superscript"/>
          <w:lang w:val="en-GB"/>
        </w:rPr>
        <w:footnoteReference w:id="12"/>
      </w:r>
      <w:r w:rsidR="00541202">
        <w:rPr>
          <w:rFonts w:ascii="Times New Roman" w:hAnsi="Times New Roman" w:cs="Times New Roman"/>
          <w:sz w:val="24"/>
          <w:szCs w:val="24"/>
          <w:lang w:val="en-GB"/>
        </w:rPr>
        <w:t xml:space="preserve">  </w:t>
      </w:r>
      <w:r w:rsidR="00541202" w:rsidRPr="00541202">
        <w:rPr>
          <w:rFonts w:ascii="Times New Roman" w:hAnsi="Times New Roman" w:cs="Times New Roman"/>
          <w:color w:val="FF0000"/>
          <w:sz w:val="24"/>
          <w:szCs w:val="24"/>
          <w:lang w:val="en-GB"/>
        </w:rPr>
        <w:t xml:space="preserve">In this case, Lord Browne-Wilkinson sought to add a certain ‘gloss’ to the </w:t>
      </w:r>
      <w:r w:rsidR="00541202" w:rsidRPr="00541202">
        <w:rPr>
          <w:rFonts w:ascii="Times New Roman" w:hAnsi="Times New Roman" w:cs="Times New Roman"/>
          <w:i/>
          <w:color w:val="FF0000"/>
          <w:sz w:val="24"/>
          <w:szCs w:val="24"/>
          <w:lang w:val="en-GB"/>
        </w:rPr>
        <w:t>Bolam</w:t>
      </w:r>
      <w:r w:rsidR="00541202" w:rsidRPr="00541202">
        <w:rPr>
          <w:rFonts w:ascii="Times New Roman" w:hAnsi="Times New Roman" w:cs="Times New Roman"/>
          <w:color w:val="FF0000"/>
          <w:sz w:val="24"/>
          <w:szCs w:val="24"/>
          <w:lang w:val="en-GB"/>
        </w:rPr>
        <w:t xml:space="preserve"> test by advocating an approach which allowed judges to consider the logicality of the medica</w:t>
      </w:r>
      <w:r w:rsidR="00541202">
        <w:rPr>
          <w:rFonts w:ascii="Times New Roman" w:hAnsi="Times New Roman" w:cs="Times New Roman"/>
          <w:color w:val="FF0000"/>
          <w:sz w:val="24"/>
          <w:szCs w:val="24"/>
          <w:lang w:val="en-GB"/>
        </w:rPr>
        <w:t>l testimony before them by weighing in the balance the relative risk versus benefit ratios of the evidence in question.</w:t>
      </w:r>
      <w:r w:rsidR="00D70D82" w:rsidRPr="00541202">
        <w:rPr>
          <w:rFonts w:ascii="Times New Roman" w:hAnsi="Times New Roman" w:cs="Times New Roman"/>
          <w:color w:val="FF0000"/>
          <w:sz w:val="24"/>
          <w:szCs w:val="24"/>
        </w:rPr>
        <w:t xml:space="preserve">  </w:t>
      </w:r>
    </w:p>
    <w:p w14:paraId="2FEB1510" w14:textId="2F897F99" w:rsidR="005A51AF" w:rsidRPr="009645E5" w:rsidRDefault="00D70D82">
      <w:pPr>
        <w:pStyle w:val="BodyA"/>
        <w:spacing w:line="360" w:lineRule="auto"/>
        <w:jc w:val="both"/>
        <w:rPr>
          <w:rFonts w:ascii="Times New Roman" w:eastAsia="Times New Roman" w:hAnsi="Times New Roman" w:cs="Times New Roman"/>
          <w:sz w:val="24"/>
          <w:szCs w:val="24"/>
          <w:lang w:val="en-GB"/>
        </w:rPr>
      </w:pPr>
      <w:r w:rsidRPr="009645E5">
        <w:rPr>
          <w:rFonts w:ascii="Times New Roman" w:eastAsia="Times New Roman" w:hAnsi="Times New Roman" w:cs="Times New Roman"/>
          <w:sz w:val="24"/>
          <w:szCs w:val="24"/>
          <w:lang w:val="en-GB"/>
        </w:rPr>
        <w:tab/>
      </w:r>
      <w:r w:rsidRPr="009645E5">
        <w:rPr>
          <w:rFonts w:ascii="Times New Roman" w:hAnsi="Times New Roman" w:cs="Times New Roman"/>
          <w:sz w:val="24"/>
          <w:szCs w:val="24"/>
          <w:lang w:val="en-GB"/>
        </w:rPr>
        <w:t xml:space="preserve">The success of </w:t>
      </w:r>
      <w:r w:rsidRPr="009645E5">
        <w:rPr>
          <w:rFonts w:ascii="Times New Roman" w:hAnsi="Times New Roman" w:cs="Times New Roman"/>
          <w:i/>
          <w:iCs/>
          <w:sz w:val="24"/>
          <w:szCs w:val="24"/>
          <w:lang w:val="en-GB"/>
        </w:rPr>
        <w:t xml:space="preserve">Bolitho </w:t>
      </w:r>
      <w:r w:rsidRPr="009645E5">
        <w:rPr>
          <w:rFonts w:ascii="Times New Roman" w:hAnsi="Times New Roman" w:cs="Times New Roman"/>
          <w:sz w:val="24"/>
          <w:szCs w:val="24"/>
          <w:lang w:val="en-GB"/>
        </w:rPr>
        <w:t xml:space="preserve">in its attempt to clip the wings of </w:t>
      </w:r>
      <w:r w:rsidRPr="009645E5">
        <w:rPr>
          <w:rFonts w:ascii="Times New Roman" w:hAnsi="Times New Roman" w:cs="Times New Roman"/>
          <w:i/>
          <w:iCs/>
          <w:sz w:val="24"/>
          <w:szCs w:val="24"/>
          <w:lang w:val="en-GB"/>
        </w:rPr>
        <w:t xml:space="preserve">Bolam </w:t>
      </w:r>
      <w:r w:rsidRPr="009645E5">
        <w:rPr>
          <w:rFonts w:ascii="Times New Roman" w:hAnsi="Times New Roman" w:cs="Times New Roman"/>
          <w:sz w:val="24"/>
          <w:szCs w:val="24"/>
          <w:lang w:val="en-GB"/>
        </w:rPr>
        <w:t>has been fervently debated amongst scholars.</w:t>
      </w:r>
      <w:r w:rsidRPr="009645E5">
        <w:rPr>
          <w:rFonts w:ascii="Times New Roman" w:eastAsia="Times New Roman" w:hAnsi="Times New Roman" w:cs="Times New Roman"/>
          <w:sz w:val="24"/>
          <w:szCs w:val="24"/>
          <w:vertAlign w:val="superscript"/>
          <w:lang w:val="en-GB"/>
        </w:rPr>
        <w:footnoteReference w:id="13"/>
      </w:r>
      <w:r w:rsidR="006006FB" w:rsidRPr="009645E5">
        <w:rPr>
          <w:rFonts w:ascii="Times New Roman" w:hAnsi="Times New Roman" w:cs="Times New Roman"/>
          <w:sz w:val="24"/>
          <w:szCs w:val="24"/>
          <w:lang w:val="en-GB"/>
        </w:rPr>
        <w:t xml:space="preserve">  </w:t>
      </w:r>
      <w:r w:rsidRPr="00541202">
        <w:rPr>
          <w:rFonts w:ascii="Times New Roman" w:hAnsi="Times New Roman" w:cs="Times New Roman"/>
          <w:color w:val="FF0000"/>
          <w:sz w:val="24"/>
          <w:szCs w:val="24"/>
          <w:lang w:val="en-GB"/>
        </w:rPr>
        <w:t>Whilst in theory</w:t>
      </w:r>
      <w:r w:rsidR="00541202" w:rsidRPr="00541202">
        <w:rPr>
          <w:rFonts w:ascii="Times New Roman" w:hAnsi="Times New Roman" w:cs="Times New Roman"/>
          <w:color w:val="FF0000"/>
          <w:sz w:val="24"/>
          <w:szCs w:val="24"/>
          <w:lang w:val="en-GB"/>
        </w:rPr>
        <w:t xml:space="preserve"> </w:t>
      </w:r>
      <w:r w:rsidR="006006FB" w:rsidRPr="00541202">
        <w:rPr>
          <w:rFonts w:ascii="Times New Roman" w:hAnsi="Times New Roman" w:cs="Times New Roman"/>
          <w:color w:val="FF0000"/>
          <w:sz w:val="24"/>
          <w:szCs w:val="24"/>
          <w:lang w:val="en-GB"/>
        </w:rPr>
        <w:t xml:space="preserve">the </w:t>
      </w:r>
      <w:r w:rsidR="006006FB" w:rsidRPr="00541202">
        <w:rPr>
          <w:rFonts w:ascii="Times New Roman" w:hAnsi="Times New Roman" w:cs="Times New Roman"/>
          <w:i/>
          <w:color w:val="FF0000"/>
          <w:sz w:val="24"/>
          <w:szCs w:val="24"/>
          <w:lang w:val="en-GB"/>
        </w:rPr>
        <w:t>Bolitho</w:t>
      </w:r>
      <w:r w:rsidR="006006FB" w:rsidRPr="00541202">
        <w:rPr>
          <w:rFonts w:ascii="Times New Roman" w:hAnsi="Times New Roman" w:cs="Times New Roman"/>
          <w:color w:val="FF0000"/>
          <w:sz w:val="24"/>
          <w:szCs w:val="24"/>
          <w:lang w:val="en-GB"/>
        </w:rPr>
        <w:t xml:space="preserve"> ‘gloss’</w:t>
      </w:r>
      <w:r w:rsidR="006006FB" w:rsidRPr="009645E5">
        <w:rPr>
          <w:rFonts w:ascii="Times New Roman" w:hAnsi="Times New Roman" w:cs="Times New Roman"/>
          <w:sz w:val="24"/>
          <w:szCs w:val="24"/>
          <w:lang w:val="en-GB"/>
        </w:rPr>
        <w:t xml:space="preserve"> could </w:t>
      </w:r>
      <w:r w:rsidRPr="009645E5">
        <w:rPr>
          <w:rFonts w:ascii="Times New Roman" w:hAnsi="Times New Roman" w:cs="Times New Roman"/>
          <w:sz w:val="24"/>
          <w:szCs w:val="24"/>
          <w:lang w:val="en-GB"/>
        </w:rPr>
        <w:t>benefit claimants</w:t>
      </w:r>
      <w:r w:rsidR="006006FB" w:rsidRPr="009645E5">
        <w:rPr>
          <w:rFonts w:ascii="Times New Roman" w:hAnsi="Times New Roman" w:cs="Times New Roman"/>
          <w:sz w:val="24"/>
          <w:szCs w:val="24"/>
          <w:lang w:val="en-GB"/>
        </w:rPr>
        <w:t xml:space="preserve"> in some cases</w:t>
      </w:r>
      <w:r w:rsidR="00015C42" w:rsidRPr="009645E5">
        <w:rPr>
          <w:rFonts w:ascii="Times New Roman" w:hAnsi="Times New Roman" w:cs="Times New Roman"/>
          <w:sz w:val="24"/>
          <w:szCs w:val="24"/>
          <w:lang w:val="en-GB"/>
        </w:rPr>
        <w:t xml:space="preserve">, it only has that effect </w:t>
      </w:r>
      <w:r w:rsidRPr="009645E5">
        <w:rPr>
          <w:rFonts w:ascii="Times New Roman" w:hAnsi="Times New Roman" w:cs="Times New Roman"/>
          <w:sz w:val="24"/>
          <w:szCs w:val="24"/>
          <w:lang w:val="en-GB"/>
        </w:rPr>
        <w:t>if</w:t>
      </w:r>
      <w:r w:rsidR="006006FB" w:rsidRPr="009645E5">
        <w:rPr>
          <w:rFonts w:ascii="Times New Roman" w:hAnsi="Times New Roman" w:cs="Times New Roman"/>
          <w:sz w:val="24"/>
          <w:szCs w:val="24"/>
          <w:lang w:val="en-GB"/>
        </w:rPr>
        <w:t xml:space="preserve"> it </w:t>
      </w:r>
      <w:r w:rsidRPr="009645E5">
        <w:rPr>
          <w:rFonts w:ascii="Times New Roman" w:hAnsi="Times New Roman" w:cs="Times New Roman"/>
          <w:sz w:val="24"/>
          <w:szCs w:val="24"/>
          <w:lang w:val="en-GB"/>
        </w:rPr>
        <w:t>is consistently and rigorously applied.  The evidence suggests that the added string to a judge</w:t>
      </w:r>
      <w:r w:rsidR="00D348F2" w:rsidRPr="009645E5">
        <w:rPr>
          <w:rFonts w:ascii="Times New Roman" w:hAnsi="Times New Roman" w:cs="Times New Roman"/>
          <w:sz w:val="24"/>
          <w:szCs w:val="24"/>
          <w:lang w:val="en-GB"/>
        </w:rPr>
        <w:t>’</w:t>
      </w:r>
      <w:r w:rsidRPr="009645E5">
        <w:rPr>
          <w:rFonts w:ascii="Times New Roman" w:hAnsi="Times New Roman" w:cs="Times New Roman"/>
          <w:sz w:val="24"/>
          <w:szCs w:val="24"/>
          <w:lang w:val="en-GB"/>
        </w:rPr>
        <w:t xml:space="preserve">s bow by virtue of </w:t>
      </w:r>
      <w:r w:rsidRPr="009645E5">
        <w:rPr>
          <w:rFonts w:ascii="Times New Roman" w:hAnsi="Times New Roman" w:cs="Times New Roman"/>
          <w:i/>
          <w:iCs/>
          <w:sz w:val="24"/>
          <w:szCs w:val="24"/>
          <w:lang w:val="en-GB"/>
        </w:rPr>
        <w:t xml:space="preserve">Bolitho </w:t>
      </w:r>
      <w:r w:rsidRPr="009645E5">
        <w:rPr>
          <w:rFonts w:ascii="Times New Roman" w:hAnsi="Times New Roman" w:cs="Times New Roman"/>
          <w:sz w:val="24"/>
          <w:szCs w:val="24"/>
          <w:lang w:val="en-GB"/>
        </w:rPr>
        <w:t xml:space="preserve">has not always been deployed to useful effect, </w:t>
      </w:r>
      <w:r w:rsidRPr="0088269E">
        <w:rPr>
          <w:rFonts w:ascii="Times New Roman" w:hAnsi="Times New Roman" w:cs="Times New Roman"/>
          <w:color w:val="FF2D21" w:themeColor="accent5"/>
          <w:sz w:val="24"/>
          <w:szCs w:val="24"/>
          <w:lang w:val="en-GB"/>
        </w:rPr>
        <w:t xml:space="preserve">an issue which is particularly evident in </w:t>
      </w:r>
      <w:r w:rsidR="0088269E" w:rsidRPr="0088269E">
        <w:rPr>
          <w:rFonts w:ascii="Times New Roman" w:hAnsi="Times New Roman" w:cs="Times New Roman"/>
          <w:color w:val="FF2D21" w:themeColor="accent5"/>
          <w:sz w:val="24"/>
          <w:szCs w:val="24"/>
          <w:lang w:val="en-GB"/>
        </w:rPr>
        <w:t xml:space="preserve">respect of </w:t>
      </w:r>
      <w:r w:rsidRPr="0088269E">
        <w:rPr>
          <w:rFonts w:ascii="Times New Roman" w:hAnsi="Times New Roman" w:cs="Times New Roman"/>
          <w:color w:val="FF2D21" w:themeColor="accent5"/>
          <w:sz w:val="24"/>
          <w:szCs w:val="24"/>
          <w:lang w:val="en-GB"/>
        </w:rPr>
        <w:t>childbirth cases.</w:t>
      </w:r>
      <w:r w:rsidRPr="009645E5">
        <w:rPr>
          <w:rFonts w:ascii="Times New Roman" w:eastAsia="Times New Roman" w:hAnsi="Times New Roman" w:cs="Times New Roman"/>
          <w:sz w:val="24"/>
          <w:szCs w:val="24"/>
          <w:vertAlign w:val="superscript"/>
          <w:lang w:val="en-GB"/>
        </w:rPr>
        <w:footnoteReference w:id="14"/>
      </w:r>
      <w:r w:rsidRPr="009645E5">
        <w:rPr>
          <w:rFonts w:ascii="Times New Roman" w:hAnsi="Times New Roman" w:cs="Times New Roman"/>
          <w:sz w:val="24"/>
          <w:szCs w:val="24"/>
          <w:lang w:val="en-GB"/>
        </w:rPr>
        <w:t xml:space="preserve">  </w:t>
      </w:r>
    </w:p>
    <w:p w14:paraId="6893CD78" w14:textId="2767A742" w:rsidR="005A51AF" w:rsidRPr="00B93230" w:rsidRDefault="00954073">
      <w:pPr>
        <w:pStyle w:val="BodyA"/>
        <w:spacing w:line="360" w:lineRule="auto"/>
        <w:jc w:val="both"/>
        <w:rPr>
          <w:rFonts w:ascii="Times New Roman" w:eastAsia="Times New Roman" w:hAnsi="Times New Roman" w:cs="Times New Roman"/>
          <w:color w:val="FF0000"/>
          <w:sz w:val="24"/>
          <w:szCs w:val="24"/>
          <w:lang w:val="en-GB"/>
        </w:rPr>
      </w:pPr>
      <w:r>
        <w:rPr>
          <w:rFonts w:ascii="Times New Roman" w:eastAsia="Times New Roman" w:hAnsi="Times New Roman" w:cs="Times New Roman"/>
          <w:sz w:val="24"/>
          <w:szCs w:val="24"/>
          <w:lang w:val="en-GB"/>
        </w:rPr>
        <w:tab/>
      </w:r>
      <w:r w:rsidRPr="00B93230">
        <w:rPr>
          <w:rFonts w:ascii="Times New Roman" w:eastAsia="Times New Roman" w:hAnsi="Times New Roman" w:cs="Times New Roman"/>
          <w:color w:val="FF0000"/>
          <w:sz w:val="24"/>
          <w:szCs w:val="24"/>
          <w:lang w:val="en-GB"/>
        </w:rPr>
        <w:t xml:space="preserve">Given the enormity of </w:t>
      </w:r>
      <w:r w:rsidR="00D70D82" w:rsidRPr="00B93230">
        <w:rPr>
          <w:rFonts w:ascii="Times New Roman" w:eastAsia="Times New Roman" w:hAnsi="Times New Roman" w:cs="Times New Roman"/>
          <w:color w:val="FF0000"/>
          <w:sz w:val="24"/>
          <w:szCs w:val="24"/>
          <w:lang w:val="en-GB"/>
        </w:rPr>
        <w:t xml:space="preserve">obstetric litigation and all its associated complexities, in 2012 the </w:t>
      </w:r>
      <w:r w:rsidR="00D70D82" w:rsidRPr="00B93230">
        <w:rPr>
          <w:rFonts w:ascii="Times New Roman" w:hAnsi="Times New Roman" w:cs="Times New Roman"/>
          <w:color w:val="FF0000"/>
          <w:sz w:val="24"/>
          <w:szCs w:val="24"/>
          <w:lang w:val="en-GB"/>
        </w:rPr>
        <w:t xml:space="preserve">National Health Service Litigation Authority (NHSLA) produced a report entitled </w:t>
      </w:r>
      <w:r w:rsidR="00D348F2" w:rsidRPr="00B93230">
        <w:rPr>
          <w:rFonts w:ascii="Times New Roman" w:hAnsi="Times New Roman" w:cs="Times New Roman"/>
          <w:color w:val="FF0000"/>
          <w:sz w:val="24"/>
          <w:szCs w:val="24"/>
          <w:lang w:val="en-GB"/>
        </w:rPr>
        <w:t>‘</w:t>
      </w:r>
      <w:r w:rsidR="00D70D82" w:rsidRPr="00B93230">
        <w:rPr>
          <w:rFonts w:ascii="Times New Roman" w:hAnsi="Times New Roman" w:cs="Times New Roman"/>
          <w:color w:val="FF0000"/>
          <w:sz w:val="24"/>
          <w:szCs w:val="24"/>
          <w:lang w:val="en-GB"/>
        </w:rPr>
        <w:t>Ten Years of Maternity Claims: An Analysis of NHS Litigation Authority Data</w:t>
      </w:r>
      <w:r w:rsidR="00D348F2" w:rsidRPr="00B93230">
        <w:rPr>
          <w:rFonts w:ascii="Times New Roman" w:hAnsi="Times New Roman" w:cs="Times New Roman"/>
          <w:color w:val="FF0000"/>
          <w:sz w:val="24"/>
          <w:szCs w:val="24"/>
          <w:lang w:val="en-GB"/>
        </w:rPr>
        <w:t>’</w:t>
      </w:r>
      <w:r w:rsidR="00D70D82" w:rsidRPr="00B93230">
        <w:rPr>
          <w:rFonts w:ascii="Times New Roman" w:hAnsi="Times New Roman" w:cs="Times New Roman"/>
          <w:color w:val="FF0000"/>
          <w:sz w:val="24"/>
          <w:szCs w:val="24"/>
          <w:lang w:val="en-GB"/>
        </w:rPr>
        <w:t xml:space="preserve"> (the 2012 Report).</w:t>
      </w:r>
      <w:r w:rsidR="00D70D82" w:rsidRPr="00B93230">
        <w:rPr>
          <w:rFonts w:ascii="Times New Roman" w:eastAsia="Times New Roman" w:hAnsi="Times New Roman" w:cs="Times New Roman"/>
          <w:color w:val="FF0000"/>
          <w:sz w:val="24"/>
          <w:szCs w:val="24"/>
          <w:vertAlign w:val="superscript"/>
          <w:lang w:val="en-GB"/>
        </w:rPr>
        <w:footnoteReference w:id="15"/>
      </w:r>
      <w:r w:rsidR="002B5EE6" w:rsidRPr="00B93230">
        <w:rPr>
          <w:rFonts w:ascii="Times New Roman" w:hAnsi="Times New Roman" w:cs="Times New Roman"/>
          <w:color w:val="FF0000"/>
          <w:sz w:val="24"/>
          <w:szCs w:val="24"/>
          <w:lang w:val="en-GB"/>
        </w:rPr>
        <w:t xml:space="preserve">  </w:t>
      </w:r>
      <w:r w:rsidR="00B93230" w:rsidRPr="00B93230">
        <w:rPr>
          <w:rFonts w:ascii="Times New Roman" w:hAnsi="Times New Roman" w:cs="Times New Roman"/>
          <w:color w:val="FF0000"/>
          <w:sz w:val="24"/>
          <w:szCs w:val="24"/>
          <w:lang w:val="en-GB"/>
        </w:rPr>
        <w:t>The driving force behind this report was to assess the nature and financial scale of harm reported from maternity units and to ascertain what lessons can be learned from litigation concerning maternity claims.</w:t>
      </w:r>
      <w:r w:rsidR="00B93230" w:rsidRPr="00B93230">
        <w:rPr>
          <w:rStyle w:val="FootnoteReference"/>
          <w:rFonts w:ascii="Times New Roman" w:hAnsi="Times New Roman" w:cs="Times New Roman"/>
          <w:color w:val="FF0000"/>
          <w:sz w:val="24"/>
          <w:szCs w:val="24"/>
          <w:lang w:val="en-GB"/>
        </w:rPr>
        <w:footnoteReference w:id="16"/>
      </w:r>
      <w:r w:rsidR="00B93230" w:rsidRPr="00B93230">
        <w:rPr>
          <w:rFonts w:ascii="Times New Roman" w:hAnsi="Times New Roman" w:cs="Times New Roman"/>
          <w:color w:val="FF0000"/>
          <w:sz w:val="24"/>
          <w:szCs w:val="24"/>
          <w:lang w:val="en-GB"/>
        </w:rPr>
        <w:t xml:space="preserve">  </w:t>
      </w:r>
      <w:r w:rsidR="00B93230">
        <w:rPr>
          <w:rFonts w:ascii="Times New Roman" w:hAnsi="Times New Roman" w:cs="Times New Roman"/>
          <w:color w:val="FF0000"/>
          <w:sz w:val="24"/>
          <w:szCs w:val="24"/>
          <w:lang w:val="en-GB"/>
        </w:rPr>
        <w:t xml:space="preserve">The </w:t>
      </w:r>
      <w:r w:rsidR="00CC5038">
        <w:rPr>
          <w:rFonts w:ascii="Times New Roman" w:hAnsi="Times New Roman" w:cs="Times New Roman"/>
          <w:color w:val="FF0000"/>
          <w:sz w:val="24"/>
          <w:szCs w:val="24"/>
          <w:lang w:val="en-GB"/>
        </w:rPr>
        <w:t xml:space="preserve">document </w:t>
      </w:r>
      <w:r w:rsidR="00D70D82" w:rsidRPr="00B93230">
        <w:rPr>
          <w:rFonts w:ascii="Times New Roman" w:hAnsi="Times New Roman" w:cs="Times New Roman"/>
          <w:color w:val="FF0000"/>
          <w:sz w:val="24"/>
          <w:szCs w:val="24"/>
          <w:lang w:val="en-GB"/>
        </w:rPr>
        <w:t xml:space="preserve">identified, </w:t>
      </w:r>
      <w:r w:rsidR="00D70D82" w:rsidRPr="00B93230">
        <w:rPr>
          <w:rFonts w:ascii="Times New Roman" w:hAnsi="Times New Roman" w:cs="Times New Roman"/>
          <w:i/>
          <w:iCs/>
          <w:color w:val="FF0000"/>
          <w:sz w:val="24"/>
          <w:szCs w:val="24"/>
          <w:lang w:val="en-GB"/>
        </w:rPr>
        <w:t>inter alia</w:t>
      </w:r>
      <w:r w:rsidR="00D70D82" w:rsidRPr="00B93230">
        <w:rPr>
          <w:rFonts w:ascii="Times New Roman" w:hAnsi="Times New Roman" w:cs="Times New Roman"/>
          <w:color w:val="FF0000"/>
          <w:sz w:val="24"/>
          <w:szCs w:val="24"/>
          <w:lang w:val="en-GB"/>
        </w:rPr>
        <w:t>, a number of problematic areas in respect of litigation trends and illuminated a range of clinical situations in which cl</w:t>
      </w:r>
      <w:r w:rsidR="00B93230" w:rsidRPr="00B93230">
        <w:rPr>
          <w:rFonts w:ascii="Times New Roman" w:hAnsi="Times New Roman" w:cs="Times New Roman"/>
          <w:color w:val="FF0000"/>
          <w:sz w:val="24"/>
          <w:szCs w:val="24"/>
          <w:lang w:val="en-GB"/>
        </w:rPr>
        <w:t xml:space="preserve">aims are most likely to arise.  Yet, </w:t>
      </w:r>
      <w:r w:rsidR="00B93230" w:rsidRPr="00B93230">
        <w:rPr>
          <w:rFonts w:ascii="Times New Roman" w:hAnsi="Times New Roman" w:cs="Times New Roman"/>
          <w:color w:val="FF0000"/>
          <w:sz w:val="24"/>
          <w:szCs w:val="24"/>
          <w:lang w:val="en-GB"/>
        </w:rPr>
        <w:lastRenderedPageBreak/>
        <w:t>one problem with the 2012 Report was that it proceeded to analyse maternity claims from a narrow standpoint, predominantly with risk management considerations in mind.  Whilst the study was designed to ‘produce information to support learning to improve safety for women and their babies’,</w:t>
      </w:r>
      <w:r w:rsidR="00B93230" w:rsidRPr="00B93230">
        <w:rPr>
          <w:rStyle w:val="FootnoteReference"/>
          <w:rFonts w:ascii="Times New Roman" w:hAnsi="Times New Roman" w:cs="Times New Roman"/>
          <w:color w:val="FF0000"/>
          <w:sz w:val="24"/>
          <w:szCs w:val="24"/>
          <w:lang w:val="en-GB"/>
        </w:rPr>
        <w:footnoteReference w:id="17"/>
      </w:r>
      <w:r w:rsidR="00B93230" w:rsidRPr="00B93230">
        <w:rPr>
          <w:rFonts w:ascii="Times New Roman" w:hAnsi="Times New Roman" w:cs="Times New Roman"/>
          <w:color w:val="FF0000"/>
          <w:sz w:val="24"/>
          <w:szCs w:val="24"/>
          <w:lang w:val="en-GB"/>
        </w:rPr>
        <w:t xml:space="preserve"> its main conclusion that ‘the most effective way to reduce the ongoing financial cost to the NHS, and the cost to patients and staff alike, is to continue to improve risk management in maternity care’,</w:t>
      </w:r>
      <w:r w:rsidR="00B93230" w:rsidRPr="00B93230">
        <w:rPr>
          <w:rStyle w:val="FootnoteReference"/>
          <w:rFonts w:ascii="Times New Roman" w:hAnsi="Times New Roman" w:cs="Times New Roman"/>
          <w:color w:val="FF0000"/>
          <w:sz w:val="24"/>
          <w:szCs w:val="24"/>
          <w:lang w:val="en-GB"/>
        </w:rPr>
        <w:footnoteReference w:id="18"/>
      </w:r>
      <w:r w:rsidR="00B93230" w:rsidRPr="00B93230">
        <w:rPr>
          <w:rFonts w:ascii="Times New Roman" w:hAnsi="Times New Roman" w:cs="Times New Roman"/>
          <w:color w:val="FF0000"/>
          <w:sz w:val="24"/>
          <w:szCs w:val="24"/>
          <w:lang w:val="en-GB"/>
        </w:rPr>
        <w:t xml:space="preserve"> on the back of such a </w:t>
      </w:r>
      <w:r w:rsidR="00CC5038">
        <w:rPr>
          <w:rFonts w:ascii="Times New Roman" w:hAnsi="Times New Roman" w:cs="Times New Roman"/>
          <w:color w:val="FF0000"/>
          <w:sz w:val="24"/>
          <w:szCs w:val="24"/>
          <w:lang w:val="en-GB"/>
        </w:rPr>
        <w:t xml:space="preserve">lengthy report, seems rather </w:t>
      </w:r>
      <w:r w:rsidR="00B93230" w:rsidRPr="00B93230">
        <w:rPr>
          <w:rFonts w:ascii="Times New Roman" w:hAnsi="Times New Roman" w:cs="Times New Roman"/>
          <w:color w:val="FF0000"/>
          <w:sz w:val="24"/>
          <w:szCs w:val="24"/>
          <w:lang w:val="en-GB"/>
        </w:rPr>
        <w:t>inadequate.</w:t>
      </w:r>
      <w:r w:rsidR="00B93230">
        <w:rPr>
          <w:rFonts w:ascii="Times New Roman" w:hAnsi="Times New Roman" w:cs="Times New Roman"/>
          <w:color w:val="FF0000"/>
          <w:sz w:val="24"/>
          <w:szCs w:val="24"/>
          <w:lang w:val="en-GB"/>
        </w:rPr>
        <w:t xml:space="preserve">  The 2012 Report </w:t>
      </w:r>
      <w:proofErr w:type="gramStart"/>
      <w:r w:rsidR="00CC5038">
        <w:rPr>
          <w:rFonts w:ascii="Times New Roman" w:hAnsi="Times New Roman" w:cs="Times New Roman"/>
          <w:color w:val="FF0000"/>
          <w:sz w:val="24"/>
          <w:szCs w:val="24"/>
          <w:lang w:val="en-GB"/>
        </w:rPr>
        <w:t>reveals</w:t>
      </w:r>
      <w:proofErr w:type="gramEnd"/>
      <w:r w:rsidR="00CC5038">
        <w:rPr>
          <w:rFonts w:ascii="Times New Roman" w:hAnsi="Times New Roman" w:cs="Times New Roman"/>
          <w:color w:val="FF0000"/>
          <w:sz w:val="24"/>
          <w:szCs w:val="24"/>
          <w:lang w:val="en-GB"/>
        </w:rPr>
        <w:t xml:space="preserve"> </w:t>
      </w:r>
      <w:r w:rsidR="00B93230">
        <w:rPr>
          <w:rFonts w:ascii="Times New Roman" w:hAnsi="Times New Roman" w:cs="Times New Roman"/>
          <w:color w:val="FF0000"/>
          <w:sz w:val="24"/>
          <w:szCs w:val="24"/>
          <w:lang w:val="en-GB"/>
        </w:rPr>
        <w:t>little if anyt</w:t>
      </w:r>
      <w:r w:rsidR="00CC5038">
        <w:rPr>
          <w:rFonts w:ascii="Times New Roman" w:hAnsi="Times New Roman" w:cs="Times New Roman"/>
          <w:color w:val="FF0000"/>
          <w:sz w:val="24"/>
          <w:szCs w:val="24"/>
          <w:lang w:val="en-GB"/>
        </w:rPr>
        <w:t xml:space="preserve">hing about how maternity claims are </w:t>
      </w:r>
      <w:r w:rsidR="00B93230">
        <w:rPr>
          <w:rFonts w:ascii="Times New Roman" w:hAnsi="Times New Roman" w:cs="Times New Roman"/>
          <w:color w:val="FF0000"/>
          <w:sz w:val="24"/>
          <w:szCs w:val="24"/>
          <w:lang w:val="en-GB"/>
        </w:rPr>
        <w:t>assessed and dealt with from a sub</w:t>
      </w:r>
      <w:r w:rsidR="00CC5038">
        <w:rPr>
          <w:rFonts w:ascii="Times New Roman" w:hAnsi="Times New Roman" w:cs="Times New Roman"/>
          <w:color w:val="FF0000"/>
          <w:sz w:val="24"/>
          <w:szCs w:val="24"/>
          <w:lang w:val="en-GB"/>
        </w:rPr>
        <w:t xml:space="preserve">stantive legal perspective, nor does </w:t>
      </w:r>
      <w:r w:rsidR="00031CDC">
        <w:rPr>
          <w:rFonts w:ascii="Times New Roman" w:hAnsi="Times New Roman" w:cs="Times New Roman"/>
          <w:color w:val="FF0000"/>
          <w:sz w:val="24"/>
          <w:szCs w:val="24"/>
          <w:lang w:val="en-GB"/>
        </w:rPr>
        <w:t xml:space="preserve">it shed any light on </w:t>
      </w:r>
      <w:r w:rsidR="00B93230">
        <w:rPr>
          <w:rFonts w:ascii="Times New Roman" w:hAnsi="Times New Roman" w:cs="Times New Roman"/>
          <w:color w:val="FF0000"/>
          <w:sz w:val="24"/>
          <w:szCs w:val="24"/>
          <w:lang w:val="en-GB"/>
        </w:rPr>
        <w:t xml:space="preserve">how judges have </w:t>
      </w:r>
      <w:r w:rsidR="00CC5038">
        <w:rPr>
          <w:rFonts w:ascii="Times New Roman" w:hAnsi="Times New Roman" w:cs="Times New Roman"/>
          <w:color w:val="FF0000"/>
          <w:sz w:val="24"/>
          <w:szCs w:val="24"/>
          <w:lang w:val="en-GB"/>
        </w:rPr>
        <w:t>come to interpret and apply</w:t>
      </w:r>
      <w:r w:rsidR="00B93230">
        <w:rPr>
          <w:rFonts w:ascii="Times New Roman" w:hAnsi="Times New Roman" w:cs="Times New Roman"/>
          <w:color w:val="FF0000"/>
          <w:sz w:val="24"/>
          <w:szCs w:val="24"/>
          <w:lang w:val="en-GB"/>
        </w:rPr>
        <w:t xml:space="preserve"> the principles of negligence in the specific context of childbirth litigation.</w:t>
      </w:r>
    </w:p>
    <w:p w14:paraId="04017553" w14:textId="2B8B87DF" w:rsidR="006006FB" w:rsidRPr="009645E5" w:rsidRDefault="00D70D82" w:rsidP="006006FB">
      <w:pPr>
        <w:pStyle w:val="BodyA"/>
        <w:spacing w:line="360" w:lineRule="auto"/>
        <w:jc w:val="both"/>
        <w:rPr>
          <w:rFonts w:ascii="Times New Roman" w:hAnsi="Times New Roman" w:cs="Times New Roman"/>
          <w:sz w:val="24"/>
          <w:szCs w:val="24"/>
          <w:lang w:val="en-GB"/>
        </w:rPr>
      </w:pPr>
      <w:r w:rsidRPr="009645E5">
        <w:rPr>
          <w:rFonts w:ascii="Times New Roman" w:eastAsia="Times New Roman" w:hAnsi="Times New Roman" w:cs="Times New Roman"/>
          <w:sz w:val="24"/>
          <w:szCs w:val="24"/>
          <w:lang w:val="en-GB"/>
        </w:rPr>
        <w:tab/>
        <w:t xml:space="preserve">It is against this backdrop that </w:t>
      </w:r>
      <w:r w:rsidRPr="009645E5">
        <w:rPr>
          <w:rFonts w:ascii="Times New Roman" w:hAnsi="Times New Roman" w:cs="Times New Roman"/>
          <w:sz w:val="24"/>
          <w:szCs w:val="24"/>
          <w:lang w:val="en-GB"/>
        </w:rPr>
        <w:t>this articl</w:t>
      </w:r>
      <w:r w:rsidR="00050B01">
        <w:rPr>
          <w:rFonts w:ascii="Times New Roman" w:hAnsi="Times New Roman" w:cs="Times New Roman"/>
          <w:sz w:val="24"/>
          <w:szCs w:val="24"/>
          <w:lang w:val="en-GB"/>
        </w:rPr>
        <w:t xml:space="preserve">e seeks to critically analyse a </w:t>
      </w:r>
      <w:r w:rsidR="00050B01" w:rsidRPr="00050B01">
        <w:rPr>
          <w:rFonts w:ascii="Times New Roman" w:hAnsi="Times New Roman" w:cs="Times New Roman"/>
          <w:color w:val="FF0000"/>
          <w:sz w:val="24"/>
          <w:szCs w:val="24"/>
          <w:lang w:val="en-GB"/>
        </w:rPr>
        <w:t>body</w:t>
      </w:r>
      <w:r w:rsidR="00050B01">
        <w:rPr>
          <w:rFonts w:ascii="Times New Roman" w:hAnsi="Times New Roman" w:cs="Times New Roman"/>
          <w:sz w:val="24"/>
          <w:szCs w:val="24"/>
          <w:lang w:val="en-GB"/>
        </w:rPr>
        <w:t xml:space="preserve"> </w:t>
      </w:r>
      <w:r w:rsidRPr="009645E5">
        <w:rPr>
          <w:rFonts w:ascii="Times New Roman" w:hAnsi="Times New Roman" w:cs="Times New Roman"/>
          <w:sz w:val="24"/>
          <w:szCs w:val="24"/>
          <w:lang w:val="en-GB"/>
        </w:rPr>
        <w:t>of case law that has occurred since the publication of the 2012 Report.</w:t>
      </w:r>
      <w:r w:rsidRPr="009645E5">
        <w:rPr>
          <w:rFonts w:ascii="Times New Roman" w:eastAsia="Times New Roman" w:hAnsi="Times New Roman" w:cs="Times New Roman"/>
          <w:sz w:val="24"/>
          <w:szCs w:val="24"/>
          <w:vertAlign w:val="superscript"/>
          <w:lang w:val="en-GB"/>
        </w:rPr>
        <w:footnoteReference w:id="19"/>
      </w:r>
      <w:r w:rsidR="001D250F">
        <w:rPr>
          <w:rFonts w:ascii="Times New Roman" w:hAnsi="Times New Roman" w:cs="Times New Roman"/>
          <w:sz w:val="24"/>
          <w:szCs w:val="24"/>
          <w:lang w:val="en-GB"/>
        </w:rPr>
        <w:t xml:space="preserve">  </w:t>
      </w:r>
      <w:r w:rsidR="001D250F" w:rsidRPr="009645E5">
        <w:rPr>
          <w:rFonts w:ascii="Times New Roman" w:hAnsi="Times New Roman" w:cs="Times New Roman"/>
          <w:sz w:val="24"/>
          <w:szCs w:val="24"/>
          <w:lang w:val="en-GB"/>
        </w:rPr>
        <w:t>Focusing on breach of duty,</w:t>
      </w:r>
      <w:r w:rsidR="00572B1D">
        <w:rPr>
          <w:rFonts w:ascii="Times New Roman" w:hAnsi="Times New Roman" w:cs="Times New Roman"/>
          <w:color w:val="FF2D21" w:themeColor="accent5"/>
          <w:sz w:val="24"/>
          <w:szCs w:val="24"/>
          <w:lang w:val="en-GB"/>
        </w:rPr>
        <w:t xml:space="preserve"> the paper seeks to evaluate </w:t>
      </w:r>
      <w:r w:rsidR="001D250F">
        <w:rPr>
          <w:rFonts w:ascii="Times New Roman" w:hAnsi="Times New Roman" w:cs="Times New Roman"/>
          <w:color w:val="FF2D21" w:themeColor="accent5"/>
          <w:sz w:val="24"/>
          <w:szCs w:val="24"/>
          <w:lang w:val="en-GB"/>
        </w:rPr>
        <w:t xml:space="preserve">whether or not the weighing of risks and benefits, as advocated in the case of </w:t>
      </w:r>
      <w:r w:rsidR="001D250F" w:rsidRPr="001D250F">
        <w:rPr>
          <w:rFonts w:ascii="Times New Roman" w:hAnsi="Times New Roman" w:cs="Times New Roman"/>
          <w:i/>
          <w:color w:val="FF2D21" w:themeColor="accent5"/>
          <w:sz w:val="24"/>
          <w:szCs w:val="24"/>
          <w:lang w:val="en-GB"/>
        </w:rPr>
        <w:t>Bolitho</w:t>
      </w:r>
      <w:r w:rsidR="001D250F">
        <w:rPr>
          <w:rFonts w:ascii="Times New Roman" w:hAnsi="Times New Roman" w:cs="Times New Roman"/>
          <w:color w:val="FF2D21" w:themeColor="accent5"/>
          <w:sz w:val="24"/>
          <w:szCs w:val="24"/>
          <w:lang w:val="en-GB"/>
        </w:rPr>
        <w:t xml:space="preserve"> as a means of assessing the</w:t>
      </w:r>
      <w:r w:rsidR="00CC5038">
        <w:rPr>
          <w:rFonts w:ascii="Times New Roman" w:hAnsi="Times New Roman" w:cs="Times New Roman"/>
          <w:color w:val="FF2D21" w:themeColor="accent5"/>
          <w:sz w:val="24"/>
          <w:szCs w:val="24"/>
          <w:lang w:val="en-GB"/>
        </w:rPr>
        <w:t xml:space="preserve"> question of breach</w:t>
      </w:r>
      <w:r w:rsidR="001D250F">
        <w:rPr>
          <w:rFonts w:ascii="Times New Roman" w:hAnsi="Times New Roman" w:cs="Times New Roman"/>
          <w:color w:val="FF2D21" w:themeColor="accent5"/>
          <w:sz w:val="24"/>
          <w:szCs w:val="24"/>
          <w:lang w:val="en-GB"/>
        </w:rPr>
        <w:t xml:space="preserve">, has been appropriately utilised by judges in recent childbirth cases.  </w:t>
      </w:r>
      <w:r w:rsidR="001D250F">
        <w:rPr>
          <w:rFonts w:ascii="Times New Roman" w:hAnsi="Times New Roman" w:cs="Times New Roman"/>
          <w:sz w:val="24"/>
          <w:szCs w:val="24"/>
          <w:lang w:val="en-GB"/>
        </w:rPr>
        <w:t>I</w:t>
      </w:r>
      <w:r w:rsidRPr="009645E5">
        <w:rPr>
          <w:rFonts w:ascii="Times New Roman" w:hAnsi="Times New Roman" w:cs="Times New Roman"/>
          <w:sz w:val="24"/>
          <w:szCs w:val="24"/>
          <w:lang w:val="en-GB"/>
        </w:rPr>
        <w:t>t is an important and original piece of research as it is the first of its kind to investigate how judges have dealt with specific aspects of childbirth identified as being contentious in the wake of the 2012 Report.</w:t>
      </w:r>
      <w:r w:rsidRPr="009645E5">
        <w:rPr>
          <w:rFonts w:ascii="Times New Roman" w:eastAsia="Times New Roman" w:hAnsi="Times New Roman" w:cs="Times New Roman"/>
          <w:sz w:val="24"/>
          <w:szCs w:val="24"/>
          <w:vertAlign w:val="superscript"/>
          <w:lang w:val="en-GB"/>
        </w:rPr>
        <w:footnoteReference w:id="20"/>
      </w:r>
      <w:r w:rsidRPr="009645E5">
        <w:rPr>
          <w:rFonts w:ascii="Times New Roman" w:hAnsi="Times New Roman" w:cs="Times New Roman"/>
          <w:sz w:val="24"/>
          <w:szCs w:val="24"/>
          <w:lang w:val="en-GB"/>
        </w:rPr>
        <w:t xml:space="preserve">  In order to set the scene, the piece begins by providing some background information and highlights some of the headline figures to emerge from the 2012 Report, and more recently from the NHSLA annual fact sheets.</w:t>
      </w:r>
      <w:r w:rsidRPr="009645E5">
        <w:rPr>
          <w:rFonts w:ascii="Times New Roman" w:eastAsia="Times New Roman" w:hAnsi="Times New Roman" w:cs="Times New Roman"/>
          <w:sz w:val="24"/>
          <w:szCs w:val="24"/>
          <w:vertAlign w:val="superscript"/>
          <w:lang w:val="en-GB"/>
        </w:rPr>
        <w:footnoteReference w:id="21"/>
      </w:r>
      <w:r w:rsidRPr="009645E5">
        <w:rPr>
          <w:rFonts w:ascii="Times New Roman" w:hAnsi="Times New Roman" w:cs="Times New Roman"/>
          <w:sz w:val="24"/>
          <w:szCs w:val="24"/>
          <w:lang w:val="en-GB"/>
        </w:rPr>
        <w:t xml:space="preserve">  The narrative then seeks to provide context for the core of the paper</w:t>
      </w:r>
      <w:r w:rsidR="00D348F2" w:rsidRPr="009645E5">
        <w:rPr>
          <w:rFonts w:ascii="Times New Roman" w:hAnsi="Times New Roman" w:cs="Times New Roman"/>
          <w:sz w:val="24"/>
          <w:szCs w:val="24"/>
          <w:lang w:val="en-GB"/>
        </w:rPr>
        <w:t>’</w:t>
      </w:r>
      <w:r w:rsidRPr="009645E5">
        <w:rPr>
          <w:rFonts w:ascii="Times New Roman" w:hAnsi="Times New Roman" w:cs="Times New Roman"/>
          <w:sz w:val="24"/>
          <w:szCs w:val="24"/>
          <w:lang w:val="en-GB"/>
        </w:rPr>
        <w:t xml:space="preserve">s analysis by exploring the existing academic literature concerning </w:t>
      </w:r>
      <w:r w:rsidRPr="009645E5">
        <w:rPr>
          <w:rFonts w:ascii="Times New Roman" w:hAnsi="Times New Roman" w:cs="Times New Roman"/>
          <w:i/>
          <w:iCs/>
          <w:sz w:val="24"/>
          <w:szCs w:val="24"/>
          <w:lang w:val="en-GB"/>
        </w:rPr>
        <w:t>Bolam</w:t>
      </w:r>
      <w:r w:rsidRPr="009645E5">
        <w:rPr>
          <w:rFonts w:ascii="Times New Roman" w:hAnsi="Times New Roman" w:cs="Times New Roman"/>
          <w:sz w:val="24"/>
          <w:szCs w:val="24"/>
          <w:lang w:val="en-GB"/>
        </w:rPr>
        <w:t xml:space="preserve"> and </w:t>
      </w:r>
      <w:r w:rsidRPr="009645E5">
        <w:rPr>
          <w:rFonts w:ascii="Times New Roman" w:hAnsi="Times New Roman" w:cs="Times New Roman"/>
          <w:i/>
          <w:iCs/>
          <w:sz w:val="24"/>
          <w:szCs w:val="24"/>
          <w:lang w:val="en-GB"/>
        </w:rPr>
        <w:t xml:space="preserve">Bolitho. </w:t>
      </w:r>
      <w:r w:rsidRPr="009645E5">
        <w:rPr>
          <w:rFonts w:ascii="Times New Roman" w:hAnsi="Times New Roman" w:cs="Times New Roman"/>
          <w:sz w:val="24"/>
          <w:szCs w:val="24"/>
          <w:lang w:val="en-GB"/>
        </w:rPr>
        <w:t>From here the discussion progresses to critically analyse the developing case law.  The focus of the critique hones in on three key issues which emerge as recurring themes throughout many of the cases and which are identified as pertinent issues in the 201</w:t>
      </w:r>
      <w:r w:rsidR="00015C42" w:rsidRPr="009645E5">
        <w:rPr>
          <w:rFonts w:ascii="Times New Roman" w:hAnsi="Times New Roman" w:cs="Times New Roman"/>
          <w:sz w:val="24"/>
          <w:szCs w:val="24"/>
          <w:lang w:val="en-GB"/>
        </w:rPr>
        <w:t xml:space="preserve">2 Report.  These </w:t>
      </w:r>
      <w:r w:rsidR="002934D3" w:rsidRPr="009645E5">
        <w:rPr>
          <w:rFonts w:ascii="Times New Roman" w:hAnsi="Times New Roman" w:cs="Times New Roman"/>
          <w:sz w:val="24"/>
          <w:szCs w:val="24"/>
          <w:lang w:val="en-GB"/>
        </w:rPr>
        <w:t xml:space="preserve">include the interpretation of cardio-tocographic traces (CTG trace), the management of labour, </w:t>
      </w:r>
      <w:r w:rsidRPr="009645E5">
        <w:rPr>
          <w:rFonts w:ascii="Times New Roman" w:hAnsi="Times New Roman" w:cs="Times New Roman"/>
          <w:sz w:val="24"/>
          <w:szCs w:val="24"/>
          <w:lang w:val="en-GB"/>
        </w:rPr>
        <w:t>and the impact of professional guidelines and protocols</w:t>
      </w:r>
      <w:r w:rsidR="006006FB" w:rsidRPr="009645E5">
        <w:rPr>
          <w:rFonts w:ascii="Times New Roman" w:hAnsi="Times New Roman" w:cs="Times New Roman"/>
          <w:sz w:val="24"/>
          <w:szCs w:val="24"/>
          <w:lang w:val="en-GB"/>
        </w:rPr>
        <w:t xml:space="preserve">.  </w:t>
      </w:r>
      <w:r w:rsidRPr="009645E5">
        <w:rPr>
          <w:rFonts w:ascii="Times New Roman" w:hAnsi="Times New Roman" w:cs="Times New Roman"/>
          <w:sz w:val="24"/>
          <w:szCs w:val="24"/>
          <w:lang w:val="en-GB"/>
        </w:rPr>
        <w:t xml:space="preserve">From this an </w:t>
      </w:r>
      <w:r w:rsidRPr="009645E5">
        <w:rPr>
          <w:rFonts w:ascii="Times New Roman" w:hAnsi="Times New Roman" w:cs="Times New Roman"/>
          <w:sz w:val="24"/>
          <w:szCs w:val="24"/>
          <w:lang w:val="en-GB"/>
        </w:rPr>
        <w:lastRenderedPageBreak/>
        <w:t>argument is constructed that sugges</w:t>
      </w:r>
      <w:r w:rsidR="002934D3" w:rsidRPr="009645E5">
        <w:rPr>
          <w:rFonts w:ascii="Times New Roman" w:hAnsi="Times New Roman" w:cs="Times New Roman"/>
          <w:sz w:val="24"/>
          <w:szCs w:val="24"/>
          <w:lang w:val="en-GB"/>
        </w:rPr>
        <w:t xml:space="preserve">ts, in certain situations, that mothers and </w:t>
      </w:r>
      <w:r w:rsidRPr="009645E5">
        <w:rPr>
          <w:rFonts w:ascii="Times New Roman" w:hAnsi="Times New Roman" w:cs="Times New Roman"/>
          <w:sz w:val="24"/>
          <w:szCs w:val="24"/>
          <w:lang w:val="en-GB"/>
        </w:rPr>
        <w:t xml:space="preserve">babies are being exposed to unreasonable risks in labour and that the law is </w:t>
      </w:r>
      <w:r w:rsidR="006006FB" w:rsidRPr="009645E5">
        <w:rPr>
          <w:rFonts w:ascii="Times New Roman" w:hAnsi="Times New Roman" w:cs="Times New Roman"/>
          <w:sz w:val="24"/>
          <w:szCs w:val="24"/>
          <w:lang w:val="en-GB"/>
        </w:rPr>
        <w:t xml:space="preserve">perhaps </w:t>
      </w:r>
      <w:r w:rsidRPr="009645E5">
        <w:rPr>
          <w:rFonts w:ascii="Times New Roman" w:hAnsi="Times New Roman" w:cs="Times New Roman"/>
          <w:sz w:val="24"/>
          <w:szCs w:val="24"/>
          <w:lang w:val="en-GB"/>
        </w:rPr>
        <w:t>being too quick to unquesti</w:t>
      </w:r>
      <w:r w:rsidR="0041416B" w:rsidRPr="009645E5">
        <w:rPr>
          <w:rFonts w:ascii="Times New Roman" w:hAnsi="Times New Roman" w:cs="Times New Roman"/>
          <w:sz w:val="24"/>
          <w:szCs w:val="24"/>
          <w:lang w:val="en-GB"/>
        </w:rPr>
        <w:t xml:space="preserve">oningly accept this </w:t>
      </w:r>
      <w:r w:rsidR="00954073" w:rsidRPr="00954073">
        <w:rPr>
          <w:rFonts w:ascii="Times New Roman" w:hAnsi="Times New Roman" w:cs="Times New Roman"/>
          <w:color w:val="FF0000"/>
          <w:sz w:val="24"/>
          <w:szCs w:val="24"/>
          <w:lang w:val="en-GB"/>
        </w:rPr>
        <w:t>behaviour</w:t>
      </w:r>
      <w:r w:rsidR="0041416B" w:rsidRPr="00954073">
        <w:rPr>
          <w:rFonts w:ascii="Times New Roman" w:hAnsi="Times New Roman" w:cs="Times New Roman"/>
          <w:color w:val="FF0000"/>
          <w:sz w:val="24"/>
          <w:szCs w:val="24"/>
          <w:lang w:val="en-GB"/>
        </w:rPr>
        <w:t>.</w:t>
      </w:r>
    </w:p>
    <w:p w14:paraId="32E47BD1" w14:textId="77777777" w:rsidR="006006FB" w:rsidRPr="009645E5" w:rsidRDefault="006006FB" w:rsidP="006006FB">
      <w:pPr>
        <w:pStyle w:val="BodyA"/>
        <w:jc w:val="both"/>
        <w:rPr>
          <w:rFonts w:ascii="Times New Roman" w:hAnsi="Times New Roman" w:cs="Times New Roman"/>
          <w:sz w:val="24"/>
          <w:szCs w:val="24"/>
          <w:lang w:val="en-GB"/>
        </w:rPr>
      </w:pPr>
    </w:p>
    <w:p w14:paraId="19E7E2F5" w14:textId="77777777" w:rsidR="005A51AF" w:rsidRPr="009645E5" w:rsidRDefault="00D70D82">
      <w:pPr>
        <w:pStyle w:val="BodyA"/>
        <w:jc w:val="center"/>
        <w:rPr>
          <w:rFonts w:ascii="Times New Roman" w:eastAsia="Times New Roman Bold" w:hAnsi="Times New Roman" w:cs="Times New Roman"/>
          <w:b/>
          <w:bCs/>
          <w:sz w:val="24"/>
          <w:szCs w:val="24"/>
          <w:lang w:val="en-GB"/>
        </w:rPr>
      </w:pPr>
      <w:r w:rsidRPr="009645E5">
        <w:rPr>
          <w:rFonts w:ascii="Times New Roman" w:hAnsi="Times New Roman" w:cs="Times New Roman"/>
          <w:b/>
          <w:bCs/>
          <w:sz w:val="24"/>
          <w:szCs w:val="24"/>
          <w:lang w:val="en-GB"/>
        </w:rPr>
        <w:t>II. Background: The Scope of Childbirth Litigation</w:t>
      </w:r>
    </w:p>
    <w:p w14:paraId="6FFA8992" w14:textId="77777777" w:rsidR="005A51AF" w:rsidRPr="009645E5" w:rsidRDefault="005A51AF">
      <w:pPr>
        <w:pStyle w:val="BodyA"/>
        <w:jc w:val="center"/>
        <w:rPr>
          <w:rFonts w:ascii="Times New Roman" w:eastAsia="Times New Roman Bold" w:hAnsi="Times New Roman" w:cs="Times New Roman"/>
          <w:sz w:val="24"/>
          <w:szCs w:val="24"/>
          <w:lang w:val="en-GB"/>
        </w:rPr>
      </w:pPr>
    </w:p>
    <w:p w14:paraId="797CAB8F" w14:textId="057619ED" w:rsidR="005A51AF" w:rsidRPr="009645E5" w:rsidRDefault="00050B01" w:rsidP="00E6743F">
      <w:pPr>
        <w:pStyle w:val="BodyA"/>
        <w:spacing w:line="360" w:lineRule="auto"/>
        <w:jc w:val="both"/>
        <w:rPr>
          <w:rFonts w:ascii="Times New Roman" w:eastAsia="Times New Roman Bold" w:hAnsi="Times New Roman" w:cs="Times New Roman"/>
          <w:sz w:val="24"/>
          <w:szCs w:val="24"/>
          <w:lang w:val="en-GB"/>
        </w:rPr>
      </w:pPr>
      <w:r w:rsidRPr="00954073">
        <w:rPr>
          <w:rFonts w:ascii="Times New Roman" w:hAnsi="Times New Roman" w:cs="Times New Roman"/>
          <w:color w:val="FF0000"/>
          <w:sz w:val="24"/>
          <w:szCs w:val="24"/>
          <w:lang w:val="en-GB"/>
        </w:rPr>
        <w:t>M</w:t>
      </w:r>
      <w:r w:rsidR="00D70D82" w:rsidRPr="00954073">
        <w:rPr>
          <w:rFonts w:ascii="Times New Roman" w:hAnsi="Times New Roman" w:cs="Times New Roman"/>
          <w:color w:val="FF0000"/>
          <w:sz w:val="24"/>
          <w:szCs w:val="24"/>
          <w:lang w:val="en-GB"/>
        </w:rPr>
        <w:t>aternity claims represent the second highest number of clinical negligence claims reported to the NHSLA.</w:t>
      </w:r>
      <w:r w:rsidR="00D70D82" w:rsidRPr="00954073">
        <w:rPr>
          <w:rFonts w:ascii="Times New Roman" w:eastAsia="Times New Roman Bold" w:hAnsi="Times New Roman" w:cs="Times New Roman"/>
          <w:color w:val="FF0000"/>
          <w:sz w:val="24"/>
          <w:szCs w:val="24"/>
          <w:vertAlign w:val="superscript"/>
          <w:lang w:val="en-GB"/>
        </w:rPr>
        <w:footnoteReference w:id="22"/>
      </w:r>
      <w:r w:rsidRPr="00954073">
        <w:rPr>
          <w:rFonts w:ascii="Times New Roman" w:hAnsi="Times New Roman" w:cs="Times New Roman"/>
          <w:color w:val="FF0000"/>
          <w:sz w:val="24"/>
          <w:szCs w:val="24"/>
          <w:lang w:val="en-GB"/>
        </w:rPr>
        <w:t xml:space="preserve">  Surgical claims </w:t>
      </w:r>
      <w:r w:rsidR="00954073" w:rsidRPr="00954073">
        <w:rPr>
          <w:rFonts w:ascii="Times New Roman" w:hAnsi="Times New Roman" w:cs="Times New Roman"/>
          <w:color w:val="FF0000"/>
          <w:sz w:val="24"/>
          <w:szCs w:val="24"/>
          <w:lang w:val="en-GB"/>
        </w:rPr>
        <w:t>represent the highest number of cla</w:t>
      </w:r>
      <w:r w:rsidR="00954073">
        <w:rPr>
          <w:rFonts w:ascii="Times New Roman" w:hAnsi="Times New Roman" w:cs="Times New Roman"/>
          <w:color w:val="FF0000"/>
          <w:sz w:val="24"/>
          <w:szCs w:val="24"/>
          <w:lang w:val="en-GB"/>
        </w:rPr>
        <w:t xml:space="preserve">ims, but still </w:t>
      </w:r>
      <w:r w:rsidR="00954073" w:rsidRPr="00954073">
        <w:rPr>
          <w:rFonts w:ascii="Times New Roman" w:hAnsi="Times New Roman" w:cs="Times New Roman"/>
          <w:color w:val="FF0000"/>
          <w:sz w:val="24"/>
          <w:szCs w:val="24"/>
          <w:lang w:val="en-GB"/>
        </w:rPr>
        <w:t xml:space="preserve">maternity claims </w:t>
      </w:r>
      <w:r w:rsidR="00D70D82" w:rsidRPr="00954073">
        <w:rPr>
          <w:rFonts w:ascii="Times New Roman" w:hAnsi="Times New Roman" w:cs="Times New Roman"/>
          <w:color w:val="FF0000"/>
          <w:sz w:val="24"/>
          <w:szCs w:val="24"/>
          <w:lang w:val="en-GB"/>
        </w:rPr>
        <w:t>represent the highest value.</w:t>
      </w:r>
      <w:r w:rsidR="00D70D82" w:rsidRPr="009645E5">
        <w:rPr>
          <w:rFonts w:ascii="Times New Roman" w:hAnsi="Times New Roman" w:cs="Times New Roman"/>
          <w:sz w:val="24"/>
          <w:szCs w:val="24"/>
          <w:lang w:val="en-GB"/>
        </w:rPr>
        <w:t xml:space="preserve">  At the time of the 2012 Report, between 1995 (when the Clinical Negligence Scheme for Trusts (CNST)</w:t>
      </w:r>
      <w:r w:rsidR="00D70D82" w:rsidRPr="009645E5">
        <w:rPr>
          <w:rFonts w:ascii="Times New Roman" w:eastAsia="Times New Roman Bold" w:hAnsi="Times New Roman" w:cs="Times New Roman"/>
          <w:sz w:val="24"/>
          <w:szCs w:val="24"/>
          <w:vertAlign w:val="superscript"/>
          <w:lang w:val="en-GB"/>
        </w:rPr>
        <w:footnoteReference w:id="23"/>
      </w:r>
      <w:r w:rsidR="00E6743F">
        <w:rPr>
          <w:rFonts w:ascii="Times New Roman" w:hAnsi="Times New Roman" w:cs="Times New Roman"/>
          <w:sz w:val="24"/>
          <w:szCs w:val="24"/>
          <w:lang w:val="en-GB"/>
        </w:rPr>
        <w:t xml:space="preserve"> </w:t>
      </w:r>
      <w:r w:rsidR="00D70D82" w:rsidRPr="009645E5">
        <w:rPr>
          <w:rFonts w:ascii="Times New Roman" w:hAnsi="Times New Roman" w:cs="Times New Roman"/>
          <w:sz w:val="24"/>
          <w:szCs w:val="24"/>
          <w:lang w:val="en-GB"/>
        </w:rPr>
        <w:t>first started) and the end of March 2011, the number of obstetrics and gynaecology claims reported to the NHSLA under the CNST amounted to 13,095.</w:t>
      </w:r>
      <w:r w:rsidR="00D70D82" w:rsidRPr="009645E5">
        <w:rPr>
          <w:rFonts w:ascii="Times New Roman" w:eastAsia="Times New Roman Bold" w:hAnsi="Times New Roman" w:cs="Times New Roman"/>
          <w:sz w:val="24"/>
          <w:szCs w:val="24"/>
          <w:vertAlign w:val="superscript"/>
          <w:lang w:val="en-GB"/>
        </w:rPr>
        <w:footnoteReference w:id="24"/>
      </w:r>
      <w:r w:rsidR="00D70D82" w:rsidRPr="009645E5">
        <w:rPr>
          <w:rFonts w:ascii="Times New Roman" w:hAnsi="Times New Roman" w:cs="Times New Roman"/>
          <w:sz w:val="24"/>
          <w:szCs w:val="24"/>
          <w:lang w:val="en-GB"/>
        </w:rPr>
        <w:t xml:space="preserve">  The total estimated value of these claims was in excess of £5.2 billion. In terms of overall value, this </w:t>
      </w:r>
      <w:r w:rsidR="00624E06" w:rsidRPr="009645E5">
        <w:rPr>
          <w:rFonts w:ascii="Times New Roman" w:hAnsi="Times New Roman" w:cs="Times New Roman"/>
          <w:sz w:val="24"/>
          <w:szCs w:val="24"/>
          <w:lang w:val="en-GB"/>
        </w:rPr>
        <w:t xml:space="preserve">was </w:t>
      </w:r>
      <w:r w:rsidR="00D70D82" w:rsidRPr="009645E5">
        <w:rPr>
          <w:rFonts w:ascii="Times New Roman" w:hAnsi="Times New Roman" w:cs="Times New Roman"/>
          <w:sz w:val="24"/>
          <w:szCs w:val="24"/>
          <w:lang w:val="en-GB"/>
        </w:rPr>
        <w:t>more than double that of surgical claims, which were in second place.</w:t>
      </w:r>
      <w:r w:rsidR="00D70D82" w:rsidRPr="009645E5">
        <w:rPr>
          <w:rFonts w:ascii="Times New Roman" w:eastAsia="Times New Roman Bold" w:hAnsi="Times New Roman" w:cs="Times New Roman"/>
          <w:sz w:val="24"/>
          <w:szCs w:val="24"/>
          <w:vertAlign w:val="superscript"/>
          <w:lang w:val="en-GB"/>
        </w:rPr>
        <w:footnoteReference w:id="25"/>
      </w:r>
      <w:r w:rsidR="00D70D82" w:rsidRPr="009645E5">
        <w:rPr>
          <w:rFonts w:ascii="Times New Roman" w:hAnsi="Times New Roman" w:cs="Times New Roman"/>
          <w:sz w:val="24"/>
          <w:szCs w:val="24"/>
          <w:lang w:val="en-GB"/>
        </w:rPr>
        <w:t xml:space="preserve"> Significantly, when the 2012 Report was published, obstetrics and gynaecology claims accounted for 20% of the number of clinical negligence claims notified to the NHSLA and 49% of the total value.</w:t>
      </w:r>
      <w:r w:rsidR="00D70D82" w:rsidRPr="009645E5">
        <w:rPr>
          <w:rFonts w:ascii="Times New Roman" w:eastAsia="Times New Roman Bold" w:hAnsi="Times New Roman" w:cs="Times New Roman"/>
          <w:sz w:val="24"/>
          <w:szCs w:val="24"/>
          <w:vertAlign w:val="superscript"/>
          <w:lang w:val="en-GB"/>
        </w:rPr>
        <w:footnoteReference w:id="26"/>
      </w:r>
      <w:r w:rsidR="00D70D82" w:rsidRPr="009645E5">
        <w:rPr>
          <w:rFonts w:ascii="Times New Roman" w:hAnsi="Times New Roman" w:cs="Times New Roman"/>
          <w:sz w:val="24"/>
          <w:szCs w:val="24"/>
          <w:lang w:val="en-GB"/>
        </w:rPr>
        <w:t xml:space="preserve">  More recently, the up-to-date figures from the NHSLA indicate that, as of the end March 2013, the number of obstetrics and gynaecology claims</w:t>
      </w:r>
      <w:r w:rsidR="00624E06" w:rsidRPr="009645E5">
        <w:rPr>
          <w:rFonts w:ascii="Times New Roman" w:hAnsi="Times New Roman" w:cs="Times New Roman"/>
          <w:sz w:val="24"/>
          <w:szCs w:val="24"/>
          <w:lang w:val="en-GB"/>
        </w:rPr>
        <w:t xml:space="preserve"> since April 1995 stands at 16,262 </w:t>
      </w:r>
      <w:r w:rsidR="00D70D82" w:rsidRPr="009645E5">
        <w:rPr>
          <w:rFonts w:ascii="Times New Roman" w:hAnsi="Times New Roman" w:cs="Times New Roman"/>
          <w:sz w:val="24"/>
          <w:szCs w:val="24"/>
          <w:lang w:val="en-GB"/>
        </w:rPr>
        <w:t>with the total expenditure on these claims between the same dates totalling £7,096,927,000.</w:t>
      </w:r>
      <w:r w:rsidR="00D70D82" w:rsidRPr="009645E5">
        <w:rPr>
          <w:rFonts w:ascii="Times New Roman" w:eastAsia="Times New Roman Bold" w:hAnsi="Times New Roman" w:cs="Times New Roman"/>
          <w:sz w:val="24"/>
          <w:szCs w:val="24"/>
          <w:vertAlign w:val="superscript"/>
          <w:lang w:val="en-GB"/>
        </w:rPr>
        <w:footnoteReference w:id="27"/>
      </w:r>
    </w:p>
    <w:p w14:paraId="3ECE812A" w14:textId="0509C374" w:rsidR="005A51AF" w:rsidRPr="009645E5" w:rsidRDefault="00D70D82">
      <w:pPr>
        <w:pStyle w:val="BodyA"/>
        <w:spacing w:line="360" w:lineRule="auto"/>
        <w:jc w:val="both"/>
        <w:rPr>
          <w:rFonts w:ascii="Times New Roman" w:eastAsia="Times New Roman Bold" w:hAnsi="Times New Roman" w:cs="Times New Roman"/>
          <w:sz w:val="24"/>
          <w:szCs w:val="24"/>
          <w:lang w:val="en-GB"/>
        </w:rPr>
      </w:pPr>
      <w:r w:rsidRPr="009645E5">
        <w:rPr>
          <w:rFonts w:ascii="Times New Roman" w:eastAsia="Times New Roman Bold" w:hAnsi="Times New Roman" w:cs="Times New Roman"/>
          <w:sz w:val="24"/>
          <w:szCs w:val="24"/>
          <w:lang w:val="en-GB"/>
        </w:rPr>
        <w:tab/>
      </w:r>
      <w:r w:rsidR="00624E06" w:rsidRPr="009645E5">
        <w:rPr>
          <w:rFonts w:ascii="Times New Roman" w:eastAsia="Times New Roman Bold" w:hAnsi="Times New Roman" w:cs="Times New Roman"/>
          <w:sz w:val="24"/>
          <w:szCs w:val="24"/>
          <w:lang w:val="en-GB"/>
        </w:rPr>
        <w:t>T</w:t>
      </w:r>
      <w:r w:rsidR="000B0937" w:rsidRPr="009645E5">
        <w:rPr>
          <w:rFonts w:ascii="Times New Roman" w:eastAsia="Times New Roman Bold" w:hAnsi="Times New Roman" w:cs="Times New Roman"/>
          <w:sz w:val="24"/>
          <w:szCs w:val="24"/>
          <w:lang w:val="en-GB"/>
        </w:rPr>
        <w:t xml:space="preserve">he 2012 Report </w:t>
      </w:r>
      <w:r w:rsidR="00624E06" w:rsidRPr="009645E5">
        <w:rPr>
          <w:rFonts w:ascii="Times New Roman" w:eastAsia="Times New Roman Bold" w:hAnsi="Times New Roman" w:cs="Times New Roman"/>
          <w:sz w:val="24"/>
          <w:szCs w:val="24"/>
          <w:lang w:val="en-GB"/>
        </w:rPr>
        <w:t>analysed 5,</w:t>
      </w:r>
      <w:r w:rsidRPr="009645E5">
        <w:rPr>
          <w:rFonts w:ascii="Times New Roman" w:eastAsia="Times New Roman Bold" w:hAnsi="Times New Roman" w:cs="Times New Roman"/>
          <w:sz w:val="24"/>
          <w:szCs w:val="24"/>
          <w:lang w:val="en-GB"/>
        </w:rPr>
        <w:t>087 maternity claims on the NHSLA</w:t>
      </w:r>
      <w:r w:rsidR="00D348F2" w:rsidRPr="009645E5">
        <w:rPr>
          <w:rFonts w:ascii="Times New Roman" w:eastAsia="Times New Roman Bold" w:hAnsi="Times New Roman" w:cs="Times New Roman"/>
          <w:sz w:val="24"/>
          <w:szCs w:val="24"/>
          <w:lang w:val="en-GB"/>
        </w:rPr>
        <w:t>’</w:t>
      </w:r>
      <w:r w:rsidRPr="009645E5">
        <w:rPr>
          <w:rFonts w:ascii="Times New Roman" w:eastAsia="Times New Roman Bold" w:hAnsi="Times New Roman" w:cs="Times New Roman"/>
          <w:sz w:val="24"/>
          <w:szCs w:val="24"/>
          <w:lang w:val="en-GB"/>
        </w:rPr>
        <w:t xml:space="preserve">s claims database as at the 1st April 2010 with an incident date in a ten year period between 1st April 2000 and 31st March 2010. The total value of these claims was </w:t>
      </w:r>
      <w:r w:rsidRPr="009645E5">
        <w:rPr>
          <w:rFonts w:ascii="Times New Roman" w:hAnsi="Times New Roman" w:cs="Times New Roman"/>
          <w:sz w:val="24"/>
          <w:szCs w:val="24"/>
          <w:lang w:val="en-GB"/>
        </w:rPr>
        <w:t>£3,117,649,888.</w:t>
      </w:r>
      <w:r w:rsidRPr="009645E5">
        <w:rPr>
          <w:rFonts w:ascii="Times New Roman" w:eastAsia="Times New Roman Bold" w:hAnsi="Times New Roman" w:cs="Times New Roman"/>
          <w:sz w:val="24"/>
          <w:szCs w:val="24"/>
          <w:vertAlign w:val="superscript"/>
          <w:lang w:val="en-GB"/>
        </w:rPr>
        <w:footnoteReference w:id="28"/>
      </w:r>
      <w:r w:rsidRPr="009645E5">
        <w:rPr>
          <w:rFonts w:ascii="Times New Roman" w:hAnsi="Times New Roman" w:cs="Times New Roman"/>
          <w:sz w:val="24"/>
          <w:szCs w:val="24"/>
          <w:lang w:val="en-GB"/>
        </w:rPr>
        <w:t xml:space="preserve"> </w:t>
      </w:r>
      <w:r w:rsidR="00015C42" w:rsidRPr="009645E5">
        <w:rPr>
          <w:rFonts w:ascii="Times New Roman" w:hAnsi="Times New Roman" w:cs="Times New Roman"/>
          <w:sz w:val="24"/>
          <w:szCs w:val="24"/>
          <w:lang w:val="en-GB"/>
        </w:rPr>
        <w:t xml:space="preserve">It </w:t>
      </w:r>
      <w:r w:rsidRPr="009645E5">
        <w:rPr>
          <w:rFonts w:ascii="Times New Roman" w:hAnsi="Times New Roman" w:cs="Times New Roman"/>
          <w:sz w:val="24"/>
          <w:szCs w:val="24"/>
          <w:lang w:val="en-GB"/>
        </w:rPr>
        <w:t>comprised a primary and secondary level study.  The primary level study showed that the three most frequent categories of claims were those relating to managemen</w:t>
      </w:r>
      <w:r w:rsidR="00A20B44" w:rsidRPr="009645E5">
        <w:rPr>
          <w:rFonts w:ascii="Times New Roman" w:hAnsi="Times New Roman" w:cs="Times New Roman"/>
          <w:sz w:val="24"/>
          <w:szCs w:val="24"/>
          <w:lang w:val="en-GB"/>
        </w:rPr>
        <w:t xml:space="preserve">t of labour (14.05%); caesarean </w:t>
      </w:r>
      <w:r w:rsidRPr="009645E5">
        <w:rPr>
          <w:rFonts w:ascii="Times New Roman" w:hAnsi="Times New Roman" w:cs="Times New Roman"/>
          <w:sz w:val="24"/>
          <w:szCs w:val="24"/>
          <w:lang w:val="en-GB"/>
        </w:rPr>
        <w:t>section (13.24%); and cerebral palsy (13.24%).</w:t>
      </w:r>
      <w:r w:rsidRPr="009645E5">
        <w:rPr>
          <w:rFonts w:ascii="Times New Roman" w:eastAsia="Times New Roman Bold" w:hAnsi="Times New Roman" w:cs="Times New Roman"/>
          <w:sz w:val="24"/>
          <w:szCs w:val="24"/>
          <w:vertAlign w:val="superscript"/>
          <w:lang w:val="en-GB"/>
        </w:rPr>
        <w:footnoteReference w:id="29"/>
      </w:r>
      <w:r w:rsidR="008506E0" w:rsidRPr="009645E5">
        <w:rPr>
          <w:rFonts w:ascii="Times New Roman" w:hAnsi="Times New Roman" w:cs="Times New Roman"/>
          <w:sz w:val="24"/>
          <w:szCs w:val="24"/>
          <w:lang w:val="en-GB"/>
        </w:rPr>
        <w:t xml:space="preserve">  </w:t>
      </w:r>
      <w:r w:rsidRPr="009645E5">
        <w:rPr>
          <w:rFonts w:ascii="Times New Roman" w:hAnsi="Times New Roman" w:cs="Times New Roman"/>
          <w:sz w:val="24"/>
          <w:szCs w:val="24"/>
          <w:lang w:val="en-GB"/>
        </w:rPr>
        <w:t xml:space="preserve">The secondary level study undertook a detailed review of files for four specific </w:t>
      </w:r>
      <w:r w:rsidRPr="009645E5">
        <w:rPr>
          <w:rFonts w:ascii="Times New Roman" w:hAnsi="Times New Roman" w:cs="Times New Roman"/>
          <w:sz w:val="24"/>
          <w:szCs w:val="24"/>
          <w:lang w:val="en-GB"/>
        </w:rPr>
        <w:lastRenderedPageBreak/>
        <w:t>categories of maternity claims</w:t>
      </w:r>
      <w:r w:rsidR="00015C42" w:rsidRPr="009645E5">
        <w:rPr>
          <w:rFonts w:ascii="Times New Roman" w:hAnsi="Times New Roman" w:cs="Times New Roman"/>
          <w:sz w:val="24"/>
          <w:szCs w:val="24"/>
          <w:lang w:val="en-GB"/>
        </w:rPr>
        <w:t xml:space="preserve"> </w:t>
      </w:r>
      <w:r w:rsidR="00A20B44" w:rsidRPr="009645E5">
        <w:rPr>
          <w:rFonts w:ascii="Times New Roman" w:hAnsi="Times New Roman" w:cs="Times New Roman"/>
          <w:sz w:val="24"/>
          <w:szCs w:val="24"/>
          <w:lang w:val="en-GB"/>
        </w:rPr>
        <w:t>including</w:t>
      </w:r>
      <w:r w:rsidR="00624E06" w:rsidRPr="009645E5">
        <w:rPr>
          <w:rFonts w:ascii="Times New Roman" w:hAnsi="Times New Roman" w:cs="Times New Roman"/>
          <w:sz w:val="24"/>
          <w:szCs w:val="24"/>
          <w:lang w:val="en-GB"/>
        </w:rPr>
        <w:t xml:space="preserve"> </w:t>
      </w:r>
      <w:r w:rsidR="00A20B44" w:rsidRPr="009645E5">
        <w:rPr>
          <w:rFonts w:ascii="Times New Roman" w:hAnsi="Times New Roman" w:cs="Times New Roman"/>
          <w:sz w:val="24"/>
          <w:szCs w:val="24"/>
          <w:lang w:val="en-GB"/>
        </w:rPr>
        <w:t>antenatal ultrasound investigations; CTG interpretation; perineal trauma</w:t>
      </w:r>
      <w:r w:rsidR="00015C42" w:rsidRPr="009645E5">
        <w:rPr>
          <w:rFonts w:ascii="Times New Roman" w:hAnsi="Times New Roman" w:cs="Times New Roman"/>
          <w:sz w:val="24"/>
          <w:szCs w:val="24"/>
          <w:lang w:val="en-GB"/>
        </w:rPr>
        <w:t xml:space="preserve">; </w:t>
      </w:r>
      <w:r w:rsidR="00A20B44" w:rsidRPr="009645E5">
        <w:rPr>
          <w:rFonts w:ascii="Times New Roman" w:hAnsi="Times New Roman" w:cs="Times New Roman"/>
          <w:sz w:val="24"/>
          <w:szCs w:val="24"/>
          <w:lang w:val="en-GB"/>
        </w:rPr>
        <w:t>and uterine rupture.</w:t>
      </w:r>
      <w:r w:rsidRPr="009645E5">
        <w:rPr>
          <w:rFonts w:ascii="Times New Roman" w:eastAsia="Times New Roman Bold" w:hAnsi="Times New Roman" w:cs="Times New Roman"/>
          <w:sz w:val="24"/>
          <w:szCs w:val="24"/>
          <w:vertAlign w:val="superscript"/>
          <w:lang w:val="en-GB"/>
        </w:rPr>
        <w:footnoteReference w:id="30"/>
      </w:r>
      <w:r w:rsidR="00624E06" w:rsidRPr="009645E5">
        <w:rPr>
          <w:rFonts w:ascii="Times New Roman" w:hAnsi="Times New Roman" w:cs="Times New Roman"/>
          <w:sz w:val="24"/>
          <w:szCs w:val="24"/>
          <w:lang w:val="en-GB"/>
        </w:rPr>
        <w:t xml:space="preserve">  T</w:t>
      </w:r>
      <w:r w:rsidRPr="009645E5">
        <w:rPr>
          <w:rFonts w:ascii="Times New Roman" w:hAnsi="Times New Roman" w:cs="Times New Roman"/>
          <w:sz w:val="24"/>
          <w:szCs w:val="24"/>
          <w:lang w:val="en-GB"/>
        </w:rPr>
        <w:t>he figures from the 2012 Report clarified that CTG interpretation and management of labour (along with cerebral palsy) were the most expensive category of claims and accounted for 70% of the total value of all the maternity claims.</w:t>
      </w:r>
      <w:r w:rsidRPr="009645E5">
        <w:rPr>
          <w:rFonts w:ascii="Times New Roman" w:eastAsia="Times New Roman Bold" w:hAnsi="Times New Roman" w:cs="Times New Roman"/>
          <w:sz w:val="24"/>
          <w:szCs w:val="24"/>
          <w:vertAlign w:val="superscript"/>
          <w:lang w:val="en-GB"/>
        </w:rPr>
        <w:footnoteReference w:id="31"/>
      </w:r>
      <w:r w:rsidRPr="009645E5">
        <w:rPr>
          <w:rFonts w:ascii="Times New Roman" w:hAnsi="Times New Roman" w:cs="Times New Roman"/>
          <w:sz w:val="24"/>
          <w:szCs w:val="24"/>
          <w:lang w:val="en-GB"/>
        </w:rPr>
        <w:t xml:space="preserve">  Thus, as prevalent themes in the 2012 Report itself, and as frequent and recurring contestable issues i</w:t>
      </w:r>
      <w:r w:rsidR="00FC7617" w:rsidRPr="009645E5">
        <w:rPr>
          <w:rFonts w:ascii="Times New Roman" w:hAnsi="Times New Roman" w:cs="Times New Roman"/>
          <w:sz w:val="24"/>
          <w:szCs w:val="24"/>
          <w:lang w:val="en-GB"/>
        </w:rPr>
        <w:t>n the subsequent case law, the two categories of CTG interpretation and management</w:t>
      </w:r>
      <w:r w:rsidR="00A33F72" w:rsidRPr="009645E5">
        <w:rPr>
          <w:rFonts w:ascii="Times New Roman" w:hAnsi="Times New Roman" w:cs="Times New Roman"/>
          <w:sz w:val="24"/>
          <w:szCs w:val="24"/>
          <w:lang w:val="en-GB"/>
        </w:rPr>
        <w:t xml:space="preserve"> of labour were </w:t>
      </w:r>
      <w:r w:rsidR="00003E3C">
        <w:rPr>
          <w:rFonts w:ascii="Times New Roman" w:hAnsi="Times New Roman" w:cs="Times New Roman"/>
          <w:sz w:val="24"/>
          <w:szCs w:val="24"/>
          <w:lang w:val="en-GB"/>
        </w:rPr>
        <w:t xml:space="preserve">chosen </w:t>
      </w:r>
      <w:r w:rsidR="00624E06" w:rsidRPr="009645E5">
        <w:rPr>
          <w:rFonts w:ascii="Times New Roman" w:hAnsi="Times New Roman" w:cs="Times New Roman"/>
          <w:sz w:val="24"/>
          <w:szCs w:val="24"/>
          <w:lang w:val="en-GB"/>
        </w:rPr>
        <w:t xml:space="preserve">for this research </w:t>
      </w:r>
      <w:r w:rsidR="00A33F72" w:rsidRPr="009645E5">
        <w:rPr>
          <w:rFonts w:ascii="Times New Roman" w:hAnsi="Times New Roman" w:cs="Times New Roman"/>
          <w:sz w:val="24"/>
          <w:szCs w:val="24"/>
          <w:lang w:val="en-GB"/>
        </w:rPr>
        <w:t xml:space="preserve">as the </w:t>
      </w:r>
      <w:r w:rsidR="00FC7617" w:rsidRPr="009645E5">
        <w:rPr>
          <w:rFonts w:ascii="Times New Roman" w:hAnsi="Times New Roman" w:cs="Times New Roman"/>
          <w:sz w:val="24"/>
          <w:szCs w:val="24"/>
          <w:lang w:val="en-GB"/>
        </w:rPr>
        <w:t xml:space="preserve">main platforms </w:t>
      </w:r>
      <w:r w:rsidRPr="009645E5">
        <w:rPr>
          <w:rFonts w:ascii="Times New Roman" w:hAnsi="Times New Roman" w:cs="Times New Roman"/>
          <w:sz w:val="24"/>
          <w:szCs w:val="24"/>
          <w:lang w:val="en-GB"/>
        </w:rPr>
        <w:t>upon which to develop critical legal analysis pertaining to the question of breach.</w:t>
      </w:r>
      <w:r w:rsidR="008506E0" w:rsidRPr="009645E5">
        <w:rPr>
          <w:rFonts w:ascii="Times New Roman" w:eastAsia="Times New Roman Bold" w:hAnsi="Times New Roman" w:cs="Times New Roman"/>
          <w:sz w:val="24"/>
          <w:szCs w:val="24"/>
          <w:vertAlign w:val="superscript"/>
          <w:lang w:val="en-GB"/>
        </w:rPr>
        <w:footnoteReference w:id="32"/>
      </w:r>
      <w:r w:rsidR="00B93230">
        <w:rPr>
          <w:rFonts w:ascii="Times New Roman" w:hAnsi="Times New Roman" w:cs="Times New Roman"/>
          <w:sz w:val="24"/>
          <w:szCs w:val="24"/>
          <w:lang w:val="en-GB"/>
        </w:rPr>
        <w:t xml:space="preserve">  </w:t>
      </w:r>
      <w:r w:rsidR="00003E3C">
        <w:rPr>
          <w:rFonts w:ascii="Times New Roman" w:hAnsi="Times New Roman" w:cs="Times New Roman"/>
          <w:color w:val="FF0000"/>
          <w:sz w:val="24"/>
          <w:szCs w:val="24"/>
          <w:lang w:val="en-GB"/>
        </w:rPr>
        <w:t xml:space="preserve">The cases selected </w:t>
      </w:r>
      <w:r w:rsidR="00B93230" w:rsidRPr="00B93230">
        <w:rPr>
          <w:rFonts w:ascii="Times New Roman" w:hAnsi="Times New Roman" w:cs="Times New Roman"/>
          <w:color w:val="FF0000"/>
          <w:sz w:val="24"/>
          <w:szCs w:val="24"/>
          <w:lang w:val="en-GB"/>
        </w:rPr>
        <w:t>for investigation therefore centred on these key issues</w:t>
      </w:r>
      <w:r w:rsidR="00B93230">
        <w:rPr>
          <w:rFonts w:ascii="Times New Roman" w:hAnsi="Times New Roman" w:cs="Times New Roman"/>
          <w:sz w:val="24"/>
          <w:szCs w:val="24"/>
          <w:lang w:val="en-GB"/>
        </w:rPr>
        <w:t xml:space="preserve">.  </w:t>
      </w:r>
      <w:r w:rsidRPr="009645E5">
        <w:rPr>
          <w:rFonts w:ascii="Times New Roman" w:hAnsi="Times New Roman" w:cs="Times New Roman"/>
          <w:sz w:val="24"/>
          <w:szCs w:val="24"/>
          <w:lang w:val="en-GB"/>
        </w:rPr>
        <w:t>A further theme also included in the core of this</w:t>
      </w:r>
      <w:r w:rsidR="00FC7617" w:rsidRPr="009645E5">
        <w:rPr>
          <w:rFonts w:ascii="Times New Roman" w:hAnsi="Times New Roman" w:cs="Times New Roman"/>
          <w:sz w:val="24"/>
          <w:szCs w:val="24"/>
          <w:lang w:val="en-GB"/>
        </w:rPr>
        <w:t xml:space="preserve"> paper’s </w:t>
      </w:r>
      <w:r w:rsidRPr="009645E5">
        <w:rPr>
          <w:rFonts w:ascii="Times New Roman" w:hAnsi="Times New Roman" w:cs="Times New Roman"/>
          <w:sz w:val="24"/>
          <w:szCs w:val="24"/>
          <w:lang w:val="en-GB"/>
        </w:rPr>
        <w:t xml:space="preserve">analysis relates to the influence of professional guidelines.  </w:t>
      </w:r>
      <w:r w:rsidRPr="00B93230">
        <w:rPr>
          <w:rFonts w:ascii="Times New Roman" w:hAnsi="Times New Roman" w:cs="Times New Roman"/>
          <w:color w:val="FF0000"/>
          <w:sz w:val="24"/>
          <w:szCs w:val="24"/>
          <w:lang w:val="en-GB"/>
        </w:rPr>
        <w:t>This was not identified as a</w:t>
      </w:r>
      <w:r w:rsidR="00FC7617" w:rsidRPr="00B93230">
        <w:rPr>
          <w:rFonts w:ascii="Times New Roman" w:hAnsi="Times New Roman" w:cs="Times New Roman"/>
          <w:color w:val="FF0000"/>
          <w:sz w:val="24"/>
          <w:szCs w:val="24"/>
          <w:lang w:val="en-GB"/>
        </w:rPr>
        <w:t xml:space="preserve"> significant factor in its own right </w:t>
      </w:r>
      <w:r w:rsidRPr="00B93230">
        <w:rPr>
          <w:rFonts w:ascii="Times New Roman" w:hAnsi="Times New Roman" w:cs="Times New Roman"/>
          <w:color w:val="FF0000"/>
          <w:sz w:val="24"/>
          <w:szCs w:val="24"/>
          <w:lang w:val="en-GB"/>
        </w:rPr>
        <w:t>in the 2012 Report, but, regardless, the use of professional guidelines has featured heavi</w:t>
      </w:r>
      <w:r w:rsidR="00015C42" w:rsidRPr="00B93230">
        <w:rPr>
          <w:rFonts w:ascii="Times New Roman" w:hAnsi="Times New Roman" w:cs="Times New Roman"/>
          <w:color w:val="FF0000"/>
          <w:sz w:val="24"/>
          <w:szCs w:val="24"/>
          <w:lang w:val="en-GB"/>
        </w:rPr>
        <w:t xml:space="preserve">ly in recent judicial reasoning </w:t>
      </w:r>
      <w:r w:rsidRPr="00B93230">
        <w:rPr>
          <w:rFonts w:ascii="Times New Roman" w:hAnsi="Times New Roman" w:cs="Times New Roman"/>
          <w:color w:val="FF0000"/>
          <w:sz w:val="24"/>
          <w:szCs w:val="24"/>
          <w:lang w:val="en-GB"/>
        </w:rPr>
        <w:t>and</w:t>
      </w:r>
      <w:r w:rsidR="00B93230" w:rsidRPr="00B93230">
        <w:rPr>
          <w:rFonts w:ascii="Times New Roman" w:hAnsi="Times New Roman" w:cs="Times New Roman"/>
          <w:color w:val="FF0000"/>
          <w:sz w:val="24"/>
          <w:szCs w:val="24"/>
          <w:lang w:val="en-GB"/>
        </w:rPr>
        <w:t xml:space="preserve">, as many of the post 2012 cases included reference to the use of professional guidelines, </w:t>
      </w:r>
      <w:r w:rsidRPr="00B93230">
        <w:rPr>
          <w:rFonts w:ascii="Times New Roman" w:hAnsi="Times New Roman" w:cs="Times New Roman"/>
          <w:color w:val="FF0000"/>
          <w:sz w:val="24"/>
          <w:szCs w:val="24"/>
          <w:lang w:val="en-GB"/>
        </w:rPr>
        <w:t>it was felt that it was important to include</w:t>
      </w:r>
      <w:r w:rsidR="00003E3C">
        <w:rPr>
          <w:rFonts w:ascii="Times New Roman" w:hAnsi="Times New Roman" w:cs="Times New Roman"/>
          <w:color w:val="FF0000"/>
          <w:sz w:val="24"/>
          <w:szCs w:val="24"/>
          <w:lang w:val="en-GB"/>
        </w:rPr>
        <w:t xml:space="preserve"> this as a head of </w:t>
      </w:r>
      <w:r w:rsidRPr="00B93230">
        <w:rPr>
          <w:rFonts w:ascii="Times New Roman" w:hAnsi="Times New Roman" w:cs="Times New Roman"/>
          <w:color w:val="FF0000"/>
          <w:sz w:val="24"/>
          <w:szCs w:val="24"/>
          <w:lang w:val="en-GB"/>
        </w:rPr>
        <w:t>discussion</w:t>
      </w:r>
      <w:r w:rsidR="00003E3C">
        <w:rPr>
          <w:rFonts w:ascii="Times New Roman" w:hAnsi="Times New Roman" w:cs="Times New Roman"/>
          <w:color w:val="FF0000"/>
          <w:sz w:val="24"/>
          <w:szCs w:val="24"/>
          <w:lang w:val="en-GB"/>
        </w:rPr>
        <w:t>.</w:t>
      </w:r>
    </w:p>
    <w:p w14:paraId="4B50DCDC" w14:textId="475E2F25" w:rsidR="005A51AF" w:rsidRPr="009645E5" w:rsidRDefault="00D70D82" w:rsidP="004F1CE2">
      <w:pPr>
        <w:pStyle w:val="BodyA"/>
        <w:spacing w:line="360" w:lineRule="auto"/>
        <w:jc w:val="both"/>
        <w:rPr>
          <w:rFonts w:ascii="Times New Roman" w:hAnsi="Times New Roman" w:cs="Times New Roman"/>
          <w:sz w:val="24"/>
          <w:szCs w:val="24"/>
          <w:lang w:val="en-GB"/>
        </w:rPr>
      </w:pPr>
      <w:r w:rsidRPr="009645E5">
        <w:rPr>
          <w:rFonts w:ascii="Times New Roman" w:eastAsia="Times New Roman Bold" w:hAnsi="Times New Roman" w:cs="Times New Roman"/>
          <w:sz w:val="24"/>
          <w:szCs w:val="24"/>
          <w:lang w:val="en-GB"/>
        </w:rPr>
        <w:tab/>
        <w:t>B</w:t>
      </w:r>
      <w:r w:rsidR="008506E0" w:rsidRPr="009645E5">
        <w:rPr>
          <w:rFonts w:ascii="Times New Roman" w:eastAsia="Times New Roman Bold" w:hAnsi="Times New Roman" w:cs="Times New Roman"/>
          <w:sz w:val="24"/>
          <w:szCs w:val="24"/>
          <w:lang w:val="en-GB"/>
        </w:rPr>
        <w:t xml:space="preserve">efore the narrative progresses, </w:t>
      </w:r>
      <w:r w:rsidRPr="009645E5">
        <w:rPr>
          <w:rFonts w:ascii="Times New Roman" w:eastAsia="Times New Roman Bold" w:hAnsi="Times New Roman" w:cs="Times New Roman"/>
          <w:sz w:val="24"/>
          <w:szCs w:val="24"/>
          <w:lang w:val="en-GB"/>
        </w:rPr>
        <w:t>it is perhaps worth noting at this point that</w:t>
      </w:r>
      <w:r w:rsidR="00624E06" w:rsidRPr="009645E5">
        <w:rPr>
          <w:rFonts w:ascii="Times New Roman" w:eastAsia="Times New Roman Bold" w:hAnsi="Times New Roman" w:cs="Times New Roman"/>
          <w:sz w:val="24"/>
          <w:szCs w:val="24"/>
          <w:lang w:val="en-GB"/>
        </w:rPr>
        <w:t>,</w:t>
      </w:r>
      <w:r w:rsidRPr="009645E5">
        <w:rPr>
          <w:rFonts w:ascii="Times New Roman" w:eastAsia="Times New Roman Bold" w:hAnsi="Times New Roman" w:cs="Times New Roman"/>
          <w:sz w:val="24"/>
          <w:szCs w:val="24"/>
          <w:lang w:val="en-GB"/>
        </w:rPr>
        <w:t xml:space="preserve"> during the time period from 2000 to 2009, there were 5.5 million births in England. Accordingly, less than 0.1% of these births became the subject of a claim.</w:t>
      </w:r>
      <w:r w:rsidRPr="009645E5">
        <w:rPr>
          <w:rFonts w:ascii="Times New Roman" w:eastAsia="Times New Roman Bold" w:hAnsi="Times New Roman" w:cs="Times New Roman"/>
          <w:sz w:val="24"/>
          <w:szCs w:val="24"/>
          <w:vertAlign w:val="superscript"/>
          <w:lang w:val="en-GB"/>
        </w:rPr>
        <w:footnoteReference w:id="33"/>
      </w:r>
      <w:r w:rsidR="00624E06" w:rsidRPr="009645E5">
        <w:rPr>
          <w:rFonts w:ascii="Times New Roman" w:hAnsi="Times New Roman" w:cs="Times New Roman"/>
          <w:sz w:val="24"/>
          <w:szCs w:val="24"/>
          <w:lang w:val="en-GB"/>
        </w:rPr>
        <w:t xml:space="preserve">  I</w:t>
      </w:r>
      <w:r w:rsidR="00FC7617" w:rsidRPr="009645E5">
        <w:rPr>
          <w:rFonts w:ascii="Times New Roman" w:hAnsi="Times New Roman" w:cs="Times New Roman"/>
          <w:sz w:val="24"/>
          <w:szCs w:val="24"/>
          <w:lang w:val="en-GB"/>
        </w:rPr>
        <w:t xml:space="preserve">t is clear that </w:t>
      </w:r>
      <w:r w:rsidRPr="009645E5">
        <w:rPr>
          <w:rFonts w:ascii="Times New Roman" w:hAnsi="Times New Roman" w:cs="Times New Roman"/>
          <w:sz w:val="24"/>
          <w:szCs w:val="24"/>
          <w:lang w:val="en-GB"/>
        </w:rPr>
        <w:t xml:space="preserve">the vast majority of births do not result in clinical negligence claims. Yet, as one of the most frequently litigated areas of medicine, </w:t>
      </w:r>
      <w:r w:rsidR="008506E0" w:rsidRPr="009645E5">
        <w:rPr>
          <w:rFonts w:ascii="Times New Roman" w:hAnsi="Times New Roman" w:cs="Times New Roman"/>
          <w:sz w:val="24"/>
          <w:szCs w:val="24"/>
          <w:lang w:val="en-GB"/>
        </w:rPr>
        <w:t xml:space="preserve">it </w:t>
      </w:r>
      <w:r w:rsidRPr="009645E5">
        <w:rPr>
          <w:rFonts w:ascii="Times New Roman" w:hAnsi="Times New Roman" w:cs="Times New Roman"/>
          <w:sz w:val="24"/>
          <w:szCs w:val="24"/>
          <w:lang w:val="en-GB"/>
        </w:rPr>
        <w:t>is still useful to consider how judges deal with the issue of breach when it arises in court and to assess whether or not they are providing appropriate legal redress to those patients who have been injured during the course of a problematic labour.  Before proceeding to analyse the case law which has followed the 2012 Report, in the next section the article locates the specific analysis of the recent childbirth cases in the context of the wider</w:t>
      </w:r>
      <w:r w:rsidR="007F6D3F">
        <w:rPr>
          <w:rFonts w:ascii="Times New Roman" w:hAnsi="Times New Roman" w:cs="Times New Roman"/>
          <w:sz w:val="24"/>
          <w:szCs w:val="24"/>
          <w:lang w:val="en-GB"/>
        </w:rPr>
        <w:t xml:space="preserve"> academic debate relating </w:t>
      </w:r>
      <w:r w:rsidRPr="009645E5">
        <w:rPr>
          <w:rFonts w:ascii="Times New Roman" w:hAnsi="Times New Roman" w:cs="Times New Roman"/>
          <w:sz w:val="24"/>
          <w:szCs w:val="24"/>
          <w:lang w:val="en-GB"/>
        </w:rPr>
        <w:t xml:space="preserve">to the question of breach. </w:t>
      </w:r>
    </w:p>
    <w:p w14:paraId="2601F905" w14:textId="77777777" w:rsidR="00624E06" w:rsidRPr="009645E5" w:rsidRDefault="00624E06" w:rsidP="00624E06">
      <w:pPr>
        <w:pStyle w:val="BodyA"/>
        <w:jc w:val="both"/>
        <w:rPr>
          <w:rFonts w:ascii="Times New Roman" w:eastAsia="Times New Roman Bold" w:hAnsi="Times New Roman" w:cs="Times New Roman"/>
          <w:sz w:val="24"/>
          <w:szCs w:val="24"/>
          <w:lang w:val="en-GB"/>
        </w:rPr>
      </w:pPr>
    </w:p>
    <w:p w14:paraId="7835BECF" w14:textId="77777777" w:rsidR="005A51AF" w:rsidRPr="009645E5" w:rsidRDefault="00D70D82">
      <w:pPr>
        <w:pStyle w:val="BodyA"/>
        <w:jc w:val="center"/>
        <w:rPr>
          <w:rFonts w:ascii="Times New Roman" w:eastAsia="Times New Roman Bold" w:hAnsi="Times New Roman" w:cs="Times New Roman"/>
          <w:b/>
          <w:bCs/>
          <w:sz w:val="24"/>
          <w:szCs w:val="24"/>
          <w:lang w:val="en-GB"/>
        </w:rPr>
      </w:pPr>
      <w:r w:rsidRPr="009645E5">
        <w:rPr>
          <w:rFonts w:ascii="Times New Roman" w:hAnsi="Times New Roman" w:cs="Times New Roman"/>
          <w:b/>
          <w:bCs/>
          <w:sz w:val="24"/>
          <w:szCs w:val="24"/>
          <w:lang w:val="en-GB"/>
        </w:rPr>
        <w:t xml:space="preserve">III. From </w:t>
      </w:r>
      <w:r w:rsidRPr="009645E5">
        <w:rPr>
          <w:rFonts w:ascii="Times New Roman" w:hAnsi="Times New Roman" w:cs="Times New Roman"/>
          <w:b/>
          <w:bCs/>
          <w:i/>
          <w:iCs/>
          <w:sz w:val="24"/>
          <w:szCs w:val="24"/>
          <w:lang w:val="en-GB"/>
        </w:rPr>
        <w:t>Bolam</w:t>
      </w:r>
      <w:r w:rsidRPr="009645E5">
        <w:rPr>
          <w:rFonts w:ascii="Times New Roman" w:hAnsi="Times New Roman" w:cs="Times New Roman"/>
          <w:b/>
          <w:bCs/>
          <w:sz w:val="24"/>
          <w:szCs w:val="24"/>
          <w:lang w:val="en-GB"/>
        </w:rPr>
        <w:t xml:space="preserve"> to </w:t>
      </w:r>
      <w:r w:rsidRPr="009645E5">
        <w:rPr>
          <w:rFonts w:ascii="Times New Roman" w:hAnsi="Times New Roman" w:cs="Times New Roman"/>
          <w:b/>
          <w:bCs/>
          <w:i/>
          <w:iCs/>
          <w:sz w:val="24"/>
          <w:szCs w:val="24"/>
          <w:lang w:val="en-GB"/>
        </w:rPr>
        <w:t>Bolitho</w:t>
      </w:r>
      <w:r w:rsidRPr="009645E5">
        <w:rPr>
          <w:rFonts w:ascii="Times New Roman" w:hAnsi="Times New Roman" w:cs="Times New Roman"/>
          <w:b/>
          <w:bCs/>
          <w:sz w:val="24"/>
          <w:szCs w:val="24"/>
          <w:lang w:val="en-GB"/>
        </w:rPr>
        <w:t>: Shiny Gloss or Invisible Shadow?</w:t>
      </w:r>
    </w:p>
    <w:p w14:paraId="40E5F1B4" w14:textId="77777777" w:rsidR="005A51AF" w:rsidRPr="009645E5" w:rsidRDefault="005A51AF">
      <w:pPr>
        <w:pStyle w:val="BodyA"/>
        <w:jc w:val="center"/>
        <w:rPr>
          <w:rFonts w:ascii="Times New Roman" w:eastAsia="Times New Roman Bold" w:hAnsi="Times New Roman" w:cs="Times New Roman"/>
          <w:sz w:val="24"/>
          <w:szCs w:val="24"/>
          <w:lang w:val="en-GB"/>
        </w:rPr>
      </w:pPr>
    </w:p>
    <w:p w14:paraId="08ECC430" w14:textId="609FE326" w:rsidR="00CF6AE8" w:rsidRDefault="005028A8" w:rsidP="004A2972">
      <w:pPr>
        <w:pStyle w:val="BodyA"/>
        <w:spacing w:line="360" w:lineRule="auto"/>
        <w:jc w:val="both"/>
        <w:rPr>
          <w:rFonts w:ascii="Times New Roman" w:hAnsi="Times New Roman" w:cs="Times New Roman"/>
          <w:sz w:val="24"/>
          <w:szCs w:val="24"/>
          <w:lang w:val="en-GB"/>
        </w:rPr>
      </w:pPr>
      <w:r>
        <w:rPr>
          <w:rFonts w:ascii="Times New Roman" w:hAnsi="Times New Roman" w:cs="Times New Roman"/>
          <w:color w:val="FF0000"/>
          <w:sz w:val="24"/>
          <w:szCs w:val="24"/>
        </w:rPr>
        <w:t xml:space="preserve">As noted above, the aspect of </w:t>
      </w:r>
      <w:r w:rsidRPr="005028A8">
        <w:rPr>
          <w:rFonts w:ascii="Times New Roman" w:hAnsi="Times New Roman" w:cs="Times New Roman"/>
          <w:i/>
          <w:color w:val="FF0000"/>
          <w:sz w:val="24"/>
          <w:szCs w:val="24"/>
        </w:rPr>
        <w:t>Bolam</w:t>
      </w:r>
      <w:r>
        <w:rPr>
          <w:rFonts w:ascii="Times New Roman" w:hAnsi="Times New Roman" w:cs="Times New Roman"/>
          <w:color w:val="FF0000"/>
          <w:sz w:val="24"/>
          <w:szCs w:val="24"/>
        </w:rPr>
        <w:t xml:space="preserve"> that endorsed assessing a doctor’s conduct by reference to a responsible body of medical opinion was largely unproblematic.  McNair J, however, did not leave it there</w:t>
      </w:r>
      <w:r w:rsidR="00CF6AE8">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He also stated </w:t>
      </w:r>
      <w:r w:rsidR="0028753A">
        <w:rPr>
          <w:rFonts w:ascii="Times New Roman" w:hAnsi="Times New Roman" w:cs="Times New Roman"/>
          <w:color w:val="FF0000"/>
          <w:sz w:val="24"/>
          <w:szCs w:val="24"/>
        </w:rPr>
        <w:t>that ‘</w:t>
      </w:r>
      <w:r w:rsidR="0028753A" w:rsidRPr="00586A23">
        <w:rPr>
          <w:rFonts w:ascii="Times New Roman" w:hAnsi="Times New Roman" w:cs="Times New Roman"/>
          <w:color w:val="FF0000"/>
          <w:sz w:val="24"/>
          <w:szCs w:val="24"/>
        </w:rPr>
        <w:t>a man is not negligent, if he is acting in accordance with such a practice, merely because there is a body of opinion</w:t>
      </w:r>
      <w:r w:rsidR="0028753A">
        <w:rPr>
          <w:rFonts w:ascii="Times New Roman" w:hAnsi="Times New Roman" w:cs="Times New Roman"/>
          <w:color w:val="FF0000"/>
          <w:sz w:val="24"/>
          <w:szCs w:val="24"/>
        </w:rPr>
        <w:t xml:space="preserve"> who would take a contrary view’.</w:t>
      </w:r>
      <w:r w:rsidR="0028753A">
        <w:rPr>
          <w:rStyle w:val="FootnoteReference"/>
          <w:rFonts w:ascii="Times New Roman" w:hAnsi="Times New Roman" w:cs="Times New Roman"/>
          <w:color w:val="FF0000"/>
          <w:sz w:val="24"/>
          <w:szCs w:val="24"/>
        </w:rPr>
        <w:footnoteReference w:id="34"/>
      </w:r>
      <w:r w:rsidR="00CF6AE8">
        <w:rPr>
          <w:rFonts w:ascii="Times New Roman" w:hAnsi="Times New Roman" w:cs="Times New Roman"/>
          <w:color w:val="FF0000"/>
          <w:sz w:val="24"/>
          <w:szCs w:val="24"/>
        </w:rPr>
        <w:t xml:space="preserve">  </w:t>
      </w:r>
      <w:r>
        <w:rPr>
          <w:rFonts w:ascii="Times New Roman" w:hAnsi="Times New Roman" w:cs="Times New Roman"/>
          <w:color w:val="FF0000"/>
          <w:sz w:val="24"/>
          <w:szCs w:val="24"/>
        </w:rPr>
        <w:t>It is this</w:t>
      </w:r>
      <w:r w:rsidR="0028753A">
        <w:rPr>
          <w:rFonts w:ascii="Times New Roman" w:hAnsi="Times New Roman" w:cs="Times New Roman"/>
          <w:color w:val="FF0000"/>
          <w:sz w:val="24"/>
          <w:szCs w:val="24"/>
        </w:rPr>
        <w:t xml:space="preserve"> </w:t>
      </w:r>
      <w:r w:rsidR="0028753A">
        <w:rPr>
          <w:rFonts w:ascii="Times New Roman" w:hAnsi="Times New Roman" w:cs="Times New Roman"/>
          <w:color w:val="FF0000"/>
          <w:sz w:val="24"/>
          <w:szCs w:val="24"/>
        </w:rPr>
        <w:lastRenderedPageBreak/>
        <w:t>latter part that</w:t>
      </w:r>
      <w:r>
        <w:rPr>
          <w:rFonts w:ascii="Times New Roman" w:hAnsi="Times New Roman" w:cs="Times New Roman"/>
          <w:color w:val="FF0000"/>
          <w:sz w:val="24"/>
          <w:szCs w:val="24"/>
        </w:rPr>
        <w:t xml:space="preserve"> </w:t>
      </w:r>
      <w:r w:rsidR="00CF6AE8">
        <w:rPr>
          <w:rFonts w:ascii="Times New Roman" w:hAnsi="Times New Roman" w:cs="Times New Roman"/>
          <w:color w:val="FF0000"/>
          <w:sz w:val="24"/>
          <w:szCs w:val="24"/>
        </w:rPr>
        <w:t xml:space="preserve">arguably </w:t>
      </w:r>
      <w:r>
        <w:rPr>
          <w:rFonts w:ascii="Times New Roman" w:hAnsi="Times New Roman" w:cs="Times New Roman"/>
          <w:color w:val="FF0000"/>
          <w:sz w:val="24"/>
          <w:szCs w:val="24"/>
        </w:rPr>
        <w:t xml:space="preserve">allowed </w:t>
      </w:r>
      <w:r w:rsidRPr="005028A8">
        <w:rPr>
          <w:rFonts w:ascii="Times New Roman" w:hAnsi="Times New Roman" w:cs="Times New Roman"/>
          <w:i/>
          <w:color w:val="FF0000"/>
          <w:sz w:val="24"/>
          <w:szCs w:val="24"/>
        </w:rPr>
        <w:t>Bolam</w:t>
      </w:r>
      <w:r>
        <w:rPr>
          <w:rFonts w:ascii="Times New Roman" w:hAnsi="Times New Roman" w:cs="Times New Roman"/>
          <w:color w:val="FF0000"/>
          <w:sz w:val="24"/>
          <w:szCs w:val="24"/>
        </w:rPr>
        <w:t xml:space="preserve"> to spiral out of control and </w:t>
      </w:r>
      <w:r w:rsidR="0028753A">
        <w:rPr>
          <w:rFonts w:ascii="Times New Roman" w:hAnsi="Times New Roman" w:cs="Times New Roman"/>
          <w:color w:val="FF0000"/>
          <w:sz w:val="24"/>
          <w:szCs w:val="24"/>
        </w:rPr>
        <w:t xml:space="preserve">served to provide </w:t>
      </w:r>
      <w:r>
        <w:rPr>
          <w:rFonts w:ascii="Times New Roman" w:hAnsi="Times New Roman" w:cs="Times New Roman"/>
          <w:color w:val="FF0000"/>
          <w:sz w:val="24"/>
          <w:szCs w:val="24"/>
        </w:rPr>
        <w:t xml:space="preserve">almost unqualified </w:t>
      </w:r>
      <w:r w:rsidR="0028753A">
        <w:rPr>
          <w:rFonts w:ascii="Times New Roman" w:hAnsi="Times New Roman" w:cs="Times New Roman"/>
          <w:color w:val="FF0000"/>
          <w:sz w:val="24"/>
          <w:szCs w:val="24"/>
        </w:rPr>
        <w:t>protection to medical professionals</w:t>
      </w:r>
      <w:r>
        <w:rPr>
          <w:rFonts w:ascii="Times New Roman" w:hAnsi="Times New Roman" w:cs="Times New Roman"/>
          <w:color w:val="FF0000"/>
          <w:sz w:val="24"/>
          <w:szCs w:val="24"/>
        </w:rPr>
        <w:t xml:space="preserve"> because of the manner in which it came to be interpreted.</w:t>
      </w:r>
      <w:r w:rsidR="00CF6AE8">
        <w:rPr>
          <w:rFonts w:ascii="Times New Roman" w:hAnsi="Times New Roman" w:cs="Times New Roman"/>
          <w:color w:val="FF0000"/>
          <w:sz w:val="24"/>
          <w:szCs w:val="24"/>
        </w:rPr>
        <w:t xml:space="preserve">  In reality </w:t>
      </w:r>
      <w:r w:rsidR="0028753A">
        <w:rPr>
          <w:rFonts w:ascii="Times New Roman" w:hAnsi="Times New Roman" w:cs="Times New Roman"/>
          <w:color w:val="FF0000"/>
          <w:sz w:val="24"/>
          <w:szCs w:val="24"/>
        </w:rPr>
        <w:t>all a doctor had to do in order to avoid liability was to adduce one body of medical opinion that supported her profession</w:t>
      </w:r>
      <w:r w:rsidR="00CF6AE8">
        <w:rPr>
          <w:rFonts w:ascii="Times New Roman" w:hAnsi="Times New Roman" w:cs="Times New Roman"/>
          <w:color w:val="FF0000"/>
          <w:sz w:val="24"/>
          <w:szCs w:val="24"/>
        </w:rPr>
        <w:t xml:space="preserve">al practice.  It did not matter if </w:t>
      </w:r>
      <w:r w:rsidR="0028753A">
        <w:rPr>
          <w:rFonts w:ascii="Times New Roman" w:hAnsi="Times New Roman" w:cs="Times New Roman"/>
          <w:color w:val="FF0000"/>
          <w:sz w:val="24"/>
          <w:szCs w:val="24"/>
        </w:rPr>
        <w:t xml:space="preserve">there was equally, if not more, compelling evidence on the side of the claimant suggestive of the fact that what the defendant doctor did was negligent, nor did it matter that the opinion supporting </w:t>
      </w:r>
      <w:r w:rsidR="00CF6AE8">
        <w:rPr>
          <w:rFonts w:ascii="Times New Roman" w:hAnsi="Times New Roman" w:cs="Times New Roman"/>
          <w:color w:val="FF0000"/>
          <w:sz w:val="24"/>
          <w:szCs w:val="24"/>
        </w:rPr>
        <w:t>the doctor was in the minority.</w:t>
      </w:r>
      <w:r w:rsidR="00C43CD9">
        <w:rPr>
          <w:rStyle w:val="FootnoteReference"/>
          <w:rFonts w:ascii="Times New Roman" w:hAnsi="Times New Roman" w:cs="Times New Roman"/>
          <w:color w:val="FF0000"/>
          <w:sz w:val="24"/>
          <w:szCs w:val="24"/>
        </w:rPr>
        <w:footnoteReference w:id="35"/>
      </w:r>
      <w:r w:rsidR="00EB430A">
        <w:rPr>
          <w:rFonts w:ascii="Times New Roman" w:hAnsi="Times New Roman" w:cs="Times New Roman"/>
          <w:color w:val="FF0000"/>
          <w:sz w:val="24"/>
          <w:szCs w:val="24"/>
        </w:rPr>
        <w:t xml:space="preserve">  Esteemed medical professionals were held in high regard by judges and there was </w:t>
      </w:r>
      <w:r w:rsidR="00CF6AE8">
        <w:rPr>
          <w:rFonts w:ascii="Times New Roman" w:hAnsi="Times New Roman" w:cs="Times New Roman"/>
          <w:color w:val="FF0000"/>
          <w:sz w:val="24"/>
          <w:szCs w:val="24"/>
        </w:rPr>
        <w:t xml:space="preserve">a </w:t>
      </w:r>
      <w:r w:rsidR="004141FD">
        <w:rPr>
          <w:rFonts w:ascii="Times New Roman" w:hAnsi="Times New Roman" w:cs="Times New Roman"/>
          <w:color w:val="FF0000"/>
          <w:sz w:val="24"/>
          <w:szCs w:val="24"/>
        </w:rPr>
        <w:t>clear un</w:t>
      </w:r>
      <w:r w:rsidR="00CF6AE8">
        <w:rPr>
          <w:rFonts w:ascii="Times New Roman" w:hAnsi="Times New Roman" w:cs="Times New Roman"/>
          <w:color w:val="FF0000"/>
          <w:sz w:val="24"/>
          <w:szCs w:val="24"/>
        </w:rPr>
        <w:t>willingne</w:t>
      </w:r>
      <w:r w:rsidR="00EB430A">
        <w:rPr>
          <w:rFonts w:ascii="Times New Roman" w:hAnsi="Times New Roman" w:cs="Times New Roman"/>
          <w:color w:val="FF0000"/>
          <w:sz w:val="24"/>
          <w:szCs w:val="24"/>
        </w:rPr>
        <w:t xml:space="preserve">ss </w:t>
      </w:r>
      <w:r w:rsidR="000B59DC">
        <w:rPr>
          <w:rFonts w:ascii="Times New Roman" w:hAnsi="Times New Roman" w:cs="Times New Roman"/>
          <w:color w:val="FF0000"/>
          <w:sz w:val="24"/>
          <w:szCs w:val="24"/>
        </w:rPr>
        <w:t>to question expert evidence.</w:t>
      </w:r>
    </w:p>
    <w:p w14:paraId="50764C73" w14:textId="61271CB2" w:rsidR="005A51AF" w:rsidRPr="00CF6AE8" w:rsidRDefault="00CF6AE8" w:rsidP="004A2972">
      <w:pPr>
        <w:pStyle w:val="BodyA"/>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0269F9" w:rsidRPr="009645E5">
        <w:rPr>
          <w:rFonts w:ascii="Times New Roman" w:hAnsi="Times New Roman" w:cs="Times New Roman"/>
          <w:sz w:val="24"/>
          <w:szCs w:val="24"/>
          <w:lang w:val="en-GB"/>
        </w:rPr>
        <w:t>The law of negligence should be concerned with the question of what ought to have happened in the circumstances, but t</w:t>
      </w:r>
      <w:r w:rsidR="00D70D82" w:rsidRPr="009645E5">
        <w:rPr>
          <w:rFonts w:ascii="Times New Roman" w:hAnsi="Times New Roman" w:cs="Times New Roman"/>
          <w:sz w:val="24"/>
          <w:szCs w:val="24"/>
          <w:lang w:val="en-GB"/>
        </w:rPr>
        <w:t xml:space="preserve">he application of </w:t>
      </w:r>
      <w:r w:rsidR="00D70D82" w:rsidRPr="009645E5">
        <w:rPr>
          <w:rFonts w:ascii="Times New Roman" w:hAnsi="Times New Roman" w:cs="Times New Roman"/>
          <w:i/>
          <w:iCs/>
          <w:sz w:val="24"/>
          <w:szCs w:val="24"/>
          <w:lang w:val="en-GB"/>
        </w:rPr>
        <w:t>Bolam</w:t>
      </w:r>
      <w:r w:rsidR="00D70D82" w:rsidRPr="009645E5">
        <w:rPr>
          <w:rFonts w:ascii="Times New Roman" w:hAnsi="Times New Roman" w:cs="Times New Roman"/>
          <w:sz w:val="24"/>
          <w:szCs w:val="24"/>
          <w:lang w:val="en-GB"/>
        </w:rPr>
        <w:t xml:space="preserve"> </w:t>
      </w:r>
      <w:r w:rsidR="00B51530" w:rsidRPr="009645E5">
        <w:rPr>
          <w:rFonts w:ascii="Times New Roman" w:hAnsi="Times New Roman" w:cs="Times New Roman"/>
          <w:sz w:val="24"/>
          <w:szCs w:val="24"/>
          <w:lang w:val="en-GB"/>
        </w:rPr>
        <w:t xml:space="preserve">in practice </w:t>
      </w:r>
      <w:r w:rsidR="000269F9" w:rsidRPr="009645E5">
        <w:rPr>
          <w:rFonts w:ascii="Times New Roman" w:hAnsi="Times New Roman" w:cs="Times New Roman"/>
          <w:sz w:val="24"/>
          <w:szCs w:val="24"/>
          <w:lang w:val="en-GB"/>
        </w:rPr>
        <w:t xml:space="preserve">conflated this </w:t>
      </w:r>
      <w:r w:rsidR="00D70D82" w:rsidRPr="009645E5">
        <w:rPr>
          <w:rFonts w:ascii="Times New Roman" w:hAnsi="Times New Roman" w:cs="Times New Roman"/>
          <w:sz w:val="24"/>
          <w:szCs w:val="24"/>
          <w:lang w:val="en-GB"/>
        </w:rPr>
        <w:t>key question</w:t>
      </w:r>
      <w:r w:rsidR="000269F9" w:rsidRPr="009645E5">
        <w:rPr>
          <w:rFonts w:ascii="Times New Roman" w:hAnsi="Times New Roman" w:cs="Times New Roman"/>
          <w:sz w:val="24"/>
          <w:szCs w:val="24"/>
          <w:lang w:val="en-GB"/>
        </w:rPr>
        <w:t xml:space="preserve"> with that of what was </w:t>
      </w:r>
      <w:r w:rsidR="00D70D82" w:rsidRPr="009645E5">
        <w:rPr>
          <w:rFonts w:ascii="Times New Roman" w:hAnsi="Times New Roman" w:cs="Times New Roman"/>
          <w:sz w:val="24"/>
          <w:szCs w:val="24"/>
          <w:lang w:val="en-GB"/>
        </w:rPr>
        <w:t>done in the circumstances.</w:t>
      </w:r>
      <w:r w:rsidR="00D70D82" w:rsidRPr="009645E5">
        <w:rPr>
          <w:rFonts w:ascii="Times New Roman" w:eastAsia="Times New Roman Bold" w:hAnsi="Times New Roman" w:cs="Times New Roman"/>
          <w:sz w:val="24"/>
          <w:szCs w:val="24"/>
          <w:vertAlign w:val="superscript"/>
          <w:lang w:val="en-GB"/>
        </w:rPr>
        <w:footnoteReference w:id="36"/>
      </w:r>
      <w:r w:rsidR="000269F9" w:rsidRPr="009645E5">
        <w:rPr>
          <w:rFonts w:ascii="Times New Roman" w:hAnsi="Times New Roman" w:cs="Times New Roman"/>
          <w:sz w:val="24"/>
          <w:szCs w:val="24"/>
          <w:lang w:val="en-GB"/>
        </w:rPr>
        <w:t xml:space="preserve">  The test </w:t>
      </w:r>
      <w:r w:rsidR="00D70D82" w:rsidRPr="009645E5">
        <w:rPr>
          <w:rFonts w:ascii="Times New Roman" w:hAnsi="Times New Roman" w:cs="Times New Roman"/>
          <w:sz w:val="24"/>
          <w:szCs w:val="24"/>
          <w:lang w:val="en-GB"/>
        </w:rPr>
        <w:t>effectively prevented an appropriate assessment of the competing bodies of expert opinion from</w:t>
      </w:r>
      <w:r w:rsidR="000269F9" w:rsidRPr="009645E5">
        <w:rPr>
          <w:rFonts w:ascii="Times New Roman" w:hAnsi="Times New Roman" w:cs="Times New Roman"/>
          <w:sz w:val="24"/>
          <w:szCs w:val="24"/>
          <w:lang w:val="en-GB"/>
        </w:rPr>
        <w:t xml:space="preserve"> taking place and so </w:t>
      </w:r>
      <w:r w:rsidR="00D70D82" w:rsidRPr="009645E5">
        <w:rPr>
          <w:rFonts w:ascii="Times New Roman" w:hAnsi="Times New Roman" w:cs="Times New Roman"/>
          <w:sz w:val="24"/>
          <w:szCs w:val="24"/>
          <w:lang w:val="en-GB"/>
        </w:rPr>
        <w:t>the scope for a judge to reach a conclusi</w:t>
      </w:r>
      <w:r w:rsidR="006E7FC0" w:rsidRPr="009645E5">
        <w:rPr>
          <w:rFonts w:ascii="Times New Roman" w:hAnsi="Times New Roman" w:cs="Times New Roman"/>
          <w:sz w:val="24"/>
          <w:szCs w:val="24"/>
          <w:lang w:val="en-GB"/>
        </w:rPr>
        <w:t xml:space="preserve">on as to what was reasonable or not in the circumstances was considerably </w:t>
      </w:r>
      <w:r w:rsidR="00D70D82" w:rsidRPr="009645E5">
        <w:rPr>
          <w:rFonts w:ascii="Times New Roman" w:hAnsi="Times New Roman" w:cs="Times New Roman"/>
          <w:sz w:val="24"/>
          <w:szCs w:val="24"/>
          <w:lang w:val="en-GB"/>
        </w:rPr>
        <w:t>narrowed.</w:t>
      </w:r>
      <w:r w:rsidR="00D70D82" w:rsidRPr="009645E5">
        <w:rPr>
          <w:rFonts w:ascii="Times New Roman" w:eastAsia="Times New Roman Bold" w:hAnsi="Times New Roman" w:cs="Times New Roman"/>
          <w:sz w:val="24"/>
          <w:szCs w:val="24"/>
          <w:vertAlign w:val="superscript"/>
          <w:lang w:val="en-GB"/>
        </w:rPr>
        <w:footnoteReference w:id="37"/>
      </w:r>
      <w:r w:rsidR="006E7FC0" w:rsidRPr="009645E5">
        <w:rPr>
          <w:rFonts w:ascii="Times New Roman" w:hAnsi="Times New Roman" w:cs="Times New Roman"/>
          <w:sz w:val="24"/>
          <w:szCs w:val="24"/>
          <w:lang w:val="en-GB"/>
        </w:rPr>
        <w:t xml:space="preserve">  This </w:t>
      </w:r>
      <w:r w:rsidR="00D70D82" w:rsidRPr="009645E5">
        <w:rPr>
          <w:rFonts w:ascii="Times New Roman" w:hAnsi="Times New Roman" w:cs="Times New Roman"/>
          <w:sz w:val="24"/>
          <w:szCs w:val="24"/>
          <w:lang w:val="en-GB"/>
        </w:rPr>
        <w:t>striking example of English law</w:t>
      </w:r>
      <w:r w:rsidR="00D348F2" w:rsidRPr="009645E5">
        <w:rPr>
          <w:rFonts w:ascii="Times New Roman" w:hAnsi="Times New Roman" w:cs="Times New Roman"/>
          <w:sz w:val="24"/>
          <w:szCs w:val="24"/>
          <w:lang w:val="en-GB"/>
        </w:rPr>
        <w:t>’</w:t>
      </w:r>
      <w:r w:rsidR="00D70D82" w:rsidRPr="009645E5">
        <w:rPr>
          <w:rFonts w:ascii="Times New Roman" w:hAnsi="Times New Roman" w:cs="Times New Roman"/>
          <w:sz w:val="24"/>
          <w:szCs w:val="24"/>
          <w:lang w:val="en-GB"/>
        </w:rPr>
        <w:t xml:space="preserve">s historical endorsement of the view that the </w:t>
      </w:r>
      <w:r w:rsidR="00D348F2" w:rsidRPr="009645E5">
        <w:rPr>
          <w:rFonts w:ascii="Times New Roman" w:hAnsi="Times New Roman" w:cs="Times New Roman"/>
          <w:sz w:val="24"/>
          <w:szCs w:val="24"/>
          <w:lang w:val="en-GB"/>
        </w:rPr>
        <w:t>‘</w:t>
      </w:r>
      <w:r w:rsidR="00D70D82" w:rsidRPr="009645E5">
        <w:rPr>
          <w:rFonts w:ascii="Times New Roman" w:hAnsi="Times New Roman" w:cs="Times New Roman"/>
          <w:sz w:val="24"/>
          <w:szCs w:val="24"/>
          <w:lang w:val="en-GB"/>
        </w:rPr>
        <w:t>doctor knows best</w:t>
      </w:r>
      <w:r w:rsidR="00D348F2" w:rsidRPr="009645E5">
        <w:rPr>
          <w:rFonts w:ascii="Times New Roman" w:hAnsi="Times New Roman" w:cs="Times New Roman"/>
          <w:sz w:val="24"/>
          <w:szCs w:val="24"/>
          <w:lang w:val="en-GB"/>
        </w:rPr>
        <w:t>’</w:t>
      </w:r>
      <w:r w:rsidR="000269F9" w:rsidRPr="009645E5">
        <w:rPr>
          <w:rFonts w:ascii="Times New Roman" w:hAnsi="Times New Roman" w:cs="Times New Roman"/>
          <w:sz w:val="24"/>
          <w:szCs w:val="24"/>
          <w:lang w:val="en-GB"/>
        </w:rPr>
        <w:t xml:space="preserve"> </w:t>
      </w:r>
      <w:r w:rsidR="00D70D82" w:rsidRPr="009645E5">
        <w:rPr>
          <w:rFonts w:ascii="Times New Roman" w:hAnsi="Times New Roman" w:cs="Times New Roman"/>
          <w:sz w:val="24"/>
          <w:szCs w:val="24"/>
          <w:lang w:val="en-GB"/>
        </w:rPr>
        <w:t xml:space="preserve">shaped the direction of clinical negligence case law throughout the </w:t>
      </w:r>
      <w:r w:rsidR="00D70D82" w:rsidRPr="005028A8">
        <w:rPr>
          <w:rFonts w:ascii="Times New Roman" w:hAnsi="Times New Roman" w:cs="Times New Roman"/>
          <w:color w:val="FF0000"/>
          <w:sz w:val="24"/>
          <w:szCs w:val="24"/>
          <w:lang w:val="en-GB"/>
        </w:rPr>
        <w:t>1980s</w:t>
      </w:r>
      <w:r w:rsidR="00D70D82" w:rsidRPr="009645E5">
        <w:rPr>
          <w:rFonts w:ascii="Times New Roman" w:hAnsi="Times New Roman" w:cs="Times New Roman"/>
          <w:sz w:val="24"/>
          <w:szCs w:val="24"/>
          <w:lang w:val="en-GB"/>
        </w:rPr>
        <w:t xml:space="preserve"> </w:t>
      </w:r>
      <w:r w:rsidR="009645E5" w:rsidRPr="009645E5">
        <w:rPr>
          <w:rFonts w:ascii="Times New Roman" w:hAnsi="Times New Roman" w:cs="Times New Roman"/>
          <w:sz w:val="24"/>
          <w:szCs w:val="24"/>
          <w:lang w:val="en-GB"/>
        </w:rPr>
        <w:t>and into</w:t>
      </w:r>
      <w:r w:rsidR="00E6743F">
        <w:rPr>
          <w:rFonts w:ascii="Times New Roman" w:hAnsi="Times New Roman" w:cs="Times New Roman"/>
          <w:sz w:val="24"/>
          <w:szCs w:val="24"/>
          <w:lang w:val="en-GB"/>
        </w:rPr>
        <w:t xml:space="preserve"> </w:t>
      </w:r>
      <w:r w:rsidR="00D70D82" w:rsidRPr="009645E5">
        <w:rPr>
          <w:rFonts w:ascii="Times New Roman" w:hAnsi="Times New Roman" w:cs="Times New Roman"/>
          <w:sz w:val="24"/>
          <w:szCs w:val="24"/>
          <w:lang w:val="en-GB"/>
        </w:rPr>
        <w:t xml:space="preserve">to the late </w:t>
      </w:r>
      <w:r w:rsidR="00D70D82" w:rsidRPr="005028A8">
        <w:rPr>
          <w:rFonts w:ascii="Times New Roman" w:hAnsi="Times New Roman" w:cs="Times New Roman"/>
          <w:color w:val="FF0000"/>
          <w:sz w:val="24"/>
          <w:szCs w:val="24"/>
          <w:lang w:val="en-GB"/>
        </w:rPr>
        <w:t>1990s</w:t>
      </w:r>
      <w:r w:rsidR="00D70D82" w:rsidRPr="009645E5">
        <w:rPr>
          <w:rFonts w:ascii="Times New Roman" w:hAnsi="Times New Roman" w:cs="Times New Roman"/>
          <w:sz w:val="24"/>
          <w:szCs w:val="24"/>
          <w:lang w:val="en-GB"/>
        </w:rPr>
        <w:t>.</w:t>
      </w:r>
      <w:r w:rsidR="00D70D82" w:rsidRPr="009645E5">
        <w:rPr>
          <w:rFonts w:ascii="Times New Roman" w:eastAsia="Times New Roman Bold" w:hAnsi="Times New Roman" w:cs="Times New Roman"/>
          <w:sz w:val="24"/>
          <w:szCs w:val="24"/>
          <w:vertAlign w:val="superscript"/>
          <w:lang w:val="en-GB"/>
        </w:rPr>
        <w:footnoteReference w:id="38"/>
      </w:r>
      <w:r w:rsidR="00D70D82" w:rsidRPr="009645E5">
        <w:rPr>
          <w:rFonts w:ascii="Times New Roman" w:hAnsi="Times New Roman" w:cs="Times New Roman"/>
          <w:sz w:val="24"/>
          <w:szCs w:val="24"/>
          <w:lang w:val="en-GB"/>
        </w:rPr>
        <w:t xml:space="preserve">  Without doubt there are cogent reasons</w:t>
      </w:r>
      <w:r w:rsidR="00E6743F">
        <w:rPr>
          <w:rFonts w:ascii="Times New Roman" w:hAnsi="Times New Roman" w:cs="Times New Roman"/>
          <w:sz w:val="24"/>
          <w:szCs w:val="24"/>
          <w:lang w:val="en-GB"/>
        </w:rPr>
        <w:t xml:space="preserve"> </w:t>
      </w:r>
      <w:r w:rsidR="00D70D82" w:rsidRPr="009645E5">
        <w:rPr>
          <w:rFonts w:ascii="Times New Roman" w:hAnsi="Times New Roman" w:cs="Times New Roman"/>
          <w:sz w:val="24"/>
          <w:szCs w:val="24"/>
          <w:lang w:val="en-GB"/>
        </w:rPr>
        <w:t>why judges ought to be cautious when it comes to questioning expert medical testimony</w:t>
      </w:r>
      <w:r w:rsidR="0088269E">
        <w:rPr>
          <w:rFonts w:ascii="Times New Roman" w:hAnsi="Times New Roman" w:cs="Times New Roman"/>
          <w:sz w:val="24"/>
          <w:szCs w:val="24"/>
          <w:lang w:val="en-GB"/>
        </w:rPr>
        <w:t>.</w:t>
      </w:r>
      <w:r w:rsidR="00D36699">
        <w:rPr>
          <w:rFonts w:ascii="Times New Roman" w:hAnsi="Times New Roman" w:cs="Times New Roman"/>
          <w:sz w:val="24"/>
          <w:szCs w:val="24"/>
          <w:lang w:val="en-GB"/>
        </w:rPr>
        <w:t xml:space="preserve">  </w:t>
      </w:r>
      <w:r w:rsidR="00D36699" w:rsidRPr="00592CF8">
        <w:rPr>
          <w:rFonts w:ascii="Times New Roman" w:hAnsi="Times New Roman" w:cs="Times New Roman"/>
          <w:color w:val="FF2D21" w:themeColor="accent5"/>
          <w:sz w:val="24"/>
          <w:szCs w:val="24"/>
          <w:lang w:val="en-GB"/>
        </w:rPr>
        <w:t>Medicine</w:t>
      </w:r>
      <w:r w:rsidR="00697267" w:rsidRPr="00592CF8">
        <w:rPr>
          <w:rFonts w:ascii="Times New Roman" w:hAnsi="Times New Roman" w:cs="Times New Roman"/>
          <w:color w:val="FF2D21" w:themeColor="accent5"/>
          <w:sz w:val="24"/>
          <w:szCs w:val="24"/>
          <w:lang w:val="en-GB"/>
        </w:rPr>
        <w:t xml:space="preserve">, by its very nature, is a discipline in which one will always encounter differences of professional opinion. Divergent views are unavoidable in a tradition which progresses, at least in part, by a certain amount of trial and error and the law has to take account of this.  Being too hasty to hold one doctor negligent simply because she advocates a practice that another doctor may not, may be inappropriate.  Similarly, judges ought to be slow </w:t>
      </w:r>
      <w:r w:rsidR="00D70D82" w:rsidRPr="00592CF8">
        <w:rPr>
          <w:rFonts w:ascii="Times New Roman" w:hAnsi="Times New Roman" w:cs="Times New Roman"/>
          <w:color w:val="FF2D21" w:themeColor="accent5"/>
          <w:sz w:val="24"/>
          <w:szCs w:val="24"/>
          <w:lang w:val="en-GB"/>
        </w:rPr>
        <w:t>to impose their own views over and above those held by di</w:t>
      </w:r>
      <w:r w:rsidR="005E261E" w:rsidRPr="00592CF8">
        <w:rPr>
          <w:rFonts w:ascii="Times New Roman" w:hAnsi="Times New Roman" w:cs="Times New Roman"/>
          <w:color w:val="FF2D21" w:themeColor="accent5"/>
          <w:sz w:val="24"/>
          <w:szCs w:val="24"/>
          <w:lang w:val="en-GB"/>
        </w:rPr>
        <w:t>stinguished medical professional</w:t>
      </w:r>
      <w:r w:rsidR="00D70D82" w:rsidRPr="00592CF8">
        <w:rPr>
          <w:rFonts w:ascii="Times New Roman" w:hAnsi="Times New Roman" w:cs="Times New Roman"/>
          <w:color w:val="FF2D21" w:themeColor="accent5"/>
          <w:sz w:val="24"/>
          <w:szCs w:val="24"/>
          <w:lang w:val="en-GB"/>
        </w:rPr>
        <w:t>s. However, to hold that a doctor can avoid a claim in negligence by simply adducing one expert in support of</w:t>
      </w:r>
      <w:r w:rsidR="004A2972" w:rsidRPr="00592CF8">
        <w:rPr>
          <w:rFonts w:ascii="Times New Roman" w:hAnsi="Times New Roman" w:cs="Times New Roman"/>
          <w:color w:val="FF2D21" w:themeColor="accent5"/>
          <w:sz w:val="24"/>
          <w:szCs w:val="24"/>
          <w:lang w:val="en-GB"/>
        </w:rPr>
        <w:t xml:space="preserve"> what she did provides too much respect </w:t>
      </w:r>
      <w:r w:rsidR="00D70D82" w:rsidRPr="00592CF8">
        <w:rPr>
          <w:rFonts w:ascii="Times New Roman" w:hAnsi="Times New Roman" w:cs="Times New Roman"/>
          <w:color w:val="FF2D21" w:themeColor="accent5"/>
          <w:sz w:val="24"/>
          <w:szCs w:val="24"/>
          <w:lang w:val="en-GB"/>
        </w:rPr>
        <w:t>to the medical profession, especially where there is convincing evidence in favour of the claimant that is indicative of the fact that what happened may have been unreasonable in</w:t>
      </w:r>
      <w:r w:rsidR="00592CF8" w:rsidRPr="00592CF8">
        <w:rPr>
          <w:rFonts w:ascii="Times New Roman" w:hAnsi="Times New Roman" w:cs="Times New Roman"/>
          <w:color w:val="FF2D21" w:themeColor="accent5"/>
          <w:sz w:val="24"/>
          <w:szCs w:val="24"/>
          <w:lang w:val="en-GB"/>
        </w:rPr>
        <w:t xml:space="preserve"> a legal sense.  This, of course, means that judges should take a broader, more holistic approach to assessing the reasonableness (or otherwise) of healthcare professionals’ conduct in clinical negligence cases.</w:t>
      </w:r>
    </w:p>
    <w:p w14:paraId="655FAB3F" w14:textId="5BF7A69B" w:rsidR="005A51AF" w:rsidRPr="00C43CD9" w:rsidRDefault="00D70D82">
      <w:pPr>
        <w:pStyle w:val="BodyA"/>
        <w:spacing w:line="360" w:lineRule="auto"/>
        <w:jc w:val="both"/>
        <w:rPr>
          <w:rFonts w:ascii="Times New Roman" w:eastAsia="Times New Roman Bold" w:hAnsi="Times New Roman" w:cs="Times New Roman"/>
          <w:color w:val="FF0000"/>
          <w:sz w:val="24"/>
          <w:szCs w:val="24"/>
          <w:lang w:val="en-GB"/>
        </w:rPr>
      </w:pPr>
      <w:r w:rsidRPr="009645E5">
        <w:rPr>
          <w:rFonts w:ascii="Times New Roman" w:eastAsia="Times New Roman Bold" w:hAnsi="Times New Roman" w:cs="Times New Roman"/>
          <w:sz w:val="24"/>
          <w:szCs w:val="24"/>
          <w:lang w:val="en-GB"/>
        </w:rPr>
        <w:lastRenderedPageBreak/>
        <w:tab/>
      </w:r>
      <w:r w:rsidR="00592CF8" w:rsidRPr="00592CF8">
        <w:rPr>
          <w:rFonts w:ascii="Times New Roman" w:eastAsia="Times New Roman Bold" w:hAnsi="Times New Roman" w:cs="Times New Roman"/>
          <w:color w:val="FF2D21" w:themeColor="accent5"/>
          <w:sz w:val="24"/>
          <w:szCs w:val="24"/>
          <w:lang w:val="en-GB"/>
        </w:rPr>
        <w:t>With the above in mind,</w:t>
      </w:r>
      <w:r w:rsidR="00592CF8">
        <w:rPr>
          <w:rFonts w:ascii="Times New Roman" w:eastAsia="Times New Roman Bold" w:hAnsi="Times New Roman" w:cs="Times New Roman"/>
          <w:sz w:val="24"/>
          <w:szCs w:val="24"/>
          <w:lang w:val="en-GB"/>
        </w:rPr>
        <w:t xml:space="preserve"> </w:t>
      </w:r>
      <w:r w:rsidR="00592CF8">
        <w:rPr>
          <w:rFonts w:ascii="Times New Roman" w:eastAsia="Times New Roman Bold" w:hAnsi="Times New Roman" w:cs="Times New Roman"/>
          <w:color w:val="FF0000"/>
          <w:sz w:val="24"/>
          <w:szCs w:val="24"/>
          <w:lang w:val="en-GB"/>
        </w:rPr>
        <w:t>t</w:t>
      </w:r>
      <w:r w:rsidRPr="00C43CD9">
        <w:rPr>
          <w:rFonts w:ascii="Times New Roman" w:eastAsia="Times New Roman Bold" w:hAnsi="Times New Roman" w:cs="Times New Roman"/>
          <w:color w:val="FF0000"/>
          <w:sz w:val="24"/>
          <w:szCs w:val="24"/>
          <w:lang w:val="en-GB"/>
        </w:rPr>
        <w:t>o some commentators,</w:t>
      </w:r>
      <w:r w:rsidR="004141FD" w:rsidRPr="00C43CD9">
        <w:rPr>
          <w:rFonts w:ascii="Times New Roman" w:eastAsia="Times New Roman Bold" w:hAnsi="Times New Roman" w:cs="Times New Roman"/>
          <w:color w:val="FF0000"/>
          <w:sz w:val="24"/>
          <w:szCs w:val="24"/>
          <w:lang w:val="en-GB"/>
        </w:rPr>
        <w:t xml:space="preserve"> the decision in </w:t>
      </w:r>
      <w:r w:rsidR="004141FD" w:rsidRPr="00C43CD9">
        <w:rPr>
          <w:rFonts w:ascii="Times New Roman" w:eastAsia="Times New Roman Bold" w:hAnsi="Times New Roman" w:cs="Times New Roman"/>
          <w:i/>
          <w:color w:val="FF0000"/>
          <w:sz w:val="24"/>
          <w:szCs w:val="24"/>
          <w:lang w:val="en-GB"/>
        </w:rPr>
        <w:t>Bolitho</w:t>
      </w:r>
      <w:r w:rsidR="004141FD" w:rsidRPr="00C43CD9">
        <w:rPr>
          <w:rFonts w:ascii="Times New Roman" w:eastAsia="Times New Roman Bold" w:hAnsi="Times New Roman" w:cs="Times New Roman"/>
          <w:color w:val="FF0000"/>
          <w:sz w:val="24"/>
          <w:szCs w:val="24"/>
          <w:lang w:val="en-GB"/>
        </w:rPr>
        <w:t xml:space="preserve"> added much needed dilution to </w:t>
      </w:r>
      <w:r w:rsidRPr="00C43CD9">
        <w:rPr>
          <w:rFonts w:ascii="Times New Roman" w:hAnsi="Times New Roman" w:cs="Times New Roman"/>
          <w:color w:val="FF0000"/>
          <w:sz w:val="24"/>
          <w:szCs w:val="24"/>
          <w:lang w:val="en-GB"/>
        </w:rPr>
        <w:t xml:space="preserve">the heavily maligned </w:t>
      </w:r>
      <w:r w:rsidRPr="00C43CD9">
        <w:rPr>
          <w:rFonts w:ascii="Times New Roman" w:hAnsi="Times New Roman" w:cs="Times New Roman"/>
          <w:i/>
          <w:iCs/>
          <w:color w:val="FF0000"/>
          <w:sz w:val="24"/>
          <w:szCs w:val="24"/>
          <w:lang w:val="en-GB"/>
        </w:rPr>
        <w:t>Bolam</w:t>
      </w:r>
      <w:r w:rsidRPr="00C43CD9">
        <w:rPr>
          <w:rFonts w:ascii="Times New Roman" w:hAnsi="Times New Roman" w:cs="Times New Roman"/>
          <w:color w:val="FF0000"/>
          <w:sz w:val="24"/>
          <w:szCs w:val="24"/>
          <w:lang w:val="en-GB"/>
        </w:rPr>
        <w:t xml:space="preserve"> test.</w:t>
      </w:r>
      <w:r w:rsidRPr="00C43CD9">
        <w:rPr>
          <w:rFonts w:ascii="Times New Roman" w:eastAsia="Times New Roman Bold" w:hAnsi="Times New Roman" w:cs="Times New Roman"/>
          <w:color w:val="FF0000"/>
          <w:sz w:val="24"/>
          <w:szCs w:val="24"/>
          <w:vertAlign w:val="superscript"/>
          <w:lang w:val="en-GB"/>
        </w:rPr>
        <w:footnoteReference w:id="39"/>
      </w:r>
      <w:r w:rsidR="00C43CD9">
        <w:rPr>
          <w:rFonts w:ascii="Times New Roman" w:hAnsi="Times New Roman" w:cs="Times New Roman"/>
          <w:color w:val="FF0000"/>
          <w:sz w:val="24"/>
          <w:szCs w:val="24"/>
          <w:lang w:val="en-GB"/>
        </w:rPr>
        <w:t xml:space="preserve">  It was decided </w:t>
      </w:r>
      <w:r w:rsidR="004141FD" w:rsidRPr="00C43CD9">
        <w:rPr>
          <w:rFonts w:ascii="Times New Roman" w:hAnsi="Times New Roman" w:cs="Times New Roman"/>
          <w:color w:val="FF0000"/>
          <w:sz w:val="24"/>
          <w:szCs w:val="24"/>
          <w:lang w:val="en-GB"/>
        </w:rPr>
        <w:t xml:space="preserve">that </w:t>
      </w:r>
      <w:r w:rsidRPr="00C43CD9">
        <w:rPr>
          <w:rFonts w:ascii="Times New Roman" w:hAnsi="Times New Roman" w:cs="Times New Roman"/>
          <w:color w:val="FF0000"/>
          <w:sz w:val="24"/>
          <w:szCs w:val="24"/>
          <w:lang w:val="en-GB"/>
        </w:rPr>
        <w:t xml:space="preserve">once a body of medical opinion is deemed </w:t>
      </w:r>
      <w:r w:rsidR="00D348F2" w:rsidRPr="00C43CD9">
        <w:rPr>
          <w:rFonts w:ascii="Times New Roman" w:hAnsi="Times New Roman" w:cs="Times New Roman"/>
          <w:color w:val="FF0000"/>
          <w:sz w:val="24"/>
          <w:szCs w:val="24"/>
          <w:lang w:val="en-GB"/>
        </w:rPr>
        <w:t>‘</w:t>
      </w:r>
      <w:r w:rsidRPr="00C43CD9">
        <w:rPr>
          <w:rFonts w:ascii="Times New Roman" w:hAnsi="Times New Roman" w:cs="Times New Roman"/>
          <w:color w:val="FF0000"/>
          <w:sz w:val="24"/>
          <w:szCs w:val="24"/>
          <w:lang w:val="en-GB"/>
        </w:rPr>
        <w:t>responsible</w:t>
      </w:r>
      <w:r w:rsidR="00D348F2" w:rsidRPr="00C43CD9">
        <w:rPr>
          <w:rFonts w:ascii="Times New Roman" w:hAnsi="Times New Roman" w:cs="Times New Roman"/>
          <w:color w:val="FF0000"/>
          <w:sz w:val="24"/>
          <w:szCs w:val="24"/>
          <w:lang w:val="en-GB"/>
        </w:rPr>
        <w:t>’</w:t>
      </w:r>
      <w:r w:rsidR="005E261E" w:rsidRPr="00C43CD9">
        <w:rPr>
          <w:rFonts w:ascii="Times New Roman" w:hAnsi="Times New Roman" w:cs="Times New Roman"/>
          <w:color w:val="FF0000"/>
          <w:sz w:val="24"/>
          <w:szCs w:val="24"/>
          <w:lang w:val="en-GB"/>
        </w:rPr>
        <w:t>,</w:t>
      </w:r>
      <w:r w:rsidR="004141FD" w:rsidRPr="00C43CD9">
        <w:rPr>
          <w:rFonts w:ascii="Times New Roman" w:hAnsi="Times New Roman" w:cs="Times New Roman"/>
          <w:color w:val="FF0000"/>
          <w:sz w:val="24"/>
          <w:szCs w:val="24"/>
          <w:lang w:val="en-GB"/>
        </w:rPr>
        <w:t xml:space="preserve"> </w:t>
      </w:r>
      <w:r w:rsidRPr="00C43CD9">
        <w:rPr>
          <w:rFonts w:ascii="Times New Roman" w:hAnsi="Times New Roman" w:cs="Times New Roman"/>
          <w:color w:val="FF0000"/>
          <w:sz w:val="24"/>
          <w:szCs w:val="24"/>
          <w:lang w:val="en-GB"/>
        </w:rPr>
        <w:t xml:space="preserve">it is still not open </w:t>
      </w:r>
      <w:r w:rsidR="0045767E" w:rsidRPr="00C43CD9">
        <w:rPr>
          <w:rFonts w:ascii="Times New Roman" w:hAnsi="Times New Roman" w:cs="Times New Roman"/>
          <w:color w:val="FF0000"/>
          <w:sz w:val="24"/>
          <w:szCs w:val="24"/>
          <w:lang w:val="en-GB"/>
        </w:rPr>
        <w:t xml:space="preserve">to </w:t>
      </w:r>
      <w:r w:rsidR="004141FD" w:rsidRPr="00C43CD9">
        <w:rPr>
          <w:rFonts w:ascii="Times New Roman" w:hAnsi="Times New Roman" w:cs="Times New Roman"/>
          <w:color w:val="FF0000"/>
          <w:sz w:val="24"/>
          <w:szCs w:val="24"/>
          <w:lang w:val="en-GB"/>
        </w:rPr>
        <w:t xml:space="preserve">a court to prefer one over </w:t>
      </w:r>
      <w:r w:rsidRPr="00C43CD9">
        <w:rPr>
          <w:rFonts w:ascii="Times New Roman" w:hAnsi="Times New Roman" w:cs="Times New Roman"/>
          <w:color w:val="FF0000"/>
          <w:sz w:val="24"/>
          <w:szCs w:val="24"/>
          <w:lang w:val="en-GB"/>
        </w:rPr>
        <w:t>the other.</w:t>
      </w:r>
      <w:r w:rsidRPr="00C43CD9">
        <w:rPr>
          <w:rFonts w:ascii="Times New Roman" w:eastAsia="Times New Roman Bold" w:hAnsi="Times New Roman" w:cs="Times New Roman"/>
          <w:color w:val="FF0000"/>
          <w:sz w:val="24"/>
          <w:szCs w:val="24"/>
          <w:vertAlign w:val="superscript"/>
          <w:lang w:val="en-GB"/>
        </w:rPr>
        <w:footnoteReference w:id="40"/>
      </w:r>
      <w:r w:rsidR="004141FD" w:rsidRPr="00C43CD9">
        <w:rPr>
          <w:rFonts w:ascii="Times New Roman" w:hAnsi="Times New Roman" w:cs="Times New Roman"/>
          <w:color w:val="FF0000"/>
          <w:sz w:val="24"/>
          <w:szCs w:val="24"/>
          <w:lang w:val="en-GB"/>
        </w:rPr>
        <w:t xml:space="preserve">  </w:t>
      </w:r>
      <w:r w:rsidR="00C43CD9">
        <w:rPr>
          <w:rFonts w:ascii="Times New Roman" w:hAnsi="Times New Roman" w:cs="Times New Roman"/>
          <w:color w:val="FF0000"/>
          <w:sz w:val="24"/>
          <w:szCs w:val="24"/>
          <w:lang w:val="en-GB"/>
        </w:rPr>
        <w:t>Yet, i</w:t>
      </w:r>
      <w:r w:rsidR="004141FD" w:rsidRPr="00C43CD9">
        <w:rPr>
          <w:rFonts w:ascii="Times New Roman" w:hAnsi="Times New Roman" w:cs="Times New Roman"/>
          <w:color w:val="FF0000"/>
          <w:sz w:val="24"/>
          <w:szCs w:val="24"/>
          <w:lang w:val="en-GB"/>
        </w:rPr>
        <w:t xml:space="preserve">n </w:t>
      </w:r>
      <w:r w:rsidR="004141FD" w:rsidRPr="00C43CD9">
        <w:rPr>
          <w:rFonts w:ascii="Times New Roman" w:hAnsi="Times New Roman" w:cs="Times New Roman"/>
          <w:i/>
          <w:color w:val="FF0000"/>
          <w:sz w:val="24"/>
          <w:szCs w:val="24"/>
          <w:lang w:val="en-GB"/>
        </w:rPr>
        <w:t>Bolitho</w:t>
      </w:r>
      <w:r w:rsidR="004141FD" w:rsidRPr="00C43CD9">
        <w:rPr>
          <w:rFonts w:ascii="Times New Roman" w:hAnsi="Times New Roman" w:cs="Times New Roman"/>
          <w:color w:val="FF0000"/>
          <w:sz w:val="24"/>
          <w:szCs w:val="24"/>
          <w:lang w:val="en-GB"/>
        </w:rPr>
        <w:t xml:space="preserve">, </w:t>
      </w:r>
      <w:r w:rsidRPr="00C43CD9">
        <w:rPr>
          <w:rFonts w:ascii="Times New Roman" w:hAnsi="Times New Roman" w:cs="Times New Roman"/>
          <w:color w:val="FF0000"/>
          <w:sz w:val="24"/>
          <w:szCs w:val="24"/>
          <w:lang w:val="en-GB"/>
        </w:rPr>
        <w:t xml:space="preserve">Lord Browne-Wilkinson was </w:t>
      </w:r>
      <w:r w:rsidR="00C43CD9" w:rsidRPr="00C43CD9">
        <w:rPr>
          <w:rFonts w:ascii="Times New Roman" w:hAnsi="Times New Roman" w:cs="Times New Roman"/>
          <w:color w:val="FF0000"/>
          <w:sz w:val="24"/>
          <w:szCs w:val="24"/>
          <w:lang w:val="en-GB"/>
        </w:rPr>
        <w:t xml:space="preserve">concerned with </w:t>
      </w:r>
      <w:r w:rsidRPr="00C43CD9">
        <w:rPr>
          <w:rFonts w:ascii="Times New Roman" w:hAnsi="Times New Roman" w:cs="Times New Roman"/>
          <w:color w:val="FF0000"/>
          <w:sz w:val="24"/>
          <w:szCs w:val="24"/>
          <w:lang w:val="en-GB"/>
        </w:rPr>
        <w:t>how to</w:t>
      </w:r>
      <w:r w:rsidR="006E7FC0" w:rsidRPr="00C43CD9">
        <w:rPr>
          <w:rFonts w:ascii="Times New Roman" w:hAnsi="Times New Roman" w:cs="Times New Roman"/>
          <w:color w:val="FF0000"/>
          <w:sz w:val="24"/>
          <w:szCs w:val="24"/>
          <w:lang w:val="en-GB"/>
        </w:rPr>
        <w:t xml:space="preserve"> reach that threshold</w:t>
      </w:r>
      <w:r w:rsidR="00C43CD9" w:rsidRPr="00C43CD9">
        <w:rPr>
          <w:rFonts w:ascii="Times New Roman" w:hAnsi="Times New Roman" w:cs="Times New Roman"/>
          <w:color w:val="FF0000"/>
          <w:sz w:val="24"/>
          <w:szCs w:val="24"/>
          <w:lang w:val="en-GB"/>
        </w:rPr>
        <w:t xml:space="preserve">.  He stated in the case </w:t>
      </w:r>
      <w:r w:rsidRPr="00C43CD9">
        <w:rPr>
          <w:rFonts w:ascii="Times New Roman" w:hAnsi="Times New Roman" w:cs="Times New Roman"/>
          <w:color w:val="FF0000"/>
          <w:sz w:val="24"/>
          <w:szCs w:val="24"/>
          <w:lang w:val="en-GB"/>
        </w:rPr>
        <w:t xml:space="preserve">that before a body of medical opinion could be regarded as being responsible, it had to be capable of withstanding the logical scrutiny of the court and, in determining the </w:t>
      </w:r>
      <w:r w:rsidR="00D348F2" w:rsidRPr="00C43CD9">
        <w:rPr>
          <w:rFonts w:ascii="Times New Roman" w:hAnsi="Times New Roman" w:cs="Times New Roman"/>
          <w:color w:val="FF0000"/>
          <w:sz w:val="24"/>
          <w:szCs w:val="24"/>
          <w:lang w:val="en-GB"/>
        </w:rPr>
        <w:t>‘</w:t>
      </w:r>
      <w:r w:rsidRPr="00C43CD9">
        <w:rPr>
          <w:rFonts w:ascii="Times New Roman" w:hAnsi="Times New Roman" w:cs="Times New Roman"/>
          <w:color w:val="FF0000"/>
          <w:sz w:val="24"/>
          <w:szCs w:val="24"/>
          <w:lang w:val="en-GB"/>
        </w:rPr>
        <w:t>logicality</w:t>
      </w:r>
      <w:r w:rsidR="00D348F2" w:rsidRPr="00C43CD9">
        <w:rPr>
          <w:rFonts w:ascii="Times New Roman" w:hAnsi="Times New Roman" w:cs="Times New Roman"/>
          <w:color w:val="FF0000"/>
          <w:sz w:val="24"/>
          <w:szCs w:val="24"/>
          <w:lang w:val="en-GB"/>
        </w:rPr>
        <w:t>’</w:t>
      </w:r>
      <w:r w:rsidR="000269F9" w:rsidRPr="00C43CD9">
        <w:rPr>
          <w:rFonts w:ascii="Times New Roman" w:hAnsi="Times New Roman" w:cs="Times New Roman"/>
          <w:color w:val="FF0000"/>
          <w:sz w:val="24"/>
          <w:szCs w:val="24"/>
          <w:lang w:val="en-GB"/>
        </w:rPr>
        <w:t xml:space="preserve"> of the evidence, a judge </w:t>
      </w:r>
      <w:r w:rsidRPr="00C43CD9">
        <w:rPr>
          <w:rFonts w:ascii="Times New Roman" w:hAnsi="Times New Roman" w:cs="Times New Roman"/>
          <w:color w:val="FF0000"/>
          <w:sz w:val="24"/>
          <w:szCs w:val="24"/>
          <w:lang w:val="en-GB"/>
        </w:rPr>
        <w:t>must have regard to the relevant risk versus benefit ratio of a particular decision.</w:t>
      </w:r>
      <w:r w:rsidRPr="00C43CD9">
        <w:rPr>
          <w:rFonts w:ascii="Times New Roman" w:eastAsia="Times New Roman Bold" w:hAnsi="Times New Roman" w:cs="Times New Roman"/>
          <w:color w:val="FF0000"/>
          <w:sz w:val="24"/>
          <w:szCs w:val="24"/>
          <w:vertAlign w:val="superscript"/>
          <w:lang w:val="en-GB"/>
        </w:rPr>
        <w:footnoteReference w:id="41"/>
      </w:r>
      <w:r w:rsidRPr="00C43CD9">
        <w:rPr>
          <w:rFonts w:ascii="Times New Roman" w:hAnsi="Times New Roman" w:cs="Times New Roman"/>
          <w:color w:val="FF0000"/>
          <w:sz w:val="24"/>
          <w:szCs w:val="24"/>
          <w:lang w:val="en-GB"/>
        </w:rPr>
        <w:t xml:space="preserve">  This attempt by Lord Browne-Wilkinson to regain some control for judges over medical decision making</w:t>
      </w:r>
      <w:r w:rsidR="00B51530" w:rsidRPr="00C43CD9">
        <w:rPr>
          <w:rFonts w:ascii="Times New Roman" w:hAnsi="Times New Roman" w:cs="Times New Roman"/>
          <w:color w:val="FF0000"/>
          <w:sz w:val="24"/>
          <w:szCs w:val="24"/>
          <w:lang w:val="en-GB"/>
        </w:rPr>
        <w:t xml:space="preserve"> was certainly a </w:t>
      </w:r>
      <w:r w:rsidR="0041416B" w:rsidRPr="00C43CD9">
        <w:rPr>
          <w:rFonts w:ascii="Times New Roman" w:hAnsi="Times New Roman" w:cs="Times New Roman"/>
          <w:color w:val="FF0000"/>
          <w:sz w:val="24"/>
          <w:szCs w:val="24"/>
          <w:lang w:val="en-GB"/>
        </w:rPr>
        <w:t>step in the right direction</w:t>
      </w:r>
      <w:r w:rsidR="00B51530" w:rsidRPr="00C43CD9">
        <w:rPr>
          <w:rFonts w:ascii="Times New Roman" w:hAnsi="Times New Roman" w:cs="Times New Roman"/>
          <w:color w:val="FF0000"/>
          <w:sz w:val="24"/>
          <w:szCs w:val="24"/>
          <w:lang w:val="en-GB"/>
        </w:rPr>
        <w:t xml:space="preserve">, </w:t>
      </w:r>
      <w:r w:rsidR="0041416B" w:rsidRPr="00C43CD9">
        <w:rPr>
          <w:rFonts w:ascii="Times New Roman" w:hAnsi="Times New Roman" w:cs="Times New Roman"/>
          <w:color w:val="FF0000"/>
          <w:sz w:val="24"/>
          <w:szCs w:val="24"/>
          <w:lang w:val="en-GB"/>
        </w:rPr>
        <w:t xml:space="preserve">but </w:t>
      </w:r>
      <w:r w:rsidR="00B51530" w:rsidRPr="00C43CD9">
        <w:rPr>
          <w:rFonts w:ascii="Times New Roman" w:hAnsi="Times New Roman" w:cs="Times New Roman"/>
          <w:color w:val="FF0000"/>
          <w:sz w:val="24"/>
          <w:szCs w:val="24"/>
          <w:lang w:val="en-GB"/>
        </w:rPr>
        <w:t xml:space="preserve">to suggest </w:t>
      </w:r>
      <w:r w:rsidR="00B51530" w:rsidRPr="00C43CD9">
        <w:rPr>
          <w:rFonts w:ascii="Times New Roman" w:hAnsi="Times New Roman" w:cs="Times New Roman"/>
          <w:i/>
          <w:color w:val="FF0000"/>
          <w:sz w:val="24"/>
          <w:szCs w:val="24"/>
          <w:lang w:val="en-GB"/>
        </w:rPr>
        <w:t>Bolitho</w:t>
      </w:r>
      <w:r w:rsidR="00B51530" w:rsidRPr="00C43CD9">
        <w:rPr>
          <w:rFonts w:ascii="Times New Roman" w:hAnsi="Times New Roman" w:cs="Times New Roman"/>
          <w:color w:val="FF0000"/>
          <w:sz w:val="24"/>
          <w:szCs w:val="24"/>
          <w:lang w:val="en-GB"/>
        </w:rPr>
        <w:t xml:space="preserve"> </w:t>
      </w:r>
      <w:r w:rsidRPr="00C43CD9">
        <w:rPr>
          <w:rFonts w:ascii="Times New Roman" w:hAnsi="Times New Roman" w:cs="Times New Roman"/>
          <w:color w:val="FF0000"/>
          <w:sz w:val="24"/>
          <w:szCs w:val="24"/>
          <w:lang w:val="en-GB"/>
        </w:rPr>
        <w:t>was the dawn of a new era for claimants in clinical negligence cases is to overplay its significance</w:t>
      </w:r>
      <w:r w:rsidR="00B51530" w:rsidRPr="00C43CD9">
        <w:rPr>
          <w:rFonts w:ascii="Times New Roman" w:hAnsi="Times New Roman" w:cs="Times New Roman"/>
          <w:color w:val="FF0000"/>
          <w:sz w:val="24"/>
          <w:szCs w:val="24"/>
          <w:lang w:val="en-GB"/>
        </w:rPr>
        <w:t xml:space="preserve"> and underplay its problems</w:t>
      </w:r>
      <w:r w:rsidRPr="00C43CD9">
        <w:rPr>
          <w:rFonts w:ascii="Times New Roman" w:hAnsi="Times New Roman" w:cs="Times New Roman"/>
          <w:color w:val="FF0000"/>
          <w:sz w:val="24"/>
          <w:szCs w:val="24"/>
          <w:lang w:val="en-GB"/>
        </w:rPr>
        <w:t xml:space="preserve">.  </w:t>
      </w:r>
    </w:p>
    <w:p w14:paraId="22397711" w14:textId="32EC9A6C" w:rsidR="005A51AF" w:rsidRPr="009645E5" w:rsidRDefault="00D70D82" w:rsidP="00673788">
      <w:pPr>
        <w:pStyle w:val="BodyA"/>
        <w:spacing w:line="360" w:lineRule="auto"/>
        <w:jc w:val="both"/>
        <w:rPr>
          <w:rFonts w:ascii="Times New Roman" w:eastAsia="Times New Roman Bold" w:hAnsi="Times New Roman" w:cs="Times New Roman"/>
          <w:sz w:val="24"/>
          <w:szCs w:val="24"/>
          <w:lang w:val="en-GB"/>
        </w:rPr>
      </w:pPr>
      <w:r w:rsidRPr="009645E5">
        <w:rPr>
          <w:rFonts w:ascii="Times New Roman" w:eastAsia="Times New Roman Bold" w:hAnsi="Times New Roman" w:cs="Times New Roman"/>
          <w:sz w:val="24"/>
          <w:szCs w:val="24"/>
          <w:lang w:val="en-GB"/>
        </w:rPr>
        <w:tab/>
        <w:t xml:space="preserve">First, it has been rightly pointed out that the notion of </w:t>
      </w:r>
      <w:r w:rsidR="00D348F2" w:rsidRPr="009645E5">
        <w:rPr>
          <w:rFonts w:ascii="Times New Roman" w:eastAsia="Times New Roman Bold" w:hAnsi="Times New Roman" w:cs="Times New Roman"/>
          <w:sz w:val="24"/>
          <w:szCs w:val="24"/>
          <w:lang w:val="en-GB"/>
        </w:rPr>
        <w:t>‘</w:t>
      </w:r>
      <w:r w:rsidRPr="009645E5">
        <w:rPr>
          <w:rFonts w:ascii="Times New Roman" w:eastAsia="Times New Roman Bold" w:hAnsi="Times New Roman" w:cs="Times New Roman"/>
          <w:sz w:val="24"/>
          <w:szCs w:val="24"/>
          <w:lang w:val="en-GB"/>
        </w:rPr>
        <w:t>logic</w:t>
      </w:r>
      <w:r w:rsidR="00D348F2" w:rsidRPr="009645E5">
        <w:rPr>
          <w:rFonts w:ascii="Times New Roman" w:eastAsia="Times New Roman Bold" w:hAnsi="Times New Roman" w:cs="Times New Roman"/>
          <w:sz w:val="24"/>
          <w:szCs w:val="24"/>
          <w:lang w:val="en-GB"/>
        </w:rPr>
        <w:t>’</w:t>
      </w:r>
      <w:r w:rsidRPr="009645E5">
        <w:rPr>
          <w:rFonts w:ascii="Times New Roman" w:eastAsia="Times New Roman Bold" w:hAnsi="Times New Roman" w:cs="Times New Roman"/>
          <w:sz w:val="24"/>
          <w:szCs w:val="24"/>
          <w:lang w:val="en-GB"/>
        </w:rPr>
        <w:t xml:space="preserve"> does not always sit easily with medical decision making.  In the childbirth case of </w:t>
      </w:r>
      <w:r w:rsidRPr="009645E5">
        <w:rPr>
          <w:rFonts w:ascii="Times New Roman" w:hAnsi="Times New Roman" w:cs="Times New Roman"/>
          <w:i/>
          <w:iCs/>
          <w:sz w:val="24"/>
          <w:szCs w:val="24"/>
          <w:lang w:val="en-GB"/>
        </w:rPr>
        <w:t xml:space="preserve">C v North Cumbria University Hospitals NHS Trust </w:t>
      </w:r>
      <w:r w:rsidRPr="009645E5">
        <w:rPr>
          <w:rFonts w:ascii="Times New Roman" w:hAnsi="Times New Roman" w:cs="Times New Roman"/>
          <w:sz w:val="24"/>
          <w:szCs w:val="24"/>
          <w:lang w:val="en-GB"/>
        </w:rPr>
        <w:t>Green J appeared to indicate that logic and reasonableness were one and the same thing and that the terms could be used</w:t>
      </w:r>
      <w:r w:rsidR="00003E3C">
        <w:rPr>
          <w:rFonts w:ascii="Times New Roman" w:hAnsi="Times New Roman" w:cs="Times New Roman"/>
          <w:sz w:val="24"/>
          <w:szCs w:val="24"/>
          <w:lang w:val="en-GB"/>
        </w:rPr>
        <w:t xml:space="preserve"> </w:t>
      </w:r>
      <w:r w:rsidR="00003E3C" w:rsidRPr="00003E3C">
        <w:rPr>
          <w:rFonts w:ascii="Times New Roman" w:hAnsi="Times New Roman" w:cs="Times New Roman"/>
          <w:color w:val="FF2D21" w:themeColor="accent5"/>
          <w:sz w:val="24"/>
          <w:szCs w:val="24"/>
          <w:lang w:val="en-GB"/>
        </w:rPr>
        <w:t>interchangeably</w:t>
      </w:r>
      <w:r w:rsidRPr="009645E5">
        <w:rPr>
          <w:rFonts w:ascii="Times New Roman" w:hAnsi="Times New Roman" w:cs="Times New Roman"/>
          <w:sz w:val="24"/>
          <w:szCs w:val="24"/>
          <w:lang w:val="en-GB"/>
        </w:rPr>
        <w:t>.</w:t>
      </w:r>
      <w:r w:rsidRPr="009645E5">
        <w:rPr>
          <w:rFonts w:ascii="Times New Roman" w:eastAsia="Times New Roman Bold" w:hAnsi="Times New Roman" w:cs="Times New Roman"/>
          <w:sz w:val="24"/>
          <w:szCs w:val="24"/>
          <w:vertAlign w:val="superscript"/>
          <w:lang w:val="en-GB"/>
        </w:rPr>
        <w:footnoteReference w:id="42"/>
      </w:r>
      <w:r w:rsidRPr="009645E5">
        <w:rPr>
          <w:rFonts w:ascii="Times New Roman" w:hAnsi="Times New Roman" w:cs="Times New Roman"/>
          <w:sz w:val="24"/>
          <w:szCs w:val="24"/>
          <w:lang w:val="en-GB"/>
        </w:rPr>
        <w:t xml:space="preserve">  This is po</w:t>
      </w:r>
      <w:r w:rsidR="00673788">
        <w:rPr>
          <w:rFonts w:ascii="Times New Roman" w:hAnsi="Times New Roman" w:cs="Times New Roman"/>
          <w:sz w:val="24"/>
          <w:szCs w:val="24"/>
          <w:lang w:val="en-GB"/>
        </w:rPr>
        <w:t xml:space="preserve">tentially problematic </w:t>
      </w:r>
      <w:r w:rsidR="006E7FC0" w:rsidRPr="009645E5">
        <w:rPr>
          <w:rFonts w:ascii="Times New Roman" w:hAnsi="Times New Roman" w:cs="Times New Roman"/>
          <w:sz w:val="24"/>
          <w:szCs w:val="24"/>
          <w:lang w:val="en-GB"/>
        </w:rPr>
        <w:t xml:space="preserve">as they </w:t>
      </w:r>
      <w:r w:rsidRPr="009645E5">
        <w:rPr>
          <w:rFonts w:ascii="Times New Roman" w:hAnsi="Times New Roman" w:cs="Times New Roman"/>
          <w:sz w:val="24"/>
          <w:szCs w:val="24"/>
          <w:lang w:val="en-GB"/>
        </w:rPr>
        <w:t>are different concepts.  What is optimum for the patient in a given situation may not always be easily reconcilable with what is logical and being too quick to discount medical opinion on this basis</w:t>
      </w:r>
      <w:r w:rsidR="006E7FC0" w:rsidRPr="009645E5">
        <w:rPr>
          <w:rFonts w:ascii="Times New Roman" w:hAnsi="Times New Roman" w:cs="Times New Roman"/>
          <w:sz w:val="24"/>
          <w:szCs w:val="24"/>
          <w:lang w:val="en-GB"/>
        </w:rPr>
        <w:t xml:space="preserve"> alone </w:t>
      </w:r>
      <w:r w:rsidRPr="009645E5">
        <w:rPr>
          <w:rFonts w:ascii="Times New Roman" w:hAnsi="Times New Roman" w:cs="Times New Roman"/>
          <w:sz w:val="24"/>
          <w:szCs w:val="24"/>
          <w:lang w:val="en-GB"/>
        </w:rPr>
        <w:t>could be inappropriate</w:t>
      </w:r>
      <w:r w:rsidR="006E7FC0" w:rsidRPr="009645E5">
        <w:rPr>
          <w:rFonts w:ascii="Times New Roman" w:hAnsi="Times New Roman" w:cs="Times New Roman"/>
          <w:sz w:val="24"/>
          <w:szCs w:val="24"/>
          <w:lang w:val="en-GB"/>
        </w:rPr>
        <w:t xml:space="preserve">.  </w:t>
      </w:r>
      <w:r w:rsidRPr="009645E5">
        <w:rPr>
          <w:rFonts w:ascii="Times New Roman" w:hAnsi="Times New Roman" w:cs="Times New Roman"/>
          <w:sz w:val="24"/>
          <w:szCs w:val="24"/>
          <w:lang w:val="en-GB"/>
        </w:rPr>
        <w:t>Similarly, placing the emphasis on logic has the potential to detract from what ought to be the key consideration in all negligence cases, that of reasonableness.</w:t>
      </w:r>
      <w:r w:rsidRPr="009645E5">
        <w:rPr>
          <w:rFonts w:ascii="Times New Roman" w:eastAsia="Times New Roman Bold" w:hAnsi="Times New Roman" w:cs="Times New Roman"/>
          <w:sz w:val="24"/>
          <w:szCs w:val="24"/>
          <w:vertAlign w:val="superscript"/>
          <w:lang w:val="en-GB"/>
        </w:rPr>
        <w:footnoteReference w:id="43"/>
      </w:r>
      <w:r w:rsidRPr="009645E5">
        <w:rPr>
          <w:rFonts w:ascii="Times New Roman" w:hAnsi="Times New Roman" w:cs="Times New Roman"/>
          <w:sz w:val="24"/>
          <w:szCs w:val="24"/>
          <w:lang w:val="en-GB"/>
        </w:rPr>
        <w:t xml:space="preserve">   This problem was identified at a very early point by Teff</w:t>
      </w:r>
      <w:r w:rsidR="00CF1187" w:rsidRPr="009645E5">
        <w:rPr>
          <w:rFonts w:ascii="Times New Roman" w:hAnsi="Times New Roman" w:cs="Times New Roman"/>
          <w:sz w:val="24"/>
          <w:szCs w:val="24"/>
          <w:lang w:val="en-GB"/>
        </w:rPr>
        <w:t>,</w:t>
      </w:r>
      <w:r w:rsidRPr="009645E5">
        <w:rPr>
          <w:rFonts w:ascii="Times New Roman" w:hAnsi="Times New Roman" w:cs="Times New Roman"/>
          <w:sz w:val="24"/>
          <w:szCs w:val="24"/>
          <w:lang w:val="en-GB"/>
        </w:rPr>
        <w:t xml:space="preserve"> who accurately spotted that </w:t>
      </w:r>
      <w:r w:rsidR="00D348F2" w:rsidRPr="009645E5">
        <w:rPr>
          <w:rFonts w:ascii="Times New Roman" w:hAnsi="Times New Roman" w:cs="Times New Roman"/>
          <w:sz w:val="24"/>
          <w:szCs w:val="24"/>
          <w:lang w:val="en-GB"/>
        </w:rPr>
        <w:t>‘</w:t>
      </w:r>
      <w:r w:rsidRPr="009645E5">
        <w:rPr>
          <w:rFonts w:ascii="Times New Roman" w:hAnsi="Times New Roman" w:cs="Times New Roman"/>
          <w:sz w:val="24"/>
          <w:szCs w:val="24"/>
          <w:lang w:val="en-GB"/>
        </w:rPr>
        <w:t>to speak of logic</w:t>
      </w:r>
      <w:r w:rsidR="00F50513" w:rsidRPr="009645E5">
        <w:rPr>
          <w:rFonts w:ascii="Times New Roman" w:hAnsi="Times New Roman" w:cs="Times New Roman"/>
          <w:sz w:val="24"/>
          <w:szCs w:val="24"/>
          <w:lang w:val="en-GB"/>
        </w:rPr>
        <w:t xml:space="preserve"> </w:t>
      </w:r>
      <w:r w:rsidRPr="009645E5">
        <w:rPr>
          <w:rFonts w:ascii="Times New Roman" w:hAnsi="Times New Roman" w:cs="Times New Roman"/>
          <w:sz w:val="24"/>
          <w:szCs w:val="24"/>
          <w:lang w:val="en-GB"/>
        </w:rPr>
        <w:t>in this context suggests an appeal to the internal consistency of the expert</w:t>
      </w:r>
      <w:r w:rsidR="00D348F2" w:rsidRPr="009645E5">
        <w:rPr>
          <w:rFonts w:ascii="Times New Roman" w:hAnsi="Times New Roman" w:cs="Times New Roman"/>
          <w:sz w:val="24"/>
          <w:szCs w:val="24"/>
          <w:lang w:val="en-GB"/>
        </w:rPr>
        <w:t>’</w:t>
      </w:r>
      <w:r w:rsidRPr="009645E5">
        <w:rPr>
          <w:rFonts w:ascii="Times New Roman" w:hAnsi="Times New Roman" w:cs="Times New Roman"/>
          <w:sz w:val="24"/>
          <w:szCs w:val="24"/>
          <w:lang w:val="en-GB"/>
        </w:rPr>
        <w:t>s testimon</w:t>
      </w:r>
      <w:r w:rsidR="00600EC2" w:rsidRPr="009645E5">
        <w:rPr>
          <w:rFonts w:ascii="Times New Roman" w:hAnsi="Times New Roman" w:cs="Times New Roman"/>
          <w:sz w:val="24"/>
          <w:szCs w:val="24"/>
          <w:lang w:val="en-GB"/>
        </w:rPr>
        <w:t xml:space="preserve">y, rather than a more extensive, </w:t>
      </w:r>
      <w:r w:rsidRPr="009645E5">
        <w:rPr>
          <w:rFonts w:ascii="Times New Roman" w:hAnsi="Times New Roman" w:cs="Times New Roman"/>
          <w:sz w:val="24"/>
          <w:szCs w:val="24"/>
          <w:lang w:val="en-GB"/>
        </w:rPr>
        <w:t>pragmatic assessment of what the court deems reasonable</w:t>
      </w:r>
      <w:r w:rsidR="00D348F2" w:rsidRPr="009645E5">
        <w:rPr>
          <w:rFonts w:ascii="Times New Roman" w:hAnsi="Times New Roman" w:cs="Times New Roman"/>
          <w:sz w:val="24"/>
          <w:szCs w:val="24"/>
          <w:lang w:val="en-GB"/>
        </w:rPr>
        <w:t>’</w:t>
      </w:r>
      <w:r w:rsidRPr="009645E5">
        <w:rPr>
          <w:rFonts w:ascii="Times New Roman" w:hAnsi="Times New Roman" w:cs="Times New Roman"/>
          <w:sz w:val="24"/>
          <w:szCs w:val="24"/>
          <w:lang w:val="en-GB"/>
        </w:rPr>
        <w:t>.</w:t>
      </w:r>
      <w:r w:rsidRPr="009645E5">
        <w:rPr>
          <w:rFonts w:ascii="Times New Roman" w:eastAsia="Times New Roman Bold" w:hAnsi="Times New Roman" w:cs="Times New Roman"/>
          <w:sz w:val="24"/>
          <w:szCs w:val="24"/>
          <w:vertAlign w:val="superscript"/>
          <w:lang w:val="en-GB"/>
        </w:rPr>
        <w:footnoteReference w:id="44"/>
      </w:r>
    </w:p>
    <w:p w14:paraId="11997F3A" w14:textId="42923B20" w:rsidR="005A51AF" w:rsidRPr="009645E5" w:rsidRDefault="00600EC2">
      <w:pPr>
        <w:pStyle w:val="BodyA"/>
        <w:spacing w:line="360" w:lineRule="auto"/>
        <w:jc w:val="both"/>
        <w:rPr>
          <w:rFonts w:ascii="Times New Roman" w:eastAsia="Times New Roman Bold" w:hAnsi="Times New Roman" w:cs="Times New Roman"/>
          <w:sz w:val="24"/>
          <w:szCs w:val="24"/>
          <w:lang w:val="en-GB"/>
        </w:rPr>
      </w:pPr>
      <w:r w:rsidRPr="009645E5">
        <w:rPr>
          <w:rFonts w:ascii="Times New Roman" w:eastAsia="Times New Roman Bold" w:hAnsi="Times New Roman" w:cs="Times New Roman"/>
          <w:sz w:val="24"/>
          <w:szCs w:val="24"/>
          <w:lang w:val="en-GB"/>
        </w:rPr>
        <w:tab/>
        <w:t xml:space="preserve">Second, the </w:t>
      </w:r>
      <w:r w:rsidR="00D70D82" w:rsidRPr="009645E5">
        <w:rPr>
          <w:rFonts w:ascii="Times New Roman" w:eastAsia="Times New Roman Bold" w:hAnsi="Times New Roman" w:cs="Times New Roman"/>
          <w:sz w:val="24"/>
          <w:szCs w:val="24"/>
          <w:lang w:val="en-GB"/>
        </w:rPr>
        <w:t xml:space="preserve">aspect of </w:t>
      </w:r>
      <w:r w:rsidR="00D70D82" w:rsidRPr="009645E5">
        <w:rPr>
          <w:rFonts w:ascii="Times New Roman" w:hAnsi="Times New Roman" w:cs="Times New Roman"/>
          <w:i/>
          <w:iCs/>
          <w:sz w:val="24"/>
          <w:szCs w:val="24"/>
          <w:lang w:val="en-GB"/>
        </w:rPr>
        <w:t>Bolitho</w:t>
      </w:r>
      <w:r w:rsidR="00D70D82" w:rsidRPr="009645E5">
        <w:rPr>
          <w:rFonts w:ascii="Times New Roman" w:hAnsi="Times New Roman" w:cs="Times New Roman"/>
          <w:sz w:val="24"/>
          <w:szCs w:val="24"/>
          <w:lang w:val="en-GB"/>
        </w:rPr>
        <w:t xml:space="preserve"> that could, potentially, be utilised to great effect is sometimes overlooked</w:t>
      </w:r>
      <w:r w:rsidR="00270121" w:rsidRPr="009645E5">
        <w:rPr>
          <w:rFonts w:ascii="Times New Roman" w:hAnsi="Times New Roman" w:cs="Times New Roman"/>
          <w:sz w:val="24"/>
          <w:szCs w:val="24"/>
          <w:lang w:val="en-GB"/>
        </w:rPr>
        <w:t xml:space="preserve">.  </w:t>
      </w:r>
      <w:r w:rsidR="00D70D82" w:rsidRPr="009645E5">
        <w:rPr>
          <w:rFonts w:ascii="Times New Roman" w:hAnsi="Times New Roman" w:cs="Times New Roman"/>
          <w:sz w:val="24"/>
          <w:szCs w:val="24"/>
          <w:lang w:val="en-GB"/>
        </w:rPr>
        <w:t>The balancing of risk</w:t>
      </w:r>
      <w:r w:rsidR="000269F9" w:rsidRPr="009645E5">
        <w:rPr>
          <w:rFonts w:ascii="Times New Roman" w:hAnsi="Times New Roman" w:cs="Times New Roman"/>
          <w:sz w:val="24"/>
          <w:szCs w:val="24"/>
          <w:lang w:val="en-GB"/>
        </w:rPr>
        <w:t>s</w:t>
      </w:r>
      <w:r w:rsidR="00D70D82" w:rsidRPr="009645E5">
        <w:rPr>
          <w:rFonts w:ascii="Times New Roman" w:hAnsi="Times New Roman" w:cs="Times New Roman"/>
          <w:sz w:val="24"/>
          <w:szCs w:val="24"/>
          <w:lang w:val="en-GB"/>
        </w:rPr>
        <w:t xml:space="preserve"> versus benefit</w:t>
      </w:r>
      <w:r w:rsidR="000269F9" w:rsidRPr="009645E5">
        <w:rPr>
          <w:rFonts w:ascii="Times New Roman" w:hAnsi="Times New Roman" w:cs="Times New Roman"/>
          <w:sz w:val="24"/>
          <w:szCs w:val="24"/>
          <w:lang w:val="en-GB"/>
        </w:rPr>
        <w:t xml:space="preserve">s </w:t>
      </w:r>
      <w:r w:rsidR="00D70D82" w:rsidRPr="009645E5">
        <w:rPr>
          <w:rFonts w:ascii="Times New Roman" w:hAnsi="Times New Roman" w:cs="Times New Roman"/>
          <w:sz w:val="24"/>
          <w:szCs w:val="24"/>
          <w:lang w:val="en-GB"/>
        </w:rPr>
        <w:t xml:space="preserve">could, if undertaken appropriately, lead to a more favourable outcome for patients in some cases. Yet, whilst there is evidence that the courts have indeed taken note of the ruling since </w:t>
      </w:r>
      <w:r w:rsidR="00D70D82" w:rsidRPr="009645E5">
        <w:rPr>
          <w:rFonts w:ascii="Times New Roman" w:hAnsi="Times New Roman" w:cs="Times New Roman"/>
          <w:i/>
          <w:iCs/>
          <w:sz w:val="24"/>
          <w:szCs w:val="24"/>
          <w:lang w:val="en-GB"/>
        </w:rPr>
        <w:t>Bolitho</w:t>
      </w:r>
      <w:r w:rsidR="00D70D82" w:rsidRPr="009645E5">
        <w:rPr>
          <w:rFonts w:ascii="Times New Roman" w:hAnsi="Times New Roman" w:cs="Times New Roman"/>
          <w:sz w:val="24"/>
          <w:szCs w:val="24"/>
          <w:lang w:val="en-GB"/>
        </w:rPr>
        <w:t xml:space="preserve">, it is how they have come to apply it in practice </w:t>
      </w:r>
      <w:r w:rsidR="00D70D82" w:rsidRPr="009645E5">
        <w:rPr>
          <w:rFonts w:ascii="Times New Roman" w:hAnsi="Times New Roman" w:cs="Times New Roman"/>
          <w:sz w:val="24"/>
          <w:szCs w:val="24"/>
          <w:lang w:val="en-GB"/>
        </w:rPr>
        <w:lastRenderedPageBreak/>
        <w:t>that is perhaps the more interesting question.</w:t>
      </w:r>
      <w:r w:rsidR="00D70D82" w:rsidRPr="009645E5">
        <w:rPr>
          <w:rFonts w:ascii="Times New Roman" w:eastAsia="Times New Roman Bold" w:hAnsi="Times New Roman" w:cs="Times New Roman"/>
          <w:sz w:val="24"/>
          <w:szCs w:val="24"/>
          <w:vertAlign w:val="superscript"/>
          <w:lang w:val="en-GB"/>
        </w:rPr>
        <w:footnoteReference w:id="45"/>
      </w:r>
      <w:r w:rsidR="00270121" w:rsidRPr="009645E5">
        <w:rPr>
          <w:rFonts w:ascii="Times New Roman" w:hAnsi="Times New Roman" w:cs="Times New Roman"/>
          <w:sz w:val="24"/>
          <w:szCs w:val="24"/>
          <w:lang w:val="en-GB"/>
        </w:rPr>
        <w:t xml:space="preserve">  With this important point </w:t>
      </w:r>
      <w:r w:rsidR="00D70D82" w:rsidRPr="009645E5">
        <w:rPr>
          <w:rFonts w:ascii="Times New Roman" w:hAnsi="Times New Roman" w:cs="Times New Roman"/>
          <w:sz w:val="24"/>
          <w:szCs w:val="24"/>
          <w:lang w:val="en-GB"/>
        </w:rPr>
        <w:t>in mind, Professor Mulheron</w:t>
      </w:r>
      <w:r w:rsidR="00D348F2" w:rsidRPr="009645E5">
        <w:rPr>
          <w:rFonts w:ascii="Times New Roman" w:hAnsi="Times New Roman" w:cs="Times New Roman"/>
          <w:sz w:val="24"/>
          <w:szCs w:val="24"/>
          <w:lang w:val="en-GB"/>
        </w:rPr>
        <w:t>’</w:t>
      </w:r>
      <w:r w:rsidR="00D70D82" w:rsidRPr="009645E5">
        <w:rPr>
          <w:rFonts w:ascii="Times New Roman" w:hAnsi="Times New Roman" w:cs="Times New Roman"/>
          <w:sz w:val="24"/>
          <w:szCs w:val="24"/>
          <w:lang w:val="en-GB"/>
        </w:rPr>
        <w:t>s recent paper</w:t>
      </w:r>
      <w:r w:rsidR="009645E5" w:rsidRPr="009645E5">
        <w:rPr>
          <w:rFonts w:ascii="Times New Roman" w:hAnsi="Times New Roman" w:cs="Times New Roman"/>
          <w:sz w:val="24"/>
          <w:szCs w:val="24"/>
          <w:lang w:val="en-GB"/>
        </w:rPr>
        <w:t>,</w:t>
      </w:r>
      <w:r w:rsidR="00D70D82" w:rsidRPr="009645E5">
        <w:rPr>
          <w:rFonts w:ascii="Times New Roman" w:hAnsi="Times New Roman" w:cs="Times New Roman"/>
          <w:sz w:val="24"/>
          <w:szCs w:val="24"/>
          <w:lang w:val="en-GB"/>
        </w:rPr>
        <w:t xml:space="preserve"> in which she identifies a number of scenarios that have attracted judicial consideration in English law post </w:t>
      </w:r>
      <w:r w:rsidR="00D70D82" w:rsidRPr="009645E5">
        <w:rPr>
          <w:rFonts w:ascii="Times New Roman" w:hAnsi="Times New Roman" w:cs="Times New Roman"/>
          <w:i/>
          <w:iCs/>
          <w:sz w:val="24"/>
          <w:szCs w:val="24"/>
          <w:lang w:val="en-GB"/>
        </w:rPr>
        <w:t>Bolitho</w:t>
      </w:r>
      <w:r w:rsidR="009645E5" w:rsidRPr="009645E5">
        <w:rPr>
          <w:rFonts w:ascii="Times New Roman" w:hAnsi="Times New Roman" w:cs="Times New Roman"/>
          <w:iCs/>
          <w:sz w:val="24"/>
          <w:szCs w:val="24"/>
          <w:lang w:val="en-GB"/>
        </w:rPr>
        <w:t xml:space="preserve">, </w:t>
      </w:r>
      <w:r w:rsidR="009645E5" w:rsidRPr="009645E5">
        <w:rPr>
          <w:rFonts w:ascii="Times New Roman" w:hAnsi="Times New Roman" w:cs="Times New Roman"/>
          <w:sz w:val="24"/>
          <w:szCs w:val="24"/>
          <w:lang w:val="en-GB"/>
        </w:rPr>
        <w:t>is particularly illuminating</w:t>
      </w:r>
      <w:r w:rsidR="00D70D82" w:rsidRPr="009645E5">
        <w:rPr>
          <w:rFonts w:ascii="Times New Roman" w:hAnsi="Times New Roman" w:cs="Times New Roman"/>
          <w:sz w:val="24"/>
          <w:szCs w:val="24"/>
          <w:lang w:val="en-GB"/>
        </w:rPr>
        <w:t>.</w:t>
      </w:r>
      <w:r w:rsidR="00D70D82" w:rsidRPr="009645E5">
        <w:rPr>
          <w:rFonts w:ascii="Times New Roman" w:eastAsia="Times New Roman Bold" w:hAnsi="Times New Roman" w:cs="Times New Roman"/>
          <w:sz w:val="24"/>
          <w:szCs w:val="24"/>
          <w:vertAlign w:val="superscript"/>
          <w:lang w:val="en-GB"/>
        </w:rPr>
        <w:footnoteReference w:id="46"/>
      </w:r>
      <w:r w:rsidR="00D70D82" w:rsidRPr="009645E5">
        <w:rPr>
          <w:rFonts w:ascii="Times New Roman" w:hAnsi="Times New Roman" w:cs="Times New Roman"/>
          <w:sz w:val="24"/>
          <w:szCs w:val="24"/>
          <w:lang w:val="en-GB"/>
        </w:rPr>
        <w:t xml:space="preserve">  The </w:t>
      </w:r>
      <w:r w:rsidR="009645E5" w:rsidRPr="009645E5">
        <w:rPr>
          <w:rFonts w:ascii="Times New Roman" w:hAnsi="Times New Roman" w:cs="Times New Roman"/>
          <w:sz w:val="24"/>
          <w:szCs w:val="24"/>
          <w:lang w:val="en-GB"/>
        </w:rPr>
        <w:t xml:space="preserve">scenarios she identified </w:t>
      </w:r>
      <w:r w:rsidR="00D70D82" w:rsidRPr="009645E5">
        <w:rPr>
          <w:rFonts w:ascii="Times New Roman" w:hAnsi="Times New Roman" w:cs="Times New Roman"/>
          <w:sz w:val="24"/>
          <w:szCs w:val="24"/>
          <w:lang w:val="en-GB"/>
        </w:rPr>
        <w:t>included: where the peer professional opinion has overlooked that a clear precaution to avoid the adverse outcome for the patient was available; where there was a question of resources and conflicts of duty; w</w:t>
      </w:r>
      <w:r w:rsidR="00F71F5D" w:rsidRPr="009645E5">
        <w:rPr>
          <w:rFonts w:ascii="Times New Roman" w:hAnsi="Times New Roman" w:cs="Times New Roman"/>
          <w:sz w:val="24"/>
          <w:szCs w:val="24"/>
          <w:lang w:val="en-GB"/>
        </w:rPr>
        <w:t xml:space="preserve">here there was failure to weigh </w:t>
      </w:r>
      <w:r w:rsidR="00D70D82" w:rsidRPr="009645E5">
        <w:rPr>
          <w:rFonts w:ascii="Times New Roman" w:hAnsi="Times New Roman" w:cs="Times New Roman"/>
          <w:sz w:val="24"/>
          <w:szCs w:val="24"/>
          <w:lang w:val="en-GB"/>
        </w:rPr>
        <w:t>the comparative risks and benefits of the chosen course of conduct; where the accepted medical practice contravenes widespread public opinion; where the doctor</w:t>
      </w:r>
      <w:r w:rsidR="00D348F2" w:rsidRPr="009645E5">
        <w:rPr>
          <w:rFonts w:ascii="Times New Roman" w:hAnsi="Times New Roman" w:cs="Times New Roman"/>
          <w:sz w:val="24"/>
          <w:szCs w:val="24"/>
          <w:lang w:val="en-GB"/>
        </w:rPr>
        <w:t>’</w:t>
      </w:r>
      <w:r w:rsidR="00D70D82" w:rsidRPr="009645E5">
        <w:rPr>
          <w:rFonts w:ascii="Times New Roman" w:hAnsi="Times New Roman" w:cs="Times New Roman"/>
          <w:sz w:val="24"/>
          <w:szCs w:val="24"/>
          <w:lang w:val="en-GB"/>
        </w:rPr>
        <w:t>s peer medical opinion cannot be correct when taken in the context of the factual evidence; where the doctor</w:t>
      </w:r>
      <w:r w:rsidR="00D348F2" w:rsidRPr="009645E5">
        <w:rPr>
          <w:rFonts w:ascii="Times New Roman" w:hAnsi="Times New Roman" w:cs="Times New Roman"/>
          <w:sz w:val="24"/>
          <w:szCs w:val="24"/>
          <w:lang w:val="en-GB"/>
        </w:rPr>
        <w:t>’</w:t>
      </w:r>
      <w:r w:rsidR="00D70D82" w:rsidRPr="009645E5">
        <w:rPr>
          <w:rFonts w:ascii="Times New Roman" w:hAnsi="Times New Roman" w:cs="Times New Roman"/>
          <w:sz w:val="24"/>
          <w:szCs w:val="24"/>
          <w:lang w:val="en-GB"/>
        </w:rPr>
        <w:t>s expert medical opinion is not internally consistent; and where the professional opinion has adhered to the wrong legal test.</w:t>
      </w:r>
      <w:r w:rsidR="00D70D82" w:rsidRPr="009645E5">
        <w:rPr>
          <w:rFonts w:ascii="Times New Roman" w:eastAsia="Times New Roman Bold" w:hAnsi="Times New Roman" w:cs="Times New Roman"/>
          <w:sz w:val="24"/>
          <w:szCs w:val="24"/>
          <w:vertAlign w:val="superscript"/>
          <w:lang w:val="en-GB"/>
        </w:rPr>
        <w:footnoteReference w:id="47"/>
      </w:r>
      <w:r w:rsidR="00D70D82" w:rsidRPr="009645E5">
        <w:rPr>
          <w:rFonts w:ascii="Times New Roman" w:hAnsi="Times New Roman" w:cs="Times New Roman"/>
          <w:sz w:val="24"/>
          <w:szCs w:val="24"/>
          <w:lang w:val="en-GB"/>
        </w:rPr>
        <w:t xml:space="preserve">  </w:t>
      </w:r>
    </w:p>
    <w:p w14:paraId="3E36E008" w14:textId="264A7712" w:rsidR="001A5973" w:rsidRDefault="00D70D82" w:rsidP="00B1118C">
      <w:pPr>
        <w:pStyle w:val="BodyA"/>
        <w:spacing w:line="360" w:lineRule="auto"/>
        <w:jc w:val="both"/>
        <w:rPr>
          <w:rFonts w:ascii="Times New Roman" w:hAnsi="Times New Roman" w:cs="Times New Roman"/>
          <w:sz w:val="24"/>
          <w:szCs w:val="24"/>
          <w:lang w:val="en-GB"/>
        </w:rPr>
      </w:pPr>
      <w:r w:rsidRPr="009645E5">
        <w:rPr>
          <w:rFonts w:ascii="Times New Roman" w:eastAsia="Times New Roman Bold" w:hAnsi="Times New Roman" w:cs="Times New Roman"/>
          <w:sz w:val="24"/>
          <w:szCs w:val="24"/>
          <w:lang w:val="en-GB"/>
        </w:rPr>
        <w:tab/>
      </w:r>
      <w:r w:rsidR="007F0E96" w:rsidRPr="009645E5">
        <w:rPr>
          <w:rFonts w:ascii="Times New Roman" w:eastAsia="Times New Roman Bold" w:hAnsi="Times New Roman" w:cs="Times New Roman"/>
          <w:sz w:val="24"/>
          <w:szCs w:val="24"/>
          <w:lang w:val="en-GB"/>
        </w:rPr>
        <w:t xml:space="preserve">The two factors relating to </w:t>
      </w:r>
      <w:r w:rsidR="004208C7" w:rsidRPr="009645E5">
        <w:rPr>
          <w:rFonts w:ascii="Times New Roman" w:hAnsi="Times New Roman" w:cs="Times New Roman"/>
          <w:sz w:val="24"/>
          <w:szCs w:val="24"/>
          <w:lang w:val="en-GB"/>
        </w:rPr>
        <w:t>peer professional opinion overlooking a clear precaution</w:t>
      </w:r>
      <w:r w:rsidR="00F71F5D" w:rsidRPr="009645E5">
        <w:rPr>
          <w:rFonts w:ascii="Times New Roman" w:hAnsi="Times New Roman" w:cs="Times New Roman"/>
          <w:sz w:val="24"/>
          <w:szCs w:val="24"/>
          <w:lang w:val="en-GB"/>
        </w:rPr>
        <w:t xml:space="preserve"> that </w:t>
      </w:r>
      <w:r w:rsidR="004208C7" w:rsidRPr="009645E5">
        <w:rPr>
          <w:rFonts w:ascii="Times New Roman" w:hAnsi="Times New Roman" w:cs="Times New Roman"/>
          <w:sz w:val="24"/>
          <w:szCs w:val="24"/>
          <w:lang w:val="en-GB"/>
        </w:rPr>
        <w:t>could have avoided the adverse outcome for the patient</w:t>
      </w:r>
      <w:r w:rsidR="00F71F5D" w:rsidRPr="009645E5">
        <w:rPr>
          <w:rFonts w:ascii="Times New Roman" w:hAnsi="Times New Roman" w:cs="Times New Roman"/>
          <w:sz w:val="24"/>
          <w:szCs w:val="24"/>
          <w:lang w:val="en-GB"/>
        </w:rPr>
        <w:t>,</w:t>
      </w:r>
      <w:r w:rsidR="004208C7" w:rsidRPr="009645E5">
        <w:rPr>
          <w:rFonts w:ascii="Times New Roman" w:hAnsi="Times New Roman" w:cs="Times New Roman"/>
          <w:sz w:val="24"/>
          <w:szCs w:val="24"/>
          <w:lang w:val="en-GB"/>
        </w:rPr>
        <w:t xml:space="preserve"> and the </w:t>
      </w:r>
      <w:r w:rsidR="00F71F5D" w:rsidRPr="009645E5">
        <w:rPr>
          <w:rFonts w:ascii="Times New Roman" w:hAnsi="Times New Roman" w:cs="Times New Roman"/>
          <w:sz w:val="24"/>
          <w:szCs w:val="24"/>
          <w:lang w:val="en-GB"/>
        </w:rPr>
        <w:t xml:space="preserve">failure to weigh the comparative risks and benefits of a particular course of action, </w:t>
      </w:r>
      <w:r w:rsidR="004208C7" w:rsidRPr="009645E5">
        <w:rPr>
          <w:rFonts w:ascii="Times New Roman" w:eastAsia="Times New Roman Bold" w:hAnsi="Times New Roman" w:cs="Times New Roman"/>
          <w:sz w:val="24"/>
          <w:szCs w:val="24"/>
          <w:lang w:val="en-GB"/>
        </w:rPr>
        <w:t xml:space="preserve">are highly relevant to the proceeding analysis concerning childbirth litigation. </w:t>
      </w:r>
      <w:r w:rsidRPr="009645E5">
        <w:rPr>
          <w:rFonts w:ascii="Times New Roman" w:eastAsia="Times New Roman Bold" w:hAnsi="Times New Roman" w:cs="Times New Roman"/>
          <w:sz w:val="24"/>
          <w:szCs w:val="24"/>
          <w:lang w:val="en-GB"/>
        </w:rPr>
        <w:t xml:space="preserve">As will be seen, </w:t>
      </w:r>
      <w:r w:rsidR="00F71F5D" w:rsidRPr="009645E5">
        <w:rPr>
          <w:rFonts w:ascii="Times New Roman" w:eastAsia="Times New Roman Bold" w:hAnsi="Times New Roman" w:cs="Times New Roman"/>
          <w:sz w:val="24"/>
          <w:szCs w:val="24"/>
          <w:lang w:val="en-GB"/>
        </w:rPr>
        <w:t xml:space="preserve">whilst there may be some evidence of judges being mindful of these important considerations, they </w:t>
      </w:r>
      <w:r w:rsidR="00F71F5D" w:rsidRPr="009645E5">
        <w:rPr>
          <w:rFonts w:ascii="Times New Roman" w:hAnsi="Times New Roman" w:cs="Times New Roman"/>
          <w:sz w:val="24"/>
          <w:szCs w:val="24"/>
          <w:lang w:val="en-GB"/>
        </w:rPr>
        <w:t xml:space="preserve">have sometimes </w:t>
      </w:r>
      <w:r w:rsidRPr="009645E5">
        <w:rPr>
          <w:rFonts w:ascii="Times New Roman" w:hAnsi="Times New Roman" w:cs="Times New Roman"/>
          <w:sz w:val="24"/>
          <w:szCs w:val="24"/>
          <w:lang w:val="en-GB"/>
        </w:rPr>
        <w:t xml:space="preserve">failed to observe that </w:t>
      </w:r>
      <w:r w:rsidRPr="009645E5">
        <w:rPr>
          <w:rFonts w:ascii="Times New Roman" w:hAnsi="Times New Roman" w:cs="Times New Roman"/>
          <w:i/>
          <w:iCs/>
          <w:sz w:val="24"/>
          <w:szCs w:val="24"/>
          <w:lang w:val="en-GB"/>
        </w:rPr>
        <w:t>Bolitho</w:t>
      </w:r>
      <w:r w:rsidR="00F71F5D" w:rsidRPr="009645E5">
        <w:rPr>
          <w:rFonts w:ascii="Times New Roman" w:hAnsi="Times New Roman" w:cs="Times New Roman"/>
          <w:sz w:val="24"/>
          <w:szCs w:val="24"/>
          <w:lang w:val="en-GB"/>
        </w:rPr>
        <w:t xml:space="preserve"> should bite and, even where they have ostensibly </w:t>
      </w:r>
      <w:r w:rsidRPr="009645E5">
        <w:rPr>
          <w:rFonts w:ascii="Times New Roman" w:hAnsi="Times New Roman" w:cs="Times New Roman"/>
          <w:sz w:val="24"/>
          <w:szCs w:val="24"/>
          <w:lang w:val="en-GB"/>
        </w:rPr>
        <w:t>applied</w:t>
      </w:r>
      <w:r w:rsidR="00F71F5D" w:rsidRPr="009645E5">
        <w:rPr>
          <w:rFonts w:ascii="Times New Roman" w:hAnsi="Times New Roman" w:cs="Times New Roman"/>
          <w:sz w:val="24"/>
          <w:szCs w:val="24"/>
          <w:lang w:val="en-GB"/>
        </w:rPr>
        <w:t xml:space="preserve"> the gloss, they have </w:t>
      </w:r>
      <w:r w:rsidRPr="009645E5">
        <w:rPr>
          <w:rFonts w:ascii="Times New Roman" w:hAnsi="Times New Roman" w:cs="Times New Roman"/>
          <w:sz w:val="24"/>
          <w:szCs w:val="24"/>
          <w:lang w:val="en-GB"/>
        </w:rPr>
        <w:t>not done so in a way that is conducive to answering the questi</w:t>
      </w:r>
      <w:r w:rsidR="00F71F5D" w:rsidRPr="009645E5">
        <w:rPr>
          <w:rFonts w:ascii="Times New Roman" w:hAnsi="Times New Roman" w:cs="Times New Roman"/>
          <w:sz w:val="24"/>
          <w:szCs w:val="24"/>
          <w:lang w:val="en-GB"/>
        </w:rPr>
        <w:t>on of breach in the affirmative.</w:t>
      </w:r>
    </w:p>
    <w:p w14:paraId="11C6A60A" w14:textId="77777777" w:rsidR="009A1D81" w:rsidRPr="00B1118C" w:rsidRDefault="009A1D81" w:rsidP="009A1D81">
      <w:pPr>
        <w:pStyle w:val="BodyA"/>
        <w:jc w:val="both"/>
        <w:rPr>
          <w:rFonts w:ascii="Times New Roman" w:hAnsi="Times New Roman" w:cs="Times New Roman"/>
          <w:sz w:val="24"/>
          <w:szCs w:val="24"/>
          <w:lang w:val="en-GB"/>
        </w:rPr>
      </w:pPr>
    </w:p>
    <w:p w14:paraId="4AD3353B" w14:textId="77777777" w:rsidR="005A51AF" w:rsidRPr="009645E5" w:rsidRDefault="00D70D82">
      <w:pPr>
        <w:pStyle w:val="BodyA"/>
        <w:jc w:val="center"/>
        <w:rPr>
          <w:rFonts w:ascii="Times New Roman" w:eastAsia="Times New Roman Bold" w:hAnsi="Times New Roman" w:cs="Times New Roman"/>
          <w:b/>
          <w:bCs/>
          <w:sz w:val="24"/>
          <w:szCs w:val="24"/>
          <w:lang w:val="en-GB"/>
        </w:rPr>
      </w:pPr>
      <w:r w:rsidRPr="009645E5">
        <w:rPr>
          <w:rFonts w:ascii="Times New Roman" w:hAnsi="Times New Roman" w:cs="Times New Roman"/>
          <w:b/>
          <w:bCs/>
          <w:sz w:val="24"/>
          <w:szCs w:val="24"/>
          <w:lang w:val="en-GB"/>
        </w:rPr>
        <w:t>IV. Contentious Issues in Childbirth Litigation: Exploring the Question of Breach</w:t>
      </w:r>
    </w:p>
    <w:p w14:paraId="23ADF38D" w14:textId="77777777" w:rsidR="005A51AF" w:rsidRPr="009645E5" w:rsidRDefault="005A51AF">
      <w:pPr>
        <w:pStyle w:val="BodyA"/>
        <w:jc w:val="center"/>
        <w:rPr>
          <w:rFonts w:ascii="Times New Roman" w:eastAsia="Times New Roman Bold" w:hAnsi="Times New Roman" w:cs="Times New Roman"/>
          <w:sz w:val="24"/>
          <w:szCs w:val="24"/>
          <w:lang w:val="en-GB"/>
        </w:rPr>
      </w:pPr>
    </w:p>
    <w:p w14:paraId="63652DE7" w14:textId="77777777" w:rsidR="005A51AF" w:rsidRPr="009645E5" w:rsidRDefault="00D70D82">
      <w:pPr>
        <w:pStyle w:val="BodyA"/>
        <w:jc w:val="center"/>
        <w:rPr>
          <w:rFonts w:ascii="Times New Roman" w:eastAsia="Times New Roman Bold" w:hAnsi="Times New Roman" w:cs="Times New Roman"/>
          <w:b/>
          <w:bCs/>
          <w:i/>
          <w:iCs/>
          <w:sz w:val="24"/>
          <w:szCs w:val="24"/>
          <w:lang w:val="en-GB"/>
        </w:rPr>
      </w:pPr>
      <w:r w:rsidRPr="009645E5">
        <w:rPr>
          <w:rFonts w:ascii="Times New Roman" w:hAnsi="Times New Roman" w:cs="Times New Roman"/>
          <w:b/>
          <w:bCs/>
          <w:i/>
          <w:iCs/>
          <w:sz w:val="24"/>
          <w:szCs w:val="24"/>
          <w:lang w:val="en-GB"/>
        </w:rPr>
        <w:t>i. Interpretation of CTG Traces</w:t>
      </w:r>
    </w:p>
    <w:p w14:paraId="3B9EF446" w14:textId="77777777" w:rsidR="005A51AF" w:rsidRPr="009645E5" w:rsidRDefault="005A51AF">
      <w:pPr>
        <w:pStyle w:val="BodyA"/>
        <w:jc w:val="center"/>
        <w:rPr>
          <w:rFonts w:ascii="Times New Roman" w:eastAsia="Times New Roman Bold" w:hAnsi="Times New Roman" w:cs="Times New Roman"/>
          <w:i/>
          <w:iCs/>
          <w:sz w:val="24"/>
          <w:szCs w:val="24"/>
          <w:lang w:val="en-GB"/>
        </w:rPr>
      </w:pPr>
    </w:p>
    <w:p w14:paraId="5C0DF6D9" w14:textId="10AE5748" w:rsidR="005A51AF" w:rsidRPr="009645E5" w:rsidRDefault="00D70D82" w:rsidP="000F6F07">
      <w:pPr>
        <w:pStyle w:val="BodyA"/>
        <w:spacing w:line="360" w:lineRule="auto"/>
        <w:jc w:val="both"/>
        <w:rPr>
          <w:rFonts w:ascii="Times New Roman" w:eastAsia="Times New Roman Bold" w:hAnsi="Times New Roman" w:cs="Times New Roman"/>
          <w:sz w:val="24"/>
          <w:szCs w:val="24"/>
          <w:lang w:val="en-GB"/>
        </w:rPr>
      </w:pPr>
      <w:r w:rsidRPr="009645E5">
        <w:rPr>
          <w:rFonts w:ascii="Times New Roman" w:hAnsi="Times New Roman" w:cs="Times New Roman"/>
          <w:sz w:val="24"/>
          <w:szCs w:val="24"/>
          <w:lang w:val="en-GB"/>
        </w:rPr>
        <w:t>During labour, the health of a fetus is monitored by a CTG trace.  This has a sensor attached to the maternal abdomen or the fetal scalp which gives a fetal heart rate (FHR) reading, and an abdominal belt (the tocograph) which records maternal contractions.</w:t>
      </w:r>
      <w:r w:rsidRPr="009645E5">
        <w:rPr>
          <w:rFonts w:ascii="Times New Roman" w:eastAsia="Times New Roman Bold" w:hAnsi="Times New Roman" w:cs="Times New Roman"/>
          <w:sz w:val="24"/>
          <w:szCs w:val="24"/>
          <w:vertAlign w:val="superscript"/>
          <w:lang w:val="en-GB"/>
        </w:rPr>
        <w:footnoteReference w:id="48"/>
      </w:r>
      <w:r w:rsidRPr="009645E5">
        <w:rPr>
          <w:rFonts w:ascii="Times New Roman" w:hAnsi="Times New Roman" w:cs="Times New Roman"/>
          <w:sz w:val="24"/>
          <w:szCs w:val="24"/>
          <w:lang w:val="en-GB"/>
        </w:rPr>
        <w:t xml:space="preserve">  Thus</w:t>
      </w:r>
      <w:r w:rsidR="00270121" w:rsidRPr="009645E5">
        <w:rPr>
          <w:rFonts w:ascii="Times New Roman" w:hAnsi="Times New Roman" w:cs="Times New Roman"/>
          <w:sz w:val="24"/>
          <w:szCs w:val="24"/>
          <w:lang w:val="en-GB"/>
        </w:rPr>
        <w:t>,</w:t>
      </w:r>
      <w:r w:rsidRPr="009645E5">
        <w:rPr>
          <w:rFonts w:ascii="Times New Roman" w:hAnsi="Times New Roman" w:cs="Times New Roman"/>
          <w:sz w:val="24"/>
          <w:szCs w:val="24"/>
          <w:lang w:val="en-GB"/>
        </w:rPr>
        <w:t xml:space="preserve"> it is an essential tool for monitoring the health and progress of both the unborn child and mother during the process of </w:t>
      </w:r>
      <w:r w:rsidR="00270121" w:rsidRPr="009645E5">
        <w:rPr>
          <w:rFonts w:ascii="Times New Roman" w:hAnsi="Times New Roman" w:cs="Times New Roman"/>
          <w:sz w:val="24"/>
          <w:szCs w:val="24"/>
          <w:lang w:val="en-GB"/>
        </w:rPr>
        <w:t xml:space="preserve">labour.  </w:t>
      </w:r>
      <w:r w:rsidRPr="009645E5">
        <w:rPr>
          <w:rFonts w:ascii="Times New Roman" w:hAnsi="Times New Roman" w:cs="Times New Roman"/>
          <w:sz w:val="24"/>
          <w:szCs w:val="24"/>
          <w:lang w:val="en-GB"/>
        </w:rPr>
        <w:t xml:space="preserve">Given their crucial role in identifying fetal distress, it is hardly surprising that many allegations of negligence in childbirth </w:t>
      </w:r>
      <w:r w:rsidR="00270121" w:rsidRPr="009645E5">
        <w:rPr>
          <w:rFonts w:ascii="Times New Roman" w:hAnsi="Times New Roman" w:cs="Times New Roman"/>
          <w:sz w:val="24"/>
          <w:szCs w:val="24"/>
          <w:lang w:val="en-GB"/>
        </w:rPr>
        <w:t xml:space="preserve">converge </w:t>
      </w:r>
      <w:r w:rsidRPr="009645E5">
        <w:rPr>
          <w:rFonts w:ascii="Times New Roman" w:hAnsi="Times New Roman" w:cs="Times New Roman"/>
          <w:sz w:val="24"/>
          <w:szCs w:val="24"/>
          <w:lang w:val="en-GB"/>
        </w:rPr>
        <w:t>on the interpr</w:t>
      </w:r>
      <w:r w:rsidR="002F4F44" w:rsidRPr="009645E5">
        <w:rPr>
          <w:rFonts w:ascii="Times New Roman" w:hAnsi="Times New Roman" w:cs="Times New Roman"/>
          <w:sz w:val="24"/>
          <w:szCs w:val="24"/>
          <w:lang w:val="en-GB"/>
        </w:rPr>
        <w:t>etation of CTG traces.  C</w:t>
      </w:r>
      <w:r w:rsidRPr="009645E5">
        <w:rPr>
          <w:rFonts w:ascii="Times New Roman" w:hAnsi="Times New Roman" w:cs="Times New Roman"/>
          <w:sz w:val="24"/>
          <w:szCs w:val="24"/>
          <w:lang w:val="en-GB"/>
        </w:rPr>
        <w:t xml:space="preserve">are needs to be taken when assessing the credibility of such claims for a number of reasons.  First, given the length and complexity of some labours, it is not an infrequent occurrence to have a number of </w:t>
      </w:r>
      <w:r w:rsidRPr="009645E5">
        <w:rPr>
          <w:rFonts w:ascii="Times New Roman" w:hAnsi="Times New Roman" w:cs="Times New Roman"/>
          <w:sz w:val="24"/>
          <w:szCs w:val="24"/>
          <w:lang w:val="en-GB"/>
        </w:rPr>
        <w:lastRenderedPageBreak/>
        <w:t>different medical personnel involved i</w:t>
      </w:r>
      <w:r w:rsidR="005E261E" w:rsidRPr="009645E5">
        <w:rPr>
          <w:rFonts w:ascii="Times New Roman" w:hAnsi="Times New Roman" w:cs="Times New Roman"/>
          <w:sz w:val="24"/>
          <w:szCs w:val="24"/>
          <w:lang w:val="en-GB"/>
        </w:rPr>
        <w:t>n the process at any one time.</w:t>
      </w:r>
      <w:r w:rsidRPr="009645E5">
        <w:rPr>
          <w:rFonts w:ascii="Times New Roman" w:eastAsia="Times New Roman Bold" w:hAnsi="Times New Roman" w:cs="Times New Roman"/>
          <w:sz w:val="24"/>
          <w:szCs w:val="24"/>
          <w:vertAlign w:val="superscript"/>
          <w:lang w:val="en-GB"/>
        </w:rPr>
        <w:footnoteReference w:id="49"/>
      </w:r>
      <w:r w:rsidR="005E261E" w:rsidRPr="009645E5">
        <w:rPr>
          <w:rFonts w:ascii="Times New Roman" w:hAnsi="Times New Roman" w:cs="Times New Roman"/>
          <w:sz w:val="24"/>
          <w:szCs w:val="24"/>
          <w:lang w:val="en-GB"/>
        </w:rPr>
        <w:t xml:space="preserve">  </w:t>
      </w:r>
      <w:r w:rsidR="00776AD4" w:rsidRPr="009645E5">
        <w:rPr>
          <w:rFonts w:ascii="Times New Roman" w:hAnsi="Times New Roman" w:cs="Times New Roman"/>
          <w:sz w:val="24"/>
          <w:szCs w:val="24"/>
          <w:lang w:val="en-GB"/>
        </w:rPr>
        <w:t xml:space="preserve">Deciphering a range of conflicting interpretations and ascertaining what, if anything, </w:t>
      </w:r>
      <w:r w:rsidRPr="009645E5">
        <w:rPr>
          <w:rFonts w:ascii="Times New Roman" w:hAnsi="Times New Roman" w:cs="Times New Roman"/>
          <w:sz w:val="24"/>
          <w:szCs w:val="24"/>
          <w:lang w:val="en-GB"/>
        </w:rPr>
        <w:t xml:space="preserve">ought to have </w:t>
      </w:r>
      <w:r w:rsidR="00776AD4" w:rsidRPr="009645E5">
        <w:rPr>
          <w:rFonts w:ascii="Times New Roman" w:hAnsi="Times New Roman" w:cs="Times New Roman"/>
          <w:sz w:val="24"/>
          <w:szCs w:val="24"/>
          <w:lang w:val="en-GB"/>
        </w:rPr>
        <w:t xml:space="preserve">been </w:t>
      </w:r>
      <w:r w:rsidRPr="009645E5">
        <w:rPr>
          <w:rFonts w:ascii="Times New Roman" w:hAnsi="Times New Roman" w:cs="Times New Roman"/>
          <w:sz w:val="24"/>
          <w:szCs w:val="24"/>
          <w:lang w:val="en-GB"/>
        </w:rPr>
        <w:t>done</w:t>
      </w:r>
      <w:r w:rsidR="00776AD4" w:rsidRPr="009645E5">
        <w:rPr>
          <w:rFonts w:ascii="Times New Roman" w:hAnsi="Times New Roman" w:cs="Times New Roman"/>
          <w:sz w:val="24"/>
          <w:szCs w:val="24"/>
          <w:lang w:val="en-GB"/>
        </w:rPr>
        <w:t xml:space="preserve"> as a result of those readings </w:t>
      </w:r>
      <w:r w:rsidRPr="009645E5">
        <w:rPr>
          <w:rFonts w:ascii="Times New Roman" w:hAnsi="Times New Roman" w:cs="Times New Roman"/>
          <w:sz w:val="24"/>
          <w:szCs w:val="24"/>
          <w:lang w:val="en-GB"/>
        </w:rPr>
        <w:t>is a far from straightforward task.</w:t>
      </w:r>
      <w:r w:rsidR="00776AD4" w:rsidRPr="009645E5">
        <w:rPr>
          <w:rFonts w:ascii="Times New Roman" w:hAnsi="Times New Roman" w:cs="Times New Roman"/>
          <w:sz w:val="24"/>
          <w:szCs w:val="24"/>
          <w:lang w:val="en-GB"/>
        </w:rPr>
        <w:t xml:space="preserve"> Second, </w:t>
      </w:r>
      <w:r w:rsidRPr="009645E5">
        <w:rPr>
          <w:rFonts w:ascii="Times New Roman" w:hAnsi="Times New Roman" w:cs="Times New Roman"/>
          <w:sz w:val="24"/>
          <w:szCs w:val="24"/>
          <w:lang w:val="en-GB"/>
        </w:rPr>
        <w:t xml:space="preserve">one has to bear in mind that </w:t>
      </w:r>
      <w:r w:rsidR="00776AD4" w:rsidRPr="009645E5">
        <w:rPr>
          <w:rFonts w:ascii="Times New Roman" w:hAnsi="Times New Roman" w:cs="Times New Roman"/>
          <w:sz w:val="24"/>
          <w:szCs w:val="24"/>
          <w:lang w:val="en-GB"/>
        </w:rPr>
        <w:t>the tort o</w:t>
      </w:r>
      <w:r w:rsidR="000F6F07">
        <w:rPr>
          <w:rFonts w:ascii="Times New Roman" w:hAnsi="Times New Roman" w:cs="Times New Roman"/>
          <w:sz w:val="24"/>
          <w:szCs w:val="24"/>
          <w:lang w:val="en-GB"/>
        </w:rPr>
        <w:t xml:space="preserve">f negligence does not impose on healthcare professionals </w:t>
      </w:r>
      <w:r w:rsidR="00776AD4" w:rsidRPr="009645E5">
        <w:rPr>
          <w:rFonts w:ascii="Times New Roman" w:hAnsi="Times New Roman" w:cs="Times New Roman"/>
          <w:sz w:val="24"/>
          <w:szCs w:val="24"/>
          <w:lang w:val="en-GB"/>
        </w:rPr>
        <w:t>a standard of perfection.  T</w:t>
      </w:r>
      <w:r w:rsidRPr="009645E5">
        <w:rPr>
          <w:rFonts w:ascii="Times New Roman" w:hAnsi="Times New Roman" w:cs="Times New Roman"/>
          <w:sz w:val="24"/>
          <w:szCs w:val="24"/>
          <w:lang w:val="en-GB"/>
        </w:rPr>
        <w:t xml:space="preserve">he law, predominately under the guise of </w:t>
      </w:r>
      <w:r w:rsidRPr="009645E5">
        <w:rPr>
          <w:rFonts w:ascii="Times New Roman" w:hAnsi="Times New Roman" w:cs="Times New Roman"/>
          <w:i/>
          <w:iCs/>
          <w:sz w:val="24"/>
          <w:szCs w:val="24"/>
          <w:lang w:val="en-GB"/>
        </w:rPr>
        <w:t>Bolam</w:t>
      </w:r>
      <w:r w:rsidRPr="009645E5">
        <w:rPr>
          <w:rFonts w:ascii="Times New Roman" w:hAnsi="Times New Roman" w:cs="Times New Roman"/>
          <w:sz w:val="24"/>
          <w:szCs w:val="24"/>
          <w:lang w:val="en-GB"/>
        </w:rPr>
        <w:t xml:space="preserve">, has </w:t>
      </w:r>
      <w:r w:rsidR="00776AD4" w:rsidRPr="009645E5">
        <w:rPr>
          <w:rFonts w:ascii="Times New Roman" w:hAnsi="Times New Roman" w:cs="Times New Roman"/>
          <w:sz w:val="24"/>
          <w:szCs w:val="24"/>
          <w:lang w:val="en-GB"/>
        </w:rPr>
        <w:t xml:space="preserve">therefore </w:t>
      </w:r>
      <w:r w:rsidRPr="009645E5">
        <w:rPr>
          <w:rFonts w:ascii="Times New Roman" w:hAnsi="Times New Roman" w:cs="Times New Roman"/>
          <w:sz w:val="24"/>
          <w:szCs w:val="24"/>
          <w:lang w:val="en-GB"/>
        </w:rPr>
        <w:t>always tried to allow a generous margin of appreciation for professional discretion and differences of opinion in defining the threshold for establishing breach. This is especially important in terms of CTG interpretation because, whilst detailed guidelines now exist, there is scope for professional disagreement in terms of what a reading may indicate at any given time.</w:t>
      </w:r>
      <w:r w:rsidRPr="009645E5">
        <w:rPr>
          <w:rFonts w:ascii="Times New Roman" w:eastAsia="Times New Roman Bold" w:hAnsi="Times New Roman" w:cs="Times New Roman"/>
          <w:sz w:val="24"/>
          <w:szCs w:val="24"/>
          <w:vertAlign w:val="superscript"/>
          <w:lang w:val="en-GB"/>
        </w:rPr>
        <w:footnoteReference w:id="50"/>
      </w:r>
    </w:p>
    <w:p w14:paraId="1EC3BF5F" w14:textId="745F6534" w:rsidR="005A51AF" w:rsidRPr="009645E5" w:rsidRDefault="00D70D82" w:rsidP="00E6743F">
      <w:pPr>
        <w:pStyle w:val="BodyA"/>
        <w:spacing w:line="360" w:lineRule="auto"/>
        <w:jc w:val="both"/>
        <w:rPr>
          <w:rFonts w:ascii="Times New Roman" w:eastAsia="Times New Roman Bold" w:hAnsi="Times New Roman" w:cs="Times New Roman"/>
          <w:sz w:val="24"/>
          <w:szCs w:val="24"/>
          <w:lang w:val="en-GB"/>
        </w:rPr>
      </w:pPr>
      <w:r w:rsidRPr="009645E5">
        <w:rPr>
          <w:rFonts w:ascii="Times New Roman" w:eastAsia="Times New Roman Bold" w:hAnsi="Times New Roman" w:cs="Times New Roman"/>
          <w:sz w:val="24"/>
          <w:szCs w:val="24"/>
          <w:lang w:val="en-GB"/>
        </w:rPr>
        <w:tab/>
      </w:r>
      <w:r w:rsidR="00270121" w:rsidRPr="009645E5">
        <w:rPr>
          <w:rFonts w:ascii="Times New Roman" w:eastAsia="Times New Roman Bold" w:hAnsi="Times New Roman" w:cs="Times New Roman"/>
          <w:sz w:val="24"/>
          <w:szCs w:val="24"/>
          <w:lang w:val="en-GB"/>
        </w:rPr>
        <w:t xml:space="preserve">At a glance, the question of CTG interpretation appears to demand </w:t>
      </w:r>
      <w:r w:rsidRPr="009645E5">
        <w:rPr>
          <w:rFonts w:ascii="Times New Roman" w:eastAsia="Times New Roman Bold" w:hAnsi="Times New Roman" w:cs="Times New Roman"/>
          <w:sz w:val="24"/>
          <w:szCs w:val="24"/>
          <w:lang w:val="en-GB"/>
        </w:rPr>
        <w:t xml:space="preserve">a predominantly factual inquiry.  Nonetheless, a concomitant question frequently arises which asks, based on the reading of the </w:t>
      </w:r>
      <w:r w:rsidR="00A34866" w:rsidRPr="009645E5">
        <w:rPr>
          <w:rFonts w:ascii="Times New Roman" w:eastAsia="Times New Roman Bold" w:hAnsi="Times New Roman" w:cs="Times New Roman"/>
          <w:sz w:val="24"/>
          <w:szCs w:val="24"/>
          <w:lang w:val="en-GB"/>
        </w:rPr>
        <w:t xml:space="preserve">CTG </w:t>
      </w:r>
      <w:r w:rsidRPr="009645E5">
        <w:rPr>
          <w:rFonts w:ascii="Times New Roman" w:eastAsia="Times New Roman Bold" w:hAnsi="Times New Roman" w:cs="Times New Roman"/>
          <w:sz w:val="24"/>
          <w:szCs w:val="24"/>
          <w:lang w:val="en-GB"/>
        </w:rPr>
        <w:t>trace, what ought to have</w:t>
      </w:r>
      <w:r w:rsidR="00A34866" w:rsidRPr="009645E5">
        <w:rPr>
          <w:rFonts w:ascii="Times New Roman" w:eastAsia="Times New Roman Bold" w:hAnsi="Times New Roman" w:cs="Times New Roman"/>
          <w:sz w:val="24"/>
          <w:szCs w:val="24"/>
          <w:lang w:val="en-GB"/>
        </w:rPr>
        <w:t xml:space="preserve"> happened in the circumstances.  </w:t>
      </w:r>
      <w:r w:rsidR="00270121" w:rsidRPr="009645E5">
        <w:rPr>
          <w:rFonts w:ascii="Times New Roman" w:eastAsia="Times New Roman Bold" w:hAnsi="Times New Roman" w:cs="Times New Roman"/>
          <w:sz w:val="24"/>
          <w:szCs w:val="24"/>
          <w:lang w:val="en-GB"/>
        </w:rPr>
        <w:t xml:space="preserve">It is commonly suggested that </w:t>
      </w:r>
      <w:r w:rsidRPr="009645E5">
        <w:rPr>
          <w:rFonts w:ascii="Times New Roman" w:eastAsia="Times New Roman Bold" w:hAnsi="Times New Roman" w:cs="Times New Roman"/>
          <w:sz w:val="24"/>
          <w:szCs w:val="24"/>
          <w:lang w:val="en-GB"/>
        </w:rPr>
        <w:t>further diagnostic procedures, such as a fetal blood sample (FBS)</w:t>
      </w:r>
      <w:r w:rsidR="00A34866" w:rsidRPr="009645E5">
        <w:rPr>
          <w:rFonts w:ascii="Times New Roman" w:eastAsia="Times New Roman Bold" w:hAnsi="Times New Roman" w:cs="Times New Roman"/>
          <w:sz w:val="24"/>
          <w:szCs w:val="24"/>
          <w:lang w:val="en-GB"/>
        </w:rPr>
        <w:t>,</w:t>
      </w:r>
      <w:r w:rsidRPr="009645E5">
        <w:rPr>
          <w:rFonts w:ascii="Times New Roman" w:eastAsia="Times New Roman Bold" w:hAnsi="Times New Roman" w:cs="Times New Roman"/>
          <w:sz w:val="24"/>
          <w:szCs w:val="24"/>
          <w:lang w:val="en-GB"/>
        </w:rPr>
        <w:t xml:space="preserve"> </w:t>
      </w:r>
      <w:r w:rsidR="00270121" w:rsidRPr="009645E5">
        <w:rPr>
          <w:rFonts w:ascii="Times New Roman" w:eastAsia="Times New Roman Bold" w:hAnsi="Times New Roman" w:cs="Times New Roman"/>
          <w:sz w:val="24"/>
          <w:szCs w:val="24"/>
          <w:lang w:val="en-GB"/>
        </w:rPr>
        <w:t xml:space="preserve">should </w:t>
      </w:r>
      <w:r w:rsidRPr="009645E5">
        <w:rPr>
          <w:rFonts w:ascii="Times New Roman" w:eastAsia="Times New Roman Bold" w:hAnsi="Times New Roman" w:cs="Times New Roman"/>
          <w:sz w:val="24"/>
          <w:szCs w:val="24"/>
          <w:lang w:val="en-GB"/>
        </w:rPr>
        <w:t>have been</w:t>
      </w:r>
      <w:r w:rsidR="00270121" w:rsidRPr="009645E5">
        <w:rPr>
          <w:rFonts w:ascii="Times New Roman" w:eastAsia="Times New Roman Bold" w:hAnsi="Times New Roman" w:cs="Times New Roman"/>
          <w:sz w:val="24"/>
          <w:szCs w:val="24"/>
          <w:lang w:val="en-GB"/>
        </w:rPr>
        <w:t xml:space="preserve"> performed at a prior point.  </w:t>
      </w:r>
      <w:r w:rsidR="00A34866" w:rsidRPr="009645E5">
        <w:rPr>
          <w:rFonts w:ascii="Times New Roman" w:eastAsia="Times New Roman Bold" w:hAnsi="Times New Roman" w:cs="Times New Roman"/>
          <w:sz w:val="24"/>
          <w:szCs w:val="24"/>
          <w:lang w:val="en-GB"/>
        </w:rPr>
        <w:t>A</w:t>
      </w:r>
      <w:r w:rsidRPr="009645E5">
        <w:rPr>
          <w:rFonts w:ascii="Times New Roman" w:eastAsia="Times New Roman Bold" w:hAnsi="Times New Roman" w:cs="Times New Roman"/>
          <w:sz w:val="24"/>
          <w:szCs w:val="24"/>
          <w:lang w:val="en-GB"/>
        </w:rPr>
        <w:t xml:space="preserve">lternatively, </w:t>
      </w:r>
      <w:r w:rsidR="00270121" w:rsidRPr="009645E5">
        <w:rPr>
          <w:rFonts w:ascii="Times New Roman" w:eastAsia="Times New Roman Bold" w:hAnsi="Times New Roman" w:cs="Times New Roman"/>
          <w:sz w:val="24"/>
          <w:szCs w:val="24"/>
          <w:lang w:val="en-GB"/>
        </w:rPr>
        <w:t xml:space="preserve">it is often claimed that </w:t>
      </w:r>
      <w:r w:rsidRPr="009645E5">
        <w:rPr>
          <w:rFonts w:ascii="Times New Roman" w:eastAsia="Times New Roman Bold" w:hAnsi="Times New Roman" w:cs="Times New Roman"/>
          <w:sz w:val="24"/>
          <w:szCs w:val="24"/>
          <w:lang w:val="en-GB"/>
        </w:rPr>
        <w:t xml:space="preserve">a decision </w:t>
      </w:r>
      <w:r w:rsidR="00270121" w:rsidRPr="009645E5">
        <w:rPr>
          <w:rFonts w:ascii="Times New Roman" w:eastAsia="Times New Roman Bold" w:hAnsi="Times New Roman" w:cs="Times New Roman"/>
          <w:sz w:val="24"/>
          <w:szCs w:val="24"/>
          <w:lang w:val="en-GB"/>
        </w:rPr>
        <w:t xml:space="preserve">should </w:t>
      </w:r>
      <w:r w:rsidRPr="009645E5">
        <w:rPr>
          <w:rFonts w:ascii="Times New Roman" w:eastAsia="Times New Roman Bold" w:hAnsi="Times New Roman" w:cs="Times New Roman"/>
          <w:sz w:val="24"/>
          <w:szCs w:val="24"/>
          <w:lang w:val="en-GB"/>
        </w:rPr>
        <w:t>have been m</w:t>
      </w:r>
      <w:r w:rsidR="00A20B44" w:rsidRPr="009645E5">
        <w:rPr>
          <w:rFonts w:ascii="Times New Roman" w:eastAsia="Times New Roman Bold" w:hAnsi="Times New Roman" w:cs="Times New Roman"/>
          <w:sz w:val="24"/>
          <w:szCs w:val="24"/>
          <w:lang w:val="en-GB"/>
        </w:rPr>
        <w:t>ade to intervene by means of a c</w:t>
      </w:r>
      <w:r w:rsidR="00270121" w:rsidRPr="009645E5">
        <w:rPr>
          <w:rFonts w:ascii="Times New Roman" w:eastAsia="Times New Roman Bold" w:hAnsi="Times New Roman" w:cs="Times New Roman"/>
          <w:sz w:val="24"/>
          <w:szCs w:val="24"/>
          <w:lang w:val="en-GB"/>
        </w:rPr>
        <w:t>aesarean</w:t>
      </w:r>
      <w:r w:rsidR="00B32900" w:rsidRPr="009645E5">
        <w:rPr>
          <w:rFonts w:ascii="Times New Roman" w:eastAsia="Times New Roman Bold" w:hAnsi="Times New Roman" w:cs="Times New Roman"/>
          <w:sz w:val="24"/>
          <w:szCs w:val="24"/>
          <w:lang w:val="en-GB"/>
        </w:rPr>
        <w:t xml:space="preserve"> section</w:t>
      </w:r>
      <w:r w:rsidR="00270121" w:rsidRPr="009645E5">
        <w:rPr>
          <w:rFonts w:ascii="Times New Roman" w:eastAsia="Times New Roman Bold" w:hAnsi="Times New Roman" w:cs="Times New Roman"/>
          <w:sz w:val="24"/>
          <w:szCs w:val="24"/>
          <w:lang w:val="en-GB"/>
        </w:rPr>
        <w:t xml:space="preserve"> at an earlier stage.  </w:t>
      </w:r>
      <w:r w:rsidRPr="009645E5">
        <w:rPr>
          <w:rFonts w:ascii="Times New Roman" w:eastAsia="Times New Roman Bold" w:hAnsi="Times New Roman" w:cs="Times New Roman"/>
          <w:sz w:val="24"/>
          <w:szCs w:val="24"/>
          <w:lang w:val="en-GB"/>
        </w:rPr>
        <w:t xml:space="preserve">Faced with opposing experts, one suggesting that the CTG </w:t>
      </w:r>
      <w:r w:rsidR="00A34866" w:rsidRPr="009645E5">
        <w:rPr>
          <w:rFonts w:ascii="Times New Roman" w:eastAsia="Times New Roman Bold" w:hAnsi="Times New Roman" w:cs="Times New Roman"/>
          <w:sz w:val="24"/>
          <w:szCs w:val="24"/>
          <w:lang w:val="en-GB"/>
        </w:rPr>
        <w:t xml:space="preserve">trace </w:t>
      </w:r>
      <w:r w:rsidRPr="009645E5">
        <w:rPr>
          <w:rFonts w:ascii="Times New Roman" w:eastAsia="Times New Roman Bold" w:hAnsi="Times New Roman" w:cs="Times New Roman"/>
          <w:sz w:val="24"/>
          <w:szCs w:val="24"/>
          <w:lang w:val="en-GB"/>
        </w:rPr>
        <w:t xml:space="preserve">reading said one thing, and the other suggesting that it actually said something else, a judge is somewhat constrained in terms of what she can </w:t>
      </w:r>
      <w:r w:rsidR="009645E5" w:rsidRPr="009645E5">
        <w:rPr>
          <w:rFonts w:ascii="Times New Roman" w:eastAsia="Times New Roman Bold" w:hAnsi="Times New Roman" w:cs="Times New Roman"/>
          <w:sz w:val="24"/>
          <w:szCs w:val="24"/>
          <w:lang w:val="en-GB"/>
        </w:rPr>
        <w:t>do</w:t>
      </w:r>
      <w:r w:rsidR="00E6743F">
        <w:rPr>
          <w:rFonts w:ascii="Times New Roman" w:eastAsia="Times New Roman Bold" w:hAnsi="Times New Roman" w:cs="Times New Roman"/>
          <w:sz w:val="24"/>
          <w:szCs w:val="24"/>
          <w:lang w:val="en-GB"/>
        </w:rPr>
        <w:t xml:space="preserve"> </w:t>
      </w:r>
      <w:r w:rsidRPr="009645E5">
        <w:rPr>
          <w:rFonts w:ascii="Times New Roman" w:eastAsia="Times New Roman Bold" w:hAnsi="Times New Roman" w:cs="Times New Roman"/>
          <w:sz w:val="24"/>
          <w:szCs w:val="24"/>
          <w:lang w:val="en-GB"/>
        </w:rPr>
        <w:t xml:space="preserve">to scrutinise the expert opinion.  This is the paradigm situation in which the question of logic becomes naturally intertwined with the internal consistency of expert testimony.  An almost inescapable consequence of this is that the most convincing expert triumphs and so the normative inquiry into the </w:t>
      </w:r>
      <w:r w:rsidR="00D348F2" w:rsidRPr="009645E5">
        <w:rPr>
          <w:rFonts w:ascii="Times New Roman" w:eastAsia="Times New Roman Bold" w:hAnsi="Times New Roman" w:cs="Times New Roman"/>
          <w:sz w:val="24"/>
          <w:szCs w:val="24"/>
          <w:lang w:val="en-GB"/>
        </w:rPr>
        <w:t>‘</w:t>
      </w:r>
      <w:r w:rsidRPr="009645E5">
        <w:rPr>
          <w:rFonts w:ascii="Times New Roman" w:eastAsia="Times New Roman Bold" w:hAnsi="Times New Roman" w:cs="Times New Roman"/>
          <w:sz w:val="24"/>
          <w:szCs w:val="24"/>
          <w:lang w:val="en-GB"/>
        </w:rPr>
        <w:t>reasonableness</w:t>
      </w:r>
      <w:r w:rsidR="00D348F2" w:rsidRPr="009645E5">
        <w:rPr>
          <w:rFonts w:ascii="Times New Roman" w:eastAsia="Times New Roman Bold" w:hAnsi="Times New Roman" w:cs="Times New Roman"/>
          <w:sz w:val="24"/>
          <w:szCs w:val="24"/>
          <w:lang w:val="en-GB"/>
        </w:rPr>
        <w:t>’</w:t>
      </w:r>
      <w:r w:rsidRPr="009645E5">
        <w:rPr>
          <w:rFonts w:ascii="Times New Roman" w:eastAsia="Times New Roman Bold" w:hAnsi="Times New Roman" w:cs="Times New Roman"/>
          <w:sz w:val="24"/>
          <w:szCs w:val="24"/>
          <w:lang w:val="en-GB"/>
        </w:rPr>
        <w:t xml:space="preserve"> or otherwise of the co</w:t>
      </w:r>
      <w:r w:rsidR="00A34866" w:rsidRPr="009645E5">
        <w:rPr>
          <w:rFonts w:ascii="Times New Roman" w:eastAsia="Times New Roman Bold" w:hAnsi="Times New Roman" w:cs="Times New Roman"/>
          <w:sz w:val="24"/>
          <w:szCs w:val="24"/>
          <w:lang w:val="en-GB"/>
        </w:rPr>
        <w:t xml:space="preserve">nduct on the whole becomes lost </w:t>
      </w:r>
      <w:r w:rsidRPr="009645E5">
        <w:rPr>
          <w:rFonts w:ascii="Times New Roman" w:eastAsia="Times New Roman Bold" w:hAnsi="Times New Roman" w:cs="Times New Roman"/>
          <w:sz w:val="24"/>
          <w:szCs w:val="24"/>
          <w:lang w:val="en-GB"/>
        </w:rPr>
        <w:t>and almost inseparable from the issue of witness credibility.</w:t>
      </w:r>
      <w:r w:rsidRPr="009645E5">
        <w:rPr>
          <w:rFonts w:ascii="Times New Roman" w:eastAsia="Times New Roman Bold" w:hAnsi="Times New Roman" w:cs="Times New Roman"/>
          <w:sz w:val="24"/>
          <w:szCs w:val="24"/>
          <w:vertAlign w:val="superscript"/>
          <w:lang w:val="en-GB"/>
        </w:rPr>
        <w:footnoteReference w:id="51"/>
      </w:r>
      <w:r w:rsidRPr="009645E5">
        <w:rPr>
          <w:rFonts w:ascii="Times New Roman" w:hAnsi="Times New Roman" w:cs="Times New Roman"/>
          <w:sz w:val="24"/>
          <w:szCs w:val="24"/>
          <w:lang w:val="en-GB"/>
        </w:rPr>
        <w:t xml:space="preserve">  </w:t>
      </w:r>
    </w:p>
    <w:p w14:paraId="56915F80" w14:textId="1ED8C97B" w:rsidR="005A51AF" w:rsidRPr="009645E5" w:rsidRDefault="00D70D82">
      <w:pPr>
        <w:pStyle w:val="BodyA"/>
        <w:spacing w:line="360" w:lineRule="auto"/>
        <w:jc w:val="both"/>
        <w:rPr>
          <w:rFonts w:ascii="Times New Roman" w:eastAsia="Times New Roman Bold" w:hAnsi="Times New Roman" w:cs="Times New Roman"/>
          <w:sz w:val="24"/>
          <w:szCs w:val="24"/>
          <w:lang w:val="en-GB"/>
        </w:rPr>
      </w:pPr>
      <w:r w:rsidRPr="009645E5">
        <w:rPr>
          <w:rFonts w:ascii="Times New Roman" w:eastAsia="Times New Roman Bold" w:hAnsi="Times New Roman" w:cs="Times New Roman"/>
          <w:sz w:val="24"/>
          <w:szCs w:val="24"/>
          <w:lang w:val="en-GB"/>
        </w:rPr>
        <w:tab/>
        <w:t xml:space="preserve">In </w:t>
      </w:r>
      <w:r w:rsidRPr="009645E5">
        <w:rPr>
          <w:rFonts w:ascii="Times New Roman" w:hAnsi="Times New Roman" w:cs="Times New Roman"/>
          <w:i/>
          <w:iCs/>
          <w:sz w:val="24"/>
          <w:szCs w:val="24"/>
          <w:lang w:val="en-GB"/>
        </w:rPr>
        <w:t>Tippett v Guy</w:t>
      </w:r>
      <w:r w:rsidR="00D348F2" w:rsidRPr="009645E5">
        <w:rPr>
          <w:rFonts w:ascii="Times New Roman" w:hAnsi="Times New Roman" w:cs="Times New Roman"/>
          <w:i/>
          <w:iCs/>
          <w:sz w:val="24"/>
          <w:szCs w:val="24"/>
          <w:lang w:val="en-GB"/>
        </w:rPr>
        <w:t>’</w:t>
      </w:r>
      <w:r w:rsidRPr="009645E5">
        <w:rPr>
          <w:rFonts w:ascii="Times New Roman" w:hAnsi="Times New Roman" w:cs="Times New Roman"/>
          <w:i/>
          <w:iCs/>
          <w:sz w:val="24"/>
          <w:szCs w:val="24"/>
          <w:lang w:val="en-GB"/>
        </w:rPr>
        <w:t>s &amp; St Thomas</w:t>
      </w:r>
      <w:r w:rsidR="00D348F2" w:rsidRPr="009645E5">
        <w:rPr>
          <w:rFonts w:ascii="Times New Roman" w:hAnsi="Times New Roman" w:cs="Times New Roman"/>
          <w:i/>
          <w:iCs/>
          <w:sz w:val="24"/>
          <w:szCs w:val="24"/>
          <w:lang w:val="en-GB"/>
        </w:rPr>
        <w:t>’</w:t>
      </w:r>
      <w:r w:rsidRPr="009645E5">
        <w:rPr>
          <w:rFonts w:ascii="Times New Roman" w:hAnsi="Times New Roman" w:cs="Times New Roman"/>
          <w:i/>
          <w:iCs/>
          <w:sz w:val="24"/>
          <w:szCs w:val="24"/>
          <w:lang w:val="en-GB"/>
        </w:rPr>
        <w:t xml:space="preserve"> Hospital NHS Foundation Trust </w:t>
      </w:r>
      <w:r w:rsidRPr="009645E5">
        <w:rPr>
          <w:rFonts w:ascii="Times New Roman" w:hAnsi="Times New Roman" w:cs="Times New Roman"/>
          <w:sz w:val="24"/>
          <w:szCs w:val="24"/>
          <w:lang w:val="en-GB"/>
        </w:rPr>
        <w:t>the allegation was made that a midwi</w:t>
      </w:r>
      <w:r w:rsidR="001432C8" w:rsidRPr="009645E5">
        <w:rPr>
          <w:rFonts w:ascii="Times New Roman" w:hAnsi="Times New Roman" w:cs="Times New Roman"/>
          <w:sz w:val="24"/>
          <w:szCs w:val="24"/>
          <w:lang w:val="en-GB"/>
        </w:rPr>
        <w:t xml:space="preserve">fe had negligently interpreted and then discontinued </w:t>
      </w:r>
      <w:r w:rsidRPr="009645E5">
        <w:rPr>
          <w:rFonts w:ascii="Times New Roman" w:hAnsi="Times New Roman" w:cs="Times New Roman"/>
          <w:sz w:val="24"/>
          <w:szCs w:val="24"/>
          <w:lang w:val="en-GB"/>
        </w:rPr>
        <w:t>a CTG trace, when, in fact, she should have called for a medical review of the reading because it showed two decelerations of fetal heart rate.</w:t>
      </w:r>
      <w:r w:rsidRPr="009645E5">
        <w:rPr>
          <w:rFonts w:ascii="Times New Roman" w:eastAsia="Times New Roman Bold" w:hAnsi="Times New Roman" w:cs="Times New Roman"/>
          <w:sz w:val="24"/>
          <w:szCs w:val="24"/>
          <w:vertAlign w:val="superscript"/>
          <w:lang w:val="en-GB"/>
        </w:rPr>
        <w:footnoteReference w:id="52"/>
      </w:r>
      <w:r w:rsidRPr="009645E5">
        <w:rPr>
          <w:rFonts w:ascii="Times New Roman" w:hAnsi="Times New Roman" w:cs="Times New Roman"/>
          <w:sz w:val="24"/>
          <w:szCs w:val="24"/>
          <w:lang w:val="en-GB"/>
        </w:rPr>
        <w:t xml:space="preserve">  The case itself fell at the first hurdle because Dingeman J found, on the balance of probabilities, that the mother herself </w:t>
      </w:r>
      <w:r w:rsidR="001432C8" w:rsidRPr="009645E5">
        <w:rPr>
          <w:rFonts w:ascii="Times New Roman" w:hAnsi="Times New Roman" w:cs="Times New Roman"/>
          <w:sz w:val="24"/>
          <w:szCs w:val="24"/>
          <w:lang w:val="en-GB"/>
        </w:rPr>
        <w:t xml:space="preserve">had </w:t>
      </w:r>
      <w:r w:rsidRPr="009645E5">
        <w:rPr>
          <w:rFonts w:ascii="Times New Roman" w:hAnsi="Times New Roman" w:cs="Times New Roman"/>
          <w:sz w:val="24"/>
          <w:szCs w:val="24"/>
          <w:lang w:val="en-GB"/>
        </w:rPr>
        <w:t>removed the CTG trace and not the midwife.</w:t>
      </w:r>
      <w:r w:rsidRPr="009645E5">
        <w:rPr>
          <w:rFonts w:ascii="Times New Roman" w:eastAsia="Times New Roman Bold" w:hAnsi="Times New Roman" w:cs="Times New Roman"/>
          <w:sz w:val="24"/>
          <w:szCs w:val="24"/>
          <w:vertAlign w:val="superscript"/>
          <w:lang w:val="en-GB"/>
        </w:rPr>
        <w:footnoteReference w:id="53"/>
      </w:r>
      <w:r w:rsidR="002F4F44" w:rsidRPr="009645E5">
        <w:rPr>
          <w:rFonts w:ascii="Times New Roman" w:hAnsi="Times New Roman" w:cs="Times New Roman"/>
          <w:sz w:val="24"/>
          <w:szCs w:val="24"/>
          <w:lang w:val="en-GB"/>
        </w:rPr>
        <w:t xml:space="preserve">  I</w:t>
      </w:r>
      <w:r w:rsidRPr="009645E5">
        <w:rPr>
          <w:rFonts w:ascii="Times New Roman" w:hAnsi="Times New Roman" w:cs="Times New Roman"/>
          <w:sz w:val="24"/>
          <w:szCs w:val="24"/>
          <w:lang w:val="en-GB"/>
        </w:rPr>
        <w:t xml:space="preserve">n assessing what the CTG trace indicated before that point, Dingeman J, in evaluating the conflicting </w:t>
      </w:r>
      <w:r w:rsidRPr="009645E5">
        <w:rPr>
          <w:rFonts w:ascii="Times New Roman" w:hAnsi="Times New Roman" w:cs="Times New Roman"/>
          <w:sz w:val="24"/>
          <w:szCs w:val="24"/>
          <w:lang w:val="en-GB"/>
        </w:rPr>
        <w:lastRenderedPageBreak/>
        <w:t xml:space="preserve">expert testimony, </w:t>
      </w:r>
      <w:r w:rsidR="002F4F44" w:rsidRPr="009645E5">
        <w:rPr>
          <w:rFonts w:ascii="Times New Roman" w:hAnsi="Times New Roman" w:cs="Times New Roman"/>
          <w:sz w:val="24"/>
          <w:szCs w:val="24"/>
          <w:lang w:val="en-GB"/>
        </w:rPr>
        <w:t xml:space="preserve">also </w:t>
      </w:r>
      <w:r w:rsidRPr="009645E5">
        <w:rPr>
          <w:rFonts w:ascii="Times New Roman" w:hAnsi="Times New Roman" w:cs="Times New Roman"/>
          <w:sz w:val="24"/>
          <w:szCs w:val="24"/>
          <w:lang w:val="en-GB"/>
        </w:rPr>
        <w:t xml:space="preserve">concluded that the testimony of </w:t>
      </w:r>
      <w:r w:rsidR="001432C8" w:rsidRPr="009645E5">
        <w:rPr>
          <w:rFonts w:ascii="Times New Roman" w:hAnsi="Times New Roman" w:cs="Times New Roman"/>
          <w:sz w:val="24"/>
          <w:szCs w:val="24"/>
          <w:lang w:val="en-GB"/>
        </w:rPr>
        <w:t xml:space="preserve">the </w:t>
      </w:r>
      <w:r w:rsidRPr="009645E5">
        <w:rPr>
          <w:rFonts w:ascii="Times New Roman" w:hAnsi="Times New Roman" w:cs="Times New Roman"/>
          <w:sz w:val="24"/>
          <w:szCs w:val="24"/>
          <w:lang w:val="en-GB"/>
        </w:rPr>
        <w:t>claimant</w:t>
      </w:r>
      <w:r w:rsidR="00D348F2" w:rsidRPr="009645E5">
        <w:rPr>
          <w:rFonts w:ascii="Times New Roman" w:hAnsi="Times New Roman" w:cs="Times New Roman"/>
          <w:sz w:val="24"/>
          <w:szCs w:val="24"/>
          <w:lang w:val="en-GB"/>
        </w:rPr>
        <w:t>’</w:t>
      </w:r>
      <w:r w:rsidR="000275A4">
        <w:rPr>
          <w:rFonts w:ascii="Times New Roman" w:hAnsi="Times New Roman" w:cs="Times New Roman"/>
          <w:sz w:val="24"/>
          <w:szCs w:val="24"/>
          <w:lang w:val="en-GB"/>
        </w:rPr>
        <w:t xml:space="preserve">s expert was inconsistent with </w:t>
      </w:r>
      <w:r w:rsidR="000275A4" w:rsidRPr="000275A4">
        <w:rPr>
          <w:rFonts w:ascii="Times New Roman" w:hAnsi="Times New Roman" w:cs="Times New Roman"/>
          <w:color w:val="FF0000"/>
          <w:sz w:val="24"/>
          <w:szCs w:val="24"/>
          <w:lang w:val="en-GB"/>
        </w:rPr>
        <w:t>the</w:t>
      </w:r>
      <w:r w:rsidR="000275A4">
        <w:rPr>
          <w:rFonts w:ascii="Times New Roman" w:hAnsi="Times New Roman" w:cs="Times New Roman"/>
          <w:sz w:val="24"/>
          <w:szCs w:val="24"/>
          <w:lang w:val="en-GB"/>
        </w:rPr>
        <w:t xml:space="preserve"> </w:t>
      </w:r>
      <w:r w:rsidRPr="009645E5">
        <w:rPr>
          <w:rFonts w:ascii="Times New Roman" w:hAnsi="Times New Roman" w:cs="Times New Roman"/>
          <w:sz w:val="24"/>
          <w:szCs w:val="24"/>
          <w:lang w:val="en-GB"/>
        </w:rPr>
        <w:t>definition of a deceleration contained in the National Institute for Health and Clinical Excellence (NICE) guidelines relating to the use of CTG monitoring equipment.</w:t>
      </w:r>
      <w:r w:rsidRPr="009645E5">
        <w:rPr>
          <w:rFonts w:ascii="Times New Roman" w:eastAsia="Times New Roman Bold" w:hAnsi="Times New Roman" w:cs="Times New Roman"/>
          <w:sz w:val="24"/>
          <w:szCs w:val="24"/>
          <w:vertAlign w:val="superscript"/>
          <w:lang w:val="en-GB"/>
        </w:rPr>
        <w:footnoteReference w:id="54"/>
      </w:r>
      <w:r w:rsidRPr="009645E5">
        <w:rPr>
          <w:rFonts w:ascii="Times New Roman" w:hAnsi="Times New Roman" w:cs="Times New Roman"/>
          <w:sz w:val="24"/>
          <w:szCs w:val="24"/>
          <w:lang w:val="en-GB"/>
        </w:rPr>
        <w:t xml:space="preserve">  When analysed against this backdrop, the testimony of the defendant</w:t>
      </w:r>
      <w:r w:rsidR="00D348F2" w:rsidRPr="009645E5">
        <w:rPr>
          <w:rFonts w:ascii="Times New Roman" w:hAnsi="Times New Roman" w:cs="Times New Roman"/>
          <w:sz w:val="24"/>
          <w:szCs w:val="24"/>
          <w:lang w:val="en-GB"/>
        </w:rPr>
        <w:t>’</w:t>
      </w:r>
      <w:r w:rsidRPr="009645E5">
        <w:rPr>
          <w:rFonts w:ascii="Times New Roman" w:hAnsi="Times New Roman" w:cs="Times New Roman"/>
          <w:sz w:val="24"/>
          <w:szCs w:val="24"/>
          <w:lang w:val="en-GB"/>
        </w:rPr>
        <w:t>s witnesses, one of whom was involved in drafting the guidelines, seemed more plausible</w:t>
      </w:r>
      <w:r w:rsidR="00260216" w:rsidRPr="009645E5">
        <w:rPr>
          <w:rFonts w:ascii="Times New Roman" w:hAnsi="Times New Roman" w:cs="Times New Roman"/>
          <w:sz w:val="24"/>
          <w:szCs w:val="24"/>
          <w:lang w:val="en-GB"/>
        </w:rPr>
        <w:t>,</w:t>
      </w:r>
      <w:r w:rsidR="001432C8" w:rsidRPr="009645E5">
        <w:rPr>
          <w:rFonts w:ascii="Times New Roman" w:hAnsi="Times New Roman" w:cs="Times New Roman"/>
          <w:sz w:val="24"/>
          <w:szCs w:val="24"/>
          <w:lang w:val="en-GB"/>
        </w:rPr>
        <w:t xml:space="preserve"> whereas t</w:t>
      </w:r>
      <w:r w:rsidR="00260216" w:rsidRPr="009645E5">
        <w:rPr>
          <w:rFonts w:ascii="Times New Roman" w:hAnsi="Times New Roman" w:cs="Times New Roman"/>
          <w:sz w:val="24"/>
          <w:szCs w:val="24"/>
          <w:lang w:val="en-GB"/>
        </w:rPr>
        <w:t xml:space="preserve">he claimant’s expert testimony </w:t>
      </w:r>
      <w:r w:rsidRPr="009645E5">
        <w:rPr>
          <w:rFonts w:ascii="Times New Roman" w:hAnsi="Times New Roman" w:cs="Times New Roman"/>
          <w:sz w:val="24"/>
          <w:szCs w:val="24"/>
          <w:lang w:val="en-GB"/>
        </w:rPr>
        <w:t>was not logical.</w:t>
      </w:r>
      <w:r w:rsidR="001432C8" w:rsidRPr="009645E5">
        <w:rPr>
          <w:rFonts w:ascii="Times New Roman" w:eastAsia="Times New Roman Bold" w:hAnsi="Times New Roman" w:cs="Times New Roman"/>
          <w:sz w:val="24"/>
          <w:szCs w:val="24"/>
          <w:vertAlign w:val="superscript"/>
          <w:lang w:val="en-GB"/>
        </w:rPr>
        <w:footnoteReference w:id="55"/>
      </w:r>
      <w:r w:rsidR="00260216" w:rsidRPr="009645E5">
        <w:rPr>
          <w:rFonts w:ascii="Times New Roman" w:hAnsi="Times New Roman" w:cs="Times New Roman"/>
          <w:sz w:val="24"/>
          <w:szCs w:val="24"/>
          <w:lang w:val="en-GB"/>
        </w:rPr>
        <w:t xml:space="preserve">  Given that those two key findings </w:t>
      </w:r>
      <w:r w:rsidRPr="009645E5">
        <w:rPr>
          <w:rFonts w:ascii="Times New Roman" w:hAnsi="Times New Roman" w:cs="Times New Roman"/>
          <w:sz w:val="24"/>
          <w:szCs w:val="24"/>
          <w:lang w:val="en-GB"/>
        </w:rPr>
        <w:t>were resol</w:t>
      </w:r>
      <w:r w:rsidR="00260216" w:rsidRPr="009645E5">
        <w:rPr>
          <w:rFonts w:ascii="Times New Roman" w:hAnsi="Times New Roman" w:cs="Times New Roman"/>
          <w:sz w:val="24"/>
          <w:szCs w:val="24"/>
          <w:lang w:val="en-GB"/>
        </w:rPr>
        <w:t xml:space="preserve">ved in favour of the defendant, </w:t>
      </w:r>
      <w:r w:rsidRPr="009645E5">
        <w:rPr>
          <w:rFonts w:ascii="Times New Roman" w:hAnsi="Times New Roman" w:cs="Times New Roman"/>
          <w:sz w:val="24"/>
          <w:szCs w:val="24"/>
          <w:lang w:val="en-GB"/>
        </w:rPr>
        <w:t xml:space="preserve">a number of residual issues fell away which are perhaps worthy of </w:t>
      </w:r>
      <w:r w:rsidR="00260216" w:rsidRPr="009645E5">
        <w:rPr>
          <w:rFonts w:ascii="Times New Roman" w:hAnsi="Times New Roman" w:cs="Times New Roman"/>
          <w:sz w:val="24"/>
          <w:szCs w:val="24"/>
          <w:lang w:val="en-GB"/>
        </w:rPr>
        <w:t xml:space="preserve">further </w:t>
      </w:r>
      <w:r w:rsidRPr="009645E5">
        <w:rPr>
          <w:rFonts w:ascii="Times New Roman" w:hAnsi="Times New Roman" w:cs="Times New Roman"/>
          <w:sz w:val="24"/>
          <w:szCs w:val="24"/>
          <w:lang w:val="en-GB"/>
        </w:rPr>
        <w:t xml:space="preserve">consideration.  </w:t>
      </w:r>
    </w:p>
    <w:p w14:paraId="22098FFD" w14:textId="33948A24" w:rsidR="005A51AF" w:rsidRPr="009645E5" w:rsidRDefault="00270121" w:rsidP="00673788">
      <w:pPr>
        <w:pStyle w:val="BodyA"/>
        <w:spacing w:line="360" w:lineRule="auto"/>
        <w:jc w:val="both"/>
        <w:rPr>
          <w:rFonts w:ascii="Times New Roman" w:eastAsia="Times New Roman Bold" w:hAnsi="Times New Roman" w:cs="Times New Roman"/>
          <w:sz w:val="24"/>
          <w:szCs w:val="24"/>
          <w:lang w:val="en-GB"/>
        </w:rPr>
      </w:pPr>
      <w:r w:rsidRPr="009645E5">
        <w:rPr>
          <w:rFonts w:ascii="Times New Roman" w:eastAsia="Times New Roman Bold" w:hAnsi="Times New Roman" w:cs="Times New Roman"/>
          <w:sz w:val="24"/>
          <w:szCs w:val="24"/>
          <w:lang w:val="en-GB"/>
        </w:rPr>
        <w:tab/>
        <w:t xml:space="preserve">Ruling that there was no evidence of </w:t>
      </w:r>
      <w:r w:rsidR="00D70D82" w:rsidRPr="009645E5">
        <w:rPr>
          <w:rFonts w:ascii="Times New Roman" w:eastAsia="Times New Roman Bold" w:hAnsi="Times New Roman" w:cs="Times New Roman"/>
          <w:sz w:val="24"/>
          <w:szCs w:val="24"/>
          <w:lang w:val="en-GB"/>
        </w:rPr>
        <w:t>decelerations on the CTG trace</w:t>
      </w:r>
      <w:r w:rsidR="00260216" w:rsidRPr="009645E5">
        <w:rPr>
          <w:rFonts w:ascii="Times New Roman" w:eastAsia="Times New Roman Bold" w:hAnsi="Times New Roman" w:cs="Times New Roman"/>
          <w:sz w:val="24"/>
          <w:szCs w:val="24"/>
          <w:lang w:val="en-GB"/>
        </w:rPr>
        <w:t xml:space="preserve"> just before it was removed </w:t>
      </w:r>
      <w:r w:rsidR="00D70D82" w:rsidRPr="009645E5">
        <w:rPr>
          <w:rFonts w:ascii="Times New Roman" w:eastAsia="Times New Roman Bold" w:hAnsi="Times New Roman" w:cs="Times New Roman"/>
          <w:sz w:val="24"/>
          <w:szCs w:val="24"/>
          <w:lang w:val="en-GB"/>
        </w:rPr>
        <w:t xml:space="preserve">caused Dingeman J to conclude that the midwife was under no duty to call for a medical review, nor was she under a duty to tell the patient that the trace was not yet satisfactory during her </w:t>
      </w:r>
      <w:r w:rsidR="00260216" w:rsidRPr="009645E5">
        <w:rPr>
          <w:rFonts w:ascii="Times New Roman" w:eastAsia="Times New Roman Bold" w:hAnsi="Times New Roman" w:cs="Times New Roman"/>
          <w:sz w:val="24"/>
          <w:szCs w:val="24"/>
          <w:lang w:val="en-GB"/>
        </w:rPr>
        <w:t xml:space="preserve">previous </w:t>
      </w:r>
      <w:r w:rsidR="00D70D82" w:rsidRPr="009645E5">
        <w:rPr>
          <w:rFonts w:ascii="Times New Roman" w:eastAsia="Times New Roman Bold" w:hAnsi="Times New Roman" w:cs="Times New Roman"/>
          <w:sz w:val="24"/>
          <w:szCs w:val="24"/>
          <w:lang w:val="en-GB"/>
        </w:rPr>
        <w:t>checks.</w:t>
      </w:r>
      <w:r w:rsidR="00D70D82" w:rsidRPr="009645E5">
        <w:rPr>
          <w:rFonts w:ascii="Times New Roman" w:eastAsia="Times New Roman Bold" w:hAnsi="Times New Roman" w:cs="Times New Roman"/>
          <w:sz w:val="24"/>
          <w:szCs w:val="24"/>
          <w:vertAlign w:val="superscript"/>
          <w:lang w:val="en-GB"/>
        </w:rPr>
        <w:footnoteReference w:id="56"/>
      </w:r>
      <w:r w:rsidR="00260216" w:rsidRPr="009645E5">
        <w:rPr>
          <w:rFonts w:ascii="Times New Roman" w:hAnsi="Times New Roman" w:cs="Times New Roman"/>
          <w:sz w:val="24"/>
          <w:szCs w:val="24"/>
          <w:lang w:val="en-GB"/>
        </w:rPr>
        <w:t xml:space="preserve">  </w:t>
      </w:r>
      <w:r w:rsidR="00D70D82" w:rsidRPr="009645E5">
        <w:rPr>
          <w:rFonts w:ascii="Times New Roman" w:hAnsi="Times New Roman" w:cs="Times New Roman"/>
          <w:sz w:val="24"/>
          <w:szCs w:val="24"/>
          <w:lang w:val="en-GB"/>
        </w:rPr>
        <w:t xml:space="preserve">First, had there been any evidence of decelerations </w:t>
      </w:r>
      <w:r w:rsidRPr="009645E5">
        <w:rPr>
          <w:rFonts w:ascii="Times New Roman" w:hAnsi="Times New Roman" w:cs="Times New Roman"/>
          <w:sz w:val="24"/>
          <w:szCs w:val="24"/>
          <w:lang w:val="en-GB"/>
        </w:rPr>
        <w:t xml:space="preserve">identified </w:t>
      </w:r>
      <w:r w:rsidR="00D70D82" w:rsidRPr="009645E5">
        <w:rPr>
          <w:rFonts w:ascii="Times New Roman" w:hAnsi="Times New Roman" w:cs="Times New Roman"/>
          <w:sz w:val="24"/>
          <w:szCs w:val="24"/>
          <w:lang w:val="en-GB"/>
        </w:rPr>
        <w:t>beforehand, because</w:t>
      </w:r>
      <w:r w:rsidR="00260216" w:rsidRPr="009645E5">
        <w:rPr>
          <w:rFonts w:ascii="Times New Roman" w:hAnsi="Times New Roman" w:cs="Times New Roman"/>
          <w:sz w:val="24"/>
          <w:szCs w:val="24"/>
          <w:lang w:val="en-GB"/>
        </w:rPr>
        <w:t xml:space="preserve"> this was categorised as a high </w:t>
      </w:r>
      <w:r w:rsidR="00D70D82" w:rsidRPr="009645E5">
        <w:rPr>
          <w:rFonts w:ascii="Times New Roman" w:hAnsi="Times New Roman" w:cs="Times New Roman"/>
          <w:sz w:val="24"/>
          <w:szCs w:val="24"/>
          <w:lang w:val="en-GB"/>
        </w:rPr>
        <w:t xml:space="preserve">risk pregnancy, there almost certainly ought to have been a duty on the midwife to inform the patient about them. </w:t>
      </w:r>
      <w:r w:rsidR="00D70D82" w:rsidRPr="009645E5">
        <w:rPr>
          <w:rFonts w:ascii="Times New Roman" w:eastAsia="Times New Roman Bold" w:hAnsi="Times New Roman" w:cs="Times New Roman"/>
          <w:sz w:val="24"/>
          <w:szCs w:val="24"/>
          <w:vertAlign w:val="superscript"/>
          <w:lang w:val="en-GB"/>
        </w:rPr>
        <w:footnoteReference w:id="57"/>
      </w:r>
      <w:r w:rsidR="00673788">
        <w:rPr>
          <w:rFonts w:ascii="Times New Roman" w:hAnsi="Times New Roman" w:cs="Times New Roman"/>
          <w:sz w:val="24"/>
          <w:szCs w:val="24"/>
          <w:lang w:val="en-GB"/>
        </w:rPr>
        <w:t xml:space="preserve">  Beyond that </w:t>
      </w:r>
      <w:r w:rsidR="00D70D82" w:rsidRPr="009645E5">
        <w:rPr>
          <w:rFonts w:ascii="Times New Roman" w:hAnsi="Times New Roman" w:cs="Times New Roman"/>
          <w:sz w:val="24"/>
          <w:szCs w:val="24"/>
          <w:lang w:val="en-GB"/>
        </w:rPr>
        <w:t>it could even be argued that because of the recognition of the pregnancy as being high risk, even in the absence of decelerations, the midwife ought to have had a heightened sense of awareness in terms of what she communicated to the patient and how she</w:t>
      </w:r>
      <w:r w:rsidR="00260216" w:rsidRPr="009645E5">
        <w:rPr>
          <w:rFonts w:ascii="Times New Roman" w:hAnsi="Times New Roman" w:cs="Times New Roman"/>
          <w:sz w:val="24"/>
          <w:szCs w:val="24"/>
          <w:lang w:val="en-GB"/>
        </w:rPr>
        <w:t xml:space="preserve"> said it.  Had it been stressed </w:t>
      </w:r>
      <w:r w:rsidR="005D7797">
        <w:rPr>
          <w:rFonts w:ascii="Times New Roman" w:hAnsi="Times New Roman" w:cs="Times New Roman"/>
          <w:sz w:val="24"/>
          <w:szCs w:val="24"/>
          <w:lang w:val="en-GB"/>
        </w:rPr>
        <w:t xml:space="preserve">to </w:t>
      </w:r>
      <w:r w:rsidR="005D7797" w:rsidRPr="005D7797">
        <w:rPr>
          <w:rFonts w:ascii="Times New Roman" w:hAnsi="Times New Roman" w:cs="Times New Roman"/>
          <w:color w:val="FF2D21" w:themeColor="accent5"/>
          <w:sz w:val="24"/>
          <w:szCs w:val="24"/>
          <w:lang w:val="en-GB"/>
        </w:rPr>
        <w:t>the patient</w:t>
      </w:r>
      <w:r w:rsidR="005D7797">
        <w:rPr>
          <w:rFonts w:ascii="Times New Roman" w:hAnsi="Times New Roman" w:cs="Times New Roman"/>
          <w:sz w:val="24"/>
          <w:szCs w:val="24"/>
          <w:lang w:val="en-GB"/>
        </w:rPr>
        <w:t xml:space="preserve"> </w:t>
      </w:r>
      <w:r w:rsidR="00D70D82" w:rsidRPr="009645E5">
        <w:rPr>
          <w:rFonts w:ascii="Times New Roman" w:hAnsi="Times New Roman" w:cs="Times New Roman"/>
          <w:sz w:val="24"/>
          <w:szCs w:val="24"/>
          <w:lang w:val="en-GB"/>
        </w:rPr>
        <w:t>that this was a high risk pregnancy, that the CTG trace was at present unsatisfactory, and that it was important to keep it running in order to get a clearer picture of variability and accelerations</w:t>
      </w:r>
      <w:r w:rsidR="00D70D82" w:rsidRPr="009645E5">
        <w:rPr>
          <w:rFonts w:ascii="Times New Roman" w:eastAsia="Times New Roman Bold" w:hAnsi="Times New Roman" w:cs="Times New Roman"/>
          <w:sz w:val="24"/>
          <w:szCs w:val="24"/>
          <w:vertAlign w:val="superscript"/>
          <w:lang w:val="en-GB"/>
        </w:rPr>
        <w:footnoteReference w:id="58"/>
      </w:r>
      <w:r w:rsidR="00260216" w:rsidRPr="009645E5">
        <w:rPr>
          <w:rFonts w:ascii="Times New Roman" w:hAnsi="Times New Roman" w:cs="Times New Roman"/>
          <w:sz w:val="24"/>
          <w:szCs w:val="24"/>
          <w:lang w:val="en-GB"/>
        </w:rPr>
        <w:t xml:space="preserve">, </w:t>
      </w:r>
      <w:r w:rsidR="00D70D82" w:rsidRPr="009645E5">
        <w:rPr>
          <w:rFonts w:ascii="Times New Roman" w:hAnsi="Times New Roman" w:cs="Times New Roman"/>
          <w:sz w:val="24"/>
          <w:szCs w:val="24"/>
          <w:lang w:val="en-GB"/>
        </w:rPr>
        <w:t xml:space="preserve">the patient may have been </w:t>
      </w:r>
      <w:r w:rsidR="00260216" w:rsidRPr="009645E5">
        <w:rPr>
          <w:rFonts w:ascii="Times New Roman" w:hAnsi="Times New Roman" w:cs="Times New Roman"/>
          <w:sz w:val="24"/>
          <w:szCs w:val="24"/>
          <w:lang w:val="en-GB"/>
        </w:rPr>
        <w:t xml:space="preserve">more alert to the dangers and </w:t>
      </w:r>
      <w:r w:rsidR="00D70D82" w:rsidRPr="009645E5">
        <w:rPr>
          <w:rFonts w:ascii="Times New Roman" w:hAnsi="Times New Roman" w:cs="Times New Roman"/>
          <w:sz w:val="24"/>
          <w:szCs w:val="24"/>
          <w:lang w:val="en-GB"/>
        </w:rPr>
        <w:t>less inclined to remove the CTG herself.  This has to be considered i</w:t>
      </w:r>
      <w:r w:rsidR="00260216" w:rsidRPr="009645E5">
        <w:rPr>
          <w:rFonts w:ascii="Times New Roman" w:hAnsi="Times New Roman" w:cs="Times New Roman"/>
          <w:sz w:val="24"/>
          <w:szCs w:val="24"/>
          <w:lang w:val="en-GB"/>
        </w:rPr>
        <w:t>n the context of a secon</w:t>
      </w:r>
      <w:r w:rsidR="003B2DCC" w:rsidRPr="009645E5">
        <w:rPr>
          <w:rFonts w:ascii="Times New Roman" w:hAnsi="Times New Roman" w:cs="Times New Roman"/>
          <w:sz w:val="24"/>
          <w:szCs w:val="24"/>
          <w:lang w:val="en-GB"/>
        </w:rPr>
        <w:t xml:space="preserve">d issue, which brings the above </w:t>
      </w:r>
      <w:r w:rsidR="00260216" w:rsidRPr="009645E5">
        <w:rPr>
          <w:rFonts w:ascii="Times New Roman" w:hAnsi="Times New Roman" w:cs="Times New Roman"/>
          <w:sz w:val="24"/>
          <w:szCs w:val="24"/>
          <w:lang w:val="en-GB"/>
        </w:rPr>
        <w:t xml:space="preserve">more sharply into focus. </w:t>
      </w:r>
      <w:r w:rsidRPr="009645E5">
        <w:rPr>
          <w:rFonts w:ascii="Times New Roman" w:hAnsi="Times New Roman" w:cs="Times New Roman"/>
          <w:sz w:val="24"/>
          <w:szCs w:val="24"/>
          <w:lang w:val="en-GB"/>
        </w:rPr>
        <w:t xml:space="preserve">Dingeman J found </w:t>
      </w:r>
      <w:r w:rsidR="00D70D82" w:rsidRPr="009645E5">
        <w:rPr>
          <w:rFonts w:ascii="Times New Roman" w:hAnsi="Times New Roman" w:cs="Times New Roman"/>
          <w:sz w:val="24"/>
          <w:szCs w:val="24"/>
          <w:lang w:val="en-GB"/>
        </w:rPr>
        <w:t>that</w:t>
      </w:r>
      <w:r w:rsidR="00C454BD" w:rsidRPr="009645E5">
        <w:rPr>
          <w:rFonts w:ascii="Times New Roman" w:hAnsi="Times New Roman" w:cs="Times New Roman"/>
          <w:sz w:val="24"/>
          <w:szCs w:val="24"/>
          <w:lang w:val="en-GB"/>
        </w:rPr>
        <w:t xml:space="preserve">, </w:t>
      </w:r>
      <w:r w:rsidR="00D70D82" w:rsidRPr="009645E5">
        <w:rPr>
          <w:rFonts w:ascii="Times New Roman" w:hAnsi="Times New Roman" w:cs="Times New Roman"/>
          <w:sz w:val="24"/>
          <w:szCs w:val="24"/>
          <w:lang w:val="en-GB"/>
        </w:rPr>
        <w:t>had the CTG trace not been removed when it was</w:t>
      </w:r>
      <w:r w:rsidR="003B2DCC" w:rsidRPr="009645E5">
        <w:rPr>
          <w:rFonts w:ascii="Times New Roman" w:hAnsi="Times New Roman" w:cs="Times New Roman"/>
          <w:sz w:val="24"/>
          <w:szCs w:val="24"/>
          <w:lang w:val="en-GB"/>
        </w:rPr>
        <w:t xml:space="preserve"> </w:t>
      </w:r>
      <w:r w:rsidR="00D70D82" w:rsidRPr="009645E5">
        <w:rPr>
          <w:rFonts w:ascii="Times New Roman" w:hAnsi="Times New Roman" w:cs="Times New Roman"/>
          <w:sz w:val="24"/>
          <w:szCs w:val="24"/>
          <w:lang w:val="en-GB"/>
        </w:rPr>
        <w:t xml:space="preserve">it would </w:t>
      </w:r>
      <w:r w:rsidR="005E261E" w:rsidRPr="009645E5">
        <w:rPr>
          <w:rFonts w:ascii="Times New Roman" w:hAnsi="Times New Roman" w:cs="Times New Roman"/>
          <w:sz w:val="24"/>
          <w:szCs w:val="24"/>
          <w:lang w:val="en-GB"/>
        </w:rPr>
        <w:t xml:space="preserve">have </w:t>
      </w:r>
      <w:r w:rsidR="00260216" w:rsidRPr="009645E5">
        <w:rPr>
          <w:rFonts w:ascii="Times New Roman" w:hAnsi="Times New Roman" w:cs="Times New Roman"/>
          <w:sz w:val="24"/>
          <w:szCs w:val="24"/>
          <w:lang w:val="en-GB"/>
        </w:rPr>
        <w:t>c</w:t>
      </w:r>
      <w:r w:rsidR="003B2DCC" w:rsidRPr="009645E5">
        <w:rPr>
          <w:rFonts w:ascii="Times New Roman" w:hAnsi="Times New Roman" w:cs="Times New Roman"/>
          <w:sz w:val="24"/>
          <w:szCs w:val="24"/>
          <w:lang w:val="en-GB"/>
        </w:rPr>
        <w:t>ontinued to be unsatisfactory, and that t</w:t>
      </w:r>
      <w:r w:rsidR="00260216" w:rsidRPr="009645E5">
        <w:rPr>
          <w:rFonts w:ascii="Times New Roman" w:hAnsi="Times New Roman" w:cs="Times New Roman"/>
          <w:sz w:val="24"/>
          <w:szCs w:val="24"/>
          <w:lang w:val="en-GB"/>
        </w:rPr>
        <w:t xml:space="preserve">his </w:t>
      </w:r>
      <w:r w:rsidR="003B2DCC" w:rsidRPr="009645E5">
        <w:rPr>
          <w:rFonts w:ascii="Times New Roman" w:hAnsi="Times New Roman" w:cs="Times New Roman"/>
          <w:sz w:val="24"/>
          <w:szCs w:val="24"/>
          <w:lang w:val="en-GB"/>
        </w:rPr>
        <w:t xml:space="preserve">would have called for </w:t>
      </w:r>
      <w:r w:rsidR="00D70D82" w:rsidRPr="009645E5">
        <w:rPr>
          <w:rFonts w:ascii="Times New Roman" w:hAnsi="Times New Roman" w:cs="Times New Roman"/>
          <w:sz w:val="24"/>
          <w:szCs w:val="24"/>
          <w:lang w:val="en-GB"/>
        </w:rPr>
        <w:t>a further medical review some twenty-five minute later</w:t>
      </w:r>
      <w:r w:rsidR="003B2DCC" w:rsidRPr="009645E5">
        <w:rPr>
          <w:rFonts w:ascii="Times New Roman" w:hAnsi="Times New Roman" w:cs="Times New Roman"/>
          <w:sz w:val="24"/>
          <w:szCs w:val="24"/>
          <w:lang w:val="en-GB"/>
        </w:rPr>
        <w:t>.</w:t>
      </w:r>
      <w:r w:rsidR="00D70D82" w:rsidRPr="009645E5">
        <w:rPr>
          <w:rFonts w:ascii="Times New Roman" w:eastAsia="Times New Roman Bold" w:hAnsi="Times New Roman" w:cs="Times New Roman"/>
          <w:sz w:val="24"/>
          <w:szCs w:val="24"/>
          <w:vertAlign w:val="superscript"/>
          <w:lang w:val="en-GB"/>
        </w:rPr>
        <w:footnoteReference w:id="59"/>
      </w:r>
      <w:r w:rsidR="003B2DCC" w:rsidRPr="009645E5">
        <w:rPr>
          <w:rFonts w:ascii="Times New Roman" w:hAnsi="Times New Roman" w:cs="Times New Roman"/>
          <w:sz w:val="24"/>
          <w:szCs w:val="24"/>
          <w:lang w:val="en-GB"/>
        </w:rPr>
        <w:t xml:space="preserve">  </w:t>
      </w:r>
      <w:r w:rsidR="00D70D82" w:rsidRPr="009645E5">
        <w:rPr>
          <w:rFonts w:ascii="Times New Roman" w:hAnsi="Times New Roman" w:cs="Times New Roman"/>
          <w:sz w:val="24"/>
          <w:szCs w:val="24"/>
          <w:lang w:val="en-GB"/>
        </w:rPr>
        <w:t>This</w:t>
      </w:r>
      <w:r w:rsidR="003B2DCC" w:rsidRPr="009645E5">
        <w:rPr>
          <w:rFonts w:ascii="Times New Roman" w:hAnsi="Times New Roman" w:cs="Times New Roman"/>
          <w:sz w:val="24"/>
          <w:szCs w:val="24"/>
          <w:lang w:val="en-GB"/>
        </w:rPr>
        <w:t xml:space="preserve"> review</w:t>
      </w:r>
      <w:r w:rsidR="00D70D82" w:rsidRPr="009645E5">
        <w:rPr>
          <w:rFonts w:ascii="Times New Roman" w:hAnsi="Times New Roman" w:cs="Times New Roman"/>
          <w:sz w:val="24"/>
          <w:szCs w:val="24"/>
          <w:lang w:val="en-GB"/>
        </w:rPr>
        <w:t xml:space="preserve">, however, would </w:t>
      </w:r>
      <w:r w:rsidR="003B2DCC" w:rsidRPr="009645E5">
        <w:rPr>
          <w:rFonts w:ascii="Times New Roman" w:hAnsi="Times New Roman" w:cs="Times New Roman"/>
          <w:sz w:val="24"/>
          <w:szCs w:val="24"/>
          <w:lang w:val="en-GB"/>
        </w:rPr>
        <w:t>not have</w:t>
      </w:r>
      <w:r w:rsidR="00D70D82" w:rsidRPr="009645E5">
        <w:rPr>
          <w:rFonts w:ascii="Times New Roman" w:hAnsi="Times New Roman" w:cs="Times New Roman"/>
          <w:sz w:val="24"/>
          <w:szCs w:val="24"/>
          <w:lang w:val="en-GB"/>
        </w:rPr>
        <w:t xml:space="preserve"> triggered a more interventionist approach by way of caesarean</w:t>
      </w:r>
      <w:r w:rsidR="00B32900" w:rsidRPr="009645E5">
        <w:rPr>
          <w:rFonts w:ascii="Times New Roman" w:hAnsi="Times New Roman" w:cs="Times New Roman"/>
          <w:sz w:val="24"/>
          <w:szCs w:val="24"/>
          <w:lang w:val="en-GB"/>
        </w:rPr>
        <w:t xml:space="preserve"> section</w:t>
      </w:r>
      <w:r w:rsidR="003B2DCC" w:rsidRPr="009645E5">
        <w:rPr>
          <w:rFonts w:ascii="Times New Roman" w:hAnsi="Times New Roman" w:cs="Times New Roman"/>
          <w:sz w:val="24"/>
          <w:szCs w:val="24"/>
          <w:lang w:val="en-GB"/>
        </w:rPr>
        <w:t>, it would only have led to a request for further CGT monitoring</w:t>
      </w:r>
      <w:r w:rsidR="00D70D82" w:rsidRPr="009645E5">
        <w:rPr>
          <w:rFonts w:ascii="Times New Roman" w:hAnsi="Times New Roman" w:cs="Times New Roman"/>
          <w:sz w:val="24"/>
          <w:szCs w:val="24"/>
          <w:lang w:val="en-GB"/>
        </w:rPr>
        <w:t>.</w:t>
      </w:r>
      <w:r w:rsidR="00D70D82" w:rsidRPr="009645E5">
        <w:rPr>
          <w:rFonts w:ascii="Times New Roman" w:eastAsia="Times New Roman Bold" w:hAnsi="Times New Roman" w:cs="Times New Roman"/>
          <w:sz w:val="24"/>
          <w:szCs w:val="24"/>
          <w:vertAlign w:val="superscript"/>
          <w:lang w:val="en-GB"/>
        </w:rPr>
        <w:footnoteReference w:id="60"/>
      </w:r>
      <w:r w:rsidR="00A72965" w:rsidRPr="009645E5">
        <w:rPr>
          <w:rFonts w:ascii="Times New Roman" w:hAnsi="Times New Roman" w:cs="Times New Roman"/>
          <w:sz w:val="24"/>
          <w:szCs w:val="24"/>
          <w:lang w:val="en-GB"/>
        </w:rPr>
        <w:t xml:space="preserve">  It is difficult to discern from this a convincing explanation as to why the expectation of swifter intervention would have </w:t>
      </w:r>
      <w:r w:rsidR="00A72965" w:rsidRPr="009645E5">
        <w:rPr>
          <w:rFonts w:ascii="Times New Roman" w:hAnsi="Times New Roman" w:cs="Times New Roman"/>
          <w:sz w:val="24"/>
          <w:szCs w:val="24"/>
          <w:lang w:val="en-GB"/>
        </w:rPr>
        <w:lastRenderedPageBreak/>
        <w:t xml:space="preserve">been so unreasonable, nor is there any persuasive justification for the proposition that not acting in a more assertive manner would have </w:t>
      </w:r>
      <w:r w:rsidR="000269F9" w:rsidRPr="009645E5">
        <w:rPr>
          <w:rFonts w:ascii="Times New Roman" w:hAnsi="Times New Roman" w:cs="Times New Roman"/>
          <w:sz w:val="24"/>
          <w:szCs w:val="24"/>
          <w:lang w:val="en-GB"/>
        </w:rPr>
        <w:t xml:space="preserve">actually been </w:t>
      </w:r>
      <w:r w:rsidR="00A72965" w:rsidRPr="009645E5">
        <w:rPr>
          <w:rFonts w:ascii="Times New Roman" w:hAnsi="Times New Roman" w:cs="Times New Roman"/>
          <w:sz w:val="24"/>
          <w:szCs w:val="24"/>
          <w:lang w:val="en-GB"/>
        </w:rPr>
        <w:t xml:space="preserve">responsible.  </w:t>
      </w:r>
      <w:r w:rsidR="00D70D82" w:rsidRPr="009645E5">
        <w:rPr>
          <w:rFonts w:ascii="Times New Roman" w:hAnsi="Times New Roman" w:cs="Times New Roman"/>
          <w:sz w:val="24"/>
          <w:szCs w:val="24"/>
          <w:lang w:val="en-GB"/>
        </w:rPr>
        <w:t xml:space="preserve">Whilst these points are largely hypothetical given the primary findings of fact, when considered against the more extensive background of reasonableness </w:t>
      </w:r>
      <w:r w:rsidR="00D70D82" w:rsidRPr="009645E5">
        <w:rPr>
          <w:rFonts w:ascii="Times New Roman" w:hAnsi="Times New Roman" w:cs="Times New Roman"/>
          <w:iCs/>
          <w:sz w:val="24"/>
          <w:szCs w:val="24"/>
          <w:lang w:val="en-GB"/>
        </w:rPr>
        <w:t>in the circumstances</w:t>
      </w:r>
      <w:r w:rsidR="00A72965" w:rsidRPr="009645E5">
        <w:rPr>
          <w:rFonts w:ascii="Times New Roman" w:hAnsi="Times New Roman" w:cs="Times New Roman"/>
          <w:iCs/>
          <w:sz w:val="24"/>
          <w:szCs w:val="24"/>
          <w:lang w:val="en-GB"/>
        </w:rPr>
        <w:t>,</w:t>
      </w:r>
      <w:r w:rsidR="00D70D82" w:rsidRPr="009645E5">
        <w:rPr>
          <w:rFonts w:ascii="Times New Roman" w:hAnsi="Times New Roman" w:cs="Times New Roman"/>
          <w:i/>
          <w:iCs/>
          <w:sz w:val="24"/>
          <w:szCs w:val="24"/>
          <w:lang w:val="en-GB"/>
        </w:rPr>
        <w:t xml:space="preserve"> </w:t>
      </w:r>
      <w:r w:rsidR="00D70D82" w:rsidRPr="009645E5">
        <w:rPr>
          <w:rFonts w:ascii="Times New Roman" w:hAnsi="Times New Roman" w:cs="Times New Roman"/>
          <w:sz w:val="24"/>
          <w:szCs w:val="24"/>
          <w:lang w:val="en-GB"/>
        </w:rPr>
        <w:t>a slightly different picture begins to emerge</w:t>
      </w:r>
      <w:r w:rsidR="000B29EE" w:rsidRPr="009645E5">
        <w:rPr>
          <w:rFonts w:ascii="Times New Roman" w:hAnsi="Times New Roman" w:cs="Times New Roman"/>
          <w:sz w:val="24"/>
          <w:szCs w:val="24"/>
          <w:lang w:val="en-GB"/>
        </w:rPr>
        <w:t xml:space="preserve"> concerning the professional conduct </w:t>
      </w:r>
      <w:r w:rsidR="00D70D82" w:rsidRPr="009645E5">
        <w:rPr>
          <w:rFonts w:ascii="Times New Roman" w:hAnsi="Times New Roman" w:cs="Times New Roman"/>
          <w:sz w:val="24"/>
          <w:szCs w:val="24"/>
          <w:lang w:val="en-GB"/>
        </w:rPr>
        <w:t>when one acknowledges the high risk nature of the pregnancy coupled with a CTG trace that was not wholly satisfactory.</w:t>
      </w:r>
      <w:r w:rsidR="00D70D82" w:rsidRPr="009645E5">
        <w:rPr>
          <w:rFonts w:ascii="Times New Roman" w:eastAsia="Times New Roman Bold" w:hAnsi="Times New Roman" w:cs="Times New Roman"/>
          <w:sz w:val="24"/>
          <w:szCs w:val="24"/>
          <w:vertAlign w:val="superscript"/>
          <w:lang w:val="en-GB"/>
        </w:rPr>
        <w:footnoteReference w:id="61"/>
      </w:r>
      <w:r w:rsidR="00D70D82" w:rsidRPr="009645E5">
        <w:rPr>
          <w:rFonts w:ascii="Times New Roman" w:hAnsi="Times New Roman" w:cs="Times New Roman"/>
          <w:sz w:val="24"/>
          <w:szCs w:val="24"/>
          <w:lang w:val="en-GB"/>
        </w:rPr>
        <w:t xml:space="preserve">  </w:t>
      </w:r>
    </w:p>
    <w:p w14:paraId="63E59242" w14:textId="3A579380" w:rsidR="005A51AF" w:rsidRPr="009645E5" w:rsidRDefault="00D70D82" w:rsidP="00673788">
      <w:pPr>
        <w:pStyle w:val="BodyA"/>
        <w:spacing w:line="360" w:lineRule="auto"/>
        <w:jc w:val="both"/>
        <w:rPr>
          <w:rFonts w:ascii="Times New Roman" w:eastAsia="Times New Roman Bold" w:hAnsi="Times New Roman" w:cs="Times New Roman"/>
          <w:sz w:val="24"/>
          <w:szCs w:val="24"/>
          <w:lang w:val="en-GB"/>
        </w:rPr>
      </w:pPr>
      <w:r w:rsidRPr="009645E5">
        <w:rPr>
          <w:rFonts w:ascii="Times New Roman" w:eastAsia="Times New Roman Bold" w:hAnsi="Times New Roman" w:cs="Times New Roman"/>
          <w:sz w:val="24"/>
          <w:szCs w:val="24"/>
          <w:lang w:val="en-GB"/>
        </w:rPr>
        <w:tab/>
      </w:r>
      <w:r w:rsidR="006740AB" w:rsidRPr="009645E5">
        <w:rPr>
          <w:rFonts w:ascii="Times New Roman" w:eastAsia="Times New Roman Bold" w:hAnsi="Times New Roman" w:cs="Times New Roman"/>
          <w:sz w:val="24"/>
          <w:szCs w:val="24"/>
          <w:lang w:val="en-GB"/>
        </w:rPr>
        <w:t xml:space="preserve">The plausibility of the lay witnesses was clearly the most influencing factor in </w:t>
      </w:r>
      <w:r w:rsidR="00766A54" w:rsidRPr="009645E5">
        <w:rPr>
          <w:rFonts w:ascii="Times New Roman" w:eastAsia="Times New Roman Bold" w:hAnsi="Times New Roman" w:cs="Times New Roman"/>
          <w:i/>
          <w:sz w:val="24"/>
          <w:szCs w:val="24"/>
          <w:lang w:val="en-GB"/>
        </w:rPr>
        <w:t>Tippett</w:t>
      </w:r>
      <w:r w:rsidR="006740AB" w:rsidRPr="009645E5">
        <w:rPr>
          <w:rFonts w:ascii="Times New Roman" w:eastAsia="Times New Roman Bold" w:hAnsi="Times New Roman" w:cs="Times New Roman"/>
          <w:sz w:val="24"/>
          <w:szCs w:val="24"/>
          <w:lang w:val="en-GB"/>
        </w:rPr>
        <w:t xml:space="preserve">, but </w:t>
      </w:r>
      <w:r w:rsidRPr="009645E5">
        <w:rPr>
          <w:rFonts w:ascii="Times New Roman" w:hAnsi="Times New Roman" w:cs="Times New Roman"/>
          <w:i/>
          <w:iCs/>
          <w:sz w:val="24"/>
          <w:szCs w:val="24"/>
          <w:lang w:val="en-GB"/>
        </w:rPr>
        <w:t xml:space="preserve">Chappell v Newcastle Upon Tyne Hospitals NHS Foundation Trust </w:t>
      </w:r>
      <w:r w:rsidRPr="009645E5">
        <w:rPr>
          <w:rFonts w:ascii="Times New Roman" w:hAnsi="Times New Roman" w:cs="Times New Roman"/>
          <w:sz w:val="24"/>
          <w:szCs w:val="24"/>
          <w:lang w:val="en-GB"/>
        </w:rPr>
        <w:t>reveals a similar attitude towards reliance on expert test</w:t>
      </w:r>
      <w:r w:rsidR="000269F9" w:rsidRPr="009645E5">
        <w:rPr>
          <w:rFonts w:ascii="Times New Roman" w:hAnsi="Times New Roman" w:cs="Times New Roman"/>
          <w:sz w:val="24"/>
          <w:szCs w:val="24"/>
          <w:lang w:val="en-GB"/>
        </w:rPr>
        <w:t xml:space="preserve">imony that advocates what might </w:t>
      </w:r>
      <w:r w:rsidRPr="009645E5">
        <w:rPr>
          <w:rFonts w:ascii="Times New Roman" w:hAnsi="Times New Roman" w:cs="Times New Roman"/>
          <w:sz w:val="24"/>
          <w:szCs w:val="24"/>
          <w:lang w:val="en-GB"/>
        </w:rPr>
        <w:t xml:space="preserve">best </w:t>
      </w:r>
      <w:r w:rsidR="000269F9" w:rsidRPr="009645E5">
        <w:rPr>
          <w:rFonts w:ascii="Times New Roman" w:hAnsi="Times New Roman" w:cs="Times New Roman"/>
          <w:sz w:val="24"/>
          <w:szCs w:val="24"/>
          <w:lang w:val="en-GB"/>
        </w:rPr>
        <w:t xml:space="preserve">be </w:t>
      </w:r>
      <w:r w:rsidR="00002370">
        <w:rPr>
          <w:rFonts w:ascii="Times New Roman" w:hAnsi="Times New Roman" w:cs="Times New Roman"/>
          <w:sz w:val="24"/>
          <w:szCs w:val="24"/>
          <w:lang w:val="en-GB"/>
        </w:rPr>
        <w:t xml:space="preserve">described as a </w:t>
      </w:r>
      <w:r w:rsidRPr="009645E5">
        <w:rPr>
          <w:rFonts w:ascii="Times New Roman" w:hAnsi="Times New Roman" w:cs="Times New Roman"/>
          <w:sz w:val="24"/>
          <w:szCs w:val="24"/>
          <w:lang w:val="en-GB"/>
        </w:rPr>
        <w:t>more cautious approach.</w:t>
      </w:r>
      <w:r w:rsidRPr="009645E5">
        <w:rPr>
          <w:rFonts w:ascii="Times New Roman" w:eastAsia="Times New Roman Bold" w:hAnsi="Times New Roman" w:cs="Times New Roman"/>
          <w:sz w:val="24"/>
          <w:szCs w:val="24"/>
          <w:vertAlign w:val="superscript"/>
          <w:lang w:val="en-GB"/>
        </w:rPr>
        <w:footnoteReference w:id="62"/>
      </w:r>
      <w:r w:rsidRPr="009645E5">
        <w:rPr>
          <w:rFonts w:ascii="Times New Roman" w:hAnsi="Times New Roman" w:cs="Times New Roman"/>
          <w:sz w:val="24"/>
          <w:szCs w:val="24"/>
          <w:lang w:val="en-GB"/>
        </w:rPr>
        <w:t xml:space="preserve">  The claimant alleged that a negligently administered Syntocinon infusion caused the mother</w:t>
      </w:r>
      <w:r w:rsidR="00D348F2" w:rsidRPr="009645E5">
        <w:rPr>
          <w:rFonts w:ascii="Times New Roman" w:hAnsi="Times New Roman" w:cs="Times New Roman"/>
          <w:sz w:val="24"/>
          <w:szCs w:val="24"/>
          <w:lang w:val="en-GB"/>
        </w:rPr>
        <w:t>’</w:t>
      </w:r>
      <w:r w:rsidRPr="009645E5">
        <w:rPr>
          <w:rFonts w:ascii="Times New Roman" w:hAnsi="Times New Roman" w:cs="Times New Roman"/>
          <w:sz w:val="24"/>
          <w:szCs w:val="24"/>
          <w:lang w:val="en-GB"/>
        </w:rPr>
        <w:t>s uterus to contract too frequently with an inadequate recovery time between contractions.</w:t>
      </w:r>
      <w:r w:rsidRPr="009645E5">
        <w:rPr>
          <w:rFonts w:ascii="Times New Roman" w:eastAsia="Times New Roman Bold" w:hAnsi="Times New Roman" w:cs="Times New Roman"/>
          <w:sz w:val="24"/>
          <w:szCs w:val="24"/>
          <w:vertAlign w:val="superscript"/>
          <w:lang w:val="en-GB"/>
        </w:rPr>
        <w:footnoteReference w:id="63"/>
      </w:r>
      <w:r w:rsidRPr="009645E5">
        <w:rPr>
          <w:rFonts w:ascii="Times New Roman" w:hAnsi="Times New Roman" w:cs="Times New Roman"/>
          <w:sz w:val="24"/>
          <w:szCs w:val="24"/>
          <w:lang w:val="en-GB"/>
        </w:rPr>
        <w:t xml:space="preserve">  This, it was claimed, added to the decision to allow labour to continue for too long a period, exposed the baby to a sustained period of chronic partial hypoxia which ultimately led to extensive brain damage.</w:t>
      </w:r>
      <w:r w:rsidRPr="009645E5">
        <w:rPr>
          <w:rFonts w:ascii="Times New Roman" w:eastAsia="Times New Roman Bold" w:hAnsi="Times New Roman" w:cs="Times New Roman"/>
          <w:sz w:val="24"/>
          <w:szCs w:val="24"/>
          <w:vertAlign w:val="superscript"/>
          <w:lang w:val="en-GB"/>
        </w:rPr>
        <w:footnoteReference w:id="64"/>
      </w:r>
      <w:r w:rsidRPr="009645E5">
        <w:rPr>
          <w:rFonts w:ascii="Times New Roman" w:hAnsi="Times New Roman" w:cs="Times New Roman"/>
          <w:sz w:val="24"/>
          <w:szCs w:val="24"/>
          <w:lang w:val="en-GB"/>
        </w:rPr>
        <w:t xml:space="preserve">  Whilst it was admitted that the increased dose of Syntocinon was </w:t>
      </w:r>
      <w:r w:rsidR="00D348F2" w:rsidRPr="009645E5">
        <w:rPr>
          <w:rFonts w:ascii="Times New Roman" w:hAnsi="Times New Roman" w:cs="Times New Roman"/>
          <w:sz w:val="24"/>
          <w:szCs w:val="24"/>
          <w:lang w:val="en-GB"/>
        </w:rPr>
        <w:t>‘</w:t>
      </w:r>
      <w:r w:rsidRPr="009645E5">
        <w:rPr>
          <w:rFonts w:ascii="Times New Roman" w:hAnsi="Times New Roman" w:cs="Times New Roman"/>
          <w:sz w:val="24"/>
          <w:szCs w:val="24"/>
          <w:lang w:val="en-GB"/>
        </w:rPr>
        <w:t>probably not the correct decision</w:t>
      </w:r>
      <w:r w:rsidR="00D348F2" w:rsidRPr="009645E5">
        <w:rPr>
          <w:rFonts w:ascii="Times New Roman" w:hAnsi="Times New Roman" w:cs="Times New Roman"/>
          <w:sz w:val="24"/>
          <w:szCs w:val="24"/>
          <w:lang w:val="en-GB"/>
        </w:rPr>
        <w:t>’</w:t>
      </w:r>
      <w:r w:rsidRPr="009645E5">
        <w:rPr>
          <w:rFonts w:ascii="Times New Roman" w:hAnsi="Times New Roman" w:cs="Times New Roman"/>
          <w:sz w:val="24"/>
          <w:szCs w:val="24"/>
          <w:lang w:val="en-GB"/>
        </w:rPr>
        <w:t>, there was no evidence that this error would have altered the overall outcome.</w:t>
      </w:r>
      <w:r w:rsidRPr="009645E5">
        <w:rPr>
          <w:rFonts w:ascii="Times New Roman" w:eastAsia="Times New Roman Bold" w:hAnsi="Times New Roman" w:cs="Times New Roman"/>
          <w:sz w:val="24"/>
          <w:szCs w:val="24"/>
          <w:vertAlign w:val="superscript"/>
          <w:lang w:val="en-GB"/>
        </w:rPr>
        <w:footnoteReference w:id="65"/>
      </w:r>
      <w:r w:rsidR="00673788">
        <w:rPr>
          <w:rFonts w:ascii="Times New Roman" w:hAnsi="Times New Roman" w:cs="Times New Roman"/>
          <w:sz w:val="24"/>
          <w:szCs w:val="24"/>
          <w:lang w:val="en-GB"/>
        </w:rPr>
        <w:t xml:space="preserve">  T</w:t>
      </w:r>
      <w:r w:rsidRPr="009645E5">
        <w:rPr>
          <w:rFonts w:ascii="Times New Roman" w:hAnsi="Times New Roman" w:cs="Times New Roman"/>
          <w:sz w:val="24"/>
          <w:szCs w:val="24"/>
          <w:lang w:val="en-GB"/>
        </w:rPr>
        <w:t xml:space="preserve">he main point of contention was what the CTG indicated at a certain point and what should have happened as a result.  The expert providing testimony on behalf of the claimant suggested that there were a number of factors that were indicative of the defendant being faced with </w:t>
      </w:r>
      <w:r w:rsidR="00D348F2" w:rsidRPr="009645E5">
        <w:rPr>
          <w:rFonts w:ascii="Times New Roman" w:hAnsi="Times New Roman" w:cs="Times New Roman"/>
          <w:sz w:val="24"/>
          <w:szCs w:val="24"/>
          <w:lang w:val="en-GB"/>
        </w:rPr>
        <w:t>‘</w:t>
      </w:r>
      <w:r w:rsidRPr="009645E5">
        <w:rPr>
          <w:rFonts w:ascii="Times New Roman" w:hAnsi="Times New Roman" w:cs="Times New Roman"/>
          <w:sz w:val="24"/>
          <w:szCs w:val="24"/>
          <w:lang w:val="en-GB"/>
        </w:rPr>
        <w:t>a very high risk scenario</w:t>
      </w:r>
      <w:r w:rsidR="00D348F2" w:rsidRPr="009645E5">
        <w:rPr>
          <w:rFonts w:ascii="Times New Roman" w:hAnsi="Times New Roman" w:cs="Times New Roman"/>
          <w:sz w:val="24"/>
          <w:szCs w:val="24"/>
          <w:lang w:val="en-GB"/>
        </w:rPr>
        <w:t>’</w:t>
      </w:r>
      <w:r w:rsidRPr="009645E5">
        <w:rPr>
          <w:rFonts w:ascii="Times New Roman" w:hAnsi="Times New Roman" w:cs="Times New Roman"/>
          <w:sz w:val="24"/>
          <w:szCs w:val="24"/>
          <w:lang w:val="en-GB"/>
        </w:rPr>
        <w:t>.</w:t>
      </w:r>
      <w:r w:rsidRPr="009645E5">
        <w:rPr>
          <w:rFonts w:ascii="Times New Roman" w:eastAsia="Times New Roman Bold" w:hAnsi="Times New Roman" w:cs="Times New Roman"/>
          <w:sz w:val="24"/>
          <w:szCs w:val="24"/>
          <w:vertAlign w:val="superscript"/>
          <w:lang w:val="en-GB"/>
        </w:rPr>
        <w:footnoteReference w:id="66"/>
      </w:r>
      <w:r w:rsidRPr="009645E5">
        <w:rPr>
          <w:rFonts w:ascii="Times New Roman" w:hAnsi="Times New Roman" w:cs="Times New Roman"/>
          <w:sz w:val="24"/>
          <w:szCs w:val="24"/>
          <w:lang w:val="en-GB"/>
        </w:rPr>
        <w:t xml:space="preserve">  These factors, coupled with a trace reading suggestive of fetal tachycardia and reduced baseline variability, meant that the risk of hypoxia </w:t>
      </w:r>
      <w:r w:rsidR="00D348F2" w:rsidRPr="009645E5">
        <w:rPr>
          <w:rFonts w:ascii="Times New Roman" w:hAnsi="Times New Roman" w:cs="Times New Roman"/>
          <w:sz w:val="24"/>
          <w:szCs w:val="24"/>
          <w:lang w:val="en-GB"/>
        </w:rPr>
        <w:t>‘</w:t>
      </w:r>
      <w:r w:rsidRPr="009645E5">
        <w:rPr>
          <w:rFonts w:ascii="Times New Roman" w:hAnsi="Times New Roman" w:cs="Times New Roman"/>
          <w:sz w:val="24"/>
          <w:szCs w:val="24"/>
          <w:lang w:val="en-GB"/>
        </w:rPr>
        <w:t>couldn</w:t>
      </w:r>
      <w:r w:rsidR="00D348F2" w:rsidRPr="009645E5">
        <w:rPr>
          <w:rFonts w:ascii="Times New Roman" w:hAnsi="Times New Roman" w:cs="Times New Roman"/>
          <w:sz w:val="24"/>
          <w:szCs w:val="24"/>
          <w:lang w:val="en-GB"/>
        </w:rPr>
        <w:t>’</w:t>
      </w:r>
      <w:r w:rsidRPr="009645E5">
        <w:rPr>
          <w:rFonts w:ascii="Times New Roman" w:hAnsi="Times New Roman" w:cs="Times New Roman"/>
          <w:sz w:val="24"/>
          <w:szCs w:val="24"/>
          <w:lang w:val="en-GB"/>
        </w:rPr>
        <w:t>t (sic) be ignored</w:t>
      </w:r>
      <w:r w:rsidR="00D348F2" w:rsidRPr="009645E5">
        <w:rPr>
          <w:rFonts w:ascii="Times New Roman" w:hAnsi="Times New Roman" w:cs="Times New Roman"/>
          <w:sz w:val="24"/>
          <w:szCs w:val="24"/>
          <w:lang w:val="en-GB"/>
        </w:rPr>
        <w:t>’</w:t>
      </w:r>
      <w:r w:rsidRPr="009645E5">
        <w:rPr>
          <w:rFonts w:ascii="Times New Roman" w:hAnsi="Times New Roman" w:cs="Times New Roman"/>
          <w:sz w:val="24"/>
          <w:szCs w:val="24"/>
          <w:lang w:val="en-GB"/>
        </w:rPr>
        <w:t>.</w:t>
      </w:r>
      <w:r w:rsidRPr="009645E5">
        <w:rPr>
          <w:rFonts w:ascii="Times New Roman" w:eastAsia="Times New Roman Bold" w:hAnsi="Times New Roman" w:cs="Times New Roman"/>
          <w:sz w:val="24"/>
          <w:szCs w:val="24"/>
          <w:vertAlign w:val="superscript"/>
          <w:lang w:val="en-GB"/>
        </w:rPr>
        <w:footnoteReference w:id="67"/>
      </w:r>
      <w:r w:rsidRPr="009645E5">
        <w:rPr>
          <w:rFonts w:ascii="Times New Roman" w:hAnsi="Times New Roman" w:cs="Times New Roman"/>
          <w:sz w:val="24"/>
          <w:szCs w:val="24"/>
          <w:lang w:val="en-GB"/>
        </w:rPr>
        <w:t xml:space="preserve">  Due to the presence of these worrying signs, a repeat FBS should have been undertaken</w:t>
      </w:r>
      <w:r w:rsidR="0065422E" w:rsidRPr="009645E5">
        <w:rPr>
          <w:rFonts w:ascii="Times New Roman" w:hAnsi="Times New Roman" w:cs="Times New Roman"/>
          <w:sz w:val="24"/>
          <w:szCs w:val="24"/>
          <w:lang w:val="en-GB"/>
        </w:rPr>
        <w:t xml:space="preserve">, a more senior doctor should have been involved at an earlier point in proceedings, </w:t>
      </w:r>
      <w:r w:rsidRPr="009645E5">
        <w:rPr>
          <w:rFonts w:ascii="Times New Roman" w:hAnsi="Times New Roman" w:cs="Times New Roman"/>
          <w:sz w:val="24"/>
          <w:szCs w:val="24"/>
          <w:lang w:val="en-GB"/>
        </w:rPr>
        <w:t>and the labour should only have reasonably been allowed to continue if was possible to obtain reassurance from the FBS that the fetus was in a good condition.</w:t>
      </w:r>
      <w:r w:rsidRPr="009645E5">
        <w:rPr>
          <w:rFonts w:ascii="Times New Roman" w:eastAsia="Times New Roman Bold" w:hAnsi="Times New Roman" w:cs="Times New Roman"/>
          <w:sz w:val="24"/>
          <w:szCs w:val="24"/>
          <w:vertAlign w:val="superscript"/>
          <w:lang w:val="en-GB"/>
        </w:rPr>
        <w:footnoteReference w:id="68"/>
      </w:r>
      <w:r w:rsidR="0065422E" w:rsidRPr="009645E5">
        <w:rPr>
          <w:rFonts w:ascii="Times New Roman" w:hAnsi="Times New Roman" w:cs="Times New Roman"/>
          <w:sz w:val="24"/>
          <w:szCs w:val="24"/>
          <w:lang w:val="en-GB"/>
        </w:rPr>
        <w:t xml:space="preserve">  </w:t>
      </w:r>
      <w:r w:rsidRPr="009645E5">
        <w:rPr>
          <w:rFonts w:ascii="Times New Roman" w:hAnsi="Times New Roman" w:cs="Times New Roman"/>
          <w:sz w:val="24"/>
          <w:szCs w:val="24"/>
          <w:lang w:val="en-GB"/>
        </w:rPr>
        <w:t>The defendant</w:t>
      </w:r>
      <w:r w:rsidR="00D348F2" w:rsidRPr="009645E5">
        <w:rPr>
          <w:rFonts w:ascii="Times New Roman" w:hAnsi="Times New Roman" w:cs="Times New Roman"/>
          <w:sz w:val="24"/>
          <w:szCs w:val="24"/>
          <w:lang w:val="en-GB"/>
        </w:rPr>
        <w:t>’</w:t>
      </w:r>
      <w:r w:rsidRPr="009645E5">
        <w:rPr>
          <w:rFonts w:ascii="Times New Roman" w:hAnsi="Times New Roman" w:cs="Times New Roman"/>
          <w:sz w:val="24"/>
          <w:szCs w:val="24"/>
          <w:lang w:val="en-GB"/>
        </w:rPr>
        <w:t xml:space="preserve">s expert disagreed; in his view </w:t>
      </w:r>
      <w:r w:rsidRPr="009645E5">
        <w:rPr>
          <w:rFonts w:ascii="Times New Roman" w:hAnsi="Times New Roman" w:cs="Times New Roman"/>
          <w:sz w:val="24"/>
          <w:szCs w:val="24"/>
          <w:lang w:val="en-GB"/>
        </w:rPr>
        <w:lastRenderedPageBreak/>
        <w:t>there was never any fetal heart abnormality illustrative of hypoxia on the trace.  Despite the admission of visible periods of reduced variability and rising fetal heart baseline ra</w:t>
      </w:r>
      <w:r w:rsidR="000275A4">
        <w:rPr>
          <w:rFonts w:ascii="Times New Roman" w:hAnsi="Times New Roman" w:cs="Times New Roman"/>
          <w:sz w:val="24"/>
          <w:szCs w:val="24"/>
          <w:lang w:val="en-GB"/>
        </w:rPr>
        <w:t xml:space="preserve">te being evident, McKenna J </w:t>
      </w:r>
      <w:r w:rsidR="000275A4" w:rsidRPr="000275A4">
        <w:rPr>
          <w:rFonts w:ascii="Times New Roman" w:hAnsi="Times New Roman" w:cs="Times New Roman"/>
          <w:color w:val="FF0000"/>
          <w:sz w:val="24"/>
          <w:szCs w:val="24"/>
          <w:lang w:val="en-GB"/>
        </w:rPr>
        <w:t>had</w:t>
      </w:r>
      <w:r w:rsidR="000275A4">
        <w:rPr>
          <w:rFonts w:ascii="Times New Roman" w:hAnsi="Times New Roman" w:cs="Times New Roman"/>
          <w:sz w:val="24"/>
          <w:szCs w:val="24"/>
          <w:lang w:val="en-GB"/>
        </w:rPr>
        <w:t xml:space="preserve"> </w:t>
      </w:r>
      <w:r w:rsidR="00D348F2" w:rsidRPr="009645E5">
        <w:rPr>
          <w:rFonts w:ascii="Times New Roman" w:hAnsi="Times New Roman" w:cs="Times New Roman"/>
          <w:sz w:val="24"/>
          <w:szCs w:val="24"/>
          <w:lang w:val="en-GB"/>
        </w:rPr>
        <w:t>‘</w:t>
      </w:r>
      <w:r w:rsidRPr="000275A4">
        <w:rPr>
          <w:rFonts w:ascii="Times New Roman" w:hAnsi="Times New Roman" w:cs="Times New Roman"/>
          <w:color w:val="FF0000"/>
          <w:sz w:val="24"/>
          <w:szCs w:val="24"/>
          <w:lang w:val="en-GB"/>
        </w:rPr>
        <w:t>no</w:t>
      </w:r>
      <w:r w:rsidRPr="009645E5">
        <w:rPr>
          <w:rFonts w:ascii="Times New Roman" w:hAnsi="Times New Roman" w:cs="Times New Roman"/>
          <w:sz w:val="24"/>
          <w:szCs w:val="24"/>
          <w:lang w:val="en-GB"/>
        </w:rPr>
        <w:t xml:space="preserve"> hesitation in </w:t>
      </w:r>
      <w:r w:rsidRPr="009645E5">
        <w:rPr>
          <w:rFonts w:ascii="Times New Roman" w:hAnsi="Times New Roman" w:cs="Times New Roman"/>
          <w:iCs/>
          <w:sz w:val="24"/>
          <w:szCs w:val="24"/>
          <w:lang w:val="en-GB"/>
        </w:rPr>
        <w:t>preferring</w:t>
      </w:r>
      <w:r w:rsidR="00D348F2" w:rsidRPr="009645E5">
        <w:rPr>
          <w:rFonts w:ascii="Times New Roman" w:hAnsi="Times New Roman" w:cs="Times New Roman"/>
          <w:sz w:val="24"/>
          <w:szCs w:val="24"/>
          <w:lang w:val="en-GB"/>
        </w:rPr>
        <w:t>’</w:t>
      </w:r>
      <w:r w:rsidRPr="009645E5">
        <w:rPr>
          <w:rFonts w:ascii="Times New Roman" w:eastAsia="Times New Roman Bold" w:hAnsi="Times New Roman" w:cs="Times New Roman"/>
          <w:sz w:val="24"/>
          <w:szCs w:val="24"/>
          <w:vertAlign w:val="superscript"/>
          <w:lang w:val="en-GB"/>
        </w:rPr>
        <w:footnoteReference w:id="69"/>
      </w:r>
      <w:r w:rsidR="0065422E" w:rsidRPr="009645E5">
        <w:rPr>
          <w:rFonts w:ascii="Times New Roman" w:hAnsi="Times New Roman" w:cs="Times New Roman"/>
          <w:sz w:val="24"/>
          <w:szCs w:val="24"/>
          <w:lang w:val="en-GB"/>
        </w:rPr>
        <w:t xml:space="preserve"> </w:t>
      </w:r>
      <w:r w:rsidRPr="009645E5">
        <w:rPr>
          <w:rFonts w:ascii="Times New Roman" w:hAnsi="Times New Roman" w:cs="Times New Roman"/>
          <w:sz w:val="24"/>
          <w:szCs w:val="24"/>
          <w:lang w:val="en-GB"/>
        </w:rPr>
        <w:t>the defendant</w:t>
      </w:r>
      <w:r w:rsidR="00D348F2" w:rsidRPr="009645E5">
        <w:rPr>
          <w:rFonts w:ascii="Times New Roman" w:hAnsi="Times New Roman" w:cs="Times New Roman"/>
          <w:sz w:val="24"/>
          <w:szCs w:val="24"/>
          <w:lang w:val="en-GB"/>
        </w:rPr>
        <w:t>’</w:t>
      </w:r>
      <w:r w:rsidR="008B3FCF" w:rsidRPr="009645E5">
        <w:rPr>
          <w:rFonts w:ascii="Times New Roman" w:hAnsi="Times New Roman" w:cs="Times New Roman"/>
          <w:sz w:val="24"/>
          <w:szCs w:val="24"/>
          <w:lang w:val="en-GB"/>
        </w:rPr>
        <w:t>s expert and the claim failed.</w:t>
      </w:r>
    </w:p>
    <w:p w14:paraId="55C708DD" w14:textId="74AA93D1" w:rsidR="00211229" w:rsidRPr="009645E5" w:rsidRDefault="00D70D82">
      <w:pPr>
        <w:pStyle w:val="BodyA"/>
        <w:spacing w:line="360" w:lineRule="auto"/>
        <w:jc w:val="both"/>
        <w:rPr>
          <w:rFonts w:ascii="Times New Roman" w:hAnsi="Times New Roman" w:cs="Times New Roman"/>
          <w:sz w:val="24"/>
          <w:szCs w:val="24"/>
          <w:lang w:val="en-GB"/>
        </w:rPr>
      </w:pPr>
      <w:r w:rsidRPr="009645E5">
        <w:rPr>
          <w:rFonts w:ascii="Times New Roman" w:eastAsia="Times New Roman Bold" w:hAnsi="Times New Roman" w:cs="Times New Roman"/>
          <w:sz w:val="24"/>
          <w:szCs w:val="24"/>
          <w:lang w:val="en-GB"/>
        </w:rPr>
        <w:tab/>
        <w:t>In view of Lord Scarman</w:t>
      </w:r>
      <w:r w:rsidR="00D348F2" w:rsidRPr="009645E5">
        <w:rPr>
          <w:rFonts w:ascii="Times New Roman" w:eastAsia="Times New Roman Bold" w:hAnsi="Times New Roman" w:cs="Times New Roman"/>
          <w:sz w:val="24"/>
          <w:szCs w:val="24"/>
          <w:lang w:val="en-GB"/>
        </w:rPr>
        <w:t>’</w:t>
      </w:r>
      <w:r w:rsidRPr="009645E5">
        <w:rPr>
          <w:rFonts w:ascii="Times New Roman" w:eastAsia="Times New Roman Bold" w:hAnsi="Times New Roman" w:cs="Times New Roman"/>
          <w:sz w:val="24"/>
          <w:szCs w:val="24"/>
          <w:lang w:val="en-GB"/>
        </w:rPr>
        <w:t xml:space="preserve">s </w:t>
      </w:r>
      <w:r w:rsidRPr="009645E5">
        <w:rPr>
          <w:rFonts w:ascii="Times New Roman" w:hAnsi="Times New Roman" w:cs="Times New Roman"/>
          <w:i/>
          <w:iCs/>
          <w:sz w:val="24"/>
          <w:szCs w:val="24"/>
          <w:lang w:val="en-GB"/>
        </w:rPr>
        <w:t>dictum</w:t>
      </w:r>
      <w:r w:rsidRPr="009645E5">
        <w:rPr>
          <w:rFonts w:ascii="Times New Roman" w:hAnsi="Times New Roman" w:cs="Times New Roman"/>
          <w:sz w:val="24"/>
          <w:szCs w:val="24"/>
          <w:lang w:val="en-GB"/>
        </w:rPr>
        <w:t xml:space="preserve"> in </w:t>
      </w:r>
      <w:r w:rsidRPr="009645E5">
        <w:rPr>
          <w:rFonts w:ascii="Times New Roman" w:hAnsi="Times New Roman" w:cs="Times New Roman"/>
          <w:i/>
          <w:iCs/>
          <w:sz w:val="24"/>
          <w:szCs w:val="24"/>
          <w:lang w:val="en-GB"/>
        </w:rPr>
        <w:t>Maynard v West Midlands Health Authority</w:t>
      </w:r>
      <w:r w:rsidRPr="009645E5">
        <w:rPr>
          <w:rFonts w:ascii="Times New Roman" w:eastAsia="Times New Roman Bold" w:hAnsi="Times New Roman" w:cs="Times New Roman"/>
          <w:sz w:val="24"/>
          <w:szCs w:val="24"/>
          <w:vertAlign w:val="superscript"/>
          <w:lang w:val="en-GB"/>
        </w:rPr>
        <w:footnoteReference w:id="70"/>
      </w:r>
      <w:r w:rsidRPr="009645E5">
        <w:rPr>
          <w:rFonts w:ascii="Times New Roman" w:hAnsi="Times New Roman" w:cs="Times New Roman"/>
          <w:sz w:val="24"/>
          <w:szCs w:val="24"/>
          <w:lang w:val="en-GB"/>
        </w:rPr>
        <w:t>, this particular turn of phrase is, if nothing else, curious.  Quite apart from that</w:t>
      </w:r>
      <w:r w:rsidR="008163EF">
        <w:rPr>
          <w:rFonts w:ascii="Times New Roman" w:hAnsi="Times New Roman" w:cs="Times New Roman"/>
          <w:sz w:val="24"/>
          <w:szCs w:val="24"/>
          <w:lang w:val="en-GB"/>
        </w:rPr>
        <w:t>,</w:t>
      </w:r>
      <w:r w:rsidRPr="009645E5">
        <w:rPr>
          <w:rFonts w:ascii="Times New Roman" w:hAnsi="Times New Roman" w:cs="Times New Roman"/>
          <w:sz w:val="24"/>
          <w:szCs w:val="24"/>
          <w:lang w:val="en-GB"/>
        </w:rPr>
        <w:t xml:space="preserve"> though</w:t>
      </w:r>
      <w:r w:rsidR="008163EF">
        <w:rPr>
          <w:rFonts w:ascii="Times New Roman" w:hAnsi="Times New Roman" w:cs="Times New Roman"/>
          <w:sz w:val="24"/>
          <w:szCs w:val="24"/>
          <w:lang w:val="en-GB"/>
        </w:rPr>
        <w:t>,</w:t>
      </w:r>
      <w:r w:rsidRPr="009645E5">
        <w:rPr>
          <w:rFonts w:ascii="Times New Roman" w:hAnsi="Times New Roman" w:cs="Times New Roman"/>
          <w:sz w:val="24"/>
          <w:szCs w:val="24"/>
          <w:lang w:val="en-GB"/>
        </w:rPr>
        <w:t xml:space="preserve"> the fragility of analysing matters from the perspective of logic once again becomes apparent.  Admittedly it is possible to suggest that the defendant expert</w:t>
      </w:r>
      <w:r w:rsidR="00D348F2" w:rsidRPr="009645E5">
        <w:rPr>
          <w:rFonts w:ascii="Times New Roman" w:hAnsi="Times New Roman" w:cs="Times New Roman"/>
          <w:sz w:val="24"/>
          <w:szCs w:val="24"/>
          <w:lang w:val="en-GB"/>
        </w:rPr>
        <w:t>’</w:t>
      </w:r>
      <w:r w:rsidRPr="009645E5">
        <w:rPr>
          <w:rFonts w:ascii="Times New Roman" w:hAnsi="Times New Roman" w:cs="Times New Roman"/>
          <w:sz w:val="24"/>
          <w:szCs w:val="24"/>
          <w:lang w:val="en-GB"/>
        </w:rPr>
        <w:t>s interpretation of the trace was not wholly illogical because he could attribute the presence of fetal tachycardia to the mother</w:t>
      </w:r>
      <w:r w:rsidR="00D348F2" w:rsidRPr="009645E5">
        <w:rPr>
          <w:rFonts w:ascii="Times New Roman" w:hAnsi="Times New Roman" w:cs="Times New Roman"/>
          <w:sz w:val="24"/>
          <w:szCs w:val="24"/>
          <w:lang w:val="en-GB"/>
        </w:rPr>
        <w:t>’</w:t>
      </w:r>
      <w:r w:rsidRPr="009645E5">
        <w:rPr>
          <w:rFonts w:ascii="Times New Roman" w:hAnsi="Times New Roman" w:cs="Times New Roman"/>
          <w:sz w:val="24"/>
          <w:szCs w:val="24"/>
          <w:lang w:val="en-GB"/>
        </w:rPr>
        <w:t>s existing fever and could also support his conclusion as to the absence of hypoxia by reference to the lack recurrent decelerations being present on the trace.</w:t>
      </w:r>
      <w:r w:rsidRPr="009645E5">
        <w:rPr>
          <w:rFonts w:ascii="Times New Roman" w:eastAsia="Times New Roman Bold" w:hAnsi="Times New Roman" w:cs="Times New Roman"/>
          <w:sz w:val="24"/>
          <w:szCs w:val="24"/>
          <w:vertAlign w:val="superscript"/>
          <w:lang w:val="en-GB"/>
        </w:rPr>
        <w:footnoteReference w:id="71"/>
      </w:r>
      <w:r w:rsidRPr="009645E5">
        <w:rPr>
          <w:rFonts w:ascii="Times New Roman" w:hAnsi="Times New Roman" w:cs="Times New Roman"/>
          <w:sz w:val="24"/>
          <w:szCs w:val="24"/>
          <w:lang w:val="en-GB"/>
        </w:rPr>
        <w:t xml:space="preserve">  </w:t>
      </w:r>
      <w:r w:rsidRPr="003032B2">
        <w:rPr>
          <w:rFonts w:ascii="Times New Roman" w:hAnsi="Times New Roman" w:cs="Times New Roman"/>
          <w:color w:val="FF0000"/>
          <w:sz w:val="24"/>
          <w:szCs w:val="24"/>
          <w:lang w:val="en-GB"/>
        </w:rPr>
        <w:t>In the context of a routine labour, this e</w:t>
      </w:r>
      <w:r w:rsidR="0065422E" w:rsidRPr="003032B2">
        <w:rPr>
          <w:rFonts w:ascii="Times New Roman" w:hAnsi="Times New Roman" w:cs="Times New Roman"/>
          <w:color w:val="FF0000"/>
          <w:sz w:val="24"/>
          <w:szCs w:val="24"/>
          <w:lang w:val="en-GB"/>
        </w:rPr>
        <w:t>vidence</w:t>
      </w:r>
      <w:r w:rsidR="000269F9" w:rsidRPr="003032B2">
        <w:rPr>
          <w:rFonts w:ascii="Times New Roman" w:hAnsi="Times New Roman" w:cs="Times New Roman"/>
          <w:color w:val="FF0000"/>
          <w:sz w:val="24"/>
          <w:szCs w:val="24"/>
          <w:lang w:val="en-GB"/>
        </w:rPr>
        <w:t xml:space="preserve"> would perhaps have been </w:t>
      </w:r>
      <w:r w:rsidR="003032B2" w:rsidRPr="003032B2">
        <w:rPr>
          <w:rFonts w:ascii="Times New Roman" w:hAnsi="Times New Roman" w:cs="Times New Roman"/>
          <w:color w:val="FF0000"/>
          <w:sz w:val="24"/>
          <w:szCs w:val="24"/>
          <w:lang w:val="en-GB"/>
        </w:rPr>
        <w:t xml:space="preserve">convincing, but if one takes a step back from this </w:t>
      </w:r>
      <w:r w:rsidRPr="003032B2">
        <w:rPr>
          <w:rFonts w:ascii="Times New Roman" w:hAnsi="Times New Roman" w:cs="Times New Roman"/>
          <w:color w:val="FF0000"/>
          <w:sz w:val="24"/>
          <w:szCs w:val="24"/>
          <w:lang w:val="en-GB"/>
        </w:rPr>
        <w:t>scenario</w:t>
      </w:r>
      <w:r w:rsidR="00211229" w:rsidRPr="003032B2">
        <w:rPr>
          <w:rFonts w:ascii="Times New Roman" w:hAnsi="Times New Roman" w:cs="Times New Roman"/>
          <w:color w:val="FF0000"/>
          <w:sz w:val="24"/>
          <w:szCs w:val="24"/>
          <w:lang w:val="en-GB"/>
        </w:rPr>
        <w:t xml:space="preserve"> </w:t>
      </w:r>
      <w:r w:rsidRPr="003032B2">
        <w:rPr>
          <w:rFonts w:ascii="Times New Roman" w:hAnsi="Times New Roman" w:cs="Times New Roman"/>
          <w:color w:val="FF0000"/>
          <w:sz w:val="24"/>
          <w:szCs w:val="24"/>
          <w:lang w:val="en-GB"/>
        </w:rPr>
        <w:t xml:space="preserve">a different argument can be constructed.  </w:t>
      </w:r>
    </w:p>
    <w:p w14:paraId="7928D466" w14:textId="5BC2244B" w:rsidR="005A51AF" w:rsidRPr="009645E5" w:rsidRDefault="00211229">
      <w:pPr>
        <w:pStyle w:val="BodyA"/>
        <w:spacing w:line="360" w:lineRule="auto"/>
        <w:jc w:val="both"/>
        <w:rPr>
          <w:rFonts w:ascii="Times New Roman" w:eastAsia="Times New Roman Bold" w:hAnsi="Times New Roman" w:cs="Times New Roman"/>
          <w:sz w:val="24"/>
          <w:szCs w:val="24"/>
          <w:lang w:val="en-GB"/>
        </w:rPr>
      </w:pPr>
      <w:r w:rsidRPr="009645E5">
        <w:rPr>
          <w:rFonts w:ascii="Times New Roman" w:hAnsi="Times New Roman" w:cs="Times New Roman"/>
          <w:sz w:val="24"/>
          <w:szCs w:val="24"/>
          <w:lang w:val="en-GB"/>
        </w:rPr>
        <w:tab/>
      </w:r>
      <w:r w:rsidR="00D70D82" w:rsidRPr="009645E5">
        <w:rPr>
          <w:rFonts w:ascii="Times New Roman" w:hAnsi="Times New Roman" w:cs="Times New Roman"/>
          <w:sz w:val="24"/>
          <w:szCs w:val="24"/>
          <w:lang w:val="en-GB"/>
        </w:rPr>
        <w:t>The claimant</w:t>
      </w:r>
      <w:r w:rsidR="00D348F2" w:rsidRPr="009645E5">
        <w:rPr>
          <w:rFonts w:ascii="Times New Roman" w:hAnsi="Times New Roman" w:cs="Times New Roman"/>
          <w:sz w:val="24"/>
          <w:szCs w:val="24"/>
          <w:lang w:val="en-GB"/>
        </w:rPr>
        <w:t>’</w:t>
      </w:r>
      <w:r w:rsidR="00D70D82" w:rsidRPr="009645E5">
        <w:rPr>
          <w:rFonts w:ascii="Times New Roman" w:hAnsi="Times New Roman" w:cs="Times New Roman"/>
          <w:sz w:val="24"/>
          <w:szCs w:val="24"/>
          <w:lang w:val="en-GB"/>
        </w:rPr>
        <w:t xml:space="preserve">s expert was right to consider the trace in the context of the surrounding circumstances.  There were a number of features that were </w:t>
      </w:r>
      <w:r w:rsidR="008B3FCF" w:rsidRPr="009645E5">
        <w:rPr>
          <w:rFonts w:ascii="Times New Roman" w:hAnsi="Times New Roman" w:cs="Times New Roman"/>
          <w:sz w:val="24"/>
          <w:szCs w:val="24"/>
          <w:lang w:val="en-GB"/>
        </w:rPr>
        <w:t xml:space="preserve">case specific </w:t>
      </w:r>
      <w:r w:rsidR="00D70D82" w:rsidRPr="009645E5">
        <w:rPr>
          <w:rFonts w:ascii="Times New Roman" w:hAnsi="Times New Roman" w:cs="Times New Roman"/>
          <w:sz w:val="24"/>
          <w:szCs w:val="24"/>
          <w:lang w:val="en-GB"/>
        </w:rPr>
        <w:t xml:space="preserve">and which marked </w:t>
      </w:r>
      <w:r w:rsidR="008B3FCF" w:rsidRPr="009645E5">
        <w:rPr>
          <w:rFonts w:ascii="Times New Roman" w:hAnsi="Times New Roman" w:cs="Times New Roman"/>
          <w:sz w:val="24"/>
          <w:szCs w:val="24"/>
          <w:lang w:val="en-GB"/>
        </w:rPr>
        <w:t xml:space="preserve">out this pregnancy </w:t>
      </w:r>
      <w:r w:rsidR="00D70D82" w:rsidRPr="009645E5">
        <w:rPr>
          <w:rFonts w:ascii="Times New Roman" w:hAnsi="Times New Roman" w:cs="Times New Roman"/>
          <w:sz w:val="24"/>
          <w:szCs w:val="24"/>
          <w:lang w:val="en-GB"/>
        </w:rPr>
        <w:t>as being high risk. The mot</w:t>
      </w:r>
      <w:r w:rsidRPr="009645E5">
        <w:rPr>
          <w:rFonts w:ascii="Times New Roman" w:hAnsi="Times New Roman" w:cs="Times New Roman"/>
          <w:sz w:val="24"/>
          <w:szCs w:val="24"/>
          <w:lang w:val="en-GB"/>
        </w:rPr>
        <w:t xml:space="preserve">her was only seventeen; she was </w:t>
      </w:r>
      <w:r w:rsidR="00D70D82" w:rsidRPr="009645E5">
        <w:rPr>
          <w:rFonts w:ascii="Times New Roman" w:hAnsi="Times New Roman" w:cs="Times New Roman"/>
          <w:sz w:val="24"/>
          <w:szCs w:val="24"/>
          <w:lang w:val="en-GB"/>
        </w:rPr>
        <w:t>42 weeks</w:t>
      </w:r>
      <w:r w:rsidRPr="009645E5">
        <w:rPr>
          <w:rFonts w:ascii="Times New Roman" w:hAnsi="Times New Roman" w:cs="Times New Roman"/>
          <w:sz w:val="24"/>
          <w:szCs w:val="24"/>
          <w:lang w:val="en-GB"/>
        </w:rPr>
        <w:t xml:space="preserve"> pregnant and hence overdue</w:t>
      </w:r>
      <w:r w:rsidR="00D70D82" w:rsidRPr="009645E5">
        <w:rPr>
          <w:rFonts w:ascii="Times New Roman" w:hAnsi="Times New Roman" w:cs="Times New Roman"/>
          <w:sz w:val="24"/>
          <w:szCs w:val="24"/>
          <w:lang w:val="en-GB"/>
        </w:rPr>
        <w:t>; she was being induced; she had a fever; and she had also dilated to 9cm two hours previously with no further progress.</w:t>
      </w:r>
      <w:r w:rsidR="00D70D82" w:rsidRPr="009645E5">
        <w:rPr>
          <w:rFonts w:ascii="Times New Roman" w:eastAsia="Times New Roman Bold" w:hAnsi="Times New Roman" w:cs="Times New Roman"/>
          <w:sz w:val="24"/>
          <w:szCs w:val="24"/>
          <w:vertAlign w:val="superscript"/>
          <w:lang w:val="en-GB"/>
        </w:rPr>
        <w:footnoteReference w:id="72"/>
      </w:r>
      <w:r w:rsidR="00D70D82" w:rsidRPr="009645E5">
        <w:rPr>
          <w:rFonts w:ascii="Times New Roman" w:hAnsi="Times New Roman" w:cs="Times New Roman"/>
          <w:sz w:val="24"/>
          <w:szCs w:val="24"/>
          <w:lang w:val="en-GB"/>
        </w:rPr>
        <w:t xml:space="preserve">  Add to these factors the evidence that the CTG trace reading was not entirely without concern, it is possible to suggest that the views of the claimant</w:t>
      </w:r>
      <w:r w:rsidR="00D348F2" w:rsidRPr="009645E5">
        <w:rPr>
          <w:rFonts w:ascii="Times New Roman" w:hAnsi="Times New Roman" w:cs="Times New Roman"/>
          <w:sz w:val="24"/>
          <w:szCs w:val="24"/>
          <w:lang w:val="en-GB"/>
        </w:rPr>
        <w:t>’</w:t>
      </w:r>
      <w:r w:rsidR="00D70D82" w:rsidRPr="009645E5">
        <w:rPr>
          <w:rFonts w:ascii="Times New Roman" w:hAnsi="Times New Roman" w:cs="Times New Roman"/>
          <w:sz w:val="24"/>
          <w:szCs w:val="24"/>
          <w:lang w:val="en-GB"/>
        </w:rPr>
        <w:t>s expert should not been have d</w:t>
      </w:r>
      <w:r w:rsidRPr="009645E5">
        <w:rPr>
          <w:rFonts w:ascii="Times New Roman" w:hAnsi="Times New Roman" w:cs="Times New Roman"/>
          <w:sz w:val="24"/>
          <w:szCs w:val="24"/>
          <w:lang w:val="en-GB"/>
        </w:rPr>
        <w:t xml:space="preserve">iscounted so easily.  Given the severity of consequence, it could be argued that it would not </w:t>
      </w:r>
      <w:r w:rsidR="00D70D82" w:rsidRPr="009645E5">
        <w:rPr>
          <w:rFonts w:ascii="Times New Roman" w:hAnsi="Times New Roman" w:cs="Times New Roman"/>
          <w:sz w:val="24"/>
          <w:szCs w:val="24"/>
          <w:lang w:val="en-GB"/>
        </w:rPr>
        <w:t xml:space="preserve">have </w:t>
      </w:r>
      <w:r w:rsidR="005E261E" w:rsidRPr="009645E5">
        <w:rPr>
          <w:rFonts w:ascii="Times New Roman" w:hAnsi="Times New Roman" w:cs="Times New Roman"/>
          <w:sz w:val="24"/>
          <w:szCs w:val="24"/>
          <w:lang w:val="en-GB"/>
        </w:rPr>
        <w:t>been</w:t>
      </w:r>
      <w:r w:rsidR="00D70D82" w:rsidRPr="009645E5">
        <w:rPr>
          <w:rFonts w:ascii="Times New Roman" w:hAnsi="Times New Roman" w:cs="Times New Roman"/>
          <w:sz w:val="24"/>
          <w:szCs w:val="24"/>
          <w:lang w:val="en-GB"/>
        </w:rPr>
        <w:t xml:space="preserve"> so ill-conce</w:t>
      </w:r>
      <w:r w:rsidR="00D61D16">
        <w:rPr>
          <w:rFonts w:ascii="Times New Roman" w:hAnsi="Times New Roman" w:cs="Times New Roman"/>
          <w:sz w:val="24"/>
          <w:szCs w:val="24"/>
          <w:lang w:val="en-GB"/>
        </w:rPr>
        <w:t xml:space="preserve">ived of McKenna J to accept the </w:t>
      </w:r>
      <w:r w:rsidR="00002370">
        <w:rPr>
          <w:rFonts w:ascii="Times New Roman" w:hAnsi="Times New Roman" w:cs="Times New Roman"/>
          <w:sz w:val="24"/>
          <w:szCs w:val="24"/>
          <w:lang w:val="en-GB"/>
        </w:rPr>
        <w:t xml:space="preserve">cautious </w:t>
      </w:r>
      <w:r w:rsidR="00D70D82" w:rsidRPr="009645E5">
        <w:rPr>
          <w:rFonts w:ascii="Times New Roman" w:hAnsi="Times New Roman" w:cs="Times New Roman"/>
          <w:sz w:val="24"/>
          <w:szCs w:val="24"/>
          <w:lang w:val="en-GB"/>
        </w:rPr>
        <w:t>approach</w:t>
      </w:r>
      <w:r w:rsidR="00002370">
        <w:rPr>
          <w:rFonts w:ascii="Times New Roman" w:hAnsi="Times New Roman" w:cs="Times New Roman"/>
          <w:sz w:val="24"/>
          <w:szCs w:val="24"/>
          <w:lang w:val="en-GB"/>
        </w:rPr>
        <w:t xml:space="preserve"> recommended </w:t>
      </w:r>
      <w:r w:rsidR="00D61D16">
        <w:rPr>
          <w:rFonts w:ascii="Times New Roman" w:hAnsi="Times New Roman" w:cs="Times New Roman"/>
          <w:sz w:val="24"/>
          <w:szCs w:val="24"/>
          <w:lang w:val="en-GB"/>
        </w:rPr>
        <w:t xml:space="preserve">by the claimant’s expert </w:t>
      </w:r>
      <w:r w:rsidR="00D70D82" w:rsidRPr="009645E5">
        <w:rPr>
          <w:rFonts w:ascii="Times New Roman" w:hAnsi="Times New Roman" w:cs="Times New Roman"/>
          <w:sz w:val="24"/>
          <w:szCs w:val="24"/>
          <w:lang w:val="en-GB"/>
        </w:rPr>
        <w:t xml:space="preserve">as representing </w:t>
      </w:r>
      <w:r w:rsidR="00002370">
        <w:rPr>
          <w:rFonts w:ascii="Times New Roman" w:hAnsi="Times New Roman" w:cs="Times New Roman"/>
          <w:sz w:val="24"/>
          <w:szCs w:val="24"/>
          <w:lang w:val="en-GB"/>
        </w:rPr>
        <w:t xml:space="preserve">a </w:t>
      </w:r>
      <w:r w:rsidR="00D70D82" w:rsidRPr="009645E5">
        <w:rPr>
          <w:rFonts w:ascii="Times New Roman" w:hAnsi="Times New Roman" w:cs="Times New Roman"/>
          <w:sz w:val="24"/>
          <w:szCs w:val="24"/>
          <w:lang w:val="en-GB"/>
        </w:rPr>
        <w:t xml:space="preserve">responsible body of medical </w:t>
      </w:r>
      <w:r w:rsidR="000275A4" w:rsidRPr="000275A4">
        <w:rPr>
          <w:rFonts w:ascii="Times New Roman" w:hAnsi="Times New Roman" w:cs="Times New Roman"/>
          <w:color w:val="FF0000"/>
          <w:sz w:val="24"/>
          <w:szCs w:val="24"/>
          <w:lang w:val="en-GB"/>
        </w:rPr>
        <w:t>opinion</w:t>
      </w:r>
      <w:r w:rsidR="000275A4">
        <w:rPr>
          <w:rFonts w:ascii="Times New Roman" w:hAnsi="Times New Roman" w:cs="Times New Roman"/>
          <w:sz w:val="24"/>
          <w:szCs w:val="24"/>
          <w:lang w:val="en-GB"/>
        </w:rPr>
        <w:t xml:space="preserve"> </w:t>
      </w:r>
      <w:r w:rsidR="00D70D82" w:rsidRPr="009645E5">
        <w:rPr>
          <w:rFonts w:ascii="Times New Roman" w:hAnsi="Times New Roman" w:cs="Times New Roman"/>
          <w:sz w:val="24"/>
          <w:szCs w:val="24"/>
          <w:lang w:val="en-GB"/>
        </w:rPr>
        <w:t>and the more</w:t>
      </w:r>
      <w:r w:rsidRPr="009645E5">
        <w:rPr>
          <w:rFonts w:ascii="Times New Roman" w:hAnsi="Times New Roman" w:cs="Times New Roman"/>
          <w:sz w:val="24"/>
          <w:szCs w:val="24"/>
          <w:lang w:val="en-GB"/>
        </w:rPr>
        <w:t xml:space="preserve"> risky approach as perhaps not.  </w:t>
      </w:r>
      <w:r w:rsidR="00D70D82" w:rsidRPr="009645E5">
        <w:rPr>
          <w:rFonts w:ascii="Times New Roman" w:hAnsi="Times New Roman" w:cs="Times New Roman"/>
          <w:sz w:val="24"/>
          <w:szCs w:val="24"/>
          <w:lang w:val="en-GB"/>
        </w:rPr>
        <w:t xml:space="preserve">If, for example, the defendant in </w:t>
      </w:r>
      <w:r w:rsidR="00D70D82" w:rsidRPr="009645E5">
        <w:rPr>
          <w:rFonts w:ascii="Times New Roman" w:hAnsi="Times New Roman" w:cs="Times New Roman"/>
          <w:i/>
          <w:iCs/>
          <w:sz w:val="24"/>
          <w:szCs w:val="24"/>
          <w:lang w:val="en-GB"/>
        </w:rPr>
        <w:t xml:space="preserve">Chappell </w:t>
      </w:r>
      <w:r w:rsidR="00D70D82" w:rsidRPr="009645E5">
        <w:rPr>
          <w:rFonts w:ascii="Times New Roman" w:hAnsi="Times New Roman" w:cs="Times New Roman"/>
          <w:sz w:val="24"/>
          <w:szCs w:val="24"/>
          <w:lang w:val="en-GB"/>
        </w:rPr>
        <w:t>had ordered a repeat FBS, or indeed had summoned a senior colleague, it may have uncovered something sinister at an earlier point which, in turn, may have caused the medical team to reassess the need to provide some type of intervention, especially given the precarious circumstances of the mother.  Whether or not this ultimately would have avoided the harm caused to the claimant is another matter, but, if the evidence pointed to the fact that i</w:t>
      </w:r>
      <w:r w:rsidR="00DA2FC6" w:rsidRPr="009645E5">
        <w:rPr>
          <w:rFonts w:ascii="Times New Roman" w:hAnsi="Times New Roman" w:cs="Times New Roman"/>
          <w:sz w:val="24"/>
          <w:szCs w:val="24"/>
          <w:lang w:val="en-GB"/>
        </w:rPr>
        <w:t xml:space="preserve">t may have done, it does shed a </w:t>
      </w:r>
      <w:r w:rsidR="00D70D82" w:rsidRPr="009645E5">
        <w:rPr>
          <w:rFonts w:ascii="Times New Roman" w:hAnsi="Times New Roman" w:cs="Times New Roman"/>
          <w:sz w:val="24"/>
          <w:szCs w:val="24"/>
          <w:lang w:val="en-GB"/>
        </w:rPr>
        <w:t>different light on proceedings.</w:t>
      </w:r>
      <w:r w:rsidR="00D70D82" w:rsidRPr="009645E5">
        <w:rPr>
          <w:rFonts w:ascii="Times New Roman" w:eastAsia="Times New Roman Bold" w:hAnsi="Times New Roman" w:cs="Times New Roman"/>
          <w:sz w:val="24"/>
          <w:szCs w:val="24"/>
          <w:vertAlign w:val="superscript"/>
          <w:lang w:val="en-GB"/>
        </w:rPr>
        <w:footnoteReference w:id="73"/>
      </w:r>
      <w:r w:rsidR="00D70D82" w:rsidRPr="009645E5">
        <w:rPr>
          <w:rFonts w:ascii="Times New Roman" w:hAnsi="Times New Roman" w:cs="Times New Roman"/>
          <w:sz w:val="24"/>
          <w:szCs w:val="24"/>
          <w:lang w:val="en-GB"/>
        </w:rPr>
        <w:t xml:space="preserve">  </w:t>
      </w:r>
      <w:r w:rsidR="00D70D82" w:rsidRPr="009645E5">
        <w:rPr>
          <w:rFonts w:ascii="Times New Roman" w:hAnsi="Times New Roman" w:cs="Times New Roman"/>
          <w:sz w:val="24"/>
          <w:szCs w:val="24"/>
          <w:lang w:val="en-GB"/>
        </w:rPr>
        <w:lastRenderedPageBreak/>
        <w:t>To use Mulheron</w:t>
      </w:r>
      <w:r w:rsidR="00D348F2" w:rsidRPr="009645E5">
        <w:rPr>
          <w:rFonts w:ascii="Times New Roman" w:hAnsi="Times New Roman" w:cs="Times New Roman"/>
          <w:sz w:val="24"/>
          <w:szCs w:val="24"/>
          <w:lang w:val="en-GB"/>
        </w:rPr>
        <w:t>’</w:t>
      </w:r>
      <w:r w:rsidR="00D70D82" w:rsidRPr="009645E5">
        <w:rPr>
          <w:rFonts w:ascii="Times New Roman" w:hAnsi="Times New Roman" w:cs="Times New Roman"/>
          <w:sz w:val="24"/>
          <w:szCs w:val="24"/>
          <w:lang w:val="en-GB"/>
        </w:rPr>
        <w:t>s example, this certainly seems to be a situation in which professional opinion overlooked a simple precaution that could, potentially, have avoided the adverse outcome for the patient.</w:t>
      </w:r>
      <w:r w:rsidR="00D70D82" w:rsidRPr="009645E5">
        <w:rPr>
          <w:rFonts w:ascii="Times New Roman" w:eastAsia="Times New Roman Bold" w:hAnsi="Times New Roman" w:cs="Times New Roman"/>
          <w:sz w:val="24"/>
          <w:szCs w:val="24"/>
          <w:vertAlign w:val="superscript"/>
          <w:lang w:val="en-GB"/>
        </w:rPr>
        <w:footnoteReference w:id="74"/>
      </w:r>
    </w:p>
    <w:p w14:paraId="2E6958DF" w14:textId="2062B68C" w:rsidR="005A51AF" w:rsidRPr="009645E5" w:rsidRDefault="00D70D82">
      <w:pPr>
        <w:pStyle w:val="BodyA"/>
        <w:spacing w:line="360" w:lineRule="auto"/>
        <w:jc w:val="both"/>
        <w:rPr>
          <w:rFonts w:ascii="Times New Roman" w:eastAsia="Times New Roman Bold" w:hAnsi="Times New Roman" w:cs="Times New Roman"/>
          <w:sz w:val="24"/>
          <w:szCs w:val="24"/>
          <w:lang w:val="en-GB"/>
        </w:rPr>
      </w:pPr>
      <w:r w:rsidRPr="009645E5">
        <w:rPr>
          <w:rFonts w:ascii="Times New Roman" w:eastAsia="Times New Roman Bold" w:hAnsi="Times New Roman" w:cs="Times New Roman"/>
          <w:sz w:val="24"/>
          <w:szCs w:val="24"/>
          <w:lang w:val="en-GB"/>
        </w:rPr>
        <w:tab/>
        <w:t>An immediate criticism of this may reside in the fact that the law of negligence should not be too quick to endorse claimant expert testimony ove</w:t>
      </w:r>
      <w:r w:rsidR="0053171F" w:rsidRPr="009645E5">
        <w:rPr>
          <w:rFonts w:ascii="Times New Roman" w:eastAsia="Times New Roman Bold" w:hAnsi="Times New Roman" w:cs="Times New Roman"/>
          <w:sz w:val="24"/>
          <w:szCs w:val="24"/>
          <w:lang w:val="en-GB"/>
        </w:rPr>
        <w:t xml:space="preserve">r and above that of the defence </w:t>
      </w:r>
      <w:r w:rsidRPr="009645E5">
        <w:rPr>
          <w:rFonts w:ascii="Times New Roman" w:eastAsia="Times New Roman Bold" w:hAnsi="Times New Roman" w:cs="Times New Roman"/>
          <w:sz w:val="24"/>
          <w:szCs w:val="24"/>
          <w:lang w:val="en-GB"/>
        </w:rPr>
        <w:t xml:space="preserve">simply because it advocates a more cautious approach in a given situation.  Holding doctors liable in childbirth cases because they do not opt to intervene at the first hint of anything untoward would be inimical to the exercise of professional discretion and would impose a duty beyond that of reasonableness.  </w:t>
      </w:r>
      <w:r w:rsidR="00195475" w:rsidRPr="009645E5">
        <w:rPr>
          <w:rFonts w:ascii="Times New Roman" w:eastAsia="Times New Roman Bold" w:hAnsi="Times New Roman" w:cs="Times New Roman"/>
          <w:sz w:val="24"/>
          <w:szCs w:val="24"/>
          <w:lang w:val="en-GB"/>
        </w:rPr>
        <w:t xml:space="preserve">Furthermore, a higher risk option may carry with it a significantly greater benefit for the patient and so to say that the least risk option is always indicative of a responsible body of medical opinion, and that the higher risk approach can never meet that threshold, would be counter-productive in the law of negligence.  </w:t>
      </w:r>
      <w:r w:rsidRPr="009645E5">
        <w:rPr>
          <w:rFonts w:ascii="Times New Roman" w:eastAsia="Times New Roman Bold" w:hAnsi="Times New Roman" w:cs="Times New Roman"/>
          <w:sz w:val="24"/>
          <w:szCs w:val="24"/>
          <w:lang w:val="en-GB"/>
        </w:rPr>
        <w:t>As fair a point as this may be, it is not actually necessar</w:t>
      </w:r>
      <w:r w:rsidR="00195475" w:rsidRPr="009645E5">
        <w:rPr>
          <w:rFonts w:ascii="Times New Roman" w:eastAsia="Times New Roman Bold" w:hAnsi="Times New Roman" w:cs="Times New Roman"/>
          <w:sz w:val="24"/>
          <w:szCs w:val="24"/>
          <w:lang w:val="en-GB"/>
        </w:rPr>
        <w:t xml:space="preserve">y to resort to the angle of the </w:t>
      </w:r>
      <w:r w:rsidR="00D348F2" w:rsidRPr="009645E5">
        <w:rPr>
          <w:rFonts w:ascii="Times New Roman" w:eastAsia="Times New Roman Bold" w:hAnsi="Times New Roman" w:cs="Times New Roman"/>
          <w:sz w:val="24"/>
          <w:szCs w:val="24"/>
          <w:lang w:val="en-GB"/>
        </w:rPr>
        <w:t>‘</w:t>
      </w:r>
      <w:r w:rsidRPr="009645E5">
        <w:rPr>
          <w:rFonts w:ascii="Times New Roman" w:eastAsia="Times New Roman Bold" w:hAnsi="Times New Roman" w:cs="Times New Roman"/>
          <w:sz w:val="24"/>
          <w:szCs w:val="24"/>
          <w:lang w:val="en-GB"/>
        </w:rPr>
        <w:t>least risk</w:t>
      </w:r>
      <w:r w:rsidR="00D348F2" w:rsidRPr="009645E5">
        <w:rPr>
          <w:rFonts w:ascii="Times New Roman" w:eastAsia="Times New Roman Bold" w:hAnsi="Times New Roman" w:cs="Times New Roman"/>
          <w:sz w:val="24"/>
          <w:szCs w:val="24"/>
          <w:lang w:val="en-GB"/>
        </w:rPr>
        <w:t>’</w:t>
      </w:r>
      <w:r w:rsidRPr="009645E5">
        <w:rPr>
          <w:rFonts w:ascii="Times New Roman" w:eastAsia="Times New Roman Bold" w:hAnsi="Times New Roman" w:cs="Times New Roman"/>
          <w:sz w:val="24"/>
          <w:szCs w:val="24"/>
          <w:lang w:val="en-GB"/>
        </w:rPr>
        <w:t xml:space="preserve"> approach</w:t>
      </w:r>
      <w:r w:rsidR="00195475" w:rsidRPr="009645E5">
        <w:rPr>
          <w:rFonts w:ascii="Times New Roman" w:eastAsia="Times New Roman Bold" w:hAnsi="Times New Roman" w:cs="Times New Roman"/>
          <w:sz w:val="24"/>
          <w:szCs w:val="24"/>
          <w:lang w:val="en-GB"/>
        </w:rPr>
        <w:t xml:space="preserve"> </w:t>
      </w:r>
      <w:r w:rsidRPr="009645E5">
        <w:rPr>
          <w:rFonts w:ascii="Times New Roman" w:eastAsia="Times New Roman Bold" w:hAnsi="Times New Roman" w:cs="Times New Roman"/>
          <w:sz w:val="24"/>
          <w:szCs w:val="24"/>
          <w:lang w:val="en-GB"/>
        </w:rPr>
        <w:t xml:space="preserve">to produce a different and more patient-orientated outcome in many of these cases.  Less tendentiously then, it is here </w:t>
      </w:r>
      <w:r w:rsidR="007F6D3F">
        <w:rPr>
          <w:rFonts w:ascii="Times New Roman" w:eastAsia="Times New Roman Bold" w:hAnsi="Times New Roman" w:cs="Times New Roman"/>
          <w:sz w:val="24"/>
          <w:szCs w:val="24"/>
          <w:lang w:val="en-GB"/>
        </w:rPr>
        <w:t xml:space="preserve">where considerations in regard </w:t>
      </w:r>
      <w:r w:rsidRPr="009645E5">
        <w:rPr>
          <w:rFonts w:ascii="Times New Roman" w:eastAsia="Times New Roman Bold" w:hAnsi="Times New Roman" w:cs="Times New Roman"/>
          <w:sz w:val="24"/>
          <w:szCs w:val="24"/>
          <w:lang w:val="en-GB"/>
        </w:rPr>
        <w:t xml:space="preserve">to the delicate balancing of risks versus benefits become incredibly important.  </w:t>
      </w:r>
    </w:p>
    <w:p w14:paraId="1A833AC1" w14:textId="6503DA7C" w:rsidR="005A51AF" w:rsidRPr="009645E5" w:rsidRDefault="00D70D82" w:rsidP="00673788">
      <w:pPr>
        <w:pStyle w:val="BodyA"/>
        <w:spacing w:line="360" w:lineRule="auto"/>
        <w:jc w:val="both"/>
        <w:rPr>
          <w:rFonts w:ascii="Times New Roman" w:eastAsia="Times New Roman Bold" w:hAnsi="Times New Roman" w:cs="Times New Roman"/>
          <w:sz w:val="24"/>
          <w:szCs w:val="24"/>
          <w:lang w:val="en-GB"/>
        </w:rPr>
      </w:pPr>
      <w:r w:rsidRPr="009645E5">
        <w:rPr>
          <w:rFonts w:ascii="Times New Roman" w:eastAsia="Times New Roman Bold" w:hAnsi="Times New Roman" w:cs="Times New Roman"/>
          <w:sz w:val="24"/>
          <w:szCs w:val="24"/>
          <w:lang w:val="en-GB"/>
        </w:rPr>
        <w:tab/>
        <w:t>A judge must bear in mind precisely what course of action the defendant</w:t>
      </w:r>
      <w:r w:rsidR="00D348F2" w:rsidRPr="009645E5">
        <w:rPr>
          <w:rFonts w:ascii="Times New Roman" w:eastAsia="Times New Roman Bold" w:hAnsi="Times New Roman" w:cs="Times New Roman"/>
          <w:sz w:val="24"/>
          <w:szCs w:val="24"/>
          <w:lang w:val="en-GB"/>
        </w:rPr>
        <w:t>’</w:t>
      </w:r>
      <w:r w:rsidRPr="009645E5">
        <w:rPr>
          <w:rFonts w:ascii="Times New Roman" w:eastAsia="Times New Roman Bold" w:hAnsi="Times New Roman" w:cs="Times New Roman"/>
          <w:sz w:val="24"/>
          <w:szCs w:val="24"/>
          <w:lang w:val="en-GB"/>
        </w:rPr>
        <w:t xml:space="preserve">s witness is proposing and consider the inherent risks and benefits therein and she must </w:t>
      </w:r>
      <w:r w:rsidR="0053171F" w:rsidRPr="009645E5">
        <w:rPr>
          <w:rFonts w:ascii="Times New Roman" w:eastAsia="Times New Roman Bold" w:hAnsi="Times New Roman" w:cs="Times New Roman"/>
          <w:sz w:val="24"/>
          <w:szCs w:val="24"/>
          <w:lang w:val="en-GB"/>
        </w:rPr>
        <w:t xml:space="preserve">then equally apply her mind in </w:t>
      </w:r>
      <w:r w:rsidRPr="009645E5">
        <w:rPr>
          <w:rFonts w:ascii="Times New Roman" w:eastAsia="Times New Roman Bold" w:hAnsi="Times New Roman" w:cs="Times New Roman"/>
          <w:sz w:val="24"/>
          <w:szCs w:val="24"/>
          <w:lang w:val="en-GB"/>
        </w:rPr>
        <w:t>a similar fashion to the evidence prese</w:t>
      </w:r>
      <w:r w:rsidR="0053171F" w:rsidRPr="009645E5">
        <w:rPr>
          <w:rFonts w:ascii="Times New Roman" w:eastAsia="Times New Roman Bold" w:hAnsi="Times New Roman" w:cs="Times New Roman"/>
          <w:sz w:val="24"/>
          <w:szCs w:val="24"/>
          <w:lang w:val="en-GB"/>
        </w:rPr>
        <w:t>nted on behalf of the claimant.  I</w:t>
      </w:r>
      <w:r w:rsidRPr="009645E5">
        <w:rPr>
          <w:rFonts w:ascii="Times New Roman" w:eastAsia="Times New Roman Bold" w:hAnsi="Times New Roman" w:cs="Times New Roman"/>
          <w:sz w:val="24"/>
          <w:szCs w:val="24"/>
          <w:lang w:val="en-GB"/>
        </w:rPr>
        <w:t xml:space="preserve">t is insufficient </w:t>
      </w:r>
      <w:r w:rsidR="000269F9" w:rsidRPr="009645E5">
        <w:rPr>
          <w:rFonts w:ascii="Times New Roman" w:eastAsia="Times New Roman Bold" w:hAnsi="Times New Roman" w:cs="Times New Roman"/>
          <w:sz w:val="24"/>
          <w:szCs w:val="24"/>
          <w:lang w:val="en-GB"/>
        </w:rPr>
        <w:t xml:space="preserve">though </w:t>
      </w:r>
      <w:r w:rsidRPr="009645E5">
        <w:rPr>
          <w:rFonts w:ascii="Times New Roman" w:eastAsia="Times New Roman Bold" w:hAnsi="Times New Roman" w:cs="Times New Roman"/>
          <w:sz w:val="24"/>
          <w:szCs w:val="24"/>
          <w:lang w:val="en-GB"/>
        </w:rPr>
        <w:t xml:space="preserve">to suggest that </w:t>
      </w:r>
      <w:r w:rsidR="000269F9" w:rsidRPr="009645E5">
        <w:rPr>
          <w:rFonts w:ascii="Times New Roman" w:eastAsia="Times New Roman Bold" w:hAnsi="Times New Roman" w:cs="Times New Roman"/>
          <w:sz w:val="24"/>
          <w:szCs w:val="24"/>
          <w:lang w:val="en-GB"/>
        </w:rPr>
        <w:t xml:space="preserve">a judge ought to confine her </w:t>
      </w:r>
      <w:r w:rsidRPr="009645E5">
        <w:rPr>
          <w:rFonts w:ascii="Times New Roman" w:eastAsia="Times New Roman Bold" w:hAnsi="Times New Roman" w:cs="Times New Roman"/>
          <w:sz w:val="24"/>
          <w:szCs w:val="24"/>
          <w:lang w:val="en-GB"/>
        </w:rPr>
        <w:t xml:space="preserve">deliberations solely to whether or not an individual </w:t>
      </w:r>
      <w:r w:rsidR="00195475" w:rsidRPr="009645E5">
        <w:rPr>
          <w:rFonts w:ascii="Times New Roman" w:eastAsia="Times New Roman Bold" w:hAnsi="Times New Roman" w:cs="Times New Roman"/>
          <w:sz w:val="24"/>
          <w:szCs w:val="24"/>
          <w:lang w:val="en-GB"/>
        </w:rPr>
        <w:t xml:space="preserve">expert </w:t>
      </w:r>
      <w:r w:rsidR="000269F9" w:rsidRPr="009645E5">
        <w:rPr>
          <w:rFonts w:ascii="Times New Roman" w:eastAsia="Times New Roman Bold" w:hAnsi="Times New Roman" w:cs="Times New Roman"/>
          <w:sz w:val="24"/>
          <w:szCs w:val="24"/>
          <w:lang w:val="en-GB"/>
        </w:rPr>
        <w:t xml:space="preserve">has given his </w:t>
      </w:r>
      <w:r w:rsidRPr="009645E5">
        <w:rPr>
          <w:rFonts w:ascii="Times New Roman" w:eastAsia="Times New Roman Bold" w:hAnsi="Times New Roman" w:cs="Times New Roman"/>
          <w:sz w:val="24"/>
          <w:szCs w:val="24"/>
          <w:lang w:val="en-GB"/>
        </w:rPr>
        <w:t xml:space="preserve">mind to </w:t>
      </w:r>
      <w:r w:rsidR="000269F9" w:rsidRPr="009645E5">
        <w:rPr>
          <w:rFonts w:ascii="Times New Roman" w:eastAsia="Times New Roman Bold" w:hAnsi="Times New Roman" w:cs="Times New Roman"/>
          <w:sz w:val="24"/>
          <w:szCs w:val="24"/>
          <w:lang w:val="en-GB"/>
        </w:rPr>
        <w:t xml:space="preserve">the </w:t>
      </w:r>
      <w:r w:rsidRPr="009645E5">
        <w:rPr>
          <w:rFonts w:ascii="Times New Roman" w:eastAsia="Times New Roman Bold" w:hAnsi="Times New Roman" w:cs="Times New Roman"/>
          <w:sz w:val="24"/>
          <w:szCs w:val="24"/>
          <w:lang w:val="en-GB"/>
        </w:rPr>
        <w:t xml:space="preserve">risks and benefits in order to assess the internal consistency of </w:t>
      </w:r>
      <w:r w:rsidRPr="009645E5">
        <w:rPr>
          <w:rFonts w:ascii="Times New Roman" w:hAnsi="Times New Roman" w:cs="Times New Roman"/>
          <w:i/>
          <w:iCs/>
          <w:sz w:val="24"/>
          <w:szCs w:val="24"/>
          <w:lang w:val="en-GB"/>
        </w:rPr>
        <w:t>that</w:t>
      </w:r>
      <w:r w:rsidR="00195475" w:rsidRPr="009645E5">
        <w:rPr>
          <w:rFonts w:ascii="Times New Roman" w:hAnsi="Times New Roman" w:cs="Times New Roman"/>
          <w:sz w:val="24"/>
          <w:szCs w:val="24"/>
          <w:lang w:val="en-GB"/>
        </w:rPr>
        <w:t xml:space="preserve"> particular piece of </w:t>
      </w:r>
      <w:r w:rsidRPr="009645E5">
        <w:rPr>
          <w:rFonts w:ascii="Times New Roman" w:hAnsi="Times New Roman" w:cs="Times New Roman"/>
          <w:sz w:val="24"/>
          <w:szCs w:val="24"/>
          <w:lang w:val="en-GB"/>
        </w:rPr>
        <w:t xml:space="preserve">opinion.  The sting in </w:t>
      </w:r>
      <w:r w:rsidRPr="009645E5">
        <w:rPr>
          <w:rFonts w:ascii="Times New Roman" w:hAnsi="Times New Roman" w:cs="Times New Roman"/>
          <w:i/>
          <w:iCs/>
          <w:sz w:val="24"/>
          <w:szCs w:val="24"/>
          <w:lang w:val="en-GB"/>
        </w:rPr>
        <w:t>Bolitho</w:t>
      </w:r>
      <w:r w:rsidR="00D348F2" w:rsidRPr="009645E5">
        <w:rPr>
          <w:rFonts w:ascii="Times New Roman" w:hAnsi="Times New Roman" w:cs="Times New Roman"/>
          <w:i/>
          <w:iCs/>
          <w:sz w:val="24"/>
          <w:szCs w:val="24"/>
          <w:lang w:val="en-GB"/>
        </w:rPr>
        <w:t>’</w:t>
      </w:r>
      <w:r w:rsidRPr="009645E5">
        <w:rPr>
          <w:rFonts w:ascii="Times New Roman" w:hAnsi="Times New Roman" w:cs="Times New Roman"/>
          <w:i/>
          <w:iCs/>
          <w:sz w:val="24"/>
          <w:szCs w:val="24"/>
          <w:lang w:val="en-GB"/>
        </w:rPr>
        <w:t>s</w:t>
      </w:r>
      <w:r w:rsidRPr="009645E5">
        <w:rPr>
          <w:rFonts w:ascii="Times New Roman" w:hAnsi="Times New Roman" w:cs="Times New Roman"/>
          <w:sz w:val="24"/>
          <w:szCs w:val="24"/>
          <w:lang w:val="en-GB"/>
        </w:rPr>
        <w:t xml:space="preserve"> tail should reside in empowering a judge to </w:t>
      </w:r>
      <w:r w:rsidRPr="009645E5">
        <w:rPr>
          <w:rFonts w:ascii="Times New Roman" w:hAnsi="Times New Roman" w:cs="Times New Roman"/>
          <w:i/>
          <w:iCs/>
          <w:sz w:val="24"/>
          <w:szCs w:val="24"/>
          <w:lang w:val="en-GB"/>
        </w:rPr>
        <w:t>weigh for herself</w:t>
      </w:r>
      <w:r w:rsidRPr="009645E5">
        <w:rPr>
          <w:rFonts w:ascii="Times New Roman" w:hAnsi="Times New Roman" w:cs="Times New Roman"/>
          <w:sz w:val="24"/>
          <w:szCs w:val="24"/>
          <w:lang w:val="en-GB"/>
        </w:rPr>
        <w:t xml:space="preserve"> the competing risks and benefits of each particular suggest</w:t>
      </w:r>
      <w:r w:rsidR="00003E3C">
        <w:rPr>
          <w:rFonts w:ascii="Times New Roman" w:hAnsi="Times New Roman" w:cs="Times New Roman"/>
          <w:sz w:val="24"/>
          <w:szCs w:val="24"/>
          <w:lang w:val="en-GB"/>
        </w:rPr>
        <w:t xml:space="preserve">ed course of action </w:t>
      </w:r>
      <w:r w:rsidRPr="009645E5">
        <w:rPr>
          <w:rFonts w:ascii="Times New Roman" w:hAnsi="Times New Roman" w:cs="Times New Roman"/>
          <w:sz w:val="24"/>
          <w:szCs w:val="24"/>
          <w:lang w:val="en-GB"/>
        </w:rPr>
        <w:t xml:space="preserve">against each other. </w:t>
      </w:r>
      <w:r w:rsidR="00804716" w:rsidRPr="009645E5">
        <w:rPr>
          <w:rFonts w:ascii="Times New Roman" w:hAnsi="Times New Roman" w:cs="Times New Roman"/>
          <w:sz w:val="24"/>
          <w:szCs w:val="24"/>
          <w:lang w:val="en-GB"/>
        </w:rPr>
        <w:t xml:space="preserve"> Clinical negligence cases that do in the end l</w:t>
      </w:r>
      <w:r w:rsidRPr="009645E5">
        <w:rPr>
          <w:rFonts w:ascii="Times New Roman" w:hAnsi="Times New Roman" w:cs="Times New Roman"/>
          <w:sz w:val="24"/>
          <w:szCs w:val="24"/>
          <w:lang w:val="en-GB"/>
        </w:rPr>
        <w:t>itigate will invariably comprise del</w:t>
      </w:r>
      <w:r w:rsidR="00420E4B" w:rsidRPr="009645E5">
        <w:rPr>
          <w:rFonts w:ascii="Times New Roman" w:hAnsi="Times New Roman" w:cs="Times New Roman"/>
          <w:sz w:val="24"/>
          <w:szCs w:val="24"/>
          <w:lang w:val="en-GB"/>
        </w:rPr>
        <w:t xml:space="preserve">icate risk benefit calculations and </w:t>
      </w:r>
      <w:r w:rsidRPr="009645E5">
        <w:rPr>
          <w:rFonts w:ascii="Times New Roman" w:hAnsi="Times New Roman" w:cs="Times New Roman"/>
          <w:sz w:val="24"/>
          <w:szCs w:val="24"/>
          <w:lang w:val="en-GB"/>
        </w:rPr>
        <w:t>decisions will often</w:t>
      </w:r>
      <w:r w:rsidR="000269F9" w:rsidRPr="009645E5">
        <w:rPr>
          <w:rFonts w:ascii="Times New Roman" w:hAnsi="Times New Roman" w:cs="Times New Roman"/>
          <w:sz w:val="24"/>
          <w:szCs w:val="24"/>
          <w:lang w:val="en-GB"/>
        </w:rPr>
        <w:t xml:space="preserve"> have been made </w:t>
      </w:r>
      <w:r w:rsidRPr="009645E5">
        <w:rPr>
          <w:rFonts w:ascii="Times New Roman" w:hAnsi="Times New Roman" w:cs="Times New Roman"/>
          <w:sz w:val="24"/>
          <w:szCs w:val="24"/>
          <w:lang w:val="en-GB"/>
        </w:rPr>
        <w:t>at the margins of acceptability.  Some of these risk assessments may b</w:t>
      </w:r>
      <w:r w:rsidR="00420E4B" w:rsidRPr="009645E5">
        <w:rPr>
          <w:rFonts w:ascii="Times New Roman" w:hAnsi="Times New Roman" w:cs="Times New Roman"/>
          <w:sz w:val="24"/>
          <w:szCs w:val="24"/>
          <w:lang w:val="en-GB"/>
        </w:rPr>
        <w:t xml:space="preserve">e difficult to comprehend for </w:t>
      </w:r>
      <w:r w:rsidRPr="009645E5">
        <w:rPr>
          <w:rFonts w:ascii="Times New Roman" w:hAnsi="Times New Roman" w:cs="Times New Roman"/>
          <w:sz w:val="24"/>
          <w:szCs w:val="24"/>
          <w:lang w:val="en-GB"/>
        </w:rPr>
        <w:t>medically untrained judge</w:t>
      </w:r>
      <w:r w:rsidR="00420E4B" w:rsidRPr="009645E5">
        <w:rPr>
          <w:rFonts w:ascii="Times New Roman" w:hAnsi="Times New Roman" w:cs="Times New Roman"/>
          <w:sz w:val="24"/>
          <w:szCs w:val="24"/>
          <w:lang w:val="en-GB"/>
        </w:rPr>
        <w:t xml:space="preserve">s, especially when their </w:t>
      </w:r>
      <w:r w:rsidRPr="009645E5">
        <w:rPr>
          <w:rFonts w:ascii="Times New Roman" w:hAnsi="Times New Roman" w:cs="Times New Roman"/>
          <w:sz w:val="24"/>
          <w:szCs w:val="24"/>
          <w:lang w:val="en-GB"/>
        </w:rPr>
        <w:t>investigation is backward looking by nature.  Thus, there may be an understandable over-re</w:t>
      </w:r>
      <w:r w:rsidR="00673788">
        <w:rPr>
          <w:rFonts w:ascii="Times New Roman" w:hAnsi="Times New Roman" w:cs="Times New Roman"/>
          <w:sz w:val="24"/>
          <w:szCs w:val="24"/>
          <w:lang w:val="en-GB"/>
        </w:rPr>
        <w:t xml:space="preserve">liance on expert testimony from </w:t>
      </w:r>
      <w:r w:rsidR="00EB66F2">
        <w:rPr>
          <w:rFonts w:ascii="Times New Roman" w:hAnsi="Times New Roman" w:cs="Times New Roman"/>
          <w:sz w:val="24"/>
          <w:szCs w:val="24"/>
          <w:lang w:val="en-GB"/>
        </w:rPr>
        <w:t xml:space="preserve">judges.  </w:t>
      </w:r>
      <w:r w:rsidR="002F4F44" w:rsidRPr="009645E5">
        <w:rPr>
          <w:rFonts w:ascii="Times New Roman" w:hAnsi="Times New Roman" w:cs="Times New Roman"/>
          <w:sz w:val="24"/>
          <w:szCs w:val="24"/>
          <w:lang w:val="en-GB"/>
        </w:rPr>
        <w:t>Sometimes</w:t>
      </w:r>
      <w:r w:rsidR="00EB66F2">
        <w:rPr>
          <w:rFonts w:ascii="Times New Roman" w:hAnsi="Times New Roman" w:cs="Times New Roman"/>
          <w:sz w:val="24"/>
          <w:szCs w:val="24"/>
          <w:lang w:val="en-GB"/>
        </w:rPr>
        <w:t xml:space="preserve">, however, </w:t>
      </w:r>
      <w:r w:rsidRPr="009645E5">
        <w:rPr>
          <w:rFonts w:ascii="Times New Roman" w:hAnsi="Times New Roman" w:cs="Times New Roman"/>
          <w:sz w:val="24"/>
          <w:szCs w:val="24"/>
          <w:lang w:val="en-GB"/>
        </w:rPr>
        <w:t xml:space="preserve">it is necessary for judges to take a step back in order to consider, and then balance, the risks and benefits in the context of the surrounding circumstances of a particular case to effectively assess the question of reasonableness in the totality of the situation.  If this balancing exercise is undertaken, it may sometimes uncover a disproportionate risk to benefit ratio in the circumstances </w:t>
      </w:r>
      <w:r w:rsidRPr="009645E5">
        <w:rPr>
          <w:rFonts w:ascii="Times New Roman" w:hAnsi="Times New Roman" w:cs="Times New Roman"/>
          <w:sz w:val="24"/>
          <w:szCs w:val="24"/>
          <w:lang w:val="en-GB"/>
        </w:rPr>
        <w:lastRenderedPageBreak/>
        <w:t>which has exposed the claimant, on one view, to an unreasonable risk.  If defence expert testimony is supportive of</w:t>
      </w:r>
      <w:r w:rsidR="00804716" w:rsidRPr="009645E5">
        <w:rPr>
          <w:rFonts w:ascii="Times New Roman" w:hAnsi="Times New Roman" w:cs="Times New Roman"/>
          <w:sz w:val="24"/>
          <w:szCs w:val="24"/>
          <w:lang w:val="en-GB"/>
        </w:rPr>
        <w:t xml:space="preserve"> </w:t>
      </w:r>
      <w:r w:rsidR="00195475" w:rsidRPr="009645E5">
        <w:rPr>
          <w:rFonts w:ascii="Times New Roman" w:hAnsi="Times New Roman" w:cs="Times New Roman"/>
          <w:sz w:val="24"/>
          <w:szCs w:val="24"/>
          <w:lang w:val="en-GB"/>
        </w:rPr>
        <w:t xml:space="preserve">this </w:t>
      </w:r>
      <w:r w:rsidR="00804716" w:rsidRPr="009645E5">
        <w:rPr>
          <w:rFonts w:ascii="Times New Roman" w:hAnsi="Times New Roman" w:cs="Times New Roman"/>
          <w:sz w:val="24"/>
          <w:szCs w:val="24"/>
          <w:lang w:val="en-GB"/>
        </w:rPr>
        <w:t>unreasonable risk taking</w:t>
      </w:r>
      <w:r w:rsidRPr="009645E5">
        <w:rPr>
          <w:rFonts w:ascii="Times New Roman" w:hAnsi="Times New Roman" w:cs="Times New Roman"/>
          <w:sz w:val="24"/>
          <w:szCs w:val="24"/>
          <w:lang w:val="en-GB"/>
        </w:rPr>
        <w:t xml:space="preserve">, it must surely call into question the appropriateness of classifying it as a responsible body of opinion.  Not infrequently this important facet of </w:t>
      </w:r>
      <w:r w:rsidRPr="009645E5">
        <w:rPr>
          <w:rFonts w:ascii="Times New Roman" w:hAnsi="Times New Roman" w:cs="Times New Roman"/>
          <w:i/>
          <w:iCs/>
          <w:sz w:val="24"/>
          <w:szCs w:val="24"/>
          <w:lang w:val="en-GB"/>
        </w:rPr>
        <w:t xml:space="preserve">Bolitho </w:t>
      </w:r>
      <w:r w:rsidRPr="009645E5">
        <w:rPr>
          <w:rFonts w:ascii="Times New Roman" w:hAnsi="Times New Roman" w:cs="Times New Roman"/>
          <w:sz w:val="24"/>
          <w:szCs w:val="24"/>
          <w:lang w:val="en-GB"/>
        </w:rPr>
        <w:t>goes unnoticed, and this seems particularly evident in cases that hinge on the interpretation of CTG traces.</w:t>
      </w:r>
    </w:p>
    <w:p w14:paraId="3771CC7D" w14:textId="6FFA5969" w:rsidR="005A51AF" w:rsidRPr="009645E5" w:rsidRDefault="00D70D82">
      <w:pPr>
        <w:pStyle w:val="BodyA"/>
        <w:spacing w:line="360" w:lineRule="auto"/>
        <w:jc w:val="both"/>
        <w:rPr>
          <w:rFonts w:ascii="Times New Roman" w:eastAsia="Times New Roman Bold" w:hAnsi="Times New Roman" w:cs="Times New Roman"/>
          <w:sz w:val="24"/>
          <w:szCs w:val="24"/>
          <w:lang w:val="en-GB"/>
        </w:rPr>
      </w:pPr>
      <w:r w:rsidRPr="009645E5">
        <w:rPr>
          <w:rFonts w:ascii="Times New Roman" w:eastAsia="Times New Roman Bold" w:hAnsi="Times New Roman" w:cs="Times New Roman"/>
          <w:sz w:val="24"/>
          <w:szCs w:val="24"/>
          <w:lang w:val="en-GB"/>
        </w:rPr>
        <w:tab/>
        <w:t xml:space="preserve">The Scottish case of </w:t>
      </w:r>
      <w:r w:rsidRPr="009645E5">
        <w:rPr>
          <w:rFonts w:ascii="Times New Roman" w:hAnsi="Times New Roman" w:cs="Times New Roman"/>
          <w:i/>
          <w:iCs/>
          <w:sz w:val="24"/>
          <w:szCs w:val="24"/>
          <w:lang w:val="en-GB"/>
        </w:rPr>
        <w:t>NM v Lanarkshire Health Board</w:t>
      </w:r>
      <w:r w:rsidRPr="009645E5">
        <w:rPr>
          <w:rFonts w:ascii="Times New Roman" w:hAnsi="Times New Roman" w:cs="Times New Roman"/>
          <w:sz w:val="24"/>
          <w:szCs w:val="24"/>
          <w:lang w:val="en-GB"/>
        </w:rPr>
        <w:t xml:space="preserve"> is the epitome of a decision in which an extensive examination and weighing of the risks and benefits, in a more rounded and </w:t>
      </w:r>
      <w:proofErr w:type="gramStart"/>
      <w:r w:rsidRPr="009645E5">
        <w:rPr>
          <w:rFonts w:ascii="Times New Roman" w:hAnsi="Times New Roman" w:cs="Times New Roman"/>
          <w:sz w:val="24"/>
          <w:szCs w:val="24"/>
          <w:lang w:val="en-GB"/>
        </w:rPr>
        <w:t>contextual  sense</w:t>
      </w:r>
      <w:proofErr w:type="gramEnd"/>
      <w:r w:rsidRPr="009645E5">
        <w:rPr>
          <w:rFonts w:ascii="Times New Roman" w:hAnsi="Times New Roman" w:cs="Times New Roman"/>
          <w:sz w:val="24"/>
          <w:szCs w:val="24"/>
          <w:lang w:val="en-GB"/>
        </w:rPr>
        <w:t>, ought to have yielded a more favourable outcome for the pursuer.</w:t>
      </w:r>
      <w:r w:rsidRPr="009645E5">
        <w:rPr>
          <w:rFonts w:ascii="Times New Roman" w:eastAsia="Times New Roman Bold" w:hAnsi="Times New Roman" w:cs="Times New Roman"/>
          <w:sz w:val="24"/>
          <w:szCs w:val="24"/>
          <w:vertAlign w:val="superscript"/>
          <w:lang w:val="en-GB"/>
        </w:rPr>
        <w:footnoteReference w:id="75"/>
      </w:r>
      <w:r w:rsidRPr="009645E5">
        <w:rPr>
          <w:rFonts w:ascii="Times New Roman" w:hAnsi="Times New Roman" w:cs="Times New Roman"/>
          <w:sz w:val="24"/>
          <w:szCs w:val="24"/>
          <w:lang w:val="en-GB"/>
        </w:rPr>
        <w:t xml:space="preserve">  The allegation centred on negligent management of labour which resulted in severe and catastrophic injuries to the pursuer</w:t>
      </w:r>
      <w:r w:rsidR="00D348F2" w:rsidRPr="009645E5">
        <w:rPr>
          <w:rFonts w:ascii="Times New Roman" w:hAnsi="Times New Roman" w:cs="Times New Roman"/>
          <w:sz w:val="24"/>
          <w:szCs w:val="24"/>
          <w:lang w:val="en-GB"/>
        </w:rPr>
        <w:t>’</w:t>
      </w:r>
      <w:r w:rsidR="00195475" w:rsidRPr="009645E5">
        <w:rPr>
          <w:rFonts w:ascii="Times New Roman" w:hAnsi="Times New Roman" w:cs="Times New Roman"/>
          <w:sz w:val="24"/>
          <w:szCs w:val="24"/>
          <w:lang w:val="en-GB"/>
        </w:rPr>
        <w:t>s child at birth</w:t>
      </w:r>
      <w:r w:rsidRPr="009645E5">
        <w:rPr>
          <w:rFonts w:ascii="Times New Roman" w:hAnsi="Times New Roman" w:cs="Times New Roman"/>
          <w:sz w:val="24"/>
          <w:szCs w:val="24"/>
          <w:lang w:val="en-GB"/>
        </w:rPr>
        <w:t>.</w:t>
      </w:r>
      <w:r w:rsidRPr="009645E5">
        <w:rPr>
          <w:rFonts w:ascii="Times New Roman" w:eastAsia="Times New Roman Bold" w:hAnsi="Times New Roman" w:cs="Times New Roman"/>
          <w:sz w:val="24"/>
          <w:szCs w:val="24"/>
          <w:vertAlign w:val="superscript"/>
          <w:lang w:val="en-GB"/>
        </w:rPr>
        <w:footnoteReference w:id="76"/>
      </w:r>
      <w:r w:rsidR="00195475" w:rsidRPr="009645E5">
        <w:rPr>
          <w:rFonts w:ascii="Times New Roman" w:hAnsi="Times New Roman" w:cs="Times New Roman"/>
          <w:sz w:val="24"/>
          <w:szCs w:val="24"/>
          <w:lang w:val="en-GB"/>
        </w:rPr>
        <w:t xml:space="preserve">  </w:t>
      </w:r>
      <w:r w:rsidRPr="009645E5">
        <w:rPr>
          <w:rFonts w:ascii="Times New Roman" w:hAnsi="Times New Roman" w:cs="Times New Roman"/>
          <w:sz w:val="24"/>
          <w:szCs w:val="24"/>
          <w:lang w:val="en-GB"/>
        </w:rPr>
        <w:t>The interpretation of a CTG trace was pivotal to the question of breach, a matter which was finally decided in favour of the defendant in both the Outer and Inner House of the Court of Session.</w:t>
      </w:r>
      <w:r w:rsidRPr="009645E5">
        <w:rPr>
          <w:rFonts w:ascii="Times New Roman" w:eastAsia="Times New Roman Bold" w:hAnsi="Times New Roman" w:cs="Times New Roman"/>
          <w:sz w:val="24"/>
          <w:szCs w:val="24"/>
          <w:vertAlign w:val="superscript"/>
          <w:lang w:val="en-GB"/>
        </w:rPr>
        <w:footnoteReference w:id="77"/>
      </w:r>
      <w:r w:rsidRPr="009645E5">
        <w:rPr>
          <w:rFonts w:ascii="Times New Roman" w:hAnsi="Times New Roman" w:cs="Times New Roman"/>
          <w:sz w:val="24"/>
          <w:szCs w:val="24"/>
          <w:lang w:val="en-GB"/>
        </w:rPr>
        <w:t xml:space="preserve">  The defendant obstetrician maintained throughout her testimony that, as the CTG trace did show some reassuring factors, that there was never any need to take a FBS or to intervene by means of a caesarean section.</w:t>
      </w:r>
      <w:r w:rsidRPr="009645E5">
        <w:rPr>
          <w:rFonts w:ascii="Times New Roman" w:eastAsia="Times New Roman Bold" w:hAnsi="Times New Roman" w:cs="Times New Roman"/>
          <w:sz w:val="24"/>
          <w:szCs w:val="24"/>
          <w:vertAlign w:val="superscript"/>
          <w:lang w:val="en-GB"/>
        </w:rPr>
        <w:footnoteReference w:id="78"/>
      </w:r>
      <w:r w:rsidRPr="009645E5">
        <w:rPr>
          <w:rFonts w:ascii="Times New Roman" w:hAnsi="Times New Roman" w:cs="Times New Roman"/>
          <w:sz w:val="24"/>
          <w:szCs w:val="24"/>
          <w:lang w:val="en-GB"/>
        </w:rPr>
        <w:t xml:space="preserve">  This view was supported by the defendant</w:t>
      </w:r>
      <w:r w:rsidR="00D348F2" w:rsidRPr="009645E5">
        <w:rPr>
          <w:rFonts w:ascii="Times New Roman" w:hAnsi="Times New Roman" w:cs="Times New Roman"/>
          <w:sz w:val="24"/>
          <w:szCs w:val="24"/>
          <w:lang w:val="en-GB"/>
        </w:rPr>
        <w:t>’</w:t>
      </w:r>
      <w:r w:rsidR="00804716" w:rsidRPr="009645E5">
        <w:rPr>
          <w:rFonts w:ascii="Times New Roman" w:hAnsi="Times New Roman" w:cs="Times New Roman"/>
          <w:sz w:val="24"/>
          <w:szCs w:val="24"/>
          <w:lang w:val="en-GB"/>
        </w:rPr>
        <w:t xml:space="preserve">s experts and, in light </w:t>
      </w:r>
      <w:r w:rsidRPr="009645E5">
        <w:rPr>
          <w:rFonts w:ascii="Times New Roman" w:hAnsi="Times New Roman" w:cs="Times New Roman"/>
          <w:sz w:val="24"/>
          <w:szCs w:val="24"/>
          <w:lang w:val="en-GB"/>
        </w:rPr>
        <w:t xml:space="preserve">of the reassuring factors, this evidence passed the </w:t>
      </w:r>
      <w:r w:rsidR="00D348F2" w:rsidRPr="009645E5">
        <w:rPr>
          <w:rFonts w:ascii="Times New Roman" w:hAnsi="Times New Roman" w:cs="Times New Roman"/>
          <w:sz w:val="24"/>
          <w:szCs w:val="24"/>
          <w:lang w:val="en-GB"/>
        </w:rPr>
        <w:t>‘</w:t>
      </w:r>
      <w:r w:rsidRPr="009645E5">
        <w:rPr>
          <w:rFonts w:ascii="Times New Roman" w:hAnsi="Times New Roman" w:cs="Times New Roman"/>
          <w:sz w:val="24"/>
          <w:szCs w:val="24"/>
          <w:lang w:val="en-GB"/>
        </w:rPr>
        <w:t>logicality</w:t>
      </w:r>
      <w:r w:rsidR="00D348F2" w:rsidRPr="009645E5">
        <w:rPr>
          <w:rFonts w:ascii="Times New Roman" w:hAnsi="Times New Roman" w:cs="Times New Roman"/>
          <w:sz w:val="24"/>
          <w:szCs w:val="24"/>
          <w:lang w:val="en-GB"/>
        </w:rPr>
        <w:t>’</w:t>
      </w:r>
      <w:r w:rsidRPr="009645E5">
        <w:rPr>
          <w:rFonts w:ascii="Times New Roman" w:hAnsi="Times New Roman" w:cs="Times New Roman"/>
          <w:sz w:val="24"/>
          <w:szCs w:val="24"/>
          <w:lang w:val="en-GB"/>
        </w:rPr>
        <w:t xml:space="preserve"> threshold.</w:t>
      </w:r>
      <w:r w:rsidRPr="009645E5">
        <w:rPr>
          <w:rFonts w:ascii="Times New Roman" w:eastAsia="Times New Roman Bold" w:hAnsi="Times New Roman" w:cs="Times New Roman"/>
          <w:sz w:val="24"/>
          <w:szCs w:val="24"/>
          <w:vertAlign w:val="superscript"/>
          <w:lang w:val="en-GB"/>
        </w:rPr>
        <w:footnoteReference w:id="79"/>
      </w:r>
      <w:r w:rsidRPr="009645E5">
        <w:rPr>
          <w:rFonts w:ascii="Times New Roman" w:hAnsi="Times New Roman" w:cs="Times New Roman"/>
          <w:sz w:val="24"/>
          <w:szCs w:val="24"/>
          <w:lang w:val="en-GB"/>
        </w:rPr>
        <w:t xml:space="preserve">  It was </w:t>
      </w:r>
      <w:r w:rsidR="00195475" w:rsidRPr="009645E5">
        <w:rPr>
          <w:rFonts w:ascii="Times New Roman" w:hAnsi="Times New Roman" w:cs="Times New Roman"/>
          <w:sz w:val="24"/>
          <w:szCs w:val="24"/>
          <w:lang w:val="en-GB"/>
        </w:rPr>
        <w:t xml:space="preserve">held </w:t>
      </w:r>
      <w:r w:rsidRPr="009645E5">
        <w:rPr>
          <w:rFonts w:ascii="Times New Roman" w:hAnsi="Times New Roman" w:cs="Times New Roman"/>
          <w:sz w:val="24"/>
          <w:szCs w:val="24"/>
          <w:lang w:val="en-GB"/>
        </w:rPr>
        <w:t>that the reading of a CTG trace was a matter of clinical judgment in which there was always room for differences of opinion.</w:t>
      </w:r>
      <w:r w:rsidRPr="009645E5">
        <w:rPr>
          <w:rFonts w:ascii="Times New Roman" w:eastAsia="Times New Roman Bold" w:hAnsi="Times New Roman" w:cs="Times New Roman"/>
          <w:sz w:val="24"/>
          <w:szCs w:val="24"/>
          <w:vertAlign w:val="superscript"/>
          <w:lang w:val="en-GB"/>
        </w:rPr>
        <w:footnoteReference w:id="80"/>
      </w:r>
      <w:r w:rsidR="009A239F" w:rsidRPr="009645E5">
        <w:rPr>
          <w:rFonts w:ascii="Times New Roman" w:hAnsi="Times New Roman" w:cs="Times New Roman"/>
          <w:sz w:val="24"/>
          <w:szCs w:val="24"/>
          <w:lang w:val="en-GB"/>
        </w:rPr>
        <w:t xml:space="preserve">  </w:t>
      </w:r>
      <w:r w:rsidRPr="009645E5">
        <w:rPr>
          <w:rFonts w:ascii="Times New Roman" w:hAnsi="Times New Roman" w:cs="Times New Roman"/>
          <w:sz w:val="24"/>
          <w:szCs w:val="24"/>
          <w:lang w:val="en-GB"/>
        </w:rPr>
        <w:t>The evidence offered on behalf of the pursuer was in sharp conflict with that of the defendant</w:t>
      </w:r>
      <w:r w:rsidR="00D348F2" w:rsidRPr="009645E5">
        <w:rPr>
          <w:rFonts w:ascii="Times New Roman" w:hAnsi="Times New Roman" w:cs="Times New Roman"/>
          <w:sz w:val="24"/>
          <w:szCs w:val="24"/>
          <w:lang w:val="en-GB"/>
        </w:rPr>
        <w:t>’</w:t>
      </w:r>
      <w:r w:rsidRPr="009645E5">
        <w:rPr>
          <w:rFonts w:ascii="Times New Roman" w:hAnsi="Times New Roman" w:cs="Times New Roman"/>
          <w:sz w:val="24"/>
          <w:szCs w:val="24"/>
          <w:lang w:val="en-GB"/>
        </w:rPr>
        <w:t xml:space="preserve">s.  It was acknowledged that there were four possible points at which the CTG trace indicated the </w:t>
      </w:r>
      <w:r w:rsidRPr="009645E5">
        <w:rPr>
          <w:rFonts w:ascii="Times New Roman" w:hAnsi="Times New Roman" w:cs="Times New Roman"/>
          <w:i/>
          <w:iCs/>
          <w:sz w:val="24"/>
          <w:szCs w:val="24"/>
          <w:lang w:val="en-GB"/>
        </w:rPr>
        <w:t>potential</w:t>
      </w:r>
      <w:r w:rsidRPr="009645E5">
        <w:rPr>
          <w:rFonts w:ascii="Times New Roman" w:hAnsi="Times New Roman" w:cs="Times New Roman"/>
          <w:sz w:val="24"/>
          <w:szCs w:val="24"/>
          <w:lang w:val="en-GB"/>
        </w:rPr>
        <w:t xml:space="preserve"> for concern and the possibility of an underlying problem.</w:t>
      </w:r>
      <w:r w:rsidRPr="009645E5">
        <w:rPr>
          <w:rFonts w:ascii="Times New Roman" w:eastAsia="Times New Roman Bold" w:hAnsi="Times New Roman" w:cs="Times New Roman"/>
          <w:sz w:val="24"/>
          <w:szCs w:val="24"/>
          <w:vertAlign w:val="superscript"/>
          <w:lang w:val="en-GB"/>
        </w:rPr>
        <w:footnoteReference w:id="81"/>
      </w:r>
      <w:r w:rsidRPr="009645E5">
        <w:rPr>
          <w:rFonts w:ascii="Times New Roman" w:hAnsi="Times New Roman" w:cs="Times New Roman"/>
          <w:sz w:val="24"/>
          <w:szCs w:val="24"/>
          <w:lang w:val="en-GB"/>
        </w:rPr>
        <w:t xml:space="preserve">  With this in mind, it is possible to make a number of observations.  </w:t>
      </w:r>
      <w:r w:rsidRPr="009645E5">
        <w:rPr>
          <w:rFonts w:ascii="Times New Roman" w:hAnsi="Times New Roman" w:cs="Times New Roman"/>
          <w:sz w:val="24"/>
          <w:szCs w:val="24"/>
          <w:lang w:val="en-GB"/>
        </w:rPr>
        <w:tab/>
      </w:r>
    </w:p>
    <w:p w14:paraId="23BEB11A" w14:textId="20CF3913" w:rsidR="005A51AF" w:rsidRPr="009645E5" w:rsidRDefault="00D70D82">
      <w:pPr>
        <w:pStyle w:val="BodyA"/>
        <w:spacing w:line="360" w:lineRule="auto"/>
        <w:jc w:val="both"/>
        <w:rPr>
          <w:rFonts w:ascii="Times New Roman" w:eastAsia="Times New Roman Bold" w:hAnsi="Times New Roman" w:cs="Times New Roman"/>
          <w:sz w:val="24"/>
          <w:szCs w:val="24"/>
          <w:lang w:val="en-GB"/>
        </w:rPr>
      </w:pPr>
      <w:r w:rsidRPr="009645E5">
        <w:rPr>
          <w:rFonts w:ascii="Times New Roman" w:eastAsia="Times New Roman Bold" w:hAnsi="Times New Roman" w:cs="Times New Roman"/>
          <w:sz w:val="24"/>
          <w:szCs w:val="24"/>
          <w:lang w:val="en-GB"/>
        </w:rPr>
        <w:tab/>
        <w:t>First, in connection with the risks and benefits, it may well have been true that the defendant</w:t>
      </w:r>
      <w:r w:rsidR="00D348F2" w:rsidRPr="009645E5">
        <w:rPr>
          <w:rFonts w:ascii="Times New Roman" w:eastAsia="Times New Roman Bold" w:hAnsi="Times New Roman" w:cs="Times New Roman"/>
          <w:sz w:val="24"/>
          <w:szCs w:val="24"/>
          <w:lang w:val="en-GB"/>
        </w:rPr>
        <w:t>’</w:t>
      </w:r>
      <w:r w:rsidRPr="009645E5">
        <w:rPr>
          <w:rFonts w:ascii="Times New Roman" w:eastAsia="Times New Roman Bold" w:hAnsi="Times New Roman" w:cs="Times New Roman"/>
          <w:sz w:val="24"/>
          <w:szCs w:val="24"/>
          <w:lang w:val="en-GB"/>
        </w:rPr>
        <w:t>s experts gave their mind to this quest</w:t>
      </w:r>
      <w:r w:rsidR="00B32900" w:rsidRPr="009645E5">
        <w:rPr>
          <w:rFonts w:ascii="Times New Roman" w:eastAsia="Times New Roman Bold" w:hAnsi="Times New Roman" w:cs="Times New Roman"/>
          <w:sz w:val="24"/>
          <w:szCs w:val="24"/>
          <w:lang w:val="en-GB"/>
        </w:rPr>
        <w:t xml:space="preserve">ion when forming their opinion, but </w:t>
      </w:r>
      <w:r w:rsidRPr="009645E5">
        <w:rPr>
          <w:rFonts w:ascii="Times New Roman" w:eastAsia="Times New Roman Bold" w:hAnsi="Times New Roman" w:cs="Times New Roman"/>
          <w:sz w:val="24"/>
          <w:szCs w:val="24"/>
          <w:lang w:val="en-GB"/>
        </w:rPr>
        <w:t xml:space="preserve">there was very </w:t>
      </w:r>
      <w:r w:rsidRPr="009645E5">
        <w:rPr>
          <w:rFonts w:ascii="Times New Roman" w:eastAsia="Times New Roman Bold" w:hAnsi="Times New Roman" w:cs="Times New Roman"/>
          <w:sz w:val="24"/>
          <w:szCs w:val="24"/>
          <w:lang w:val="en-GB"/>
        </w:rPr>
        <w:lastRenderedPageBreak/>
        <w:t xml:space="preserve">little if any evidence of </w:t>
      </w:r>
      <w:r w:rsidRPr="009645E5">
        <w:rPr>
          <w:rFonts w:ascii="Times New Roman" w:hAnsi="Times New Roman" w:cs="Times New Roman"/>
          <w:i/>
          <w:iCs/>
          <w:sz w:val="24"/>
          <w:szCs w:val="24"/>
          <w:lang w:val="en-GB"/>
        </w:rPr>
        <w:t>judicial</w:t>
      </w:r>
      <w:r w:rsidRPr="009645E5">
        <w:rPr>
          <w:rFonts w:ascii="Times New Roman" w:hAnsi="Times New Roman" w:cs="Times New Roman"/>
          <w:sz w:val="24"/>
          <w:szCs w:val="24"/>
          <w:lang w:val="en-GB"/>
        </w:rPr>
        <w:t xml:space="preserve"> weighing of the risks and benefits of each proposed course of action, less still any convincing reason as to why, even if this exercise had been appropriately carried out, that the decision not to intervene </w:t>
      </w:r>
      <w:r w:rsidR="00804716" w:rsidRPr="009645E5">
        <w:rPr>
          <w:rFonts w:ascii="Times New Roman" w:hAnsi="Times New Roman" w:cs="Times New Roman"/>
          <w:sz w:val="24"/>
          <w:szCs w:val="24"/>
          <w:lang w:val="en-GB"/>
        </w:rPr>
        <w:t xml:space="preserve">at an earlier point </w:t>
      </w:r>
      <w:r w:rsidRPr="009645E5">
        <w:rPr>
          <w:rFonts w:ascii="Times New Roman" w:hAnsi="Times New Roman" w:cs="Times New Roman"/>
          <w:sz w:val="24"/>
          <w:szCs w:val="24"/>
          <w:lang w:val="en-GB"/>
        </w:rPr>
        <w:t>could legitimately have been characterised as responsi</w:t>
      </w:r>
      <w:r w:rsidR="00B32900" w:rsidRPr="009645E5">
        <w:rPr>
          <w:rFonts w:ascii="Times New Roman" w:hAnsi="Times New Roman" w:cs="Times New Roman"/>
          <w:sz w:val="24"/>
          <w:szCs w:val="24"/>
          <w:lang w:val="en-GB"/>
        </w:rPr>
        <w:t>ble.  T</w:t>
      </w:r>
      <w:r w:rsidRPr="009645E5">
        <w:rPr>
          <w:rFonts w:ascii="Times New Roman" w:hAnsi="Times New Roman" w:cs="Times New Roman"/>
          <w:sz w:val="24"/>
          <w:szCs w:val="24"/>
          <w:lang w:val="en-GB"/>
        </w:rPr>
        <w:t>he main benefit of obtaining a FBS is the early detection of a potentially serious underlying condition, whereas the risk is that the procedure is painful and causes discomfort to the mother and fetus.</w:t>
      </w:r>
      <w:r w:rsidRPr="009645E5">
        <w:rPr>
          <w:rFonts w:ascii="Times New Roman" w:eastAsia="Times New Roman Bold" w:hAnsi="Times New Roman" w:cs="Times New Roman"/>
          <w:sz w:val="24"/>
          <w:szCs w:val="24"/>
          <w:vertAlign w:val="superscript"/>
          <w:lang w:val="en-GB"/>
        </w:rPr>
        <w:footnoteReference w:id="82"/>
      </w:r>
      <w:r w:rsidRPr="009645E5">
        <w:rPr>
          <w:rFonts w:ascii="Times New Roman" w:hAnsi="Times New Roman" w:cs="Times New Roman"/>
          <w:sz w:val="24"/>
          <w:szCs w:val="24"/>
          <w:lang w:val="en-GB"/>
        </w:rPr>
        <w:t xml:space="preserve">  The flip side to this coin is that the benefit of not taking a FBS is that the mother and fetus are saved from this mild pain and discomfort, but the risk is the missed opportunity to detect a serious condition</w:t>
      </w:r>
      <w:r w:rsidR="00804716" w:rsidRPr="009645E5">
        <w:rPr>
          <w:rFonts w:ascii="Times New Roman" w:hAnsi="Times New Roman" w:cs="Times New Roman"/>
          <w:sz w:val="24"/>
          <w:szCs w:val="24"/>
          <w:lang w:val="en-GB"/>
        </w:rPr>
        <w:t xml:space="preserve"> at the earliest possible point in proceedings, </w:t>
      </w:r>
      <w:r w:rsidRPr="009645E5">
        <w:rPr>
          <w:rFonts w:ascii="Times New Roman" w:hAnsi="Times New Roman" w:cs="Times New Roman"/>
          <w:sz w:val="24"/>
          <w:szCs w:val="24"/>
          <w:lang w:val="en-GB"/>
        </w:rPr>
        <w:t xml:space="preserve">which </w:t>
      </w:r>
      <w:r w:rsidR="00804716" w:rsidRPr="009645E5">
        <w:rPr>
          <w:rFonts w:ascii="Times New Roman" w:hAnsi="Times New Roman" w:cs="Times New Roman"/>
          <w:sz w:val="24"/>
          <w:szCs w:val="24"/>
          <w:lang w:val="en-GB"/>
        </w:rPr>
        <w:t xml:space="preserve">may result in catastrophic harm if missed.  </w:t>
      </w:r>
      <w:r w:rsidRPr="009645E5">
        <w:rPr>
          <w:rFonts w:ascii="Times New Roman" w:hAnsi="Times New Roman" w:cs="Times New Roman"/>
          <w:sz w:val="24"/>
          <w:szCs w:val="24"/>
          <w:lang w:val="en-GB"/>
        </w:rPr>
        <w:t xml:space="preserve">The reality is that the balancing exercise would be more complex than this in practice as there will undoubtedly be other risks and benefits to factor into the equation. That aside, one must still be able to point to a sufficiently convincing benefit to the course of action that advocates do nothing in order to trump the considerable and identifiable risk.  </w:t>
      </w:r>
    </w:p>
    <w:p w14:paraId="74E5AF3F" w14:textId="7E3B2B5F" w:rsidR="00F50513" w:rsidRPr="009645E5" w:rsidRDefault="00D70D82" w:rsidP="00F50513">
      <w:pPr>
        <w:pStyle w:val="BodyA"/>
        <w:spacing w:line="360" w:lineRule="auto"/>
        <w:jc w:val="both"/>
        <w:rPr>
          <w:rFonts w:ascii="Times New Roman" w:eastAsia="Times New Roman Bold" w:hAnsi="Times New Roman" w:cs="Times New Roman"/>
          <w:sz w:val="24"/>
          <w:szCs w:val="24"/>
          <w:lang w:val="en-GB"/>
        </w:rPr>
      </w:pPr>
      <w:r w:rsidRPr="009645E5">
        <w:rPr>
          <w:rFonts w:ascii="Times New Roman" w:eastAsia="Times New Roman Bold" w:hAnsi="Times New Roman" w:cs="Times New Roman"/>
          <w:sz w:val="24"/>
          <w:szCs w:val="24"/>
          <w:lang w:val="en-GB"/>
        </w:rPr>
        <w:tab/>
        <w:t xml:space="preserve">Second, whilst admittedly this exercise becomes </w:t>
      </w:r>
      <w:r w:rsidR="00B32900" w:rsidRPr="009645E5">
        <w:rPr>
          <w:rFonts w:ascii="Times New Roman" w:eastAsia="Times New Roman Bold" w:hAnsi="Times New Roman" w:cs="Times New Roman"/>
          <w:sz w:val="24"/>
          <w:szCs w:val="24"/>
          <w:lang w:val="en-GB"/>
        </w:rPr>
        <w:t xml:space="preserve">more challenging when the issue centres </w:t>
      </w:r>
      <w:r w:rsidRPr="009645E5">
        <w:rPr>
          <w:rFonts w:ascii="Times New Roman" w:eastAsia="Times New Roman Bold" w:hAnsi="Times New Roman" w:cs="Times New Roman"/>
          <w:sz w:val="24"/>
          <w:szCs w:val="24"/>
          <w:lang w:val="en-GB"/>
        </w:rPr>
        <w:t xml:space="preserve">on the </w:t>
      </w:r>
      <w:r w:rsidR="00B32900" w:rsidRPr="009645E5">
        <w:rPr>
          <w:rFonts w:ascii="Times New Roman" w:eastAsia="Times New Roman Bold" w:hAnsi="Times New Roman" w:cs="Times New Roman"/>
          <w:sz w:val="24"/>
          <w:szCs w:val="24"/>
          <w:lang w:val="en-GB"/>
        </w:rPr>
        <w:t xml:space="preserve">more medically complex procedure </w:t>
      </w:r>
      <w:r w:rsidRPr="009645E5">
        <w:rPr>
          <w:rFonts w:ascii="Times New Roman" w:eastAsia="Times New Roman Bold" w:hAnsi="Times New Roman" w:cs="Times New Roman"/>
          <w:sz w:val="24"/>
          <w:szCs w:val="24"/>
          <w:lang w:val="en-GB"/>
        </w:rPr>
        <w:t>of a caesarean section, an important aspect of the tort of negligence needs to be borne in mind</w:t>
      </w:r>
      <w:r w:rsidR="008C1863" w:rsidRPr="009645E5">
        <w:rPr>
          <w:rFonts w:ascii="Times New Roman" w:eastAsia="Times New Roman Bold" w:hAnsi="Times New Roman" w:cs="Times New Roman"/>
          <w:sz w:val="24"/>
          <w:szCs w:val="24"/>
          <w:lang w:val="en-GB"/>
        </w:rPr>
        <w:t>,</w:t>
      </w:r>
      <w:r w:rsidRPr="009645E5">
        <w:rPr>
          <w:rFonts w:ascii="Times New Roman" w:eastAsia="Times New Roman Bold" w:hAnsi="Times New Roman" w:cs="Times New Roman"/>
          <w:sz w:val="24"/>
          <w:szCs w:val="24"/>
          <w:lang w:val="en-GB"/>
        </w:rPr>
        <w:t xml:space="preserve"> which ought to have favoured the pursuer in this and other cases.  Medical evidence indicates that there are clearly risks inherent in both a natural delivery and a caesarean section.</w:t>
      </w:r>
      <w:r w:rsidRPr="009645E5">
        <w:rPr>
          <w:rFonts w:ascii="Times New Roman" w:eastAsia="Times New Roman Bold" w:hAnsi="Times New Roman" w:cs="Times New Roman"/>
          <w:sz w:val="24"/>
          <w:szCs w:val="24"/>
          <w:vertAlign w:val="superscript"/>
          <w:lang w:val="en-GB"/>
        </w:rPr>
        <w:footnoteReference w:id="83"/>
      </w:r>
      <w:r w:rsidRPr="009645E5">
        <w:rPr>
          <w:rFonts w:ascii="Times New Roman" w:hAnsi="Times New Roman" w:cs="Times New Roman"/>
          <w:sz w:val="24"/>
          <w:szCs w:val="24"/>
          <w:lang w:val="en-GB"/>
        </w:rPr>
        <w:t xml:space="preserve">  The risks in one are not more obviously significant than in the other and so it is impossible to say that one is the more visibly safer option.  Each labour is unique and the risks and benefits will alternate depending on the circumstances.  Thus, healthcare professionals must remain alert to the individual</w:t>
      </w:r>
      <w:r w:rsidR="002B4969" w:rsidRPr="009645E5">
        <w:rPr>
          <w:rFonts w:ascii="Times New Roman" w:hAnsi="Times New Roman" w:cs="Times New Roman"/>
          <w:sz w:val="24"/>
          <w:szCs w:val="24"/>
          <w:lang w:val="en-GB"/>
        </w:rPr>
        <w:t>ities of each pregnancy</w:t>
      </w:r>
      <w:r w:rsidRPr="009645E5">
        <w:rPr>
          <w:rFonts w:ascii="Times New Roman" w:hAnsi="Times New Roman" w:cs="Times New Roman"/>
          <w:sz w:val="24"/>
          <w:szCs w:val="24"/>
          <w:lang w:val="en-GB"/>
        </w:rPr>
        <w:t xml:space="preserve">. </w:t>
      </w:r>
      <w:r w:rsidR="00804716" w:rsidRPr="009645E5">
        <w:rPr>
          <w:rFonts w:ascii="Times New Roman" w:hAnsi="Times New Roman" w:cs="Times New Roman"/>
          <w:sz w:val="24"/>
          <w:szCs w:val="24"/>
          <w:lang w:val="en-GB"/>
        </w:rPr>
        <w:t>In a similar vein, j</w:t>
      </w:r>
      <w:r w:rsidRPr="009645E5">
        <w:rPr>
          <w:rFonts w:ascii="Times New Roman" w:hAnsi="Times New Roman" w:cs="Times New Roman"/>
          <w:sz w:val="24"/>
          <w:szCs w:val="24"/>
          <w:lang w:val="en-GB"/>
        </w:rPr>
        <w:t xml:space="preserve">udges must also remain cognisant of the subtleties of a particular case when determining the question of breach, for the correct legal test is negligence in the </w:t>
      </w:r>
      <w:r w:rsidRPr="009645E5">
        <w:rPr>
          <w:rFonts w:ascii="Times New Roman" w:hAnsi="Times New Roman" w:cs="Times New Roman"/>
          <w:i/>
          <w:iCs/>
          <w:sz w:val="24"/>
          <w:szCs w:val="24"/>
          <w:lang w:val="en-GB"/>
        </w:rPr>
        <w:t>surrounding circumstances.</w:t>
      </w:r>
      <w:r w:rsidR="00B32900" w:rsidRPr="009645E5">
        <w:rPr>
          <w:rFonts w:ascii="Times New Roman" w:hAnsi="Times New Roman" w:cs="Times New Roman"/>
          <w:i/>
          <w:iCs/>
          <w:sz w:val="24"/>
          <w:szCs w:val="24"/>
          <w:lang w:val="en-GB"/>
        </w:rPr>
        <w:t xml:space="preserve">  </w:t>
      </w:r>
      <w:r w:rsidR="00B32900" w:rsidRPr="009645E5">
        <w:rPr>
          <w:rFonts w:ascii="Times New Roman" w:hAnsi="Times New Roman" w:cs="Times New Roman"/>
          <w:sz w:val="24"/>
          <w:szCs w:val="24"/>
          <w:lang w:val="en-GB"/>
        </w:rPr>
        <w:t>I</w:t>
      </w:r>
      <w:r w:rsidRPr="009645E5">
        <w:rPr>
          <w:rFonts w:ascii="Times New Roman" w:hAnsi="Times New Roman" w:cs="Times New Roman"/>
          <w:sz w:val="24"/>
          <w:szCs w:val="24"/>
          <w:lang w:val="en-GB"/>
        </w:rPr>
        <w:t>n</w:t>
      </w:r>
      <w:r w:rsidR="00B32900" w:rsidRPr="009645E5">
        <w:rPr>
          <w:rFonts w:ascii="Times New Roman" w:hAnsi="Times New Roman" w:cs="Times New Roman"/>
          <w:sz w:val="24"/>
          <w:szCs w:val="24"/>
          <w:lang w:val="en-GB"/>
        </w:rPr>
        <w:t xml:space="preserve"> </w:t>
      </w:r>
      <w:r w:rsidRPr="009645E5">
        <w:rPr>
          <w:rFonts w:ascii="Times New Roman" w:hAnsi="Times New Roman" w:cs="Times New Roman"/>
          <w:i/>
          <w:iCs/>
          <w:sz w:val="24"/>
          <w:szCs w:val="24"/>
          <w:lang w:val="en-GB"/>
        </w:rPr>
        <w:t xml:space="preserve">NM, </w:t>
      </w:r>
      <w:r w:rsidRPr="009645E5">
        <w:rPr>
          <w:rFonts w:ascii="Times New Roman" w:hAnsi="Times New Roman" w:cs="Times New Roman"/>
          <w:sz w:val="24"/>
          <w:szCs w:val="24"/>
          <w:lang w:val="en-GB"/>
        </w:rPr>
        <w:t xml:space="preserve">given the associated risks, it may well have been inappropriate to move immediately to a caesarean section based on the first, and perhaps even the second, sign on the CTG trace that something untoward may have been happening. A certain amount of perseverance undoubtedly falls within the margin of appreciation afforded to the exercise of </w:t>
      </w:r>
      <w:r w:rsidR="0041416B" w:rsidRPr="009645E5">
        <w:rPr>
          <w:rFonts w:ascii="Times New Roman" w:hAnsi="Times New Roman" w:cs="Times New Roman"/>
          <w:sz w:val="24"/>
          <w:szCs w:val="24"/>
          <w:lang w:val="en-GB"/>
        </w:rPr>
        <w:t xml:space="preserve">professional discretion, but </w:t>
      </w:r>
      <w:r w:rsidRPr="009645E5">
        <w:rPr>
          <w:rFonts w:ascii="Times New Roman" w:hAnsi="Times New Roman" w:cs="Times New Roman"/>
          <w:sz w:val="24"/>
          <w:szCs w:val="24"/>
          <w:lang w:val="en-GB"/>
        </w:rPr>
        <w:t xml:space="preserve">there were </w:t>
      </w:r>
      <w:r w:rsidRPr="009645E5">
        <w:rPr>
          <w:rFonts w:ascii="Times New Roman" w:hAnsi="Times New Roman" w:cs="Times New Roman"/>
          <w:i/>
          <w:sz w:val="24"/>
          <w:szCs w:val="24"/>
          <w:lang w:val="en-GB"/>
        </w:rPr>
        <w:t>four</w:t>
      </w:r>
      <w:r w:rsidRPr="009645E5">
        <w:rPr>
          <w:rFonts w:ascii="Times New Roman" w:hAnsi="Times New Roman" w:cs="Times New Roman"/>
          <w:sz w:val="24"/>
          <w:szCs w:val="24"/>
          <w:lang w:val="en-GB"/>
        </w:rPr>
        <w:t xml:space="preserve"> points at which the CTG t</w:t>
      </w:r>
      <w:r w:rsidR="00673788">
        <w:rPr>
          <w:rFonts w:ascii="Times New Roman" w:hAnsi="Times New Roman" w:cs="Times New Roman"/>
          <w:sz w:val="24"/>
          <w:szCs w:val="24"/>
          <w:lang w:val="en-GB"/>
        </w:rPr>
        <w:t xml:space="preserve">race indicated that there could potentially </w:t>
      </w:r>
      <w:r w:rsidRPr="009645E5">
        <w:rPr>
          <w:rFonts w:ascii="Times New Roman" w:hAnsi="Times New Roman" w:cs="Times New Roman"/>
          <w:sz w:val="24"/>
          <w:szCs w:val="24"/>
          <w:lang w:val="en-GB"/>
        </w:rPr>
        <w:t>have been a problem developing.  The</w:t>
      </w:r>
      <w:r w:rsidR="00D348F2" w:rsidRPr="009645E5">
        <w:rPr>
          <w:rFonts w:ascii="Times New Roman" w:hAnsi="Times New Roman" w:cs="Times New Roman"/>
          <w:sz w:val="24"/>
          <w:szCs w:val="24"/>
          <w:lang w:val="en-GB"/>
        </w:rPr>
        <w:t xml:space="preserve">re </w:t>
      </w:r>
      <w:r w:rsidR="00B32900" w:rsidRPr="009645E5">
        <w:rPr>
          <w:rFonts w:ascii="Times New Roman" w:hAnsi="Times New Roman" w:cs="Times New Roman"/>
          <w:sz w:val="24"/>
          <w:szCs w:val="24"/>
          <w:lang w:val="en-GB"/>
        </w:rPr>
        <w:t xml:space="preserve">were also very clear factors which signified that the pregnancy should be </w:t>
      </w:r>
      <w:r w:rsidRPr="009645E5">
        <w:rPr>
          <w:rFonts w:ascii="Times New Roman" w:hAnsi="Times New Roman" w:cs="Times New Roman"/>
          <w:sz w:val="24"/>
          <w:szCs w:val="24"/>
          <w:lang w:val="en-GB"/>
        </w:rPr>
        <w:t xml:space="preserve">regarded as </w:t>
      </w:r>
      <w:r w:rsidR="00D348F2" w:rsidRPr="009645E5">
        <w:rPr>
          <w:rFonts w:ascii="Times New Roman" w:hAnsi="Times New Roman" w:cs="Times New Roman"/>
          <w:sz w:val="24"/>
          <w:szCs w:val="24"/>
          <w:lang w:val="en-GB"/>
        </w:rPr>
        <w:t>‘</w:t>
      </w:r>
      <w:r w:rsidRPr="009645E5">
        <w:rPr>
          <w:rFonts w:ascii="Times New Roman" w:hAnsi="Times New Roman" w:cs="Times New Roman"/>
          <w:sz w:val="24"/>
          <w:szCs w:val="24"/>
          <w:lang w:val="en-GB"/>
        </w:rPr>
        <w:t>high risk</w:t>
      </w:r>
      <w:r w:rsidR="00D348F2" w:rsidRPr="009645E5">
        <w:rPr>
          <w:rFonts w:ascii="Times New Roman" w:hAnsi="Times New Roman" w:cs="Times New Roman"/>
          <w:sz w:val="24"/>
          <w:szCs w:val="24"/>
          <w:lang w:val="en-GB"/>
        </w:rPr>
        <w:t>’</w:t>
      </w:r>
      <w:r w:rsidRPr="009645E5">
        <w:rPr>
          <w:rFonts w:ascii="Times New Roman" w:hAnsi="Times New Roman" w:cs="Times New Roman"/>
          <w:sz w:val="24"/>
          <w:szCs w:val="24"/>
          <w:lang w:val="en-GB"/>
        </w:rPr>
        <w:t>.</w:t>
      </w:r>
      <w:r w:rsidRPr="009645E5">
        <w:rPr>
          <w:rFonts w:ascii="Times New Roman" w:eastAsia="Times New Roman Bold" w:hAnsi="Times New Roman" w:cs="Times New Roman"/>
          <w:sz w:val="24"/>
          <w:szCs w:val="24"/>
          <w:vertAlign w:val="superscript"/>
          <w:lang w:val="en-GB"/>
        </w:rPr>
        <w:footnoteReference w:id="84"/>
      </w:r>
      <w:r w:rsidRPr="009645E5">
        <w:rPr>
          <w:rFonts w:ascii="Times New Roman" w:hAnsi="Times New Roman" w:cs="Times New Roman"/>
          <w:sz w:val="24"/>
          <w:szCs w:val="24"/>
          <w:lang w:val="en-GB"/>
        </w:rPr>
        <w:t xml:space="preserve">  These </w:t>
      </w:r>
      <w:r w:rsidRPr="009645E5">
        <w:rPr>
          <w:rFonts w:ascii="Times New Roman" w:hAnsi="Times New Roman" w:cs="Times New Roman"/>
          <w:sz w:val="24"/>
          <w:szCs w:val="24"/>
          <w:lang w:val="en-GB"/>
        </w:rPr>
        <w:lastRenderedPageBreak/>
        <w:t>particular features included the fact that the mother was diabetic, a condition which increases the risk of the fetus being macrosomic.</w:t>
      </w:r>
      <w:r w:rsidRPr="009645E5">
        <w:rPr>
          <w:rFonts w:ascii="Times New Roman" w:eastAsia="Times New Roman Bold" w:hAnsi="Times New Roman" w:cs="Times New Roman"/>
          <w:sz w:val="24"/>
          <w:szCs w:val="24"/>
          <w:vertAlign w:val="superscript"/>
          <w:lang w:val="en-GB"/>
        </w:rPr>
        <w:footnoteReference w:id="85"/>
      </w:r>
      <w:r w:rsidRPr="009645E5">
        <w:rPr>
          <w:rFonts w:ascii="Times New Roman" w:hAnsi="Times New Roman" w:cs="Times New Roman"/>
          <w:sz w:val="24"/>
          <w:szCs w:val="24"/>
          <w:lang w:val="en-GB"/>
        </w:rPr>
        <w:t xml:space="preserve">  Similarly, she was of short stature and was incredibly anxious about her pregnancy.</w:t>
      </w:r>
      <w:r w:rsidRPr="009645E5">
        <w:rPr>
          <w:rFonts w:ascii="Times New Roman" w:eastAsia="Times New Roman Bold" w:hAnsi="Times New Roman" w:cs="Times New Roman"/>
          <w:sz w:val="24"/>
          <w:szCs w:val="24"/>
          <w:vertAlign w:val="superscript"/>
          <w:lang w:val="en-GB"/>
        </w:rPr>
        <w:footnoteReference w:id="86"/>
      </w:r>
      <w:r w:rsidRPr="009645E5">
        <w:rPr>
          <w:rFonts w:ascii="Times New Roman" w:hAnsi="Times New Roman" w:cs="Times New Roman"/>
          <w:sz w:val="24"/>
          <w:szCs w:val="24"/>
          <w:lang w:val="en-GB"/>
        </w:rPr>
        <w:t xml:space="preserve">  Adding the far from perfect </w:t>
      </w:r>
      <w:r w:rsidR="002B4969" w:rsidRPr="009645E5">
        <w:rPr>
          <w:rFonts w:ascii="Times New Roman" w:hAnsi="Times New Roman" w:cs="Times New Roman"/>
          <w:sz w:val="24"/>
          <w:szCs w:val="24"/>
          <w:lang w:val="en-GB"/>
        </w:rPr>
        <w:t xml:space="preserve">CTG </w:t>
      </w:r>
      <w:r w:rsidRPr="009645E5">
        <w:rPr>
          <w:rFonts w:ascii="Times New Roman" w:hAnsi="Times New Roman" w:cs="Times New Roman"/>
          <w:sz w:val="24"/>
          <w:szCs w:val="24"/>
          <w:lang w:val="en-GB"/>
        </w:rPr>
        <w:t>re</w:t>
      </w:r>
      <w:r w:rsidR="002B4969" w:rsidRPr="009645E5">
        <w:rPr>
          <w:rFonts w:ascii="Times New Roman" w:hAnsi="Times New Roman" w:cs="Times New Roman"/>
          <w:sz w:val="24"/>
          <w:szCs w:val="24"/>
          <w:lang w:val="en-GB"/>
        </w:rPr>
        <w:t xml:space="preserve">ading </w:t>
      </w:r>
      <w:r w:rsidRPr="009645E5">
        <w:rPr>
          <w:rFonts w:ascii="Times New Roman" w:hAnsi="Times New Roman" w:cs="Times New Roman"/>
          <w:sz w:val="24"/>
          <w:szCs w:val="24"/>
          <w:lang w:val="en-GB"/>
        </w:rPr>
        <w:t xml:space="preserve">to these additional factors, </w:t>
      </w:r>
      <w:r w:rsidR="00673788">
        <w:rPr>
          <w:rFonts w:ascii="Times New Roman" w:hAnsi="Times New Roman" w:cs="Times New Roman"/>
          <w:sz w:val="24"/>
          <w:szCs w:val="24"/>
          <w:lang w:val="en-GB"/>
        </w:rPr>
        <w:t xml:space="preserve">a </w:t>
      </w:r>
      <w:r w:rsidRPr="009645E5">
        <w:rPr>
          <w:rFonts w:ascii="Times New Roman" w:hAnsi="Times New Roman" w:cs="Times New Roman"/>
          <w:sz w:val="24"/>
          <w:szCs w:val="24"/>
          <w:lang w:val="en-GB"/>
        </w:rPr>
        <w:t xml:space="preserve">justifiable question arises as to precisely how much leeway a judge should be permitted to give.  All things being equal, the balancing of risks and benefits may have favoured continuing labour naturally, but all things were not equal here and seldom will they ever be in </w:t>
      </w:r>
      <w:r w:rsidR="008C1863" w:rsidRPr="009645E5">
        <w:rPr>
          <w:rFonts w:ascii="Times New Roman" w:hAnsi="Times New Roman" w:cs="Times New Roman"/>
          <w:sz w:val="24"/>
          <w:szCs w:val="24"/>
          <w:lang w:val="en-GB"/>
        </w:rPr>
        <w:t>high risk pregnancies</w:t>
      </w:r>
      <w:r w:rsidRPr="009645E5">
        <w:rPr>
          <w:rFonts w:ascii="Times New Roman" w:hAnsi="Times New Roman" w:cs="Times New Roman"/>
          <w:sz w:val="24"/>
          <w:szCs w:val="24"/>
          <w:lang w:val="en-GB"/>
        </w:rPr>
        <w:t xml:space="preserve">.  There is cause to suggest in </w:t>
      </w:r>
      <w:r w:rsidRPr="009645E5">
        <w:rPr>
          <w:rFonts w:ascii="Times New Roman" w:hAnsi="Times New Roman" w:cs="Times New Roman"/>
          <w:i/>
          <w:iCs/>
          <w:sz w:val="24"/>
          <w:szCs w:val="24"/>
          <w:lang w:val="en-GB"/>
        </w:rPr>
        <w:t>NM</w:t>
      </w:r>
      <w:r w:rsidRPr="009645E5">
        <w:rPr>
          <w:rFonts w:ascii="Times New Roman" w:hAnsi="Times New Roman" w:cs="Times New Roman"/>
          <w:sz w:val="24"/>
          <w:szCs w:val="24"/>
          <w:lang w:val="en-GB"/>
        </w:rPr>
        <w:t>, as in other cases, that the signs from the CTG trace, coupled with the combination of wider case-specific factors, ought to have caused the risk benefit ratio to have tipped in favour of earlier intervention and that to argue otherwise was not representative of a respo</w:t>
      </w:r>
      <w:r w:rsidR="00B32900" w:rsidRPr="009645E5">
        <w:rPr>
          <w:rFonts w:ascii="Times New Roman" w:hAnsi="Times New Roman" w:cs="Times New Roman"/>
          <w:sz w:val="24"/>
          <w:szCs w:val="24"/>
          <w:lang w:val="en-GB"/>
        </w:rPr>
        <w:t>nsible body of medical opinion.</w:t>
      </w:r>
      <w:r w:rsidRPr="009645E5">
        <w:rPr>
          <w:rFonts w:ascii="Times New Roman" w:eastAsia="Times New Roman Bold" w:hAnsi="Times New Roman" w:cs="Times New Roman"/>
          <w:sz w:val="24"/>
          <w:szCs w:val="24"/>
          <w:lang w:val="en-GB"/>
        </w:rPr>
        <w:t xml:space="preserve"> </w:t>
      </w:r>
    </w:p>
    <w:p w14:paraId="43383A21" w14:textId="77777777" w:rsidR="00F50513" w:rsidRPr="009645E5" w:rsidRDefault="00F50513" w:rsidP="00F50513">
      <w:pPr>
        <w:pStyle w:val="BodyA"/>
        <w:jc w:val="both"/>
        <w:rPr>
          <w:rFonts w:ascii="Times New Roman" w:eastAsia="Times New Roman Bold" w:hAnsi="Times New Roman" w:cs="Times New Roman"/>
          <w:sz w:val="24"/>
          <w:szCs w:val="24"/>
          <w:lang w:val="en-GB"/>
        </w:rPr>
      </w:pPr>
    </w:p>
    <w:p w14:paraId="43121536" w14:textId="77777777" w:rsidR="005A51AF" w:rsidRPr="009645E5" w:rsidRDefault="00D70D82">
      <w:pPr>
        <w:pStyle w:val="BodyA"/>
        <w:jc w:val="center"/>
        <w:rPr>
          <w:rFonts w:ascii="Times New Roman" w:eastAsia="Times New Roman Bold" w:hAnsi="Times New Roman" w:cs="Times New Roman"/>
          <w:b/>
          <w:bCs/>
          <w:i/>
          <w:iCs/>
          <w:sz w:val="24"/>
          <w:szCs w:val="24"/>
          <w:lang w:val="en-GB"/>
        </w:rPr>
      </w:pPr>
      <w:r w:rsidRPr="009645E5">
        <w:rPr>
          <w:rFonts w:ascii="Times New Roman" w:hAnsi="Times New Roman" w:cs="Times New Roman"/>
          <w:b/>
          <w:bCs/>
          <w:i/>
          <w:iCs/>
          <w:sz w:val="24"/>
          <w:szCs w:val="24"/>
          <w:lang w:val="en-GB"/>
        </w:rPr>
        <w:t>ii. Negligent Management of Labour and Systemic Fault</w:t>
      </w:r>
    </w:p>
    <w:p w14:paraId="27C48772" w14:textId="77777777" w:rsidR="005A51AF" w:rsidRPr="009645E5" w:rsidRDefault="005A51AF">
      <w:pPr>
        <w:pStyle w:val="BodyA"/>
        <w:jc w:val="both"/>
        <w:rPr>
          <w:rFonts w:ascii="Times New Roman" w:eastAsia="Times New Roman Bold" w:hAnsi="Times New Roman" w:cs="Times New Roman"/>
          <w:i/>
          <w:iCs/>
          <w:sz w:val="24"/>
          <w:szCs w:val="24"/>
          <w:lang w:val="en-GB"/>
        </w:rPr>
      </w:pPr>
    </w:p>
    <w:p w14:paraId="398CD730" w14:textId="460D067D" w:rsidR="005A51AF" w:rsidRPr="009645E5" w:rsidRDefault="00D70D82">
      <w:pPr>
        <w:pStyle w:val="BodyA"/>
        <w:spacing w:line="360" w:lineRule="auto"/>
        <w:jc w:val="both"/>
        <w:rPr>
          <w:rFonts w:ascii="Times New Roman" w:eastAsia="Times New Roman Bold" w:hAnsi="Times New Roman" w:cs="Times New Roman"/>
          <w:sz w:val="24"/>
          <w:szCs w:val="24"/>
          <w:lang w:val="en-GB"/>
        </w:rPr>
      </w:pPr>
      <w:r w:rsidRPr="009645E5">
        <w:rPr>
          <w:rFonts w:ascii="Times New Roman" w:hAnsi="Times New Roman" w:cs="Times New Roman"/>
          <w:sz w:val="24"/>
          <w:szCs w:val="24"/>
          <w:lang w:val="en-GB"/>
        </w:rPr>
        <w:t xml:space="preserve">A number of the recent childbirth cases unveil a combination of errors from different healthcare professionals involved at the various stages of the labour.  The interesting question is the extent to which judges have seen </w:t>
      </w:r>
      <w:r w:rsidR="00B32900" w:rsidRPr="009645E5">
        <w:rPr>
          <w:rFonts w:ascii="Times New Roman" w:hAnsi="Times New Roman" w:cs="Times New Roman"/>
          <w:sz w:val="24"/>
          <w:szCs w:val="24"/>
          <w:lang w:val="en-GB"/>
        </w:rPr>
        <w:t xml:space="preserve">fit to actively scrutinise, and </w:t>
      </w:r>
      <w:r w:rsidRPr="009645E5">
        <w:rPr>
          <w:rFonts w:ascii="Times New Roman" w:hAnsi="Times New Roman" w:cs="Times New Roman"/>
          <w:sz w:val="24"/>
          <w:szCs w:val="24"/>
          <w:lang w:val="en-GB"/>
        </w:rPr>
        <w:t xml:space="preserve">disagree, with expert medical testimony in cases which appear to involve a multitude of sins.  Where the issue is less concerned with matters that require a high degree of technical expertise, one may be forgiven for assuming that a judge may be more willing to apply the </w:t>
      </w:r>
      <w:r w:rsidRPr="009645E5">
        <w:rPr>
          <w:rFonts w:ascii="Times New Roman" w:hAnsi="Times New Roman" w:cs="Times New Roman"/>
          <w:i/>
          <w:iCs/>
          <w:sz w:val="24"/>
          <w:szCs w:val="24"/>
          <w:lang w:val="en-GB"/>
        </w:rPr>
        <w:t>Bolitho</w:t>
      </w:r>
      <w:r w:rsidRPr="009645E5">
        <w:rPr>
          <w:rFonts w:ascii="Times New Roman" w:hAnsi="Times New Roman" w:cs="Times New Roman"/>
          <w:sz w:val="24"/>
          <w:szCs w:val="24"/>
          <w:lang w:val="en-GB"/>
        </w:rPr>
        <w:t xml:space="preserve"> gloss.  Certainly in theory the less specialist knowledge that is required to understand the main issues, the more straightforward the objective weighing of risks and benefits o</w:t>
      </w:r>
      <w:r w:rsidR="008C1863" w:rsidRPr="009645E5">
        <w:rPr>
          <w:rFonts w:ascii="Times New Roman" w:hAnsi="Times New Roman" w:cs="Times New Roman"/>
          <w:sz w:val="24"/>
          <w:szCs w:val="24"/>
          <w:lang w:val="en-GB"/>
        </w:rPr>
        <w:t xml:space="preserve">ught to be.  There appear to be </w:t>
      </w:r>
      <w:r w:rsidRPr="009645E5">
        <w:rPr>
          <w:rFonts w:ascii="Times New Roman" w:hAnsi="Times New Roman" w:cs="Times New Roman"/>
          <w:sz w:val="24"/>
          <w:szCs w:val="24"/>
          <w:lang w:val="en-GB"/>
        </w:rPr>
        <w:t>mixed m</w:t>
      </w:r>
      <w:r w:rsidR="008C1863" w:rsidRPr="009645E5">
        <w:rPr>
          <w:rFonts w:ascii="Times New Roman" w:hAnsi="Times New Roman" w:cs="Times New Roman"/>
          <w:sz w:val="24"/>
          <w:szCs w:val="24"/>
          <w:lang w:val="en-GB"/>
        </w:rPr>
        <w:t xml:space="preserve">essages in this regard and much </w:t>
      </w:r>
      <w:r w:rsidRPr="009645E5">
        <w:rPr>
          <w:rFonts w:ascii="Times New Roman" w:hAnsi="Times New Roman" w:cs="Times New Roman"/>
          <w:sz w:val="24"/>
          <w:szCs w:val="24"/>
          <w:lang w:val="en-GB"/>
        </w:rPr>
        <w:t xml:space="preserve">seems to rest on the precise course of action that could have been taken </w:t>
      </w:r>
      <w:r w:rsidR="008C1863" w:rsidRPr="009645E5">
        <w:rPr>
          <w:rFonts w:ascii="Times New Roman" w:hAnsi="Times New Roman" w:cs="Times New Roman"/>
          <w:sz w:val="24"/>
          <w:szCs w:val="24"/>
          <w:lang w:val="en-GB"/>
        </w:rPr>
        <w:t xml:space="preserve">to avoid the harm complained of </w:t>
      </w:r>
      <w:r w:rsidRPr="009645E5">
        <w:rPr>
          <w:rFonts w:ascii="Times New Roman" w:hAnsi="Times New Roman" w:cs="Times New Roman"/>
          <w:sz w:val="24"/>
          <w:szCs w:val="24"/>
          <w:lang w:val="en-GB"/>
        </w:rPr>
        <w:t>and by whom.</w:t>
      </w:r>
    </w:p>
    <w:p w14:paraId="4132FA0E" w14:textId="4BF88C21" w:rsidR="00896C40" w:rsidRPr="009645E5" w:rsidRDefault="00D70D82">
      <w:pPr>
        <w:pStyle w:val="BodyA"/>
        <w:spacing w:line="360" w:lineRule="auto"/>
        <w:jc w:val="both"/>
        <w:rPr>
          <w:rFonts w:ascii="Times New Roman" w:eastAsia="Times New Roman Bold" w:hAnsi="Times New Roman" w:cs="Times New Roman"/>
          <w:sz w:val="24"/>
          <w:szCs w:val="24"/>
          <w:lang w:val="en-GB"/>
        </w:rPr>
      </w:pPr>
      <w:r w:rsidRPr="009645E5">
        <w:rPr>
          <w:rFonts w:ascii="Times New Roman" w:eastAsia="Times New Roman Bold" w:hAnsi="Times New Roman" w:cs="Times New Roman"/>
          <w:sz w:val="24"/>
          <w:szCs w:val="24"/>
          <w:lang w:val="en-GB"/>
        </w:rPr>
        <w:tab/>
        <w:t xml:space="preserve">In </w:t>
      </w:r>
      <w:r w:rsidRPr="009645E5">
        <w:rPr>
          <w:rFonts w:ascii="Times New Roman" w:hAnsi="Times New Roman" w:cs="Times New Roman"/>
          <w:i/>
          <w:iCs/>
          <w:sz w:val="24"/>
          <w:szCs w:val="24"/>
          <w:lang w:val="en-GB"/>
        </w:rPr>
        <w:t>C v North Cumbria University Hospitals NHS Trust</w:t>
      </w:r>
      <w:r w:rsidRPr="009645E5">
        <w:rPr>
          <w:rFonts w:ascii="Times New Roman" w:eastAsia="Times New Roman Bold" w:hAnsi="Times New Roman" w:cs="Times New Roman"/>
          <w:sz w:val="24"/>
          <w:szCs w:val="24"/>
          <w:vertAlign w:val="superscript"/>
          <w:lang w:val="en-GB"/>
        </w:rPr>
        <w:footnoteReference w:id="87"/>
      </w:r>
      <w:r w:rsidRPr="009645E5">
        <w:rPr>
          <w:rFonts w:ascii="Times New Roman" w:hAnsi="Times New Roman" w:cs="Times New Roman"/>
          <w:i/>
          <w:iCs/>
          <w:sz w:val="24"/>
          <w:szCs w:val="24"/>
          <w:lang w:val="en-GB"/>
        </w:rPr>
        <w:t xml:space="preserve"> </w:t>
      </w:r>
      <w:r w:rsidRPr="009645E5">
        <w:rPr>
          <w:rFonts w:ascii="Times New Roman" w:hAnsi="Times New Roman" w:cs="Times New Roman"/>
          <w:sz w:val="24"/>
          <w:szCs w:val="24"/>
          <w:lang w:val="en-GB"/>
        </w:rPr>
        <w:t>negligence was alleged in regard to a midwife who administered a second dose of Prostin to the mother during the course of her labour.</w:t>
      </w:r>
      <w:r w:rsidRPr="009645E5">
        <w:rPr>
          <w:rFonts w:ascii="Times New Roman" w:eastAsia="Times New Roman Bold" w:hAnsi="Times New Roman" w:cs="Times New Roman"/>
          <w:sz w:val="24"/>
          <w:szCs w:val="24"/>
          <w:vertAlign w:val="superscript"/>
          <w:lang w:val="en-GB"/>
        </w:rPr>
        <w:footnoteReference w:id="88"/>
      </w:r>
      <w:r w:rsidRPr="009645E5">
        <w:rPr>
          <w:rFonts w:ascii="Times New Roman" w:hAnsi="Times New Roman" w:cs="Times New Roman"/>
          <w:sz w:val="24"/>
          <w:szCs w:val="24"/>
          <w:lang w:val="en-GB"/>
        </w:rPr>
        <w:t xml:space="preserve">  The claimant</w:t>
      </w:r>
      <w:r w:rsidR="00D348F2" w:rsidRPr="009645E5">
        <w:rPr>
          <w:rFonts w:ascii="Times New Roman" w:hAnsi="Times New Roman" w:cs="Times New Roman"/>
          <w:sz w:val="24"/>
          <w:szCs w:val="24"/>
          <w:lang w:val="en-GB"/>
        </w:rPr>
        <w:t>’</w:t>
      </w:r>
      <w:r w:rsidRPr="009645E5">
        <w:rPr>
          <w:rFonts w:ascii="Times New Roman" w:hAnsi="Times New Roman" w:cs="Times New Roman"/>
          <w:sz w:val="24"/>
          <w:szCs w:val="24"/>
          <w:lang w:val="en-GB"/>
        </w:rPr>
        <w:t xml:space="preserve">s experts suggested that because Prostin carries with it an acknowledged risk of uterine rupture, which can </w:t>
      </w:r>
      <w:r w:rsidR="00896C40" w:rsidRPr="009645E5">
        <w:rPr>
          <w:rFonts w:ascii="Times New Roman" w:hAnsi="Times New Roman" w:cs="Times New Roman"/>
          <w:sz w:val="24"/>
          <w:szCs w:val="24"/>
          <w:lang w:val="en-GB"/>
        </w:rPr>
        <w:t xml:space="preserve">lead to the </w:t>
      </w:r>
      <w:r w:rsidRPr="009645E5">
        <w:rPr>
          <w:rFonts w:ascii="Times New Roman" w:hAnsi="Times New Roman" w:cs="Times New Roman"/>
          <w:sz w:val="24"/>
          <w:szCs w:val="24"/>
          <w:lang w:val="en-GB"/>
        </w:rPr>
        <w:t>catastrophic consequences</w:t>
      </w:r>
      <w:r w:rsidR="00896C40" w:rsidRPr="009645E5">
        <w:rPr>
          <w:rFonts w:ascii="Times New Roman" w:hAnsi="Times New Roman" w:cs="Times New Roman"/>
          <w:sz w:val="24"/>
          <w:szCs w:val="24"/>
          <w:lang w:val="en-GB"/>
        </w:rPr>
        <w:t xml:space="preserve"> </w:t>
      </w:r>
      <w:r w:rsidR="00003E3C">
        <w:rPr>
          <w:rFonts w:ascii="Times New Roman" w:hAnsi="Times New Roman" w:cs="Times New Roman"/>
          <w:sz w:val="24"/>
          <w:szCs w:val="24"/>
          <w:lang w:val="en-GB"/>
        </w:rPr>
        <w:t xml:space="preserve">that </w:t>
      </w:r>
      <w:r w:rsidR="00896C40" w:rsidRPr="009645E5">
        <w:rPr>
          <w:rFonts w:ascii="Times New Roman" w:hAnsi="Times New Roman" w:cs="Times New Roman"/>
          <w:sz w:val="24"/>
          <w:szCs w:val="24"/>
          <w:lang w:val="en-GB"/>
        </w:rPr>
        <w:t xml:space="preserve">eventually transpired in this case, </w:t>
      </w:r>
      <w:r w:rsidRPr="009645E5">
        <w:rPr>
          <w:rFonts w:ascii="Times New Roman" w:hAnsi="Times New Roman" w:cs="Times New Roman"/>
          <w:sz w:val="24"/>
          <w:szCs w:val="24"/>
          <w:lang w:val="en-GB"/>
        </w:rPr>
        <w:t xml:space="preserve">a </w:t>
      </w:r>
      <w:r w:rsidR="00D348F2" w:rsidRPr="009645E5">
        <w:rPr>
          <w:rFonts w:ascii="Times New Roman" w:hAnsi="Times New Roman" w:cs="Times New Roman"/>
          <w:sz w:val="24"/>
          <w:szCs w:val="24"/>
          <w:lang w:val="en-GB"/>
        </w:rPr>
        <w:t>‘</w:t>
      </w:r>
      <w:r w:rsidRPr="009645E5">
        <w:rPr>
          <w:rFonts w:ascii="Times New Roman" w:hAnsi="Times New Roman" w:cs="Times New Roman"/>
          <w:sz w:val="24"/>
          <w:szCs w:val="24"/>
          <w:lang w:val="en-GB"/>
        </w:rPr>
        <w:t>highly precautionary</w:t>
      </w:r>
      <w:r w:rsidR="00D348F2" w:rsidRPr="009645E5">
        <w:rPr>
          <w:rFonts w:ascii="Times New Roman" w:hAnsi="Times New Roman" w:cs="Times New Roman"/>
          <w:sz w:val="24"/>
          <w:szCs w:val="24"/>
          <w:lang w:val="en-GB"/>
        </w:rPr>
        <w:t>’</w:t>
      </w:r>
      <w:r w:rsidRPr="009645E5">
        <w:rPr>
          <w:rFonts w:ascii="Times New Roman" w:hAnsi="Times New Roman" w:cs="Times New Roman"/>
          <w:sz w:val="24"/>
          <w:szCs w:val="24"/>
          <w:lang w:val="en-GB"/>
        </w:rPr>
        <w:t xml:space="preserve"> approach should be taken.</w:t>
      </w:r>
      <w:r w:rsidR="00896C40" w:rsidRPr="009645E5">
        <w:rPr>
          <w:rFonts w:ascii="Times New Roman" w:eastAsia="Times New Roman Bold" w:hAnsi="Times New Roman" w:cs="Times New Roman"/>
          <w:sz w:val="24"/>
          <w:szCs w:val="24"/>
          <w:vertAlign w:val="superscript"/>
          <w:lang w:val="en-GB"/>
        </w:rPr>
        <w:t xml:space="preserve"> </w:t>
      </w:r>
      <w:r w:rsidR="00896C40" w:rsidRPr="009645E5">
        <w:rPr>
          <w:rFonts w:ascii="Times New Roman" w:eastAsia="Times New Roman Bold" w:hAnsi="Times New Roman" w:cs="Times New Roman"/>
          <w:sz w:val="24"/>
          <w:szCs w:val="24"/>
          <w:vertAlign w:val="superscript"/>
          <w:lang w:val="en-GB"/>
        </w:rPr>
        <w:footnoteReference w:id="89"/>
      </w:r>
      <w:r w:rsidRPr="009645E5">
        <w:rPr>
          <w:rFonts w:ascii="Times New Roman" w:hAnsi="Times New Roman" w:cs="Times New Roman"/>
          <w:sz w:val="24"/>
          <w:szCs w:val="24"/>
          <w:lang w:val="en-GB"/>
        </w:rPr>
        <w:t xml:space="preserve">  In justifying their approach the experts alluded to the fact that the risk of not administering the second dose or delaying to await </w:t>
      </w:r>
      <w:r w:rsidRPr="009645E5">
        <w:rPr>
          <w:rFonts w:ascii="Times New Roman" w:hAnsi="Times New Roman" w:cs="Times New Roman"/>
          <w:sz w:val="24"/>
          <w:szCs w:val="24"/>
          <w:lang w:val="en-GB"/>
        </w:rPr>
        <w:lastRenderedPageBreak/>
        <w:t>events was very small.  This was not an emergency case where time was of the essence. Similarly, if there was any ambiguity as to whether or not the labour was establishing, then a competent midwife should delay the second dose.</w:t>
      </w:r>
      <w:r w:rsidRPr="009645E5">
        <w:rPr>
          <w:rFonts w:ascii="Times New Roman" w:eastAsia="Times New Roman Bold" w:hAnsi="Times New Roman" w:cs="Times New Roman"/>
          <w:sz w:val="24"/>
          <w:szCs w:val="24"/>
          <w:vertAlign w:val="superscript"/>
          <w:lang w:val="en-GB"/>
        </w:rPr>
        <w:footnoteReference w:id="90"/>
      </w:r>
      <w:r w:rsidRPr="009645E5">
        <w:rPr>
          <w:rFonts w:ascii="Times New Roman" w:hAnsi="Times New Roman" w:cs="Times New Roman"/>
          <w:sz w:val="24"/>
          <w:szCs w:val="24"/>
          <w:lang w:val="en-GB"/>
        </w:rPr>
        <w:t xml:space="preserve">  Green J, whilst admitting that it would have been reasonable for the midwife to have adopted the highly cautious approach, said that to impose that standard would be setting the bar of reasonableness at </w:t>
      </w:r>
      <w:r w:rsidR="00D348F2" w:rsidRPr="009645E5">
        <w:rPr>
          <w:rFonts w:ascii="Times New Roman" w:hAnsi="Times New Roman" w:cs="Times New Roman"/>
          <w:sz w:val="24"/>
          <w:szCs w:val="24"/>
          <w:lang w:val="en-GB"/>
        </w:rPr>
        <w:t>‘</w:t>
      </w:r>
      <w:r w:rsidRPr="009645E5">
        <w:rPr>
          <w:rFonts w:ascii="Times New Roman" w:hAnsi="Times New Roman" w:cs="Times New Roman"/>
          <w:sz w:val="24"/>
          <w:szCs w:val="24"/>
          <w:lang w:val="en-GB"/>
        </w:rPr>
        <w:t>too high a level</w:t>
      </w:r>
      <w:r w:rsidR="00D348F2" w:rsidRPr="009645E5">
        <w:rPr>
          <w:rFonts w:ascii="Times New Roman" w:hAnsi="Times New Roman" w:cs="Times New Roman"/>
          <w:sz w:val="24"/>
          <w:szCs w:val="24"/>
          <w:lang w:val="en-GB"/>
        </w:rPr>
        <w:t>’</w:t>
      </w:r>
      <w:r w:rsidRPr="009645E5">
        <w:rPr>
          <w:rFonts w:ascii="Times New Roman" w:hAnsi="Times New Roman" w:cs="Times New Roman"/>
          <w:sz w:val="24"/>
          <w:szCs w:val="24"/>
          <w:lang w:val="en-GB"/>
        </w:rPr>
        <w:t>.</w:t>
      </w:r>
      <w:r w:rsidRPr="009645E5">
        <w:rPr>
          <w:rFonts w:ascii="Times New Roman" w:eastAsia="Times New Roman Bold" w:hAnsi="Times New Roman" w:cs="Times New Roman"/>
          <w:sz w:val="24"/>
          <w:szCs w:val="24"/>
          <w:vertAlign w:val="superscript"/>
          <w:lang w:val="en-GB"/>
        </w:rPr>
        <w:footnoteReference w:id="91"/>
      </w:r>
      <w:r w:rsidRPr="009645E5">
        <w:rPr>
          <w:rFonts w:ascii="Times New Roman" w:hAnsi="Times New Roman" w:cs="Times New Roman"/>
          <w:sz w:val="24"/>
          <w:szCs w:val="24"/>
          <w:lang w:val="en-GB"/>
        </w:rPr>
        <w:t xml:space="preserve">  If ever there was a case</w:t>
      </w:r>
      <w:r w:rsidR="00896C40" w:rsidRPr="009645E5">
        <w:rPr>
          <w:rFonts w:ascii="Times New Roman" w:hAnsi="Times New Roman" w:cs="Times New Roman"/>
          <w:sz w:val="24"/>
          <w:szCs w:val="24"/>
          <w:lang w:val="en-GB"/>
        </w:rPr>
        <w:t xml:space="preserve"> in which </w:t>
      </w:r>
      <w:r w:rsidR="00896C40" w:rsidRPr="009645E5">
        <w:rPr>
          <w:rFonts w:ascii="Times New Roman" w:hAnsi="Times New Roman" w:cs="Times New Roman"/>
          <w:i/>
          <w:sz w:val="24"/>
          <w:szCs w:val="24"/>
          <w:lang w:val="en-GB"/>
        </w:rPr>
        <w:t>Bolitho</w:t>
      </w:r>
      <w:r w:rsidR="00896C40" w:rsidRPr="009645E5">
        <w:rPr>
          <w:rFonts w:ascii="Times New Roman" w:hAnsi="Times New Roman" w:cs="Times New Roman"/>
          <w:sz w:val="24"/>
          <w:szCs w:val="24"/>
          <w:lang w:val="en-GB"/>
        </w:rPr>
        <w:t xml:space="preserve"> should have bitten</w:t>
      </w:r>
      <w:r w:rsidRPr="009645E5">
        <w:rPr>
          <w:rFonts w:ascii="Times New Roman" w:hAnsi="Times New Roman" w:cs="Times New Roman"/>
          <w:sz w:val="24"/>
          <w:szCs w:val="24"/>
          <w:lang w:val="en-GB"/>
        </w:rPr>
        <w:t xml:space="preserve">, it </w:t>
      </w:r>
      <w:r w:rsidR="002B4969" w:rsidRPr="009645E5">
        <w:rPr>
          <w:rFonts w:ascii="Times New Roman" w:hAnsi="Times New Roman" w:cs="Times New Roman"/>
          <w:sz w:val="24"/>
          <w:szCs w:val="24"/>
          <w:lang w:val="en-GB"/>
        </w:rPr>
        <w:t xml:space="preserve">was </w:t>
      </w:r>
      <w:r w:rsidRPr="009645E5">
        <w:rPr>
          <w:rFonts w:ascii="Times New Roman" w:hAnsi="Times New Roman" w:cs="Times New Roman"/>
          <w:sz w:val="24"/>
          <w:szCs w:val="24"/>
          <w:lang w:val="en-GB"/>
        </w:rPr>
        <w:t>this one.</w:t>
      </w:r>
      <w:r w:rsidR="002B4969" w:rsidRPr="009645E5">
        <w:rPr>
          <w:rFonts w:ascii="Times New Roman" w:hAnsi="Times New Roman" w:cs="Times New Roman"/>
          <w:sz w:val="24"/>
          <w:szCs w:val="24"/>
          <w:lang w:val="en-GB"/>
        </w:rPr>
        <w:t xml:space="preserve">  Despite </w:t>
      </w:r>
      <w:r w:rsidR="00896C40" w:rsidRPr="009645E5">
        <w:rPr>
          <w:rFonts w:ascii="Times New Roman" w:hAnsi="Times New Roman" w:cs="Times New Roman"/>
          <w:sz w:val="24"/>
          <w:szCs w:val="24"/>
          <w:lang w:val="en-GB"/>
        </w:rPr>
        <w:t xml:space="preserve">careful and reasoned evidence from the claimant’s experts, Green J failed </w:t>
      </w:r>
      <w:r w:rsidRPr="009645E5">
        <w:rPr>
          <w:rFonts w:ascii="Times New Roman" w:hAnsi="Times New Roman" w:cs="Times New Roman"/>
          <w:sz w:val="24"/>
          <w:szCs w:val="24"/>
          <w:lang w:val="en-GB"/>
        </w:rPr>
        <w:t xml:space="preserve">to spot that, whilst the risk of uterine rupture </w:t>
      </w:r>
      <w:r w:rsidR="00896C40" w:rsidRPr="009645E5">
        <w:rPr>
          <w:rFonts w:ascii="Times New Roman" w:hAnsi="Times New Roman" w:cs="Times New Roman"/>
          <w:sz w:val="24"/>
          <w:szCs w:val="24"/>
          <w:lang w:val="en-GB"/>
        </w:rPr>
        <w:t xml:space="preserve">was </w:t>
      </w:r>
      <w:r w:rsidRPr="009645E5">
        <w:rPr>
          <w:rFonts w:ascii="Times New Roman" w:hAnsi="Times New Roman" w:cs="Times New Roman"/>
          <w:sz w:val="24"/>
          <w:szCs w:val="24"/>
          <w:lang w:val="en-GB"/>
        </w:rPr>
        <w:t xml:space="preserve">small, the consequences of that risk materialising </w:t>
      </w:r>
      <w:r w:rsidR="00896C40" w:rsidRPr="009645E5">
        <w:rPr>
          <w:rFonts w:ascii="Times New Roman" w:hAnsi="Times New Roman" w:cs="Times New Roman"/>
          <w:sz w:val="24"/>
          <w:szCs w:val="24"/>
          <w:lang w:val="en-GB"/>
        </w:rPr>
        <w:t xml:space="preserve">were </w:t>
      </w:r>
      <w:r w:rsidRPr="009645E5">
        <w:rPr>
          <w:rFonts w:ascii="Times New Roman" w:hAnsi="Times New Roman" w:cs="Times New Roman"/>
          <w:sz w:val="24"/>
          <w:szCs w:val="24"/>
          <w:lang w:val="en-GB"/>
        </w:rPr>
        <w:t>huge.</w:t>
      </w:r>
      <w:r w:rsidRPr="009645E5">
        <w:rPr>
          <w:rFonts w:ascii="Times New Roman" w:eastAsia="Times New Roman Bold" w:hAnsi="Times New Roman" w:cs="Times New Roman"/>
          <w:sz w:val="24"/>
          <w:szCs w:val="24"/>
          <w:vertAlign w:val="superscript"/>
          <w:lang w:val="en-GB"/>
        </w:rPr>
        <w:footnoteReference w:id="92"/>
      </w:r>
      <w:r w:rsidR="00003E3C">
        <w:rPr>
          <w:rFonts w:ascii="Times New Roman" w:hAnsi="Times New Roman" w:cs="Times New Roman"/>
          <w:sz w:val="24"/>
          <w:szCs w:val="24"/>
          <w:lang w:val="en-GB"/>
        </w:rPr>
        <w:t xml:space="preserve">  I</w:t>
      </w:r>
      <w:r w:rsidRPr="009645E5">
        <w:rPr>
          <w:rFonts w:ascii="Times New Roman" w:hAnsi="Times New Roman" w:cs="Times New Roman"/>
          <w:sz w:val="24"/>
          <w:szCs w:val="24"/>
          <w:lang w:val="en-GB"/>
        </w:rPr>
        <w:t xml:space="preserve">t ought to be evident from the most rudimentary of balancing exercises that the benefit of delaying the second dose in a non-emergency case far outweighed the risk of severe adverse consequences inherent in administering it, notwithstanding the fact that the rate of occurrence of that risk was only slight.  </w:t>
      </w:r>
      <w:r w:rsidR="008C1863" w:rsidRPr="009645E5">
        <w:rPr>
          <w:rFonts w:ascii="Times New Roman" w:hAnsi="Times New Roman" w:cs="Times New Roman"/>
          <w:sz w:val="24"/>
          <w:szCs w:val="24"/>
          <w:lang w:val="en-GB"/>
        </w:rPr>
        <w:t xml:space="preserve">The rate of occurrence of a risk ought not to be confused with the severity of consequence should it materialise as being the more crucial question in any balancing exercise.  </w:t>
      </w:r>
      <w:r w:rsidRPr="009645E5">
        <w:rPr>
          <w:rFonts w:ascii="Times New Roman" w:hAnsi="Times New Roman" w:cs="Times New Roman"/>
          <w:sz w:val="24"/>
          <w:szCs w:val="24"/>
          <w:lang w:val="en-GB"/>
        </w:rPr>
        <w:t>All the midwife had to do was delay to see for herself how thing</w:t>
      </w:r>
      <w:r w:rsidR="00507829">
        <w:rPr>
          <w:rFonts w:ascii="Times New Roman" w:hAnsi="Times New Roman" w:cs="Times New Roman"/>
          <w:sz w:val="24"/>
          <w:szCs w:val="24"/>
          <w:lang w:val="en-GB"/>
        </w:rPr>
        <w:t>s</w:t>
      </w:r>
      <w:r w:rsidRPr="009645E5">
        <w:rPr>
          <w:rFonts w:ascii="Times New Roman" w:hAnsi="Times New Roman" w:cs="Times New Roman"/>
          <w:sz w:val="24"/>
          <w:szCs w:val="24"/>
          <w:lang w:val="en-GB"/>
        </w:rPr>
        <w:t xml:space="preserve"> developed, or, alternatively, seek a second opinion</w:t>
      </w:r>
      <w:r w:rsidR="00507829">
        <w:rPr>
          <w:rFonts w:ascii="Times New Roman" w:hAnsi="Times New Roman" w:cs="Times New Roman"/>
          <w:sz w:val="24"/>
          <w:szCs w:val="24"/>
          <w:lang w:val="en-GB"/>
        </w:rPr>
        <w:t>,</w:t>
      </w:r>
      <w:r w:rsidRPr="009645E5">
        <w:rPr>
          <w:rFonts w:ascii="Times New Roman" w:hAnsi="Times New Roman" w:cs="Times New Roman"/>
          <w:sz w:val="24"/>
          <w:szCs w:val="24"/>
          <w:lang w:val="en-GB"/>
        </w:rPr>
        <w:t xml:space="preserve"> and this would have exposed the patient to very little</w:t>
      </w:r>
      <w:r w:rsidR="00507829">
        <w:rPr>
          <w:rFonts w:ascii="Times New Roman" w:hAnsi="Times New Roman" w:cs="Times New Roman"/>
          <w:sz w:val="24"/>
          <w:szCs w:val="24"/>
          <w:lang w:val="en-GB"/>
        </w:rPr>
        <w:t>,</w:t>
      </w:r>
      <w:r w:rsidRPr="009645E5">
        <w:rPr>
          <w:rFonts w:ascii="Times New Roman" w:hAnsi="Times New Roman" w:cs="Times New Roman"/>
          <w:sz w:val="24"/>
          <w:szCs w:val="24"/>
          <w:lang w:val="en-GB"/>
        </w:rPr>
        <w:t xml:space="preserve"> if any</w:t>
      </w:r>
      <w:r w:rsidR="00507829">
        <w:rPr>
          <w:rFonts w:ascii="Times New Roman" w:hAnsi="Times New Roman" w:cs="Times New Roman"/>
          <w:sz w:val="24"/>
          <w:szCs w:val="24"/>
          <w:lang w:val="en-GB"/>
        </w:rPr>
        <w:t>,</w:t>
      </w:r>
      <w:r w:rsidRPr="009645E5">
        <w:rPr>
          <w:rFonts w:ascii="Times New Roman" w:hAnsi="Times New Roman" w:cs="Times New Roman"/>
          <w:sz w:val="24"/>
          <w:szCs w:val="24"/>
          <w:lang w:val="en-GB"/>
        </w:rPr>
        <w:t xml:space="preserve"> additional risk.</w:t>
      </w:r>
      <w:r w:rsidRPr="009645E5">
        <w:rPr>
          <w:rFonts w:ascii="Times New Roman" w:eastAsia="Times New Roman Bold" w:hAnsi="Times New Roman" w:cs="Times New Roman"/>
          <w:sz w:val="24"/>
          <w:szCs w:val="24"/>
          <w:vertAlign w:val="superscript"/>
          <w:lang w:val="en-GB"/>
        </w:rPr>
        <w:footnoteReference w:id="93"/>
      </w:r>
      <w:r w:rsidRPr="009645E5">
        <w:rPr>
          <w:rFonts w:ascii="Times New Roman" w:hAnsi="Times New Roman" w:cs="Times New Roman"/>
          <w:sz w:val="24"/>
          <w:szCs w:val="24"/>
          <w:lang w:val="en-GB"/>
        </w:rPr>
        <w:t xml:space="preserve">  To categorise the midwife</w:t>
      </w:r>
      <w:r w:rsidR="00D348F2" w:rsidRPr="009645E5">
        <w:rPr>
          <w:rFonts w:ascii="Times New Roman" w:hAnsi="Times New Roman" w:cs="Times New Roman"/>
          <w:sz w:val="24"/>
          <w:szCs w:val="24"/>
          <w:lang w:val="en-GB"/>
        </w:rPr>
        <w:t>’</w:t>
      </w:r>
      <w:r w:rsidRPr="009645E5">
        <w:rPr>
          <w:rFonts w:ascii="Times New Roman" w:hAnsi="Times New Roman" w:cs="Times New Roman"/>
          <w:sz w:val="24"/>
          <w:szCs w:val="24"/>
          <w:lang w:val="en-GB"/>
        </w:rPr>
        <w:t xml:space="preserve">s approach as recklessness may be going too far, but in the same breath to classify her actions as reasonable, and to hold that the expert opinion supportive of that approach was responsible, seems equally inappropriate.  </w:t>
      </w:r>
    </w:p>
    <w:p w14:paraId="7D0C7213" w14:textId="138D429E" w:rsidR="005A51AF" w:rsidRPr="009645E5" w:rsidRDefault="00896C40" w:rsidP="004768D4">
      <w:pPr>
        <w:pStyle w:val="BodyA"/>
        <w:spacing w:line="360" w:lineRule="auto"/>
        <w:jc w:val="both"/>
        <w:rPr>
          <w:rFonts w:ascii="Times New Roman" w:eastAsia="Times New Roman Bold" w:hAnsi="Times New Roman" w:cs="Times New Roman"/>
          <w:sz w:val="24"/>
          <w:szCs w:val="24"/>
          <w:lang w:val="en-GB"/>
        </w:rPr>
      </w:pPr>
      <w:r w:rsidRPr="009645E5">
        <w:rPr>
          <w:rFonts w:ascii="Times New Roman" w:eastAsia="Times New Roman Bold" w:hAnsi="Times New Roman" w:cs="Times New Roman"/>
          <w:sz w:val="24"/>
          <w:szCs w:val="24"/>
          <w:lang w:val="en-GB"/>
        </w:rPr>
        <w:tab/>
      </w:r>
      <w:r w:rsidR="00D70D82" w:rsidRPr="009645E5">
        <w:rPr>
          <w:rFonts w:ascii="Times New Roman" w:eastAsia="Times New Roman Bold" w:hAnsi="Times New Roman" w:cs="Times New Roman"/>
          <w:sz w:val="24"/>
          <w:szCs w:val="24"/>
          <w:lang w:val="en-GB"/>
        </w:rPr>
        <w:t>The above attitude has not</w:t>
      </w:r>
      <w:r w:rsidR="000F6F07">
        <w:rPr>
          <w:rFonts w:ascii="Times New Roman" w:eastAsia="Times New Roman Bold" w:hAnsi="Times New Roman" w:cs="Times New Roman"/>
          <w:sz w:val="24"/>
          <w:szCs w:val="24"/>
          <w:lang w:val="en-GB"/>
        </w:rPr>
        <w:t xml:space="preserve"> always been evident</w:t>
      </w:r>
      <w:r w:rsidR="00D70D82" w:rsidRPr="009645E5">
        <w:rPr>
          <w:rFonts w:ascii="Times New Roman" w:eastAsia="Times New Roman Bold" w:hAnsi="Times New Roman" w:cs="Times New Roman"/>
          <w:sz w:val="24"/>
          <w:szCs w:val="24"/>
          <w:lang w:val="en-GB"/>
        </w:rPr>
        <w:t xml:space="preserve">.  In </w:t>
      </w:r>
      <w:r w:rsidR="00D70D82" w:rsidRPr="009645E5">
        <w:rPr>
          <w:rFonts w:ascii="Times New Roman" w:hAnsi="Times New Roman" w:cs="Times New Roman"/>
          <w:i/>
          <w:iCs/>
          <w:sz w:val="24"/>
          <w:szCs w:val="24"/>
          <w:lang w:val="en-GB"/>
        </w:rPr>
        <w:t>Popple v Birmingham Women</w:t>
      </w:r>
      <w:r w:rsidR="00D348F2" w:rsidRPr="009645E5">
        <w:rPr>
          <w:rFonts w:ascii="Times New Roman" w:hAnsi="Times New Roman" w:cs="Times New Roman"/>
          <w:i/>
          <w:iCs/>
          <w:sz w:val="24"/>
          <w:szCs w:val="24"/>
          <w:lang w:val="en-GB"/>
        </w:rPr>
        <w:t>’</w:t>
      </w:r>
      <w:r w:rsidR="00D70D82" w:rsidRPr="009645E5">
        <w:rPr>
          <w:rFonts w:ascii="Times New Roman" w:hAnsi="Times New Roman" w:cs="Times New Roman"/>
          <w:i/>
          <w:iCs/>
          <w:sz w:val="24"/>
          <w:szCs w:val="24"/>
          <w:lang w:val="en-GB"/>
        </w:rPr>
        <w:t xml:space="preserve">s NHS Foundation Trust </w:t>
      </w:r>
      <w:r w:rsidR="00D70D82" w:rsidRPr="009645E5">
        <w:rPr>
          <w:rFonts w:ascii="Times New Roman" w:hAnsi="Times New Roman" w:cs="Times New Roman"/>
          <w:sz w:val="24"/>
          <w:szCs w:val="24"/>
          <w:lang w:val="en-GB"/>
        </w:rPr>
        <w:t>the claimant suffered from severe dyskinetic cerebral palsy.  It was</w:t>
      </w:r>
      <w:r w:rsidRPr="009645E5">
        <w:rPr>
          <w:rFonts w:ascii="Times New Roman" w:hAnsi="Times New Roman" w:cs="Times New Roman"/>
          <w:sz w:val="24"/>
          <w:szCs w:val="24"/>
          <w:lang w:val="en-GB"/>
        </w:rPr>
        <w:t xml:space="preserve"> argued </w:t>
      </w:r>
      <w:r w:rsidR="00D70D82" w:rsidRPr="009645E5">
        <w:rPr>
          <w:rFonts w:ascii="Times New Roman" w:hAnsi="Times New Roman" w:cs="Times New Roman"/>
          <w:sz w:val="24"/>
          <w:szCs w:val="24"/>
          <w:lang w:val="en-GB"/>
        </w:rPr>
        <w:t>on his behalf, by his Friend in Litigation, that two midwives were negligent in regard to their management of his mother</w:t>
      </w:r>
      <w:r w:rsidR="00D348F2" w:rsidRPr="009645E5">
        <w:rPr>
          <w:rFonts w:ascii="Times New Roman" w:hAnsi="Times New Roman" w:cs="Times New Roman"/>
          <w:sz w:val="24"/>
          <w:szCs w:val="24"/>
          <w:lang w:val="en-GB"/>
        </w:rPr>
        <w:t>’</w:t>
      </w:r>
      <w:r w:rsidR="00D70D82" w:rsidRPr="009645E5">
        <w:rPr>
          <w:rFonts w:ascii="Times New Roman" w:hAnsi="Times New Roman" w:cs="Times New Roman"/>
          <w:sz w:val="24"/>
          <w:szCs w:val="24"/>
          <w:lang w:val="en-GB"/>
        </w:rPr>
        <w:t>s labour.</w:t>
      </w:r>
      <w:r w:rsidR="00D70D82" w:rsidRPr="009645E5">
        <w:rPr>
          <w:rFonts w:ascii="Times New Roman" w:eastAsia="Times New Roman Bold" w:hAnsi="Times New Roman" w:cs="Times New Roman"/>
          <w:sz w:val="24"/>
          <w:szCs w:val="24"/>
          <w:vertAlign w:val="superscript"/>
          <w:lang w:val="en-GB"/>
        </w:rPr>
        <w:footnoteReference w:id="94"/>
      </w:r>
      <w:r w:rsidR="004768D4">
        <w:rPr>
          <w:rFonts w:ascii="Times New Roman" w:hAnsi="Times New Roman" w:cs="Times New Roman"/>
          <w:sz w:val="24"/>
          <w:szCs w:val="24"/>
          <w:lang w:val="en-GB"/>
        </w:rPr>
        <w:t xml:space="preserve">  </w:t>
      </w:r>
      <w:r w:rsidRPr="009645E5">
        <w:rPr>
          <w:rFonts w:ascii="Times New Roman" w:hAnsi="Times New Roman" w:cs="Times New Roman"/>
          <w:sz w:val="24"/>
          <w:szCs w:val="24"/>
          <w:lang w:val="en-GB"/>
        </w:rPr>
        <w:t xml:space="preserve">It was first claimed that there </w:t>
      </w:r>
      <w:r w:rsidR="00D70D82" w:rsidRPr="009645E5">
        <w:rPr>
          <w:rFonts w:ascii="Times New Roman" w:hAnsi="Times New Roman" w:cs="Times New Roman"/>
          <w:sz w:val="24"/>
          <w:szCs w:val="24"/>
          <w:lang w:val="en-GB"/>
        </w:rPr>
        <w:t xml:space="preserve">was a failure to provide effective continuous monitoring.  </w:t>
      </w:r>
      <w:r w:rsidRPr="009645E5">
        <w:rPr>
          <w:rFonts w:ascii="Times New Roman" w:hAnsi="Times New Roman" w:cs="Times New Roman"/>
          <w:sz w:val="24"/>
          <w:szCs w:val="24"/>
          <w:lang w:val="en-GB"/>
        </w:rPr>
        <w:t>Oliver-Jones J found in favour of the claimant on this point.</w:t>
      </w:r>
      <w:r w:rsidR="009340AB" w:rsidRPr="009645E5">
        <w:rPr>
          <w:rStyle w:val="FootnoteReference"/>
          <w:rFonts w:ascii="Times New Roman" w:hAnsi="Times New Roman" w:cs="Times New Roman"/>
          <w:sz w:val="24"/>
          <w:szCs w:val="24"/>
          <w:lang w:val="en-GB"/>
        </w:rPr>
        <w:footnoteReference w:id="95"/>
      </w:r>
      <w:r w:rsidRPr="009645E5">
        <w:rPr>
          <w:rFonts w:ascii="Times New Roman" w:hAnsi="Times New Roman" w:cs="Times New Roman"/>
          <w:sz w:val="24"/>
          <w:szCs w:val="24"/>
          <w:lang w:val="en-GB"/>
        </w:rPr>
        <w:t xml:space="preserve">  Second, it was suggested that the situation demanded some further exploration of what else the midwives should have done.  On the evidence, </w:t>
      </w:r>
      <w:r w:rsidR="001957B4" w:rsidRPr="009645E5">
        <w:rPr>
          <w:rFonts w:ascii="Times New Roman" w:hAnsi="Times New Roman" w:cs="Times New Roman"/>
          <w:sz w:val="24"/>
          <w:szCs w:val="24"/>
          <w:lang w:val="en-GB"/>
        </w:rPr>
        <w:t xml:space="preserve">Oliver-Jones J </w:t>
      </w:r>
      <w:r w:rsidR="00D70D82" w:rsidRPr="009645E5">
        <w:rPr>
          <w:rFonts w:ascii="Times New Roman" w:hAnsi="Times New Roman" w:cs="Times New Roman"/>
          <w:sz w:val="24"/>
          <w:szCs w:val="24"/>
          <w:lang w:val="en-GB"/>
        </w:rPr>
        <w:t xml:space="preserve">was satisfied that the unfolding chain of events, which ought to have alerted the midwives to the fact that things were not proceeding as planned in the labour, should have caused them to summon obstetric assistance at an earlier point in proceedings, </w:t>
      </w:r>
      <w:r w:rsidR="00D70D82" w:rsidRPr="009645E5">
        <w:rPr>
          <w:rFonts w:ascii="Times New Roman" w:hAnsi="Times New Roman" w:cs="Times New Roman"/>
          <w:sz w:val="24"/>
          <w:szCs w:val="24"/>
          <w:lang w:val="en-GB"/>
        </w:rPr>
        <w:lastRenderedPageBreak/>
        <w:t>or, alternatively, should have led them to perform an episiotomy.</w:t>
      </w:r>
      <w:r w:rsidR="00D70D82" w:rsidRPr="009645E5">
        <w:rPr>
          <w:rFonts w:ascii="Times New Roman" w:eastAsia="Times New Roman Bold" w:hAnsi="Times New Roman" w:cs="Times New Roman"/>
          <w:sz w:val="24"/>
          <w:szCs w:val="24"/>
          <w:vertAlign w:val="superscript"/>
          <w:lang w:val="en-GB"/>
        </w:rPr>
        <w:footnoteReference w:id="96"/>
      </w:r>
      <w:r w:rsidR="00D70D82" w:rsidRPr="009645E5">
        <w:rPr>
          <w:rFonts w:ascii="Times New Roman" w:hAnsi="Times New Roman" w:cs="Times New Roman"/>
          <w:sz w:val="24"/>
          <w:szCs w:val="24"/>
          <w:lang w:val="en-GB"/>
        </w:rPr>
        <w:t xml:space="preserve">  If either of these thing</w:t>
      </w:r>
      <w:r w:rsidR="001957B4" w:rsidRPr="009645E5">
        <w:rPr>
          <w:rFonts w:ascii="Times New Roman" w:hAnsi="Times New Roman" w:cs="Times New Roman"/>
          <w:sz w:val="24"/>
          <w:szCs w:val="24"/>
          <w:lang w:val="en-GB"/>
        </w:rPr>
        <w:t>s</w:t>
      </w:r>
      <w:r w:rsidR="00D70D82" w:rsidRPr="009645E5">
        <w:rPr>
          <w:rFonts w:ascii="Times New Roman" w:hAnsi="Times New Roman" w:cs="Times New Roman"/>
          <w:sz w:val="24"/>
          <w:szCs w:val="24"/>
          <w:lang w:val="en-GB"/>
        </w:rPr>
        <w:t xml:space="preserve"> had happened, the claimant would have been delivered sooner and avoided the damage that he suffered.</w:t>
      </w:r>
      <w:r w:rsidR="00D70D82" w:rsidRPr="009645E5">
        <w:rPr>
          <w:rFonts w:ascii="Times New Roman" w:eastAsia="Times New Roman Bold" w:hAnsi="Times New Roman" w:cs="Times New Roman"/>
          <w:sz w:val="24"/>
          <w:szCs w:val="24"/>
          <w:vertAlign w:val="superscript"/>
          <w:lang w:val="en-GB"/>
        </w:rPr>
        <w:footnoteReference w:id="97"/>
      </w:r>
      <w:r w:rsidR="00D70D82" w:rsidRPr="009645E5">
        <w:rPr>
          <w:rFonts w:ascii="Times New Roman" w:hAnsi="Times New Roman" w:cs="Times New Roman"/>
          <w:sz w:val="24"/>
          <w:szCs w:val="24"/>
          <w:lang w:val="en-GB"/>
        </w:rPr>
        <w:t xml:space="preserve">  This is a refreshing attitude.  It was not a case of suggesting that asking for help or performing the episiotomy were options that entailed the least possible risk and that to do an</w:t>
      </w:r>
      <w:r w:rsidR="00D139A0" w:rsidRPr="009645E5">
        <w:rPr>
          <w:rFonts w:ascii="Times New Roman" w:hAnsi="Times New Roman" w:cs="Times New Roman"/>
          <w:sz w:val="24"/>
          <w:szCs w:val="24"/>
          <w:lang w:val="en-GB"/>
        </w:rPr>
        <w:t xml:space="preserve">ything else would automatically have been </w:t>
      </w:r>
      <w:r w:rsidR="002B4969" w:rsidRPr="009645E5">
        <w:rPr>
          <w:rFonts w:ascii="Times New Roman" w:hAnsi="Times New Roman" w:cs="Times New Roman"/>
          <w:sz w:val="24"/>
          <w:szCs w:val="24"/>
          <w:lang w:val="en-GB"/>
        </w:rPr>
        <w:t xml:space="preserve">negligent, it </w:t>
      </w:r>
      <w:r w:rsidR="00D70D82" w:rsidRPr="009645E5">
        <w:rPr>
          <w:rFonts w:ascii="Times New Roman" w:hAnsi="Times New Roman" w:cs="Times New Roman"/>
          <w:sz w:val="24"/>
          <w:szCs w:val="24"/>
          <w:lang w:val="en-GB"/>
        </w:rPr>
        <w:t xml:space="preserve">simply recognised that more decisive action at an earlier point from the midwives may have caused the harm that was suffered by the claimant to be avoided. In other words, prompter decision making could well have avoided the unreasonable risk </w:t>
      </w:r>
      <w:r w:rsidR="002B4969" w:rsidRPr="009645E5">
        <w:rPr>
          <w:rFonts w:ascii="Times New Roman" w:hAnsi="Times New Roman" w:cs="Times New Roman"/>
          <w:sz w:val="24"/>
          <w:szCs w:val="24"/>
          <w:lang w:val="en-GB"/>
        </w:rPr>
        <w:t xml:space="preserve">to which the patient </w:t>
      </w:r>
      <w:r w:rsidR="00D70D82" w:rsidRPr="009645E5">
        <w:rPr>
          <w:rFonts w:ascii="Times New Roman" w:hAnsi="Times New Roman" w:cs="Times New Roman"/>
          <w:sz w:val="24"/>
          <w:szCs w:val="24"/>
          <w:lang w:val="en-GB"/>
        </w:rPr>
        <w:t>was exposed</w:t>
      </w:r>
      <w:r w:rsidR="002B4969" w:rsidRPr="009645E5">
        <w:rPr>
          <w:rFonts w:ascii="Times New Roman" w:hAnsi="Times New Roman" w:cs="Times New Roman"/>
          <w:sz w:val="24"/>
          <w:szCs w:val="24"/>
          <w:lang w:val="en-GB"/>
        </w:rPr>
        <w:t xml:space="preserve">.  </w:t>
      </w:r>
      <w:r w:rsidR="00D70D82" w:rsidRPr="009645E5">
        <w:rPr>
          <w:rFonts w:ascii="Times New Roman" w:hAnsi="Times New Roman" w:cs="Times New Roman"/>
          <w:sz w:val="24"/>
          <w:szCs w:val="24"/>
          <w:lang w:val="en-GB"/>
        </w:rPr>
        <w:t>Summoning obstetric help at an earlier point, or indeed recourse to an episiotomy, could have been undertaken without the imposition of any significant risk, expense or burden to the patient (or indeed the midwives), but it would have yielded quite perceptible benefits.</w:t>
      </w:r>
    </w:p>
    <w:p w14:paraId="6181480C" w14:textId="2D41594D" w:rsidR="005A51AF" w:rsidRPr="009645E5" w:rsidRDefault="00D70D82" w:rsidP="004768D4">
      <w:pPr>
        <w:pStyle w:val="BodyA"/>
        <w:spacing w:line="360" w:lineRule="auto"/>
        <w:jc w:val="both"/>
        <w:rPr>
          <w:rFonts w:ascii="Times New Roman" w:eastAsia="Times New Roman Bold" w:hAnsi="Times New Roman" w:cs="Times New Roman"/>
          <w:sz w:val="24"/>
          <w:szCs w:val="24"/>
          <w:lang w:val="en-GB"/>
        </w:rPr>
      </w:pPr>
      <w:r w:rsidRPr="009645E5">
        <w:rPr>
          <w:rFonts w:ascii="Times New Roman" w:eastAsia="Times New Roman Bold" w:hAnsi="Times New Roman" w:cs="Times New Roman"/>
          <w:sz w:val="24"/>
          <w:szCs w:val="24"/>
          <w:lang w:val="en-GB"/>
        </w:rPr>
        <w:tab/>
      </w:r>
      <w:r w:rsidRPr="009645E5">
        <w:rPr>
          <w:rFonts w:ascii="Times New Roman" w:hAnsi="Times New Roman" w:cs="Times New Roman"/>
          <w:sz w:val="24"/>
          <w:szCs w:val="24"/>
          <w:lang w:val="en-GB"/>
        </w:rPr>
        <w:t xml:space="preserve">In another Scottish case, </w:t>
      </w:r>
      <w:r w:rsidRPr="009645E5">
        <w:rPr>
          <w:rFonts w:ascii="Times New Roman" w:hAnsi="Times New Roman" w:cs="Times New Roman"/>
          <w:i/>
          <w:iCs/>
          <w:sz w:val="24"/>
          <w:szCs w:val="24"/>
          <w:lang w:val="en-GB"/>
        </w:rPr>
        <w:t>MC v Borders Health Control</w:t>
      </w:r>
      <w:r w:rsidRPr="009645E5">
        <w:rPr>
          <w:rFonts w:ascii="Times New Roman" w:eastAsia="Times New Roman Bold" w:hAnsi="Times New Roman" w:cs="Times New Roman"/>
          <w:sz w:val="24"/>
          <w:szCs w:val="24"/>
          <w:vertAlign w:val="superscript"/>
          <w:lang w:val="en-GB"/>
        </w:rPr>
        <w:footnoteReference w:id="98"/>
      </w:r>
      <w:r w:rsidRPr="009645E5">
        <w:rPr>
          <w:rFonts w:ascii="Times New Roman" w:hAnsi="Times New Roman" w:cs="Times New Roman"/>
          <w:i/>
          <w:iCs/>
          <w:sz w:val="24"/>
          <w:szCs w:val="24"/>
          <w:lang w:val="en-GB"/>
        </w:rPr>
        <w:t xml:space="preserve">, </w:t>
      </w:r>
      <w:r w:rsidRPr="009645E5">
        <w:rPr>
          <w:rFonts w:ascii="Times New Roman" w:hAnsi="Times New Roman" w:cs="Times New Roman"/>
          <w:sz w:val="24"/>
          <w:szCs w:val="24"/>
          <w:lang w:val="en-GB"/>
        </w:rPr>
        <w:t>two midwives were held to be negligent in relation to two separate telephone calls with the pursuer.  The finding in relation to the first call was based largely on a</w:t>
      </w:r>
      <w:r w:rsidR="00D139A0" w:rsidRPr="009645E5">
        <w:rPr>
          <w:rFonts w:ascii="Times New Roman" w:hAnsi="Times New Roman" w:cs="Times New Roman"/>
          <w:sz w:val="24"/>
          <w:szCs w:val="24"/>
          <w:lang w:val="en-GB"/>
        </w:rPr>
        <w:t xml:space="preserve"> factual inquiry</w:t>
      </w:r>
      <w:r w:rsidRPr="009645E5">
        <w:rPr>
          <w:rFonts w:ascii="Times New Roman" w:hAnsi="Times New Roman" w:cs="Times New Roman"/>
          <w:sz w:val="24"/>
          <w:szCs w:val="24"/>
          <w:lang w:val="en-GB"/>
        </w:rPr>
        <w:t xml:space="preserve">.  This was one of the rare occasions in which a judge, Lord Menzies, found the pursuer to be the more credible witness in relation to the inadequate advice that she was given on the phone.  After the patient explained that she had suffered from a </w:t>
      </w:r>
      <w:r w:rsidR="00D348F2" w:rsidRPr="009645E5">
        <w:rPr>
          <w:rFonts w:ascii="Times New Roman" w:hAnsi="Times New Roman" w:cs="Times New Roman"/>
          <w:sz w:val="24"/>
          <w:szCs w:val="24"/>
          <w:lang w:val="en-GB"/>
        </w:rPr>
        <w:t>‘</w:t>
      </w:r>
      <w:r w:rsidRPr="009645E5">
        <w:rPr>
          <w:rFonts w:ascii="Times New Roman" w:hAnsi="Times New Roman" w:cs="Times New Roman"/>
          <w:sz w:val="24"/>
          <w:szCs w:val="24"/>
          <w:lang w:val="en-GB"/>
        </w:rPr>
        <w:t>sticky green discharge</w:t>
      </w:r>
      <w:r w:rsidR="00D348F2" w:rsidRPr="009645E5">
        <w:rPr>
          <w:rFonts w:ascii="Times New Roman" w:hAnsi="Times New Roman" w:cs="Times New Roman"/>
          <w:sz w:val="24"/>
          <w:szCs w:val="24"/>
          <w:lang w:val="en-GB"/>
        </w:rPr>
        <w:t>’</w:t>
      </w:r>
      <w:r w:rsidRPr="009645E5">
        <w:rPr>
          <w:rFonts w:ascii="Times New Roman" w:hAnsi="Times New Roman" w:cs="Times New Roman"/>
          <w:sz w:val="24"/>
          <w:szCs w:val="24"/>
          <w:lang w:val="en-GB"/>
        </w:rPr>
        <w:t xml:space="preserve"> it was negligent of the first midwife to tell the patient that it was a </w:t>
      </w:r>
      <w:r w:rsidR="00D348F2" w:rsidRPr="009645E5">
        <w:rPr>
          <w:rFonts w:ascii="Times New Roman" w:hAnsi="Times New Roman" w:cs="Times New Roman"/>
          <w:sz w:val="24"/>
          <w:szCs w:val="24"/>
          <w:lang w:val="en-GB"/>
        </w:rPr>
        <w:t>‘</w:t>
      </w:r>
      <w:r w:rsidRPr="009645E5">
        <w:rPr>
          <w:rFonts w:ascii="Times New Roman" w:hAnsi="Times New Roman" w:cs="Times New Roman"/>
          <w:sz w:val="24"/>
          <w:szCs w:val="24"/>
          <w:lang w:val="en-GB"/>
        </w:rPr>
        <w:t>show</w:t>
      </w:r>
      <w:r w:rsidR="00D348F2" w:rsidRPr="009645E5">
        <w:rPr>
          <w:rFonts w:ascii="Times New Roman" w:hAnsi="Times New Roman" w:cs="Times New Roman"/>
          <w:sz w:val="24"/>
          <w:szCs w:val="24"/>
          <w:lang w:val="en-GB"/>
        </w:rPr>
        <w:t>’</w:t>
      </w:r>
      <w:r w:rsidRPr="009645E5">
        <w:rPr>
          <w:rFonts w:ascii="Times New Roman" w:hAnsi="Times New Roman" w:cs="Times New Roman"/>
          <w:sz w:val="24"/>
          <w:szCs w:val="24"/>
          <w:lang w:val="en-GB"/>
        </w:rPr>
        <w:t xml:space="preserve"> and not to insist on her coming into hospital.</w:t>
      </w:r>
      <w:r w:rsidRPr="009645E5">
        <w:rPr>
          <w:rFonts w:ascii="Times New Roman" w:eastAsia="Times New Roman Bold" w:hAnsi="Times New Roman" w:cs="Times New Roman"/>
          <w:sz w:val="24"/>
          <w:szCs w:val="24"/>
          <w:vertAlign w:val="superscript"/>
          <w:lang w:val="en-GB"/>
        </w:rPr>
        <w:footnoteReference w:id="99"/>
      </w:r>
      <w:r w:rsidRPr="009645E5">
        <w:rPr>
          <w:rFonts w:ascii="Times New Roman" w:hAnsi="Times New Roman" w:cs="Times New Roman"/>
          <w:sz w:val="24"/>
          <w:szCs w:val="24"/>
          <w:lang w:val="en-GB"/>
        </w:rPr>
        <w:t xml:space="preserve">  In regard to the second call, Lord Menzies held the second midwife to be negligent in failing to take any details from the pursuer about her vaginal discharge.</w:t>
      </w:r>
      <w:r w:rsidRPr="009645E5">
        <w:rPr>
          <w:rFonts w:ascii="Times New Roman" w:eastAsia="Times New Roman Bold" w:hAnsi="Times New Roman" w:cs="Times New Roman"/>
          <w:sz w:val="24"/>
          <w:szCs w:val="24"/>
          <w:vertAlign w:val="superscript"/>
          <w:lang w:val="en-GB"/>
        </w:rPr>
        <w:footnoteReference w:id="100"/>
      </w:r>
      <w:r w:rsidRPr="009645E5">
        <w:rPr>
          <w:rFonts w:ascii="Times New Roman" w:hAnsi="Times New Roman" w:cs="Times New Roman"/>
          <w:sz w:val="24"/>
          <w:szCs w:val="24"/>
          <w:lang w:val="en-GB"/>
        </w:rPr>
        <w:t xml:space="preserve">  It was no defence that the pursuer did not volunteer this information.  It was incumbent on the midwife to illicit this important information and it was not unreasonable to expect her to explore certain important issues with the patient by asking her direct questions which were relevant to assessing the overall health of the mother and status of the pregnancy.  If these simple questions had been asked, which, apart from time, would have caused little if any imposition to the midwife and certainly would have not exposed the patient to any real risk, then the mother would have </w:t>
      </w:r>
      <w:r w:rsidRPr="009645E5">
        <w:rPr>
          <w:rFonts w:ascii="Times New Roman" w:hAnsi="Times New Roman" w:cs="Times New Roman"/>
          <w:sz w:val="24"/>
          <w:szCs w:val="24"/>
          <w:lang w:val="en-GB"/>
        </w:rPr>
        <w:lastRenderedPageBreak/>
        <w:t>described the green sticky discharge in the course of that questioning, which in turn ought to have triggered an immediate insistence from the midwife that she should come into hospital.</w:t>
      </w:r>
      <w:r w:rsidRPr="009645E5">
        <w:rPr>
          <w:rFonts w:ascii="Times New Roman" w:eastAsia="Times New Roman Bold" w:hAnsi="Times New Roman" w:cs="Times New Roman"/>
          <w:sz w:val="24"/>
          <w:szCs w:val="24"/>
          <w:vertAlign w:val="superscript"/>
          <w:lang w:val="en-GB"/>
        </w:rPr>
        <w:footnoteReference w:id="101"/>
      </w:r>
      <w:r w:rsidRPr="009645E5">
        <w:rPr>
          <w:rFonts w:ascii="Times New Roman" w:hAnsi="Times New Roman" w:cs="Times New Roman"/>
          <w:sz w:val="24"/>
          <w:szCs w:val="24"/>
          <w:lang w:val="en-GB"/>
        </w:rPr>
        <w:t xml:space="preserve">  Irrespective of any accepted practice and agreed protocol in respect of telephone conversations with pregnant mothers, the basic exercise of common sense here could potentially have averted a crisis and Lord Menzies was correct to be unimpressed by this professional carelessness.</w:t>
      </w:r>
    </w:p>
    <w:p w14:paraId="37B5EC05" w14:textId="73D87160" w:rsidR="005A51AF" w:rsidRPr="009645E5" w:rsidRDefault="00D139A0">
      <w:pPr>
        <w:pStyle w:val="BodyA"/>
        <w:spacing w:line="360" w:lineRule="auto"/>
        <w:jc w:val="both"/>
        <w:rPr>
          <w:rFonts w:ascii="Times New Roman" w:eastAsia="Times New Roman Bold" w:hAnsi="Times New Roman" w:cs="Times New Roman"/>
          <w:sz w:val="24"/>
          <w:szCs w:val="24"/>
          <w:lang w:val="en-GB"/>
        </w:rPr>
      </w:pPr>
      <w:r w:rsidRPr="009645E5">
        <w:rPr>
          <w:rFonts w:ascii="Times New Roman" w:eastAsia="Times New Roman Bold" w:hAnsi="Times New Roman" w:cs="Times New Roman"/>
          <w:sz w:val="24"/>
          <w:szCs w:val="24"/>
          <w:lang w:val="en-GB"/>
        </w:rPr>
        <w:tab/>
        <w:t xml:space="preserve">The analysis of this decision </w:t>
      </w:r>
      <w:r w:rsidR="00D70D82" w:rsidRPr="009645E5">
        <w:rPr>
          <w:rFonts w:ascii="Times New Roman" w:eastAsia="Times New Roman Bold" w:hAnsi="Times New Roman" w:cs="Times New Roman"/>
          <w:sz w:val="24"/>
          <w:szCs w:val="24"/>
          <w:lang w:val="en-GB"/>
        </w:rPr>
        <w:t>should not e</w:t>
      </w:r>
      <w:r w:rsidRPr="009645E5">
        <w:rPr>
          <w:rFonts w:ascii="Times New Roman" w:eastAsia="Times New Roman Bold" w:hAnsi="Times New Roman" w:cs="Times New Roman"/>
          <w:sz w:val="24"/>
          <w:szCs w:val="24"/>
          <w:lang w:val="en-GB"/>
        </w:rPr>
        <w:t xml:space="preserve">nd there.  From start to finish this case unveiled a catalogue of errors that are typical </w:t>
      </w:r>
      <w:r w:rsidR="00D70D82" w:rsidRPr="009645E5">
        <w:rPr>
          <w:rFonts w:ascii="Times New Roman" w:eastAsia="Times New Roman Bold" w:hAnsi="Times New Roman" w:cs="Times New Roman"/>
          <w:sz w:val="24"/>
          <w:szCs w:val="24"/>
          <w:lang w:val="en-GB"/>
        </w:rPr>
        <w:t xml:space="preserve">of the type of collective fault that so often gives rise to problems in the management of labour.  Absent the finding of negligence against the midwives, </w:t>
      </w:r>
      <w:r w:rsidR="00D70D82" w:rsidRPr="009645E5">
        <w:rPr>
          <w:rFonts w:ascii="Times New Roman" w:hAnsi="Times New Roman" w:cs="Times New Roman"/>
          <w:i/>
          <w:iCs/>
          <w:sz w:val="24"/>
          <w:szCs w:val="24"/>
          <w:lang w:val="en-GB"/>
        </w:rPr>
        <w:t>MC</w:t>
      </w:r>
      <w:r w:rsidR="00D70D82" w:rsidRPr="009645E5">
        <w:rPr>
          <w:rFonts w:ascii="Times New Roman" w:hAnsi="Times New Roman" w:cs="Times New Roman"/>
          <w:sz w:val="24"/>
          <w:szCs w:val="24"/>
          <w:lang w:val="en-GB"/>
        </w:rPr>
        <w:t xml:space="preserve"> illuminates some of the problems faced by patients when the allegation of negligence hones in on the system as a whole rather than the sum of its parts.  Two other averments were made by the pursuer, namely that an individual obstetrician was negligent in allowing the period of one hour to elapse between the decision to perform an emergency caesarean</w:t>
      </w:r>
      <w:r w:rsidR="00B32900" w:rsidRPr="009645E5">
        <w:rPr>
          <w:rFonts w:ascii="Times New Roman" w:hAnsi="Times New Roman" w:cs="Times New Roman"/>
          <w:sz w:val="24"/>
          <w:szCs w:val="24"/>
          <w:lang w:val="en-GB"/>
        </w:rPr>
        <w:t xml:space="preserve"> section </w:t>
      </w:r>
      <w:r w:rsidR="00D70D82" w:rsidRPr="009645E5">
        <w:rPr>
          <w:rFonts w:ascii="Times New Roman" w:hAnsi="Times New Roman" w:cs="Times New Roman"/>
          <w:sz w:val="24"/>
          <w:szCs w:val="24"/>
          <w:lang w:val="en-GB"/>
        </w:rPr>
        <w:t>and the actual performance of that procedure, and that the defendant Health Board was liable for failing to operate and maintain a proper system.</w:t>
      </w:r>
      <w:r w:rsidR="00D70D82" w:rsidRPr="009645E5">
        <w:rPr>
          <w:rFonts w:ascii="Times New Roman" w:eastAsia="Times New Roman Bold" w:hAnsi="Times New Roman" w:cs="Times New Roman"/>
          <w:sz w:val="24"/>
          <w:szCs w:val="24"/>
          <w:vertAlign w:val="superscript"/>
          <w:lang w:val="en-GB"/>
        </w:rPr>
        <w:footnoteReference w:id="102"/>
      </w:r>
      <w:r w:rsidR="00D70D82" w:rsidRPr="009645E5">
        <w:rPr>
          <w:rFonts w:ascii="Times New Roman" w:hAnsi="Times New Roman" w:cs="Times New Roman"/>
          <w:sz w:val="24"/>
          <w:szCs w:val="24"/>
          <w:lang w:val="en-GB"/>
        </w:rPr>
        <w:t xml:space="preserve">  Lord Menzies found for the defendants in r</w:t>
      </w:r>
      <w:r w:rsidRPr="009645E5">
        <w:rPr>
          <w:rFonts w:ascii="Times New Roman" w:hAnsi="Times New Roman" w:cs="Times New Roman"/>
          <w:sz w:val="24"/>
          <w:szCs w:val="24"/>
          <w:lang w:val="en-GB"/>
        </w:rPr>
        <w:t>elation to both of these arguments.</w:t>
      </w:r>
    </w:p>
    <w:p w14:paraId="51825327" w14:textId="0825090D" w:rsidR="00D139A0" w:rsidRPr="009645E5" w:rsidRDefault="00D70D82" w:rsidP="007F6D3F">
      <w:pPr>
        <w:pStyle w:val="BodyA"/>
        <w:spacing w:line="360" w:lineRule="auto"/>
        <w:jc w:val="both"/>
        <w:rPr>
          <w:rFonts w:ascii="Times New Roman" w:hAnsi="Times New Roman" w:cs="Times New Roman"/>
          <w:sz w:val="24"/>
          <w:szCs w:val="24"/>
          <w:lang w:val="en-GB"/>
        </w:rPr>
      </w:pPr>
      <w:r w:rsidRPr="009645E5">
        <w:rPr>
          <w:rFonts w:ascii="Times New Roman" w:eastAsia="Times New Roman Bold" w:hAnsi="Times New Roman" w:cs="Times New Roman"/>
          <w:sz w:val="24"/>
          <w:szCs w:val="24"/>
          <w:lang w:val="en-GB"/>
        </w:rPr>
        <w:tab/>
        <w:t>The failure to find negligence on the part of the obstetrician is a little perple</w:t>
      </w:r>
      <w:r w:rsidR="007F6D3F">
        <w:rPr>
          <w:rFonts w:ascii="Times New Roman" w:eastAsia="Times New Roman Bold" w:hAnsi="Times New Roman" w:cs="Times New Roman"/>
          <w:sz w:val="24"/>
          <w:szCs w:val="24"/>
          <w:lang w:val="en-GB"/>
        </w:rPr>
        <w:t xml:space="preserve">xing.  Notwithstanding evidence of </w:t>
      </w:r>
      <w:r w:rsidRPr="009645E5">
        <w:rPr>
          <w:rFonts w:ascii="Times New Roman" w:eastAsia="Times New Roman Bold" w:hAnsi="Times New Roman" w:cs="Times New Roman"/>
          <w:sz w:val="24"/>
          <w:szCs w:val="24"/>
          <w:lang w:val="en-GB"/>
        </w:rPr>
        <w:t xml:space="preserve">accepted medical practice, the delay of one hour between the decision </w:t>
      </w:r>
      <w:r w:rsidR="001957B4" w:rsidRPr="009645E5">
        <w:rPr>
          <w:rFonts w:ascii="Times New Roman" w:eastAsia="Times New Roman Bold" w:hAnsi="Times New Roman" w:cs="Times New Roman"/>
          <w:sz w:val="24"/>
          <w:szCs w:val="24"/>
          <w:lang w:val="en-GB"/>
        </w:rPr>
        <w:t>to deliver the baby by what was classified as an ‘emergency’ caesarean</w:t>
      </w:r>
      <w:r w:rsidR="00B32900" w:rsidRPr="009645E5">
        <w:rPr>
          <w:rFonts w:ascii="Times New Roman" w:eastAsia="Times New Roman Bold" w:hAnsi="Times New Roman" w:cs="Times New Roman"/>
          <w:sz w:val="24"/>
          <w:szCs w:val="24"/>
          <w:lang w:val="en-GB"/>
        </w:rPr>
        <w:t xml:space="preserve"> section</w:t>
      </w:r>
      <w:r w:rsidR="001957B4" w:rsidRPr="009645E5">
        <w:rPr>
          <w:rFonts w:ascii="Times New Roman" w:eastAsia="Times New Roman Bold" w:hAnsi="Times New Roman" w:cs="Times New Roman"/>
          <w:sz w:val="24"/>
          <w:szCs w:val="24"/>
          <w:lang w:val="en-GB"/>
        </w:rPr>
        <w:t xml:space="preserve">, and the actual performance of that procedure, seems patently unacceptable.  </w:t>
      </w:r>
      <w:r w:rsidRPr="009645E5">
        <w:rPr>
          <w:rFonts w:ascii="Times New Roman" w:eastAsia="Times New Roman Bold" w:hAnsi="Times New Roman" w:cs="Times New Roman"/>
          <w:sz w:val="24"/>
          <w:szCs w:val="24"/>
          <w:lang w:val="en-GB"/>
        </w:rPr>
        <w:t xml:space="preserve">The </w:t>
      </w:r>
      <w:r w:rsidR="00D348F2" w:rsidRPr="009645E5">
        <w:rPr>
          <w:rFonts w:ascii="Times New Roman" w:eastAsia="Times New Roman Bold" w:hAnsi="Times New Roman" w:cs="Times New Roman"/>
          <w:sz w:val="24"/>
          <w:szCs w:val="24"/>
          <w:lang w:val="en-GB"/>
        </w:rPr>
        <w:t>‘</w:t>
      </w:r>
      <w:r w:rsidRPr="009645E5">
        <w:rPr>
          <w:rFonts w:ascii="Times New Roman" w:eastAsia="Times New Roman Bold" w:hAnsi="Times New Roman" w:cs="Times New Roman"/>
          <w:sz w:val="24"/>
          <w:szCs w:val="24"/>
          <w:lang w:val="en-GB"/>
        </w:rPr>
        <w:t>benchmark</w:t>
      </w:r>
      <w:r w:rsidR="00D348F2" w:rsidRPr="009645E5">
        <w:rPr>
          <w:rFonts w:ascii="Times New Roman" w:eastAsia="Times New Roman Bold" w:hAnsi="Times New Roman" w:cs="Times New Roman"/>
          <w:sz w:val="24"/>
          <w:szCs w:val="24"/>
          <w:lang w:val="en-GB"/>
        </w:rPr>
        <w:t>’</w:t>
      </w:r>
      <w:r w:rsidRPr="009645E5">
        <w:rPr>
          <w:rFonts w:ascii="Times New Roman" w:eastAsia="Times New Roman Bold" w:hAnsi="Times New Roman" w:cs="Times New Roman"/>
          <w:sz w:val="24"/>
          <w:szCs w:val="24"/>
          <w:lang w:val="en-GB"/>
        </w:rPr>
        <w:t xml:space="preserve"> or </w:t>
      </w:r>
      <w:r w:rsidR="00D348F2" w:rsidRPr="009645E5">
        <w:rPr>
          <w:rFonts w:ascii="Times New Roman" w:eastAsia="Times New Roman Bold" w:hAnsi="Times New Roman" w:cs="Times New Roman"/>
          <w:sz w:val="24"/>
          <w:szCs w:val="24"/>
          <w:lang w:val="en-GB"/>
        </w:rPr>
        <w:t>‘</w:t>
      </w:r>
      <w:r w:rsidRPr="009645E5">
        <w:rPr>
          <w:rFonts w:ascii="Times New Roman" w:eastAsia="Times New Roman Bold" w:hAnsi="Times New Roman" w:cs="Times New Roman"/>
          <w:sz w:val="24"/>
          <w:szCs w:val="24"/>
          <w:lang w:val="en-GB"/>
        </w:rPr>
        <w:t>ideal goal</w:t>
      </w:r>
      <w:r w:rsidR="00D348F2" w:rsidRPr="009645E5">
        <w:rPr>
          <w:rFonts w:ascii="Times New Roman" w:eastAsia="Times New Roman Bold" w:hAnsi="Times New Roman" w:cs="Times New Roman"/>
          <w:sz w:val="24"/>
          <w:szCs w:val="24"/>
          <w:lang w:val="en-GB"/>
        </w:rPr>
        <w:t>’</w:t>
      </w:r>
      <w:r w:rsidRPr="009645E5">
        <w:rPr>
          <w:rFonts w:ascii="Times New Roman" w:eastAsia="Times New Roman Bold" w:hAnsi="Times New Roman" w:cs="Times New Roman"/>
          <w:sz w:val="24"/>
          <w:szCs w:val="24"/>
          <w:lang w:val="en-GB"/>
        </w:rPr>
        <w:t xml:space="preserve"> between the decision to deliver and the delivery itself was said to be thirty minutes, but, in the eyes of Lord Menzies, based on his interpretation of th</w:t>
      </w:r>
      <w:r w:rsidR="002B4969" w:rsidRPr="009645E5">
        <w:rPr>
          <w:rFonts w:ascii="Times New Roman" w:eastAsia="Times New Roman Bold" w:hAnsi="Times New Roman" w:cs="Times New Roman"/>
          <w:sz w:val="24"/>
          <w:szCs w:val="24"/>
          <w:lang w:val="en-GB"/>
        </w:rPr>
        <w:t>e evidence of one of the expert</w:t>
      </w:r>
      <w:r w:rsidRPr="009645E5">
        <w:rPr>
          <w:rFonts w:ascii="Times New Roman" w:eastAsia="Times New Roman Bold" w:hAnsi="Times New Roman" w:cs="Times New Roman"/>
          <w:sz w:val="24"/>
          <w:szCs w:val="24"/>
          <w:lang w:val="en-GB"/>
        </w:rPr>
        <w:t xml:space="preserve"> witnesses, this was not an absolute and there was some scope for slippage.</w:t>
      </w:r>
      <w:r w:rsidRPr="009645E5">
        <w:rPr>
          <w:rFonts w:ascii="Times New Roman" w:eastAsia="Times New Roman Bold" w:hAnsi="Times New Roman" w:cs="Times New Roman"/>
          <w:sz w:val="24"/>
          <w:szCs w:val="24"/>
          <w:vertAlign w:val="superscript"/>
          <w:lang w:val="en-GB"/>
        </w:rPr>
        <w:footnoteReference w:id="103"/>
      </w:r>
      <w:r w:rsidRPr="009645E5">
        <w:rPr>
          <w:rFonts w:ascii="Times New Roman" w:hAnsi="Times New Roman" w:cs="Times New Roman"/>
          <w:sz w:val="24"/>
          <w:szCs w:val="24"/>
          <w:lang w:val="en-GB"/>
        </w:rPr>
        <w:t xml:space="preserve">  The attending obstetrician was, at that point, the head of the team and whilst she was </w:t>
      </w:r>
      <w:r w:rsidR="00D348F2" w:rsidRPr="009645E5">
        <w:rPr>
          <w:rFonts w:ascii="Times New Roman" w:hAnsi="Times New Roman" w:cs="Times New Roman"/>
          <w:sz w:val="24"/>
          <w:szCs w:val="24"/>
          <w:lang w:val="en-GB"/>
        </w:rPr>
        <w:t>‘</w:t>
      </w:r>
      <w:r w:rsidRPr="009645E5">
        <w:rPr>
          <w:rFonts w:ascii="Times New Roman" w:hAnsi="Times New Roman" w:cs="Times New Roman"/>
          <w:sz w:val="24"/>
          <w:szCs w:val="24"/>
          <w:lang w:val="en-GB"/>
        </w:rPr>
        <w:t>scrubbed up and ready in the operating theatre</w:t>
      </w:r>
      <w:r w:rsidR="00D348F2" w:rsidRPr="009645E5">
        <w:rPr>
          <w:rFonts w:ascii="Times New Roman" w:hAnsi="Times New Roman" w:cs="Times New Roman"/>
          <w:sz w:val="24"/>
          <w:szCs w:val="24"/>
          <w:lang w:val="en-GB"/>
        </w:rPr>
        <w:t>’</w:t>
      </w:r>
      <w:r w:rsidRPr="009645E5">
        <w:rPr>
          <w:rFonts w:ascii="Times New Roman" w:hAnsi="Times New Roman" w:cs="Times New Roman"/>
          <w:sz w:val="24"/>
          <w:szCs w:val="24"/>
          <w:lang w:val="en-GB"/>
        </w:rPr>
        <w:t>, there was no duty on her to leave the operating theatre to find out what was going on when the patient did not materialise in the expected time frame.</w:t>
      </w:r>
      <w:r w:rsidRPr="009645E5">
        <w:rPr>
          <w:rFonts w:ascii="Times New Roman" w:eastAsia="Times New Roman Bold" w:hAnsi="Times New Roman" w:cs="Times New Roman"/>
          <w:sz w:val="24"/>
          <w:szCs w:val="24"/>
          <w:vertAlign w:val="superscript"/>
          <w:lang w:val="en-GB"/>
        </w:rPr>
        <w:footnoteReference w:id="104"/>
      </w:r>
      <w:r w:rsidR="00673788">
        <w:rPr>
          <w:rFonts w:ascii="Times New Roman" w:hAnsi="Times New Roman" w:cs="Times New Roman"/>
          <w:sz w:val="24"/>
          <w:szCs w:val="24"/>
          <w:lang w:val="en-GB"/>
        </w:rPr>
        <w:t xml:space="preserve">  I</w:t>
      </w:r>
      <w:r w:rsidRPr="009645E5">
        <w:rPr>
          <w:rFonts w:ascii="Times New Roman" w:hAnsi="Times New Roman" w:cs="Times New Roman"/>
          <w:sz w:val="24"/>
          <w:szCs w:val="24"/>
          <w:lang w:val="en-GB"/>
        </w:rPr>
        <w:t>n a slightly different context, this is akin to suggesting that if a Head Teacher of a school has been informed that one of her staff members is subjecting one of the school</w:t>
      </w:r>
      <w:r w:rsidR="00D348F2" w:rsidRPr="009645E5">
        <w:rPr>
          <w:rFonts w:ascii="Times New Roman" w:hAnsi="Times New Roman" w:cs="Times New Roman"/>
          <w:sz w:val="24"/>
          <w:szCs w:val="24"/>
          <w:lang w:val="en-GB"/>
        </w:rPr>
        <w:t>’</w:t>
      </w:r>
      <w:r w:rsidRPr="009645E5">
        <w:rPr>
          <w:rFonts w:ascii="Times New Roman" w:hAnsi="Times New Roman" w:cs="Times New Roman"/>
          <w:sz w:val="24"/>
          <w:szCs w:val="24"/>
          <w:lang w:val="en-GB"/>
        </w:rPr>
        <w:t xml:space="preserve">s students to a significant risk and then summons that member of staff to her office to deal with that situation, that she is under no duty to do anything else if that member of staff fails to turn up.  Any suggestion that imposing an affirmative duty to do something rather </w:t>
      </w:r>
      <w:r w:rsidRPr="009645E5">
        <w:rPr>
          <w:rFonts w:ascii="Times New Roman" w:hAnsi="Times New Roman" w:cs="Times New Roman"/>
          <w:sz w:val="24"/>
          <w:szCs w:val="24"/>
          <w:lang w:val="en-GB"/>
        </w:rPr>
        <w:lastRenderedPageBreak/>
        <w:t xml:space="preserve">than nothing in this situation would be to impose a standard beyond that of reasonableness is surely questionable.  </w:t>
      </w:r>
    </w:p>
    <w:p w14:paraId="592C58BA" w14:textId="18316ECD" w:rsidR="005A51AF" w:rsidRPr="009645E5" w:rsidRDefault="00D139A0">
      <w:pPr>
        <w:pStyle w:val="BodyA"/>
        <w:spacing w:line="360" w:lineRule="auto"/>
        <w:jc w:val="both"/>
        <w:rPr>
          <w:rFonts w:ascii="Times New Roman" w:eastAsia="Times New Roman Bold" w:hAnsi="Times New Roman" w:cs="Times New Roman"/>
          <w:sz w:val="24"/>
          <w:szCs w:val="24"/>
          <w:lang w:val="en-GB"/>
        </w:rPr>
      </w:pPr>
      <w:r w:rsidRPr="009645E5">
        <w:rPr>
          <w:rFonts w:ascii="Times New Roman" w:hAnsi="Times New Roman" w:cs="Times New Roman"/>
          <w:sz w:val="24"/>
          <w:szCs w:val="24"/>
          <w:lang w:val="en-GB"/>
        </w:rPr>
        <w:tab/>
      </w:r>
      <w:r w:rsidR="00D70D82" w:rsidRPr="009645E5">
        <w:rPr>
          <w:rFonts w:ascii="Times New Roman" w:hAnsi="Times New Roman" w:cs="Times New Roman"/>
          <w:sz w:val="24"/>
          <w:szCs w:val="24"/>
          <w:lang w:val="en-GB"/>
        </w:rPr>
        <w:t xml:space="preserve">In the case of the attending obstetrician, as in the hypothetical example of the Head </w:t>
      </w:r>
      <w:r w:rsidR="00C578AC" w:rsidRPr="009645E5">
        <w:rPr>
          <w:rFonts w:ascii="Times New Roman" w:hAnsi="Times New Roman" w:cs="Times New Roman"/>
          <w:sz w:val="24"/>
          <w:szCs w:val="24"/>
          <w:lang w:val="en-GB"/>
        </w:rPr>
        <w:t xml:space="preserve">Teacher, surely it would not be overly cumbersome </w:t>
      </w:r>
      <w:r w:rsidR="00D70D82" w:rsidRPr="009645E5">
        <w:rPr>
          <w:rFonts w:ascii="Times New Roman" w:hAnsi="Times New Roman" w:cs="Times New Roman"/>
          <w:sz w:val="24"/>
          <w:szCs w:val="24"/>
          <w:lang w:val="en-GB"/>
        </w:rPr>
        <w:t>to expect some further investigative steps to be taken by the person in charge when something is clearly amiss, especially when there is very little burden to them in doin</w:t>
      </w:r>
      <w:r w:rsidR="00C578AC" w:rsidRPr="009645E5">
        <w:rPr>
          <w:rFonts w:ascii="Times New Roman" w:hAnsi="Times New Roman" w:cs="Times New Roman"/>
          <w:sz w:val="24"/>
          <w:szCs w:val="24"/>
          <w:lang w:val="en-GB"/>
        </w:rPr>
        <w:t xml:space="preserve">g so.  It is somewhat troubling if findings of negligence are </w:t>
      </w:r>
      <w:r w:rsidR="00D70D82" w:rsidRPr="009645E5">
        <w:rPr>
          <w:rFonts w:ascii="Times New Roman" w:hAnsi="Times New Roman" w:cs="Times New Roman"/>
          <w:sz w:val="24"/>
          <w:szCs w:val="24"/>
          <w:lang w:val="en-GB"/>
        </w:rPr>
        <w:t>more frequently upheld against midwives when they fail to take an obvious precaution, expose the patient to an unnecessary risk</w:t>
      </w:r>
      <w:r w:rsidR="00C578AC" w:rsidRPr="009645E5">
        <w:rPr>
          <w:rFonts w:ascii="Times New Roman" w:hAnsi="Times New Roman" w:cs="Times New Roman"/>
          <w:sz w:val="24"/>
          <w:szCs w:val="24"/>
          <w:lang w:val="en-GB"/>
        </w:rPr>
        <w:t>,</w:t>
      </w:r>
      <w:r w:rsidR="00D70D82" w:rsidRPr="009645E5">
        <w:rPr>
          <w:rFonts w:ascii="Times New Roman" w:hAnsi="Times New Roman" w:cs="Times New Roman"/>
          <w:sz w:val="24"/>
          <w:szCs w:val="24"/>
          <w:lang w:val="en-GB"/>
        </w:rPr>
        <w:t xml:space="preserve"> or perhaps do not show the basic exercise of common sense, when similar claims do not seem to be commonly upheld against doctors</w:t>
      </w:r>
      <w:r w:rsidR="00C578AC" w:rsidRPr="009645E5">
        <w:rPr>
          <w:rFonts w:ascii="Times New Roman" w:hAnsi="Times New Roman" w:cs="Times New Roman"/>
          <w:sz w:val="24"/>
          <w:szCs w:val="24"/>
          <w:lang w:val="en-GB"/>
        </w:rPr>
        <w:t xml:space="preserve"> for doing the same thing</w:t>
      </w:r>
      <w:r w:rsidR="00D70D82" w:rsidRPr="009645E5">
        <w:rPr>
          <w:rFonts w:ascii="Times New Roman" w:hAnsi="Times New Roman" w:cs="Times New Roman"/>
          <w:sz w:val="24"/>
          <w:szCs w:val="24"/>
          <w:lang w:val="en-GB"/>
        </w:rPr>
        <w:t xml:space="preserve">.  The conclusion in </w:t>
      </w:r>
      <w:r w:rsidR="00D70D82" w:rsidRPr="009645E5">
        <w:rPr>
          <w:rFonts w:ascii="Times New Roman" w:hAnsi="Times New Roman" w:cs="Times New Roman"/>
          <w:i/>
          <w:iCs/>
          <w:sz w:val="24"/>
          <w:szCs w:val="24"/>
          <w:lang w:val="en-GB"/>
        </w:rPr>
        <w:t>MC</w:t>
      </w:r>
      <w:r w:rsidR="00D70D82" w:rsidRPr="009645E5">
        <w:rPr>
          <w:rFonts w:ascii="Times New Roman" w:hAnsi="Times New Roman" w:cs="Times New Roman"/>
          <w:sz w:val="24"/>
          <w:szCs w:val="24"/>
          <w:lang w:val="en-GB"/>
        </w:rPr>
        <w:t>, at least in part, seemed to have been attributable to the manner in which this particular averment was pleaded, but for liability to be denied solely on this technical point seems a little disingenuous and one suspects that a slight re-wording of the statement of claim would not have produced an altogether different</w:t>
      </w:r>
      <w:r w:rsidRPr="009645E5">
        <w:rPr>
          <w:rFonts w:ascii="Times New Roman" w:hAnsi="Times New Roman" w:cs="Times New Roman"/>
          <w:sz w:val="24"/>
          <w:szCs w:val="24"/>
          <w:lang w:val="en-GB"/>
        </w:rPr>
        <w:t xml:space="preserve"> conclusion</w:t>
      </w:r>
      <w:r w:rsidR="00D70D82" w:rsidRPr="009645E5">
        <w:rPr>
          <w:rFonts w:ascii="Times New Roman" w:hAnsi="Times New Roman" w:cs="Times New Roman"/>
          <w:sz w:val="24"/>
          <w:szCs w:val="24"/>
          <w:lang w:val="en-GB"/>
        </w:rPr>
        <w:t>.</w:t>
      </w:r>
      <w:r w:rsidR="00D70D82" w:rsidRPr="009645E5">
        <w:rPr>
          <w:rFonts w:ascii="Times New Roman" w:eastAsia="Times New Roman Bold" w:hAnsi="Times New Roman" w:cs="Times New Roman"/>
          <w:sz w:val="24"/>
          <w:szCs w:val="24"/>
          <w:vertAlign w:val="superscript"/>
          <w:lang w:val="en-GB"/>
        </w:rPr>
        <w:footnoteReference w:id="105"/>
      </w:r>
    </w:p>
    <w:p w14:paraId="41F72E40" w14:textId="1AE74B20" w:rsidR="00F50513" w:rsidRPr="00DB2A6F" w:rsidRDefault="00D70D82" w:rsidP="00673788">
      <w:pPr>
        <w:pStyle w:val="BodyA"/>
        <w:spacing w:line="360" w:lineRule="auto"/>
        <w:jc w:val="both"/>
        <w:rPr>
          <w:rFonts w:ascii="Times New Roman" w:hAnsi="Times New Roman" w:cs="Times New Roman"/>
          <w:color w:val="FF2D21" w:themeColor="accent5"/>
          <w:sz w:val="24"/>
          <w:szCs w:val="24"/>
          <w:lang w:val="en-GB"/>
        </w:rPr>
      </w:pPr>
      <w:r w:rsidRPr="009645E5">
        <w:rPr>
          <w:rFonts w:ascii="Times New Roman" w:eastAsia="Times New Roman Bold" w:hAnsi="Times New Roman" w:cs="Times New Roman"/>
          <w:sz w:val="24"/>
          <w:szCs w:val="24"/>
          <w:lang w:val="en-GB"/>
        </w:rPr>
        <w:tab/>
        <w:t xml:space="preserve">Insofar as the allegation of </w:t>
      </w:r>
      <w:r w:rsidR="00D348F2" w:rsidRPr="009645E5">
        <w:rPr>
          <w:rFonts w:ascii="Times New Roman" w:eastAsia="Times New Roman Bold" w:hAnsi="Times New Roman" w:cs="Times New Roman"/>
          <w:sz w:val="24"/>
          <w:szCs w:val="24"/>
          <w:lang w:val="en-GB"/>
        </w:rPr>
        <w:t>‘</w:t>
      </w:r>
      <w:r w:rsidRPr="009645E5">
        <w:rPr>
          <w:rFonts w:ascii="Times New Roman" w:eastAsia="Times New Roman Bold" w:hAnsi="Times New Roman" w:cs="Times New Roman"/>
          <w:sz w:val="24"/>
          <w:szCs w:val="24"/>
          <w:lang w:val="en-GB"/>
        </w:rPr>
        <w:t>systemic</w:t>
      </w:r>
      <w:r w:rsidR="00D348F2" w:rsidRPr="009645E5">
        <w:rPr>
          <w:rFonts w:ascii="Times New Roman" w:eastAsia="Times New Roman Bold" w:hAnsi="Times New Roman" w:cs="Times New Roman"/>
          <w:sz w:val="24"/>
          <w:szCs w:val="24"/>
          <w:lang w:val="en-GB"/>
        </w:rPr>
        <w:t>’</w:t>
      </w:r>
      <w:r w:rsidRPr="009645E5">
        <w:rPr>
          <w:rFonts w:ascii="Times New Roman" w:eastAsia="Times New Roman Bold" w:hAnsi="Times New Roman" w:cs="Times New Roman"/>
          <w:sz w:val="24"/>
          <w:szCs w:val="24"/>
          <w:lang w:val="en-GB"/>
        </w:rPr>
        <w:t xml:space="preserve"> fault was concerned, the patient failed because the manner in which the statement of claim was drafted was, again, too imprecise.  There was nothing to indicate in what respect the system was unsafe and indeed how it could have been improved.</w:t>
      </w:r>
      <w:r w:rsidRPr="009645E5">
        <w:rPr>
          <w:rFonts w:ascii="Times New Roman" w:eastAsia="Times New Roman Bold" w:hAnsi="Times New Roman" w:cs="Times New Roman"/>
          <w:sz w:val="24"/>
          <w:szCs w:val="24"/>
          <w:vertAlign w:val="superscript"/>
          <w:lang w:val="en-GB"/>
        </w:rPr>
        <w:footnoteReference w:id="106"/>
      </w:r>
      <w:r w:rsidR="00D139A0" w:rsidRPr="009645E5">
        <w:rPr>
          <w:rFonts w:ascii="Times New Roman" w:hAnsi="Times New Roman" w:cs="Times New Roman"/>
          <w:sz w:val="24"/>
          <w:szCs w:val="24"/>
          <w:lang w:val="en-GB"/>
        </w:rPr>
        <w:t xml:space="preserve">  </w:t>
      </w:r>
      <w:r w:rsidRPr="009645E5">
        <w:rPr>
          <w:rFonts w:ascii="Times New Roman" w:hAnsi="Times New Roman" w:cs="Times New Roman"/>
          <w:sz w:val="24"/>
          <w:szCs w:val="24"/>
          <w:lang w:val="en-GB"/>
        </w:rPr>
        <w:t xml:space="preserve">The allegation of an </w:t>
      </w:r>
      <w:r w:rsidR="00D348F2" w:rsidRPr="009645E5">
        <w:rPr>
          <w:rFonts w:ascii="Times New Roman" w:hAnsi="Times New Roman" w:cs="Times New Roman"/>
          <w:sz w:val="24"/>
          <w:szCs w:val="24"/>
          <w:lang w:val="en-GB"/>
        </w:rPr>
        <w:t>‘</w:t>
      </w:r>
      <w:r w:rsidRPr="009645E5">
        <w:rPr>
          <w:rFonts w:ascii="Times New Roman" w:hAnsi="Times New Roman" w:cs="Times New Roman"/>
          <w:sz w:val="24"/>
          <w:szCs w:val="24"/>
          <w:lang w:val="en-GB"/>
        </w:rPr>
        <w:t>unsafe system</w:t>
      </w:r>
      <w:r w:rsidR="00D348F2" w:rsidRPr="009645E5">
        <w:rPr>
          <w:rFonts w:ascii="Times New Roman" w:hAnsi="Times New Roman" w:cs="Times New Roman"/>
          <w:sz w:val="24"/>
          <w:szCs w:val="24"/>
          <w:lang w:val="en-GB"/>
        </w:rPr>
        <w:t>’</w:t>
      </w:r>
      <w:r w:rsidR="00D139A0" w:rsidRPr="009645E5">
        <w:rPr>
          <w:rFonts w:ascii="Times New Roman" w:hAnsi="Times New Roman" w:cs="Times New Roman"/>
          <w:sz w:val="24"/>
          <w:szCs w:val="24"/>
          <w:lang w:val="en-GB"/>
        </w:rPr>
        <w:t xml:space="preserve"> was </w:t>
      </w:r>
      <w:r w:rsidRPr="009645E5">
        <w:rPr>
          <w:rFonts w:ascii="Times New Roman" w:hAnsi="Times New Roman" w:cs="Times New Roman"/>
          <w:sz w:val="24"/>
          <w:szCs w:val="24"/>
          <w:lang w:val="en-GB"/>
        </w:rPr>
        <w:t>founded on the delay of over thirty minutes from decision to delivery.  Lord Menzies suggested that, due to the allegation against the individual obstetrician in this regard as well, the passage of more than thirty minutes to delivery was not necessarily a result of an unsafe system but could, by implication, have been down to individual error.</w:t>
      </w:r>
      <w:r w:rsidRPr="009645E5">
        <w:rPr>
          <w:rFonts w:ascii="Times New Roman" w:eastAsia="Times New Roman Bold" w:hAnsi="Times New Roman" w:cs="Times New Roman"/>
          <w:sz w:val="24"/>
          <w:szCs w:val="24"/>
          <w:vertAlign w:val="superscript"/>
          <w:lang w:val="en-GB"/>
        </w:rPr>
        <w:footnoteReference w:id="107"/>
      </w:r>
      <w:r w:rsidRPr="009645E5">
        <w:rPr>
          <w:rFonts w:ascii="Times New Roman" w:hAnsi="Times New Roman" w:cs="Times New Roman"/>
          <w:sz w:val="24"/>
          <w:szCs w:val="24"/>
          <w:lang w:val="en-GB"/>
        </w:rPr>
        <w:t xml:space="preserve"> In the end, of course, the case against the individual was not made out and so here is a classic example of a situation in which the patient could have been left caug</w:t>
      </w:r>
      <w:r w:rsidR="007C7B2C">
        <w:rPr>
          <w:rFonts w:ascii="Times New Roman" w:hAnsi="Times New Roman" w:cs="Times New Roman"/>
          <w:sz w:val="24"/>
          <w:szCs w:val="24"/>
          <w:lang w:val="en-GB"/>
        </w:rPr>
        <w:t xml:space="preserve">ht between two stools.  If, on </w:t>
      </w:r>
      <w:r w:rsidRPr="009645E5">
        <w:rPr>
          <w:rFonts w:ascii="Times New Roman" w:hAnsi="Times New Roman" w:cs="Times New Roman"/>
          <w:sz w:val="24"/>
          <w:szCs w:val="24"/>
          <w:lang w:val="en-GB"/>
        </w:rPr>
        <w:t xml:space="preserve">the one hand, it could not have been the fault of the system because, potentially, it could have been the fault of the individual obstetrician, yet, on the other, the individual obstetrician could not have been at fault because the </w:t>
      </w:r>
      <w:r w:rsidR="00D348F2" w:rsidRPr="009645E5">
        <w:rPr>
          <w:rFonts w:ascii="Times New Roman" w:hAnsi="Times New Roman" w:cs="Times New Roman"/>
          <w:sz w:val="24"/>
          <w:szCs w:val="24"/>
          <w:lang w:val="en-GB"/>
        </w:rPr>
        <w:t>‘</w:t>
      </w:r>
      <w:r w:rsidRPr="009645E5">
        <w:rPr>
          <w:rFonts w:ascii="Times New Roman" w:hAnsi="Times New Roman" w:cs="Times New Roman"/>
          <w:sz w:val="24"/>
          <w:szCs w:val="24"/>
          <w:lang w:val="en-GB"/>
        </w:rPr>
        <w:t>system</w:t>
      </w:r>
      <w:r w:rsidR="00D348F2" w:rsidRPr="009645E5">
        <w:rPr>
          <w:rFonts w:ascii="Times New Roman" w:hAnsi="Times New Roman" w:cs="Times New Roman"/>
          <w:sz w:val="24"/>
          <w:szCs w:val="24"/>
          <w:lang w:val="en-GB"/>
        </w:rPr>
        <w:t>’</w:t>
      </w:r>
      <w:r w:rsidRPr="009645E5">
        <w:rPr>
          <w:rFonts w:ascii="Times New Roman" w:hAnsi="Times New Roman" w:cs="Times New Roman"/>
          <w:sz w:val="24"/>
          <w:szCs w:val="24"/>
          <w:lang w:val="en-GB"/>
        </w:rPr>
        <w:t xml:space="preserve"> did not deliver the patient to her on time when she was stood in theatre, scrubbed, and ready to operate, where should the responsibility have ultimately rested? </w:t>
      </w:r>
      <w:r w:rsidR="002B4969" w:rsidRPr="009645E5">
        <w:rPr>
          <w:rFonts w:ascii="Times New Roman" w:hAnsi="Times New Roman" w:cs="Times New Roman"/>
          <w:sz w:val="24"/>
          <w:szCs w:val="24"/>
          <w:lang w:val="en-GB"/>
        </w:rPr>
        <w:t>As and</w:t>
      </w:r>
      <w:r w:rsidR="0003777F" w:rsidRPr="009645E5">
        <w:rPr>
          <w:rFonts w:ascii="Times New Roman" w:hAnsi="Times New Roman" w:cs="Times New Roman"/>
          <w:sz w:val="24"/>
          <w:szCs w:val="24"/>
          <w:lang w:val="en-GB"/>
        </w:rPr>
        <w:t xml:space="preserve"> between those </w:t>
      </w:r>
      <w:r w:rsidR="002B4969" w:rsidRPr="009645E5">
        <w:rPr>
          <w:rFonts w:ascii="Times New Roman" w:hAnsi="Times New Roman" w:cs="Times New Roman"/>
          <w:sz w:val="24"/>
          <w:szCs w:val="24"/>
          <w:lang w:val="en-GB"/>
        </w:rPr>
        <w:t>two errors, presumably it</w:t>
      </w:r>
      <w:r w:rsidR="007C7B2C">
        <w:rPr>
          <w:rFonts w:ascii="Times New Roman" w:hAnsi="Times New Roman" w:cs="Times New Roman"/>
          <w:sz w:val="24"/>
          <w:szCs w:val="24"/>
          <w:lang w:val="en-GB"/>
        </w:rPr>
        <w:t xml:space="preserve"> should have rested somewhere.  </w:t>
      </w:r>
      <w:r w:rsidR="0003777F" w:rsidRPr="009645E5">
        <w:rPr>
          <w:rFonts w:ascii="Times New Roman" w:hAnsi="Times New Roman" w:cs="Times New Roman"/>
          <w:sz w:val="24"/>
          <w:szCs w:val="24"/>
          <w:lang w:val="en-GB"/>
        </w:rPr>
        <w:t>H</w:t>
      </w:r>
      <w:r w:rsidRPr="009645E5">
        <w:rPr>
          <w:rFonts w:ascii="Times New Roman" w:hAnsi="Times New Roman" w:cs="Times New Roman"/>
          <w:sz w:val="24"/>
          <w:szCs w:val="24"/>
          <w:lang w:val="en-GB"/>
        </w:rPr>
        <w:t>olding the midwives liable at the earlier point in the proceedings was the more straightforward option, but it</w:t>
      </w:r>
      <w:r w:rsidR="00C578AC" w:rsidRPr="009645E5">
        <w:rPr>
          <w:rFonts w:ascii="Times New Roman" w:hAnsi="Times New Roman" w:cs="Times New Roman"/>
          <w:sz w:val="24"/>
          <w:szCs w:val="24"/>
          <w:lang w:val="en-GB"/>
        </w:rPr>
        <w:t xml:space="preserve"> had the effect of concealing flaws in the reasoning which become apparent on closer inspection</w:t>
      </w:r>
      <w:r w:rsidR="004519AC">
        <w:rPr>
          <w:rFonts w:ascii="Times New Roman" w:hAnsi="Times New Roman" w:cs="Times New Roman"/>
          <w:sz w:val="24"/>
          <w:szCs w:val="24"/>
          <w:lang w:val="en-GB"/>
        </w:rPr>
        <w:t xml:space="preserve">.  </w:t>
      </w:r>
      <w:r w:rsidRPr="009645E5">
        <w:rPr>
          <w:rFonts w:ascii="Times New Roman" w:hAnsi="Times New Roman" w:cs="Times New Roman"/>
          <w:sz w:val="24"/>
          <w:szCs w:val="24"/>
          <w:lang w:val="en-GB"/>
        </w:rPr>
        <w:t>Had it been impossible to make that finding against the midwives, would the pursuer have been unable to recover? To hold so would have been to completely ignore that something obviously wen</w:t>
      </w:r>
      <w:r w:rsidR="00D139A0" w:rsidRPr="009645E5">
        <w:rPr>
          <w:rFonts w:ascii="Times New Roman" w:hAnsi="Times New Roman" w:cs="Times New Roman"/>
          <w:sz w:val="24"/>
          <w:szCs w:val="24"/>
          <w:lang w:val="en-GB"/>
        </w:rPr>
        <w:t xml:space="preserve">t wrong that exposed the mother and her child to considerable and unnecessary harm.  A </w:t>
      </w:r>
      <w:r w:rsidRPr="009645E5">
        <w:rPr>
          <w:rFonts w:ascii="Times New Roman" w:hAnsi="Times New Roman" w:cs="Times New Roman"/>
          <w:sz w:val="24"/>
          <w:szCs w:val="24"/>
          <w:lang w:val="en-GB"/>
        </w:rPr>
        <w:t xml:space="preserve">judge </w:t>
      </w:r>
      <w:r w:rsidR="00D139A0" w:rsidRPr="009645E5">
        <w:rPr>
          <w:rFonts w:ascii="Times New Roman" w:hAnsi="Times New Roman" w:cs="Times New Roman"/>
          <w:sz w:val="24"/>
          <w:szCs w:val="24"/>
          <w:lang w:val="en-GB"/>
        </w:rPr>
        <w:t xml:space="preserve">should </w:t>
      </w:r>
      <w:r w:rsidRPr="009645E5">
        <w:rPr>
          <w:rFonts w:ascii="Times New Roman" w:hAnsi="Times New Roman" w:cs="Times New Roman"/>
          <w:sz w:val="24"/>
          <w:szCs w:val="24"/>
          <w:lang w:val="en-GB"/>
        </w:rPr>
        <w:t>really</w:t>
      </w:r>
      <w:r w:rsidR="00D139A0" w:rsidRPr="009645E5">
        <w:rPr>
          <w:rFonts w:ascii="Times New Roman" w:hAnsi="Times New Roman" w:cs="Times New Roman"/>
          <w:sz w:val="24"/>
          <w:szCs w:val="24"/>
          <w:lang w:val="en-GB"/>
        </w:rPr>
        <w:t xml:space="preserve"> not </w:t>
      </w:r>
      <w:r w:rsidRPr="009645E5">
        <w:rPr>
          <w:rFonts w:ascii="Times New Roman" w:hAnsi="Times New Roman" w:cs="Times New Roman"/>
          <w:sz w:val="24"/>
          <w:szCs w:val="24"/>
          <w:lang w:val="en-GB"/>
        </w:rPr>
        <w:t xml:space="preserve">need recourse to specific examples of what </w:t>
      </w:r>
      <w:r w:rsidR="00D139A0" w:rsidRPr="009645E5">
        <w:rPr>
          <w:rFonts w:ascii="Times New Roman" w:hAnsi="Times New Roman" w:cs="Times New Roman"/>
          <w:sz w:val="24"/>
          <w:szCs w:val="24"/>
          <w:lang w:val="en-GB"/>
        </w:rPr>
        <w:t xml:space="preserve">a system should </w:t>
      </w:r>
      <w:r w:rsidR="00673788">
        <w:rPr>
          <w:rFonts w:ascii="Times New Roman" w:hAnsi="Times New Roman" w:cs="Times New Roman"/>
          <w:sz w:val="24"/>
          <w:szCs w:val="24"/>
          <w:lang w:val="en-GB"/>
        </w:rPr>
        <w:t xml:space="preserve">reasonably </w:t>
      </w:r>
      <w:r w:rsidR="00D139A0" w:rsidRPr="009645E5">
        <w:rPr>
          <w:rFonts w:ascii="Times New Roman" w:hAnsi="Times New Roman" w:cs="Times New Roman"/>
          <w:sz w:val="24"/>
          <w:szCs w:val="24"/>
          <w:lang w:val="en-GB"/>
        </w:rPr>
        <w:t>entail</w:t>
      </w:r>
      <w:r w:rsidR="00673788">
        <w:rPr>
          <w:rFonts w:ascii="Times New Roman" w:hAnsi="Times New Roman" w:cs="Times New Roman"/>
          <w:sz w:val="24"/>
          <w:szCs w:val="24"/>
          <w:lang w:val="en-GB"/>
        </w:rPr>
        <w:t xml:space="preserve"> in order to reach a conclusion that it is, in fact, unreasonable in the circumstances.  </w:t>
      </w:r>
      <w:r w:rsidRPr="009645E5">
        <w:rPr>
          <w:rFonts w:ascii="Times New Roman" w:hAnsi="Times New Roman" w:cs="Times New Roman"/>
          <w:sz w:val="24"/>
          <w:szCs w:val="24"/>
          <w:lang w:val="en-GB"/>
        </w:rPr>
        <w:t xml:space="preserve">To suggest that it was impossible to investigate what was behind the catalogue of errors evident in </w:t>
      </w:r>
      <w:r w:rsidRPr="000C0FE1">
        <w:rPr>
          <w:rFonts w:ascii="Times New Roman" w:hAnsi="Times New Roman" w:cs="Times New Roman"/>
          <w:i/>
          <w:sz w:val="24"/>
          <w:szCs w:val="24"/>
          <w:lang w:val="en-GB"/>
        </w:rPr>
        <w:t>MC</w:t>
      </w:r>
      <w:r w:rsidRPr="009645E5">
        <w:rPr>
          <w:rFonts w:ascii="Times New Roman" w:hAnsi="Times New Roman" w:cs="Times New Roman"/>
          <w:sz w:val="24"/>
          <w:szCs w:val="24"/>
          <w:lang w:val="en-GB"/>
        </w:rPr>
        <w:t>, and that it was inappropriate to explore the inner-workings of a system in order to reasonably assess its overall safety and effectiveness without having a specific frame of reference against which that assessment could be measured, seems to overly constrict the powers of a judge in a negligence action.</w:t>
      </w:r>
      <w:r w:rsidR="00931DDA">
        <w:rPr>
          <w:rFonts w:ascii="Times New Roman" w:hAnsi="Times New Roman" w:cs="Times New Roman"/>
          <w:sz w:val="24"/>
          <w:szCs w:val="24"/>
          <w:lang w:val="en-GB"/>
        </w:rPr>
        <w:t xml:space="preserve">  </w:t>
      </w:r>
      <w:r w:rsidR="004519AC" w:rsidRPr="00DB2A6F">
        <w:rPr>
          <w:rFonts w:ascii="Times New Roman" w:hAnsi="Times New Roman" w:cs="Times New Roman"/>
          <w:i/>
          <w:color w:val="FF2D21" w:themeColor="accent5"/>
          <w:sz w:val="24"/>
          <w:szCs w:val="24"/>
          <w:lang w:val="en-GB"/>
        </w:rPr>
        <w:t>Popple</w:t>
      </w:r>
      <w:r w:rsidR="004519AC" w:rsidRPr="00DB2A6F">
        <w:rPr>
          <w:rFonts w:ascii="Times New Roman" w:hAnsi="Times New Roman" w:cs="Times New Roman"/>
          <w:color w:val="FF2D21" w:themeColor="accent5"/>
          <w:sz w:val="24"/>
          <w:szCs w:val="24"/>
          <w:lang w:val="en-GB"/>
        </w:rPr>
        <w:t xml:space="preserve"> and </w:t>
      </w:r>
      <w:r w:rsidR="004519AC" w:rsidRPr="00DB2A6F">
        <w:rPr>
          <w:rFonts w:ascii="Times New Roman" w:hAnsi="Times New Roman" w:cs="Times New Roman"/>
          <w:i/>
          <w:color w:val="FF2D21" w:themeColor="accent5"/>
          <w:sz w:val="24"/>
          <w:szCs w:val="24"/>
          <w:lang w:val="en-GB"/>
        </w:rPr>
        <w:t>MC</w:t>
      </w:r>
      <w:r w:rsidR="00931DDA">
        <w:rPr>
          <w:rFonts w:ascii="Times New Roman" w:hAnsi="Times New Roman" w:cs="Times New Roman"/>
          <w:color w:val="FF2D21" w:themeColor="accent5"/>
          <w:sz w:val="24"/>
          <w:szCs w:val="24"/>
          <w:lang w:val="en-GB"/>
        </w:rPr>
        <w:t xml:space="preserve"> are also demonstrative </w:t>
      </w:r>
      <w:r w:rsidR="004519AC" w:rsidRPr="00DB2A6F">
        <w:rPr>
          <w:rFonts w:ascii="Times New Roman" w:hAnsi="Times New Roman" w:cs="Times New Roman"/>
          <w:color w:val="FF2D21" w:themeColor="accent5"/>
          <w:sz w:val="24"/>
          <w:szCs w:val="24"/>
          <w:lang w:val="en-GB"/>
        </w:rPr>
        <w:t>of the fact that some judges seem more inclined to actively scrutinise the profes</w:t>
      </w:r>
      <w:r w:rsidR="00931DDA">
        <w:rPr>
          <w:rFonts w:ascii="Times New Roman" w:hAnsi="Times New Roman" w:cs="Times New Roman"/>
          <w:color w:val="FF2D21" w:themeColor="accent5"/>
          <w:sz w:val="24"/>
          <w:szCs w:val="24"/>
          <w:lang w:val="en-GB"/>
        </w:rPr>
        <w:t xml:space="preserve">sional conduct of midwives and, where </w:t>
      </w:r>
      <w:r w:rsidR="004519AC" w:rsidRPr="00DB2A6F">
        <w:rPr>
          <w:rFonts w:ascii="Times New Roman" w:hAnsi="Times New Roman" w:cs="Times New Roman"/>
          <w:color w:val="FF2D21" w:themeColor="accent5"/>
          <w:sz w:val="24"/>
          <w:szCs w:val="24"/>
          <w:lang w:val="en-GB"/>
        </w:rPr>
        <w:t>appropriate, deem their actions negligent, whereas</w:t>
      </w:r>
      <w:r w:rsidR="004519AC">
        <w:rPr>
          <w:rFonts w:ascii="Times New Roman" w:hAnsi="Times New Roman" w:cs="Times New Roman"/>
          <w:sz w:val="24"/>
          <w:szCs w:val="24"/>
          <w:lang w:val="en-GB"/>
        </w:rPr>
        <w:t xml:space="preserve"> </w:t>
      </w:r>
      <w:r w:rsidR="004519AC" w:rsidRPr="00DB2A6F">
        <w:rPr>
          <w:rFonts w:ascii="Times New Roman" w:hAnsi="Times New Roman" w:cs="Times New Roman"/>
          <w:color w:val="FF2D21" w:themeColor="accent5"/>
          <w:sz w:val="24"/>
          <w:szCs w:val="24"/>
          <w:lang w:val="en-GB"/>
        </w:rPr>
        <w:t>they seem less enthusiastic to do the same in respect of doctors.</w:t>
      </w:r>
      <w:r w:rsidR="00867794" w:rsidRPr="00DB2A6F">
        <w:rPr>
          <w:rFonts w:ascii="Times New Roman" w:hAnsi="Times New Roman" w:cs="Times New Roman"/>
          <w:color w:val="FF2D21" w:themeColor="accent5"/>
          <w:sz w:val="24"/>
          <w:szCs w:val="24"/>
          <w:lang w:val="en-GB"/>
        </w:rPr>
        <w:t xml:space="preserve">  One can only speculate as to why this may be the case. First, the error in question may well have been muc</w:t>
      </w:r>
      <w:r w:rsidR="00931DDA">
        <w:rPr>
          <w:rFonts w:ascii="Times New Roman" w:hAnsi="Times New Roman" w:cs="Times New Roman"/>
          <w:color w:val="FF2D21" w:themeColor="accent5"/>
          <w:sz w:val="24"/>
          <w:szCs w:val="24"/>
          <w:lang w:val="en-GB"/>
        </w:rPr>
        <w:t xml:space="preserve">h more self-evident and easy to identify </w:t>
      </w:r>
      <w:r w:rsidR="00867794" w:rsidRPr="00DB2A6F">
        <w:rPr>
          <w:rFonts w:ascii="Times New Roman" w:hAnsi="Times New Roman" w:cs="Times New Roman"/>
          <w:color w:val="FF2D21" w:themeColor="accent5"/>
          <w:sz w:val="24"/>
          <w:szCs w:val="24"/>
          <w:lang w:val="en-GB"/>
        </w:rPr>
        <w:t xml:space="preserve">in a given case.  Second, and potentially more problematic, judges may </w:t>
      </w:r>
      <w:r w:rsidR="00DB2A6F" w:rsidRPr="00DB2A6F">
        <w:rPr>
          <w:rFonts w:ascii="Times New Roman" w:hAnsi="Times New Roman" w:cs="Times New Roman"/>
          <w:color w:val="FF2D21" w:themeColor="accent5"/>
          <w:sz w:val="24"/>
          <w:szCs w:val="24"/>
          <w:lang w:val="en-GB"/>
        </w:rPr>
        <w:t>well feel they are better placed</w:t>
      </w:r>
      <w:r w:rsidR="00867794" w:rsidRPr="00DB2A6F">
        <w:rPr>
          <w:rFonts w:ascii="Times New Roman" w:hAnsi="Times New Roman" w:cs="Times New Roman"/>
          <w:color w:val="FF2D21" w:themeColor="accent5"/>
          <w:sz w:val="24"/>
          <w:szCs w:val="24"/>
          <w:lang w:val="en-GB"/>
        </w:rPr>
        <w:t xml:space="preserve"> to assess the conduct of midwives as it is a role that demands less technical expertise than that of a doctor. In other words, judges may feel more comfortable in imposing their own views as to what amount</w:t>
      </w:r>
      <w:r w:rsidR="00DB2A6F" w:rsidRPr="00DB2A6F">
        <w:rPr>
          <w:rFonts w:ascii="Times New Roman" w:hAnsi="Times New Roman" w:cs="Times New Roman"/>
          <w:color w:val="FF2D21" w:themeColor="accent5"/>
          <w:sz w:val="24"/>
          <w:szCs w:val="24"/>
          <w:lang w:val="en-GB"/>
        </w:rPr>
        <w:t>s</w:t>
      </w:r>
      <w:r w:rsidR="00867794" w:rsidRPr="00DB2A6F">
        <w:rPr>
          <w:rFonts w:ascii="Times New Roman" w:hAnsi="Times New Roman" w:cs="Times New Roman"/>
          <w:color w:val="FF2D21" w:themeColor="accent5"/>
          <w:sz w:val="24"/>
          <w:szCs w:val="24"/>
          <w:lang w:val="en-GB"/>
        </w:rPr>
        <w:t xml:space="preserve"> to reasonableness or otherwise.  In </w:t>
      </w:r>
      <w:r w:rsidR="00931DDA">
        <w:rPr>
          <w:rFonts w:ascii="Times New Roman" w:hAnsi="Times New Roman" w:cs="Times New Roman"/>
          <w:color w:val="FF2D21" w:themeColor="accent5"/>
          <w:sz w:val="24"/>
          <w:szCs w:val="24"/>
          <w:lang w:val="en-GB"/>
        </w:rPr>
        <w:t xml:space="preserve">the latter, if this attitude is adopted </w:t>
      </w:r>
      <w:r w:rsidR="00867794" w:rsidRPr="00DB2A6F">
        <w:rPr>
          <w:rFonts w:ascii="Times New Roman" w:hAnsi="Times New Roman" w:cs="Times New Roman"/>
          <w:color w:val="FF2D21" w:themeColor="accent5"/>
          <w:sz w:val="24"/>
          <w:szCs w:val="24"/>
          <w:lang w:val="en-GB"/>
        </w:rPr>
        <w:t>too frequently</w:t>
      </w:r>
      <w:r w:rsidR="00DB2A6F" w:rsidRPr="00DB2A6F">
        <w:rPr>
          <w:rFonts w:ascii="Times New Roman" w:hAnsi="Times New Roman" w:cs="Times New Roman"/>
          <w:color w:val="FF2D21" w:themeColor="accent5"/>
          <w:sz w:val="24"/>
          <w:szCs w:val="24"/>
          <w:lang w:val="en-GB"/>
        </w:rPr>
        <w:t>,</w:t>
      </w:r>
      <w:r w:rsidR="00867794" w:rsidRPr="00DB2A6F">
        <w:rPr>
          <w:rFonts w:ascii="Times New Roman" w:hAnsi="Times New Roman" w:cs="Times New Roman"/>
          <w:color w:val="FF2D21" w:themeColor="accent5"/>
          <w:sz w:val="24"/>
          <w:szCs w:val="24"/>
          <w:lang w:val="en-GB"/>
        </w:rPr>
        <w:t xml:space="preserve"> it could become problematic.  </w:t>
      </w:r>
      <w:r w:rsidR="00DB2A6F" w:rsidRPr="00DB2A6F">
        <w:rPr>
          <w:rFonts w:ascii="Times New Roman" w:hAnsi="Times New Roman" w:cs="Times New Roman"/>
          <w:color w:val="FF2D21" w:themeColor="accent5"/>
          <w:sz w:val="24"/>
          <w:szCs w:val="24"/>
          <w:lang w:val="en-GB"/>
        </w:rPr>
        <w:t xml:space="preserve">The job of a midwife is </w:t>
      </w:r>
      <w:r w:rsidR="00867794" w:rsidRPr="00DB2A6F">
        <w:rPr>
          <w:rFonts w:ascii="Times New Roman" w:hAnsi="Times New Roman" w:cs="Times New Roman"/>
          <w:color w:val="FF2D21" w:themeColor="accent5"/>
          <w:sz w:val="24"/>
          <w:szCs w:val="24"/>
          <w:lang w:val="en-GB"/>
        </w:rPr>
        <w:t>technical</w:t>
      </w:r>
      <w:r w:rsidR="00DB2A6F" w:rsidRPr="00DB2A6F">
        <w:rPr>
          <w:rFonts w:ascii="Times New Roman" w:hAnsi="Times New Roman" w:cs="Times New Roman"/>
          <w:color w:val="FF2D21" w:themeColor="accent5"/>
          <w:sz w:val="24"/>
          <w:szCs w:val="24"/>
          <w:lang w:val="en-GB"/>
        </w:rPr>
        <w:t xml:space="preserve">ly </w:t>
      </w:r>
      <w:r w:rsidR="00867794" w:rsidRPr="00DB2A6F">
        <w:rPr>
          <w:rFonts w:ascii="Times New Roman" w:hAnsi="Times New Roman" w:cs="Times New Roman"/>
          <w:color w:val="FF2D21" w:themeColor="accent5"/>
          <w:sz w:val="24"/>
          <w:szCs w:val="24"/>
          <w:lang w:val="en-GB"/>
        </w:rPr>
        <w:t>demanding</w:t>
      </w:r>
      <w:r w:rsidR="00DB2A6F" w:rsidRPr="00DB2A6F">
        <w:rPr>
          <w:rFonts w:ascii="Times New Roman" w:hAnsi="Times New Roman" w:cs="Times New Roman"/>
          <w:color w:val="FF2D21" w:themeColor="accent5"/>
          <w:sz w:val="24"/>
          <w:szCs w:val="24"/>
          <w:lang w:val="en-GB"/>
        </w:rPr>
        <w:t xml:space="preserve"> and requires high levels of professional expertise; </w:t>
      </w:r>
      <w:r w:rsidR="00867794" w:rsidRPr="00DB2A6F">
        <w:rPr>
          <w:rFonts w:ascii="Times New Roman" w:hAnsi="Times New Roman" w:cs="Times New Roman"/>
          <w:color w:val="FF2D21" w:themeColor="accent5"/>
          <w:sz w:val="24"/>
          <w:szCs w:val="24"/>
          <w:lang w:val="en-GB"/>
        </w:rPr>
        <w:t xml:space="preserve">errors will </w:t>
      </w:r>
      <w:r w:rsidR="00931DDA">
        <w:rPr>
          <w:rFonts w:ascii="Times New Roman" w:hAnsi="Times New Roman" w:cs="Times New Roman"/>
          <w:color w:val="FF2D21" w:themeColor="accent5"/>
          <w:sz w:val="24"/>
          <w:szCs w:val="24"/>
          <w:lang w:val="en-GB"/>
        </w:rPr>
        <w:t xml:space="preserve">sometimes not always be easy to identify and will indeed demand careful judicial scrutiny </w:t>
      </w:r>
      <w:r w:rsidR="00DB2A6F" w:rsidRPr="00DB2A6F">
        <w:rPr>
          <w:rFonts w:ascii="Times New Roman" w:hAnsi="Times New Roman" w:cs="Times New Roman"/>
          <w:color w:val="FF2D21" w:themeColor="accent5"/>
          <w:sz w:val="24"/>
          <w:szCs w:val="24"/>
          <w:lang w:val="en-GB"/>
        </w:rPr>
        <w:t xml:space="preserve">in order to determine the question of breach.  </w:t>
      </w:r>
      <w:r w:rsidR="00867794" w:rsidRPr="00DB2A6F">
        <w:rPr>
          <w:rFonts w:ascii="Times New Roman" w:hAnsi="Times New Roman" w:cs="Times New Roman"/>
          <w:color w:val="FF2D21" w:themeColor="accent5"/>
          <w:sz w:val="24"/>
          <w:szCs w:val="24"/>
          <w:lang w:val="en-GB"/>
        </w:rPr>
        <w:t xml:space="preserve">Equally, </w:t>
      </w:r>
      <w:r w:rsidR="00DB2A6F" w:rsidRPr="00DB2A6F">
        <w:rPr>
          <w:rFonts w:ascii="Times New Roman" w:hAnsi="Times New Roman" w:cs="Times New Roman"/>
          <w:color w:val="FF2D21" w:themeColor="accent5"/>
          <w:sz w:val="24"/>
          <w:szCs w:val="24"/>
          <w:lang w:val="en-GB"/>
        </w:rPr>
        <w:t>it may well be the case that a doctor makes a very obvious error that should be visible to a judge on an objective assessment of the situation</w:t>
      </w:r>
      <w:r w:rsidR="00931DDA">
        <w:rPr>
          <w:rFonts w:ascii="Times New Roman" w:hAnsi="Times New Roman" w:cs="Times New Roman"/>
          <w:color w:val="FF2D21" w:themeColor="accent5"/>
          <w:sz w:val="24"/>
          <w:szCs w:val="24"/>
          <w:lang w:val="en-GB"/>
        </w:rPr>
        <w:t xml:space="preserve"> and to focus predominantly on the actions of midwives may detract from this</w:t>
      </w:r>
      <w:r w:rsidR="00DB2A6F" w:rsidRPr="00DB2A6F">
        <w:rPr>
          <w:rFonts w:ascii="Times New Roman" w:hAnsi="Times New Roman" w:cs="Times New Roman"/>
          <w:color w:val="FF2D21" w:themeColor="accent5"/>
          <w:sz w:val="24"/>
          <w:szCs w:val="24"/>
          <w:lang w:val="en-GB"/>
        </w:rPr>
        <w:t>. Where the allegation of negligence is made against various professionals who constitute of the delivery ‘team’, judges need to investigate carefully where the responsibility should actually lie and not be too quick to apportion blame based on the path of least resistance.</w:t>
      </w:r>
    </w:p>
    <w:p w14:paraId="6ABD69FA" w14:textId="77777777" w:rsidR="0049185B" w:rsidRPr="0049185B" w:rsidRDefault="0049185B" w:rsidP="0049185B">
      <w:pPr>
        <w:pStyle w:val="BodyA"/>
        <w:jc w:val="both"/>
        <w:rPr>
          <w:rFonts w:ascii="Times New Roman" w:hAnsi="Times New Roman" w:cs="Times New Roman"/>
          <w:sz w:val="24"/>
          <w:szCs w:val="24"/>
          <w:lang w:val="en-GB"/>
        </w:rPr>
      </w:pPr>
    </w:p>
    <w:p w14:paraId="37A70032" w14:textId="77777777" w:rsidR="005A51AF" w:rsidRPr="009645E5" w:rsidRDefault="00D70D82">
      <w:pPr>
        <w:pStyle w:val="BodyA"/>
        <w:jc w:val="center"/>
        <w:rPr>
          <w:rFonts w:ascii="Times New Roman" w:eastAsia="Times New Roman Bold" w:hAnsi="Times New Roman" w:cs="Times New Roman"/>
          <w:b/>
          <w:bCs/>
          <w:i/>
          <w:iCs/>
          <w:sz w:val="24"/>
          <w:szCs w:val="24"/>
          <w:lang w:val="en-GB"/>
        </w:rPr>
      </w:pPr>
      <w:r w:rsidRPr="009645E5">
        <w:rPr>
          <w:rFonts w:ascii="Times New Roman" w:hAnsi="Times New Roman" w:cs="Times New Roman"/>
          <w:b/>
          <w:bCs/>
          <w:i/>
          <w:iCs/>
          <w:sz w:val="24"/>
          <w:szCs w:val="24"/>
          <w:lang w:val="en-GB"/>
        </w:rPr>
        <w:t>iii. The Influence of Professional Guidelines</w:t>
      </w:r>
    </w:p>
    <w:p w14:paraId="1CBF530F" w14:textId="77777777" w:rsidR="005A51AF" w:rsidRPr="009645E5" w:rsidRDefault="005A51AF">
      <w:pPr>
        <w:pStyle w:val="BodyA"/>
        <w:jc w:val="center"/>
        <w:rPr>
          <w:rFonts w:ascii="Times New Roman" w:eastAsia="Times New Roman Bold" w:hAnsi="Times New Roman" w:cs="Times New Roman"/>
          <w:i/>
          <w:iCs/>
          <w:sz w:val="24"/>
          <w:szCs w:val="24"/>
          <w:lang w:val="en-GB"/>
        </w:rPr>
      </w:pPr>
    </w:p>
    <w:p w14:paraId="72E23891" w14:textId="07B25E07" w:rsidR="005A51AF" w:rsidRPr="009645E5" w:rsidRDefault="00D70D82">
      <w:pPr>
        <w:pStyle w:val="BodyA"/>
        <w:spacing w:line="360" w:lineRule="auto"/>
        <w:jc w:val="both"/>
        <w:rPr>
          <w:rFonts w:ascii="Times New Roman" w:eastAsia="Times New Roman Bold" w:hAnsi="Times New Roman" w:cs="Times New Roman"/>
          <w:sz w:val="24"/>
          <w:szCs w:val="24"/>
          <w:lang w:val="en-GB"/>
        </w:rPr>
      </w:pPr>
      <w:r w:rsidRPr="009645E5">
        <w:rPr>
          <w:rFonts w:ascii="Times New Roman" w:hAnsi="Times New Roman" w:cs="Times New Roman"/>
          <w:sz w:val="24"/>
          <w:szCs w:val="24"/>
          <w:lang w:val="en-GB"/>
        </w:rPr>
        <w:t>Whilst professional guidelines were not a central feature of the 2102 Report insofar as being a major cause or principal focus of many childbirth claims, they were identified as being useful in improving professional standards moving forward and also as an effective risk-management tool.</w:t>
      </w:r>
      <w:r w:rsidRPr="009645E5">
        <w:rPr>
          <w:rFonts w:ascii="Times New Roman" w:eastAsia="Times New Roman Bold" w:hAnsi="Times New Roman" w:cs="Times New Roman"/>
          <w:sz w:val="24"/>
          <w:szCs w:val="24"/>
          <w:vertAlign w:val="superscript"/>
          <w:lang w:val="en-GB"/>
        </w:rPr>
        <w:footnoteReference w:id="108"/>
      </w:r>
      <w:r w:rsidR="002F4F44" w:rsidRPr="009645E5">
        <w:rPr>
          <w:rFonts w:ascii="Times New Roman" w:hAnsi="Times New Roman" w:cs="Times New Roman"/>
          <w:sz w:val="24"/>
          <w:szCs w:val="24"/>
          <w:lang w:val="en-GB"/>
        </w:rPr>
        <w:t xml:space="preserve">    More importantly, </w:t>
      </w:r>
      <w:r w:rsidRPr="009645E5">
        <w:rPr>
          <w:rFonts w:ascii="Times New Roman" w:hAnsi="Times New Roman" w:cs="Times New Roman"/>
          <w:sz w:val="24"/>
          <w:szCs w:val="24"/>
          <w:lang w:val="en-GB"/>
        </w:rPr>
        <w:t>reliance on professional guidelines was a common feature in the majority of cases analysed for the purposes of this study.  They were used frequently by judges to assist them in answering questions relating to CTG interpretation and also as to the administration of certain drugs, such as Syntocinon.</w:t>
      </w:r>
      <w:r w:rsidRPr="009645E5">
        <w:rPr>
          <w:rFonts w:ascii="Times New Roman" w:eastAsia="Times New Roman Bold" w:hAnsi="Times New Roman" w:cs="Times New Roman"/>
          <w:sz w:val="24"/>
          <w:szCs w:val="24"/>
          <w:vertAlign w:val="superscript"/>
          <w:lang w:val="en-GB"/>
        </w:rPr>
        <w:footnoteReference w:id="109"/>
      </w:r>
      <w:r w:rsidRPr="009645E5">
        <w:rPr>
          <w:rFonts w:ascii="Times New Roman" w:hAnsi="Times New Roman" w:cs="Times New Roman"/>
          <w:sz w:val="24"/>
          <w:szCs w:val="24"/>
          <w:lang w:val="en-GB"/>
        </w:rPr>
        <w:t xml:space="preserve">  NICE has produced</w:t>
      </w:r>
      <w:r w:rsidR="00D139A0" w:rsidRPr="009645E5">
        <w:rPr>
          <w:rFonts w:ascii="Times New Roman" w:hAnsi="Times New Roman" w:cs="Times New Roman"/>
          <w:sz w:val="24"/>
          <w:szCs w:val="24"/>
          <w:lang w:val="en-GB"/>
        </w:rPr>
        <w:t xml:space="preserve"> </w:t>
      </w:r>
      <w:r w:rsidRPr="009645E5">
        <w:rPr>
          <w:rFonts w:ascii="Times New Roman" w:hAnsi="Times New Roman" w:cs="Times New Roman"/>
          <w:sz w:val="24"/>
          <w:szCs w:val="24"/>
          <w:lang w:val="en-GB"/>
        </w:rPr>
        <w:t>clinical guidelines in regard to childbirth</w:t>
      </w:r>
      <w:r w:rsidRPr="009645E5">
        <w:rPr>
          <w:rFonts w:ascii="Times New Roman" w:eastAsia="Times New Roman Bold" w:hAnsi="Times New Roman" w:cs="Times New Roman"/>
          <w:sz w:val="24"/>
          <w:szCs w:val="24"/>
          <w:vertAlign w:val="superscript"/>
          <w:lang w:val="en-GB"/>
        </w:rPr>
        <w:footnoteReference w:id="110"/>
      </w:r>
      <w:r w:rsidRPr="009645E5">
        <w:rPr>
          <w:rFonts w:ascii="Times New Roman" w:hAnsi="Times New Roman" w:cs="Times New Roman"/>
          <w:sz w:val="24"/>
          <w:szCs w:val="24"/>
          <w:lang w:val="en-GB"/>
        </w:rPr>
        <w:t>, so too the Royal College of Obstetricians and Gynaecologists.</w:t>
      </w:r>
      <w:r w:rsidRPr="009645E5">
        <w:rPr>
          <w:rFonts w:ascii="Times New Roman" w:eastAsia="Times New Roman Bold" w:hAnsi="Times New Roman" w:cs="Times New Roman"/>
          <w:sz w:val="24"/>
          <w:szCs w:val="24"/>
          <w:vertAlign w:val="superscript"/>
          <w:lang w:val="en-GB"/>
        </w:rPr>
        <w:footnoteReference w:id="111"/>
      </w:r>
      <w:r w:rsidRPr="009645E5">
        <w:rPr>
          <w:rFonts w:ascii="Times New Roman" w:hAnsi="Times New Roman" w:cs="Times New Roman"/>
          <w:sz w:val="24"/>
          <w:szCs w:val="24"/>
          <w:lang w:val="en-GB"/>
        </w:rPr>
        <w:t xml:space="preserve">  The Nursing and Midwifery Council has equally produced an array of</w:t>
      </w:r>
      <w:r w:rsidR="00C578AC" w:rsidRPr="009645E5">
        <w:rPr>
          <w:rFonts w:ascii="Times New Roman" w:hAnsi="Times New Roman" w:cs="Times New Roman"/>
          <w:sz w:val="24"/>
          <w:szCs w:val="24"/>
          <w:lang w:val="en-GB"/>
        </w:rPr>
        <w:t xml:space="preserve"> publications</w:t>
      </w:r>
      <w:r w:rsidRPr="009645E5">
        <w:rPr>
          <w:rFonts w:ascii="Times New Roman" w:eastAsia="Times New Roman Bold" w:hAnsi="Times New Roman" w:cs="Times New Roman"/>
          <w:sz w:val="24"/>
          <w:szCs w:val="24"/>
          <w:vertAlign w:val="superscript"/>
          <w:lang w:val="en-GB"/>
        </w:rPr>
        <w:footnoteReference w:id="112"/>
      </w:r>
      <w:r w:rsidR="00C578AC" w:rsidRPr="009645E5">
        <w:rPr>
          <w:rFonts w:ascii="Times New Roman" w:hAnsi="Times New Roman" w:cs="Times New Roman"/>
          <w:sz w:val="24"/>
          <w:szCs w:val="24"/>
          <w:lang w:val="en-GB"/>
        </w:rPr>
        <w:t xml:space="preserve"> </w:t>
      </w:r>
      <w:r w:rsidRPr="009645E5">
        <w:rPr>
          <w:rFonts w:ascii="Times New Roman" w:hAnsi="Times New Roman" w:cs="Times New Roman"/>
          <w:sz w:val="24"/>
          <w:szCs w:val="24"/>
          <w:lang w:val="en-GB"/>
        </w:rPr>
        <w:t>and, moreover, some individual hospitals also issue guidance in respect of their own practices and protocols.</w:t>
      </w:r>
      <w:r w:rsidRPr="009645E5">
        <w:rPr>
          <w:rFonts w:ascii="Times New Roman" w:eastAsia="Times New Roman Bold" w:hAnsi="Times New Roman" w:cs="Times New Roman"/>
          <w:sz w:val="24"/>
          <w:szCs w:val="24"/>
          <w:vertAlign w:val="superscript"/>
          <w:lang w:val="en-GB"/>
        </w:rPr>
        <w:footnoteReference w:id="113"/>
      </w:r>
    </w:p>
    <w:p w14:paraId="6BA115DF" w14:textId="3AA00683" w:rsidR="005A51AF" w:rsidRPr="00A83A5A" w:rsidRDefault="0003777F">
      <w:pPr>
        <w:pStyle w:val="BodyA"/>
        <w:spacing w:line="360" w:lineRule="auto"/>
        <w:jc w:val="both"/>
        <w:rPr>
          <w:rFonts w:ascii="Times New Roman" w:eastAsia="Times New Roman Bold" w:hAnsi="Times New Roman" w:cs="Times New Roman"/>
          <w:color w:val="FF2D21" w:themeColor="accent5"/>
          <w:sz w:val="24"/>
          <w:szCs w:val="24"/>
          <w:lang w:val="en-GB"/>
        </w:rPr>
      </w:pPr>
      <w:r w:rsidRPr="009645E5">
        <w:rPr>
          <w:rFonts w:ascii="Times New Roman" w:eastAsia="Times New Roman Bold" w:hAnsi="Times New Roman" w:cs="Times New Roman"/>
          <w:sz w:val="24"/>
          <w:szCs w:val="24"/>
          <w:lang w:val="en-GB"/>
        </w:rPr>
        <w:tab/>
      </w:r>
      <w:r w:rsidR="00647FA0" w:rsidRPr="00A83A5A">
        <w:rPr>
          <w:rFonts w:ascii="Times New Roman" w:eastAsia="Times New Roman Bold" w:hAnsi="Times New Roman" w:cs="Times New Roman"/>
          <w:color w:val="FF2D21" w:themeColor="accent5"/>
          <w:sz w:val="24"/>
          <w:szCs w:val="24"/>
          <w:lang w:val="en-GB"/>
        </w:rPr>
        <w:t>First, there is a pragmat</w:t>
      </w:r>
      <w:r w:rsidR="00A83A5A" w:rsidRPr="00A83A5A">
        <w:rPr>
          <w:rFonts w:ascii="Times New Roman" w:eastAsia="Times New Roman Bold" w:hAnsi="Times New Roman" w:cs="Times New Roman"/>
          <w:color w:val="FF2D21" w:themeColor="accent5"/>
          <w:sz w:val="24"/>
          <w:szCs w:val="24"/>
          <w:lang w:val="en-GB"/>
        </w:rPr>
        <w:t xml:space="preserve">ic difficulty worth noting that concerns </w:t>
      </w:r>
      <w:r w:rsidR="00647FA0" w:rsidRPr="00A83A5A">
        <w:rPr>
          <w:rFonts w:ascii="Times New Roman" w:eastAsia="Times New Roman Bold" w:hAnsi="Times New Roman" w:cs="Times New Roman"/>
          <w:color w:val="FF2D21" w:themeColor="accent5"/>
          <w:sz w:val="24"/>
          <w:szCs w:val="24"/>
          <w:lang w:val="en-GB"/>
        </w:rPr>
        <w:t>the sheer number of guidelines that are currently being published.</w:t>
      </w:r>
      <w:r w:rsidR="00A83A5A" w:rsidRPr="00A83A5A">
        <w:rPr>
          <w:rFonts w:ascii="Times New Roman" w:eastAsia="Times New Roman Bold" w:hAnsi="Times New Roman" w:cs="Times New Roman"/>
          <w:color w:val="FF2D21" w:themeColor="accent5"/>
          <w:sz w:val="24"/>
          <w:szCs w:val="24"/>
          <w:lang w:val="en-GB"/>
        </w:rPr>
        <w:t xml:space="preserve">  This increase could have the e</w:t>
      </w:r>
      <w:r w:rsidR="00647FA0" w:rsidRPr="00A83A5A">
        <w:rPr>
          <w:rFonts w:ascii="Times New Roman" w:eastAsia="Times New Roman Bold" w:hAnsi="Times New Roman" w:cs="Times New Roman"/>
          <w:color w:val="FF2D21" w:themeColor="accent5"/>
          <w:sz w:val="24"/>
          <w:szCs w:val="24"/>
          <w:lang w:val="en-GB"/>
        </w:rPr>
        <w:t xml:space="preserve">ffect of confusing matters by creating a degree of overlap or </w:t>
      </w:r>
      <w:r w:rsidR="00A83A5A" w:rsidRPr="00A83A5A">
        <w:rPr>
          <w:rFonts w:ascii="Times New Roman" w:eastAsia="Times New Roman Bold" w:hAnsi="Times New Roman" w:cs="Times New Roman"/>
          <w:color w:val="FF2D21" w:themeColor="accent5"/>
          <w:sz w:val="24"/>
          <w:szCs w:val="24"/>
          <w:lang w:val="en-GB"/>
        </w:rPr>
        <w:t xml:space="preserve">contradiction.  </w:t>
      </w:r>
      <w:r w:rsidR="00647FA0" w:rsidRPr="00A83A5A">
        <w:rPr>
          <w:rFonts w:ascii="Times New Roman" w:eastAsia="Times New Roman Bold" w:hAnsi="Times New Roman" w:cs="Times New Roman"/>
          <w:color w:val="FF2D21" w:themeColor="accent5"/>
          <w:sz w:val="24"/>
          <w:szCs w:val="24"/>
          <w:lang w:val="en-GB"/>
        </w:rPr>
        <w:t>This</w:t>
      </w:r>
      <w:r w:rsidR="00A83A5A" w:rsidRPr="00A83A5A">
        <w:rPr>
          <w:rFonts w:ascii="Times New Roman" w:eastAsia="Times New Roman Bold" w:hAnsi="Times New Roman" w:cs="Times New Roman"/>
          <w:color w:val="FF2D21" w:themeColor="accent5"/>
          <w:sz w:val="24"/>
          <w:szCs w:val="24"/>
          <w:lang w:val="en-GB"/>
        </w:rPr>
        <w:t>,</w:t>
      </w:r>
      <w:r w:rsidR="00647FA0" w:rsidRPr="00A83A5A">
        <w:rPr>
          <w:rFonts w:ascii="Times New Roman" w:eastAsia="Times New Roman Bold" w:hAnsi="Times New Roman" w:cs="Times New Roman"/>
          <w:color w:val="FF2D21" w:themeColor="accent5"/>
          <w:sz w:val="24"/>
          <w:szCs w:val="24"/>
          <w:lang w:val="en-GB"/>
        </w:rPr>
        <w:t xml:space="preserve"> in turn, may make it extremely difficult for healthcare professionals and judges to decide on the reasonableness (or otherwise) </w:t>
      </w:r>
      <w:r w:rsidR="00A83A5A" w:rsidRPr="00A83A5A">
        <w:rPr>
          <w:rFonts w:ascii="Times New Roman" w:eastAsia="Times New Roman Bold" w:hAnsi="Times New Roman" w:cs="Times New Roman"/>
          <w:color w:val="FF2D21" w:themeColor="accent5"/>
          <w:sz w:val="24"/>
          <w:szCs w:val="24"/>
          <w:lang w:val="en-GB"/>
        </w:rPr>
        <w:t>of the course of action.  That issue aside, t</w:t>
      </w:r>
      <w:r w:rsidRPr="00A83A5A">
        <w:rPr>
          <w:rFonts w:ascii="Times New Roman" w:eastAsia="Times New Roman Bold" w:hAnsi="Times New Roman" w:cs="Times New Roman"/>
          <w:color w:val="FF2D21" w:themeColor="accent5"/>
          <w:sz w:val="24"/>
          <w:szCs w:val="24"/>
          <w:lang w:val="en-GB"/>
        </w:rPr>
        <w:t xml:space="preserve">wo </w:t>
      </w:r>
      <w:r w:rsidR="00A83A5A" w:rsidRPr="00A83A5A">
        <w:rPr>
          <w:rFonts w:ascii="Times New Roman" w:eastAsia="Times New Roman Bold" w:hAnsi="Times New Roman" w:cs="Times New Roman"/>
          <w:color w:val="FF2D21" w:themeColor="accent5"/>
          <w:sz w:val="24"/>
          <w:szCs w:val="24"/>
          <w:lang w:val="en-GB"/>
        </w:rPr>
        <w:t xml:space="preserve">further </w:t>
      </w:r>
      <w:r w:rsidRPr="00A83A5A">
        <w:rPr>
          <w:rFonts w:ascii="Times New Roman" w:eastAsia="Times New Roman Bold" w:hAnsi="Times New Roman" w:cs="Times New Roman"/>
          <w:color w:val="FF2D21" w:themeColor="accent5"/>
          <w:sz w:val="24"/>
          <w:szCs w:val="24"/>
          <w:lang w:val="en-GB"/>
        </w:rPr>
        <w:t xml:space="preserve">points of curiosity reside in the degree </w:t>
      </w:r>
      <w:r w:rsidR="00D70D82" w:rsidRPr="00A83A5A">
        <w:rPr>
          <w:rFonts w:ascii="Times New Roman" w:eastAsia="Times New Roman Bold" w:hAnsi="Times New Roman" w:cs="Times New Roman"/>
          <w:color w:val="FF2D21" w:themeColor="accent5"/>
          <w:sz w:val="24"/>
          <w:szCs w:val="24"/>
          <w:lang w:val="en-GB"/>
        </w:rPr>
        <w:t xml:space="preserve">to which the guidelines should be allowed to dictate the legal standard of care and how willing judges are to critically evaluate the content of the guidelines for themselves and, </w:t>
      </w:r>
      <w:r w:rsidR="004025CD" w:rsidRPr="00A83A5A">
        <w:rPr>
          <w:rFonts w:ascii="Times New Roman" w:eastAsia="Times New Roman Bold" w:hAnsi="Times New Roman" w:cs="Times New Roman"/>
          <w:color w:val="FF2D21" w:themeColor="accent5"/>
          <w:sz w:val="24"/>
          <w:szCs w:val="24"/>
          <w:lang w:val="en-GB"/>
        </w:rPr>
        <w:t>where appropriate, to disregard them.</w:t>
      </w:r>
    </w:p>
    <w:p w14:paraId="11CD1591" w14:textId="543016CF" w:rsidR="0041416B" w:rsidRPr="009645E5" w:rsidRDefault="00D70D82" w:rsidP="00673788">
      <w:pPr>
        <w:pStyle w:val="BodyA"/>
        <w:spacing w:line="360" w:lineRule="auto"/>
        <w:jc w:val="both"/>
        <w:rPr>
          <w:rFonts w:ascii="Times New Roman" w:hAnsi="Times New Roman" w:cs="Times New Roman"/>
          <w:sz w:val="24"/>
          <w:szCs w:val="24"/>
          <w:lang w:val="en-GB"/>
        </w:rPr>
      </w:pPr>
      <w:r w:rsidRPr="009645E5">
        <w:rPr>
          <w:rFonts w:ascii="Times New Roman" w:eastAsia="Times New Roman Bold" w:hAnsi="Times New Roman" w:cs="Times New Roman"/>
          <w:sz w:val="24"/>
          <w:szCs w:val="24"/>
          <w:lang w:val="en-GB"/>
        </w:rPr>
        <w:tab/>
        <w:t>Obstetrics and gynaecology, in a manner not dissimilar to other fields, has favoured a move towards evidence-based practice in medicine.</w:t>
      </w:r>
      <w:r w:rsidRPr="009645E5">
        <w:rPr>
          <w:rFonts w:ascii="Times New Roman" w:eastAsia="Times New Roman Bold" w:hAnsi="Times New Roman" w:cs="Times New Roman"/>
          <w:sz w:val="24"/>
          <w:szCs w:val="24"/>
          <w:vertAlign w:val="superscript"/>
          <w:lang w:val="en-GB"/>
        </w:rPr>
        <w:footnoteReference w:id="114"/>
      </w:r>
      <w:r w:rsidRPr="009645E5">
        <w:rPr>
          <w:rFonts w:ascii="Times New Roman" w:hAnsi="Times New Roman" w:cs="Times New Roman"/>
          <w:sz w:val="24"/>
          <w:szCs w:val="24"/>
          <w:lang w:val="en-GB"/>
        </w:rPr>
        <w:t xml:space="preserve">  This trend has made the transition from medical practice </w:t>
      </w:r>
      <w:r w:rsidR="00C578AC" w:rsidRPr="009645E5">
        <w:rPr>
          <w:rFonts w:ascii="Times New Roman" w:hAnsi="Times New Roman" w:cs="Times New Roman"/>
          <w:sz w:val="24"/>
          <w:szCs w:val="24"/>
          <w:lang w:val="en-GB"/>
        </w:rPr>
        <w:t>into the courtroom as experts and</w:t>
      </w:r>
      <w:r w:rsidRPr="009645E5">
        <w:rPr>
          <w:rFonts w:ascii="Times New Roman" w:hAnsi="Times New Roman" w:cs="Times New Roman"/>
          <w:sz w:val="24"/>
          <w:szCs w:val="24"/>
          <w:lang w:val="en-GB"/>
        </w:rPr>
        <w:t xml:space="preserve"> judges will first look to whether or not there was a stron</w:t>
      </w:r>
      <w:r w:rsidR="00E576EB" w:rsidRPr="009645E5">
        <w:rPr>
          <w:rFonts w:ascii="Times New Roman" w:hAnsi="Times New Roman" w:cs="Times New Roman"/>
          <w:sz w:val="24"/>
          <w:szCs w:val="24"/>
          <w:lang w:val="en-GB"/>
        </w:rPr>
        <w:t>g evidence-base in support of a healthcare professional’s practice.  G</w:t>
      </w:r>
      <w:r w:rsidRPr="009645E5">
        <w:rPr>
          <w:rFonts w:ascii="Times New Roman" w:hAnsi="Times New Roman" w:cs="Times New Roman"/>
          <w:sz w:val="24"/>
          <w:szCs w:val="24"/>
          <w:lang w:val="en-GB"/>
        </w:rPr>
        <w:t xml:space="preserve">uidelines are often constructed on the back of evidence-based practice and so these will frequently provide the benchmark against which the assessment of conduct can be carried out by a judge.  To this end, albeit in a context other than childbirth litigation, Jones has quite rightly suggested that as professional attitudes change, patients will be entitled to a higher standard under </w:t>
      </w:r>
      <w:r w:rsidRPr="009645E5">
        <w:rPr>
          <w:rFonts w:ascii="Times New Roman" w:hAnsi="Times New Roman" w:cs="Times New Roman"/>
          <w:i/>
          <w:iCs/>
          <w:sz w:val="24"/>
          <w:szCs w:val="24"/>
          <w:lang w:val="en-GB"/>
        </w:rPr>
        <w:t>Bolam</w:t>
      </w:r>
      <w:r w:rsidRPr="009645E5">
        <w:rPr>
          <w:rFonts w:ascii="Times New Roman" w:hAnsi="Times New Roman" w:cs="Times New Roman"/>
          <w:sz w:val="24"/>
          <w:szCs w:val="24"/>
          <w:lang w:val="en-GB"/>
        </w:rPr>
        <w:t>.</w:t>
      </w:r>
      <w:r w:rsidRPr="009645E5">
        <w:rPr>
          <w:rFonts w:ascii="Times New Roman" w:eastAsia="Times New Roman Bold" w:hAnsi="Times New Roman" w:cs="Times New Roman"/>
          <w:sz w:val="24"/>
          <w:szCs w:val="24"/>
          <w:vertAlign w:val="superscript"/>
          <w:lang w:val="en-GB"/>
        </w:rPr>
        <w:footnoteReference w:id="115"/>
      </w:r>
      <w:r w:rsidR="00E576EB" w:rsidRPr="009645E5">
        <w:rPr>
          <w:rFonts w:ascii="Times New Roman" w:hAnsi="Times New Roman" w:cs="Times New Roman"/>
          <w:sz w:val="24"/>
          <w:szCs w:val="24"/>
          <w:lang w:val="en-GB"/>
        </w:rPr>
        <w:t xml:space="preserve">  It is therefore </w:t>
      </w:r>
      <w:r w:rsidRPr="009645E5">
        <w:rPr>
          <w:rFonts w:ascii="Times New Roman" w:hAnsi="Times New Roman" w:cs="Times New Roman"/>
          <w:sz w:val="24"/>
          <w:szCs w:val="24"/>
          <w:lang w:val="en-GB"/>
        </w:rPr>
        <w:t>possible to suggest that professional guidelines should be regarded as the baseline standard against which</w:t>
      </w:r>
      <w:r w:rsidR="00F50513" w:rsidRPr="009645E5">
        <w:rPr>
          <w:rFonts w:ascii="Times New Roman" w:hAnsi="Times New Roman" w:cs="Times New Roman"/>
          <w:sz w:val="24"/>
          <w:szCs w:val="24"/>
          <w:lang w:val="en-GB"/>
        </w:rPr>
        <w:t xml:space="preserve"> healthcare professionals </w:t>
      </w:r>
      <w:r w:rsidRPr="009645E5">
        <w:rPr>
          <w:rFonts w:ascii="Times New Roman" w:hAnsi="Times New Roman" w:cs="Times New Roman"/>
          <w:sz w:val="24"/>
          <w:szCs w:val="24"/>
          <w:lang w:val="en-GB"/>
        </w:rPr>
        <w:t xml:space="preserve">should be judged because they are strongly representative of a </w:t>
      </w:r>
      <w:r w:rsidR="00D348F2" w:rsidRPr="009645E5">
        <w:rPr>
          <w:rFonts w:ascii="Times New Roman" w:hAnsi="Times New Roman" w:cs="Times New Roman"/>
          <w:sz w:val="24"/>
          <w:szCs w:val="24"/>
          <w:lang w:val="en-GB"/>
        </w:rPr>
        <w:t>‘</w:t>
      </w:r>
      <w:r w:rsidRPr="009645E5">
        <w:rPr>
          <w:rFonts w:ascii="Times New Roman" w:hAnsi="Times New Roman" w:cs="Times New Roman"/>
          <w:sz w:val="24"/>
          <w:szCs w:val="24"/>
          <w:lang w:val="en-GB"/>
        </w:rPr>
        <w:t>responsible</w:t>
      </w:r>
      <w:r w:rsidR="00D348F2" w:rsidRPr="009645E5">
        <w:rPr>
          <w:rFonts w:ascii="Times New Roman" w:hAnsi="Times New Roman" w:cs="Times New Roman"/>
          <w:sz w:val="24"/>
          <w:szCs w:val="24"/>
          <w:lang w:val="en-GB"/>
        </w:rPr>
        <w:t>’</w:t>
      </w:r>
      <w:r w:rsidR="0041416B" w:rsidRPr="009645E5">
        <w:rPr>
          <w:rFonts w:ascii="Times New Roman" w:hAnsi="Times New Roman" w:cs="Times New Roman"/>
          <w:sz w:val="24"/>
          <w:szCs w:val="24"/>
          <w:lang w:val="en-GB"/>
        </w:rPr>
        <w:t xml:space="preserve"> body of medical opinion.</w:t>
      </w:r>
      <w:r w:rsidR="00E576EB" w:rsidRPr="009645E5">
        <w:rPr>
          <w:rFonts w:ascii="Times New Roman" w:hAnsi="Times New Roman" w:cs="Times New Roman"/>
          <w:sz w:val="24"/>
          <w:szCs w:val="24"/>
          <w:lang w:val="en-GB"/>
        </w:rPr>
        <w:t xml:space="preserve">  However, even though they are </w:t>
      </w:r>
      <w:r w:rsidR="0041416B" w:rsidRPr="009645E5">
        <w:rPr>
          <w:rFonts w:ascii="Times New Roman" w:hAnsi="Times New Roman" w:cs="Times New Roman"/>
          <w:sz w:val="24"/>
          <w:szCs w:val="24"/>
          <w:lang w:val="en-GB"/>
        </w:rPr>
        <w:t>a useful sta</w:t>
      </w:r>
      <w:r w:rsidR="00673788">
        <w:rPr>
          <w:rFonts w:ascii="Times New Roman" w:hAnsi="Times New Roman" w:cs="Times New Roman"/>
          <w:sz w:val="24"/>
          <w:szCs w:val="24"/>
          <w:lang w:val="en-GB"/>
        </w:rPr>
        <w:t xml:space="preserve">rting point, an awareness must remain </w:t>
      </w:r>
      <w:r w:rsidR="0041416B" w:rsidRPr="009645E5">
        <w:rPr>
          <w:rFonts w:ascii="Times New Roman" w:hAnsi="Times New Roman" w:cs="Times New Roman"/>
          <w:sz w:val="24"/>
          <w:szCs w:val="24"/>
          <w:lang w:val="en-GB"/>
        </w:rPr>
        <w:t xml:space="preserve">that </w:t>
      </w:r>
      <w:r w:rsidRPr="009645E5">
        <w:rPr>
          <w:rFonts w:ascii="Times New Roman" w:hAnsi="Times New Roman" w:cs="Times New Roman"/>
          <w:sz w:val="24"/>
          <w:szCs w:val="24"/>
          <w:lang w:val="en-GB"/>
        </w:rPr>
        <w:t xml:space="preserve">the legal standard of care, as defined by a judge, should not merely replicate without question the standard espoused by the guidelines.  </w:t>
      </w:r>
    </w:p>
    <w:p w14:paraId="781EE81A" w14:textId="423162EE" w:rsidR="005A51AF" w:rsidRPr="009645E5" w:rsidRDefault="00E576EB" w:rsidP="00673788">
      <w:pPr>
        <w:pStyle w:val="BodyA"/>
        <w:spacing w:line="360" w:lineRule="auto"/>
        <w:jc w:val="both"/>
        <w:rPr>
          <w:rFonts w:ascii="Times New Roman" w:eastAsia="Times New Roman Bold" w:hAnsi="Times New Roman" w:cs="Times New Roman"/>
          <w:sz w:val="24"/>
          <w:szCs w:val="24"/>
          <w:lang w:val="en-GB"/>
        </w:rPr>
      </w:pPr>
      <w:r w:rsidRPr="009645E5">
        <w:rPr>
          <w:rFonts w:ascii="Times New Roman" w:eastAsia="Times New Roman Bold" w:hAnsi="Times New Roman" w:cs="Times New Roman"/>
          <w:sz w:val="24"/>
          <w:szCs w:val="24"/>
          <w:lang w:val="en-GB"/>
        </w:rPr>
        <w:tab/>
        <w:t>T</w:t>
      </w:r>
      <w:r w:rsidR="00D70D82" w:rsidRPr="009645E5">
        <w:rPr>
          <w:rFonts w:ascii="Times New Roman" w:eastAsia="Times New Roman Bold" w:hAnsi="Times New Roman" w:cs="Times New Roman"/>
          <w:sz w:val="24"/>
          <w:szCs w:val="24"/>
          <w:lang w:val="en-GB"/>
        </w:rPr>
        <w:t xml:space="preserve">here seems to be a </w:t>
      </w:r>
      <w:r w:rsidRPr="009645E5">
        <w:rPr>
          <w:rFonts w:ascii="Times New Roman" w:eastAsia="Times New Roman Bold" w:hAnsi="Times New Roman" w:cs="Times New Roman"/>
          <w:sz w:val="24"/>
          <w:szCs w:val="24"/>
          <w:lang w:val="en-GB"/>
        </w:rPr>
        <w:t xml:space="preserve">general </w:t>
      </w:r>
      <w:r w:rsidR="00D70D82" w:rsidRPr="009645E5">
        <w:rPr>
          <w:rFonts w:ascii="Times New Roman" w:eastAsia="Times New Roman Bold" w:hAnsi="Times New Roman" w:cs="Times New Roman"/>
          <w:sz w:val="24"/>
          <w:szCs w:val="24"/>
          <w:lang w:val="en-GB"/>
        </w:rPr>
        <w:t>reluctance from judges in England and Scotland to adopt a more proactive stance in terms of scrutinising the guidelines more carefully before</w:t>
      </w:r>
      <w:r w:rsidR="00673788">
        <w:rPr>
          <w:rFonts w:ascii="Times New Roman" w:eastAsia="Times New Roman Bold" w:hAnsi="Times New Roman" w:cs="Times New Roman"/>
          <w:sz w:val="24"/>
          <w:szCs w:val="24"/>
          <w:lang w:val="en-GB"/>
        </w:rPr>
        <w:t xml:space="preserve"> admitting them into evidence.  I</w:t>
      </w:r>
      <w:r w:rsidR="00D70D82" w:rsidRPr="009645E5">
        <w:rPr>
          <w:rFonts w:ascii="Times New Roman" w:eastAsia="Times New Roman Bold" w:hAnsi="Times New Roman" w:cs="Times New Roman"/>
          <w:sz w:val="24"/>
          <w:szCs w:val="24"/>
          <w:lang w:val="en-GB"/>
        </w:rPr>
        <w:t>n terms of ch</w:t>
      </w:r>
      <w:r w:rsidRPr="009645E5">
        <w:rPr>
          <w:rFonts w:ascii="Times New Roman" w:eastAsia="Times New Roman Bold" w:hAnsi="Times New Roman" w:cs="Times New Roman"/>
          <w:sz w:val="24"/>
          <w:szCs w:val="24"/>
          <w:lang w:val="en-GB"/>
        </w:rPr>
        <w:t xml:space="preserve">ildbirth cases, this problem is </w:t>
      </w:r>
      <w:r w:rsidR="00D70D82" w:rsidRPr="009645E5">
        <w:rPr>
          <w:rFonts w:ascii="Times New Roman" w:eastAsia="Times New Roman Bold" w:hAnsi="Times New Roman" w:cs="Times New Roman"/>
          <w:sz w:val="24"/>
          <w:szCs w:val="24"/>
          <w:lang w:val="en-GB"/>
        </w:rPr>
        <w:t xml:space="preserve">amplified by the fact that a judge </w:t>
      </w:r>
      <w:r w:rsidR="0003777F" w:rsidRPr="009645E5">
        <w:rPr>
          <w:rFonts w:ascii="Times New Roman" w:eastAsia="Times New Roman Bold" w:hAnsi="Times New Roman" w:cs="Times New Roman"/>
          <w:sz w:val="24"/>
          <w:szCs w:val="24"/>
          <w:lang w:val="en-GB"/>
        </w:rPr>
        <w:t xml:space="preserve">may </w:t>
      </w:r>
      <w:r w:rsidR="00D70D82" w:rsidRPr="009645E5">
        <w:rPr>
          <w:rFonts w:ascii="Times New Roman" w:eastAsia="Times New Roman Bold" w:hAnsi="Times New Roman" w:cs="Times New Roman"/>
          <w:sz w:val="24"/>
          <w:szCs w:val="24"/>
          <w:lang w:val="en-GB"/>
        </w:rPr>
        <w:t>be even more reluctant to subject to questioning elaborate and</w:t>
      </w:r>
      <w:r w:rsidR="00D70D82" w:rsidRPr="009645E5">
        <w:rPr>
          <w:rFonts w:ascii="Times New Roman" w:hAnsi="Times New Roman" w:cs="Times New Roman"/>
          <w:sz w:val="24"/>
          <w:szCs w:val="24"/>
          <w:lang w:val="en-GB"/>
        </w:rPr>
        <w:t xml:space="preserve"> medically constructed guidelines that are intricate and heavily specialised.</w:t>
      </w:r>
      <w:r w:rsidR="002E2FE7">
        <w:rPr>
          <w:rFonts w:ascii="Times New Roman" w:hAnsi="Times New Roman" w:cs="Times New Roman"/>
          <w:sz w:val="24"/>
          <w:szCs w:val="24"/>
          <w:lang w:val="en-GB"/>
        </w:rPr>
        <w:t xml:space="preserve">  </w:t>
      </w:r>
      <w:r w:rsidR="002E2FE7" w:rsidRPr="002E2FE7">
        <w:rPr>
          <w:rFonts w:ascii="Times New Roman" w:hAnsi="Times New Roman" w:cs="Times New Roman"/>
          <w:color w:val="FF0000"/>
          <w:sz w:val="24"/>
          <w:szCs w:val="24"/>
          <w:lang w:val="en-GB"/>
        </w:rPr>
        <w:t>Whilst there is at least some evidence indicative of the fact that judges have, on occasion, been prepared to question professional guidelines, the examples are few and far between.</w:t>
      </w:r>
      <w:r w:rsidR="002E2FE7" w:rsidRPr="002E2FE7">
        <w:rPr>
          <w:rStyle w:val="FootnoteReference"/>
          <w:rFonts w:ascii="Times New Roman" w:hAnsi="Times New Roman" w:cs="Times New Roman"/>
          <w:color w:val="FF0000"/>
          <w:sz w:val="24"/>
          <w:szCs w:val="24"/>
          <w:lang w:val="en-GB"/>
        </w:rPr>
        <w:footnoteReference w:id="116"/>
      </w:r>
      <w:r w:rsidR="002E2FE7" w:rsidRPr="002E2FE7">
        <w:rPr>
          <w:rFonts w:ascii="Times New Roman" w:hAnsi="Times New Roman" w:cs="Times New Roman"/>
          <w:color w:val="FF0000"/>
          <w:sz w:val="24"/>
          <w:szCs w:val="24"/>
          <w:lang w:val="en-GB"/>
        </w:rPr>
        <w:t xml:space="preserve">  </w:t>
      </w:r>
      <w:r w:rsidR="00D70D82" w:rsidRPr="009645E5">
        <w:rPr>
          <w:rFonts w:ascii="Times New Roman" w:hAnsi="Times New Roman" w:cs="Times New Roman"/>
          <w:sz w:val="24"/>
          <w:szCs w:val="24"/>
          <w:lang w:val="en-GB"/>
        </w:rPr>
        <w:t>Regardless of this, as hesitant as judges in England and Scotland may well be to hold that guidelines underpinned by a clear evidence-base are unreliable, it would seem that judges in other jurisdictions have been less circumspect in their approach.</w:t>
      </w:r>
      <w:r w:rsidR="00D70D82" w:rsidRPr="009645E5">
        <w:rPr>
          <w:rFonts w:ascii="Times New Roman" w:eastAsia="Times New Roman Bold" w:hAnsi="Times New Roman" w:cs="Times New Roman"/>
          <w:sz w:val="24"/>
          <w:szCs w:val="24"/>
          <w:vertAlign w:val="superscript"/>
          <w:lang w:val="en-GB"/>
        </w:rPr>
        <w:footnoteReference w:id="117"/>
      </w:r>
      <w:r w:rsidR="00D70D82" w:rsidRPr="009645E5">
        <w:rPr>
          <w:rFonts w:ascii="Times New Roman" w:hAnsi="Times New Roman" w:cs="Times New Roman"/>
          <w:sz w:val="24"/>
          <w:szCs w:val="24"/>
          <w:lang w:val="en-GB"/>
        </w:rPr>
        <w:t xml:space="preserve">  Thus, as Samanta </w:t>
      </w:r>
      <w:r w:rsidR="00D70D82" w:rsidRPr="009645E5">
        <w:rPr>
          <w:rFonts w:ascii="Times New Roman" w:hAnsi="Times New Roman" w:cs="Times New Roman"/>
          <w:i/>
          <w:iCs/>
          <w:sz w:val="24"/>
          <w:szCs w:val="24"/>
          <w:lang w:val="en-GB"/>
        </w:rPr>
        <w:t xml:space="preserve">et al. </w:t>
      </w:r>
      <w:r w:rsidR="00D70D82" w:rsidRPr="009645E5">
        <w:rPr>
          <w:rFonts w:ascii="Times New Roman" w:hAnsi="Times New Roman" w:cs="Times New Roman"/>
          <w:sz w:val="24"/>
          <w:szCs w:val="24"/>
          <w:lang w:val="en-GB"/>
        </w:rPr>
        <w:t xml:space="preserve">suggest, there is no reason why judges should not </w:t>
      </w:r>
      <w:r w:rsidR="00D348F2" w:rsidRPr="009645E5">
        <w:rPr>
          <w:rFonts w:ascii="Times New Roman" w:hAnsi="Times New Roman" w:cs="Times New Roman"/>
          <w:sz w:val="24"/>
          <w:szCs w:val="24"/>
          <w:lang w:val="en-GB"/>
        </w:rPr>
        <w:t>‘</w:t>
      </w:r>
      <w:r w:rsidR="00D70D82" w:rsidRPr="009645E5">
        <w:rPr>
          <w:rFonts w:ascii="Times New Roman" w:hAnsi="Times New Roman" w:cs="Times New Roman"/>
          <w:sz w:val="24"/>
          <w:szCs w:val="24"/>
          <w:lang w:val="en-GB"/>
        </w:rPr>
        <w:t>apply an analytical framework to evaluate scientific evidence based on a range of factors before accepting guidelines as admissible evidence</w:t>
      </w:r>
      <w:r w:rsidR="00D348F2" w:rsidRPr="009645E5">
        <w:rPr>
          <w:rFonts w:ascii="Times New Roman" w:hAnsi="Times New Roman" w:cs="Times New Roman"/>
          <w:sz w:val="24"/>
          <w:szCs w:val="24"/>
          <w:lang w:val="en-GB"/>
        </w:rPr>
        <w:t>’</w:t>
      </w:r>
      <w:r w:rsidR="00D70D82" w:rsidRPr="009645E5">
        <w:rPr>
          <w:rFonts w:ascii="Times New Roman" w:hAnsi="Times New Roman" w:cs="Times New Roman"/>
          <w:sz w:val="24"/>
          <w:szCs w:val="24"/>
          <w:lang w:val="en-GB"/>
        </w:rPr>
        <w:t>.</w:t>
      </w:r>
      <w:r w:rsidR="00D70D82" w:rsidRPr="009645E5">
        <w:rPr>
          <w:rFonts w:ascii="Times New Roman" w:eastAsia="Times New Roman Bold" w:hAnsi="Times New Roman" w:cs="Times New Roman"/>
          <w:sz w:val="24"/>
          <w:szCs w:val="24"/>
          <w:vertAlign w:val="superscript"/>
          <w:lang w:val="en-GB"/>
        </w:rPr>
        <w:footnoteReference w:id="118"/>
      </w:r>
    </w:p>
    <w:p w14:paraId="54BB33DE" w14:textId="51E81CCE" w:rsidR="005A51AF" w:rsidRPr="009645E5" w:rsidRDefault="00D70D82">
      <w:pPr>
        <w:pStyle w:val="BodyA"/>
        <w:spacing w:line="360" w:lineRule="auto"/>
        <w:jc w:val="both"/>
        <w:rPr>
          <w:rFonts w:ascii="Times New Roman" w:eastAsia="Times New Roman Bold" w:hAnsi="Times New Roman" w:cs="Times New Roman"/>
          <w:sz w:val="24"/>
          <w:szCs w:val="24"/>
          <w:lang w:val="en-GB"/>
        </w:rPr>
      </w:pPr>
      <w:r w:rsidRPr="009645E5">
        <w:rPr>
          <w:rFonts w:ascii="Times New Roman" w:eastAsia="Times New Roman Bold" w:hAnsi="Times New Roman" w:cs="Times New Roman"/>
          <w:sz w:val="24"/>
          <w:szCs w:val="24"/>
          <w:lang w:val="en-GB"/>
        </w:rPr>
        <w:tab/>
        <w:t xml:space="preserve">If the general attitude of unquestioningly accepting professional guidelines insofar as their admissibility and substantive content is </w:t>
      </w:r>
      <w:r w:rsidR="00E576EB" w:rsidRPr="009645E5">
        <w:rPr>
          <w:rFonts w:ascii="Times New Roman" w:eastAsia="Times New Roman Bold" w:hAnsi="Times New Roman" w:cs="Times New Roman"/>
          <w:sz w:val="24"/>
          <w:szCs w:val="24"/>
          <w:lang w:val="en-GB"/>
        </w:rPr>
        <w:t xml:space="preserve">cause for concern, </w:t>
      </w:r>
      <w:r w:rsidRPr="009645E5">
        <w:rPr>
          <w:rFonts w:ascii="Times New Roman" w:eastAsia="Times New Roman Bold" w:hAnsi="Times New Roman" w:cs="Times New Roman"/>
          <w:sz w:val="24"/>
          <w:szCs w:val="24"/>
          <w:lang w:val="en-GB"/>
        </w:rPr>
        <w:t xml:space="preserve">there is </w:t>
      </w:r>
      <w:r w:rsidR="00E576EB" w:rsidRPr="009645E5">
        <w:rPr>
          <w:rFonts w:ascii="Times New Roman" w:eastAsia="Times New Roman Bold" w:hAnsi="Times New Roman" w:cs="Times New Roman"/>
          <w:sz w:val="24"/>
          <w:szCs w:val="24"/>
          <w:lang w:val="en-GB"/>
        </w:rPr>
        <w:t xml:space="preserve">evidence of an even </w:t>
      </w:r>
      <w:r w:rsidRPr="009645E5">
        <w:rPr>
          <w:rFonts w:ascii="Times New Roman" w:eastAsia="Times New Roman Bold" w:hAnsi="Times New Roman" w:cs="Times New Roman"/>
          <w:sz w:val="24"/>
          <w:szCs w:val="24"/>
          <w:lang w:val="en-GB"/>
        </w:rPr>
        <w:t>more w</w:t>
      </w:r>
      <w:r w:rsidR="00E576EB" w:rsidRPr="009645E5">
        <w:rPr>
          <w:rFonts w:ascii="Times New Roman" w:eastAsia="Times New Roman Bold" w:hAnsi="Times New Roman" w:cs="Times New Roman"/>
          <w:sz w:val="24"/>
          <w:szCs w:val="24"/>
          <w:lang w:val="en-GB"/>
        </w:rPr>
        <w:t xml:space="preserve">orrying trend developing in the </w:t>
      </w:r>
      <w:r w:rsidR="0003777F" w:rsidRPr="009645E5">
        <w:rPr>
          <w:rFonts w:ascii="Times New Roman" w:eastAsia="Times New Roman Bold" w:hAnsi="Times New Roman" w:cs="Times New Roman"/>
          <w:sz w:val="24"/>
          <w:szCs w:val="24"/>
          <w:lang w:val="en-GB"/>
        </w:rPr>
        <w:t xml:space="preserve">specific </w:t>
      </w:r>
      <w:r w:rsidRPr="009645E5">
        <w:rPr>
          <w:rFonts w:ascii="Times New Roman" w:eastAsia="Times New Roman Bold" w:hAnsi="Times New Roman" w:cs="Times New Roman"/>
          <w:sz w:val="24"/>
          <w:szCs w:val="24"/>
          <w:lang w:val="en-GB"/>
        </w:rPr>
        <w:t>context of childbirth litigation.  The immense difficulty for a judge in having to balance out the risks and benefits in these cases has already been demonstrated.</w:t>
      </w:r>
      <w:r w:rsidR="002F4F44" w:rsidRPr="009645E5">
        <w:rPr>
          <w:rFonts w:ascii="Times New Roman" w:eastAsia="Times New Roman Bold" w:hAnsi="Times New Roman" w:cs="Times New Roman"/>
          <w:sz w:val="24"/>
          <w:szCs w:val="24"/>
          <w:lang w:val="en-GB"/>
        </w:rPr>
        <w:t xml:space="preserve"> Despite this, </w:t>
      </w:r>
      <w:r w:rsidRPr="009645E5">
        <w:rPr>
          <w:rFonts w:ascii="Times New Roman" w:eastAsia="Times New Roman Bold" w:hAnsi="Times New Roman" w:cs="Times New Roman"/>
          <w:sz w:val="24"/>
          <w:szCs w:val="24"/>
          <w:lang w:val="en-GB"/>
        </w:rPr>
        <w:t xml:space="preserve">Samanta </w:t>
      </w:r>
      <w:r w:rsidRPr="009645E5">
        <w:rPr>
          <w:rFonts w:ascii="Times New Roman" w:hAnsi="Times New Roman" w:cs="Times New Roman"/>
          <w:i/>
          <w:iCs/>
          <w:sz w:val="24"/>
          <w:szCs w:val="24"/>
          <w:lang w:val="en-GB"/>
        </w:rPr>
        <w:t xml:space="preserve">et al. </w:t>
      </w:r>
      <w:r w:rsidRPr="009645E5">
        <w:rPr>
          <w:rFonts w:ascii="Times New Roman" w:hAnsi="Times New Roman" w:cs="Times New Roman"/>
          <w:sz w:val="24"/>
          <w:szCs w:val="24"/>
          <w:lang w:val="en-GB"/>
        </w:rPr>
        <w:t xml:space="preserve">accurately point out that the use of professional guidelines may assist a judge in undertaking a </w:t>
      </w:r>
      <w:r w:rsidRPr="009645E5">
        <w:rPr>
          <w:rFonts w:ascii="Times New Roman" w:hAnsi="Times New Roman" w:cs="Times New Roman"/>
          <w:i/>
          <w:iCs/>
          <w:sz w:val="24"/>
          <w:szCs w:val="24"/>
          <w:lang w:val="en-GB"/>
        </w:rPr>
        <w:t>Bolitho</w:t>
      </w:r>
      <w:r w:rsidRPr="009645E5">
        <w:rPr>
          <w:rFonts w:ascii="Times New Roman" w:hAnsi="Times New Roman" w:cs="Times New Roman"/>
          <w:sz w:val="24"/>
          <w:szCs w:val="24"/>
          <w:lang w:val="en-GB"/>
        </w:rPr>
        <w:t xml:space="preserve"> type risk versus benefit calculation.</w:t>
      </w:r>
      <w:r w:rsidRPr="009645E5">
        <w:rPr>
          <w:rFonts w:ascii="Times New Roman" w:eastAsia="Times New Roman Bold" w:hAnsi="Times New Roman" w:cs="Times New Roman"/>
          <w:sz w:val="24"/>
          <w:szCs w:val="24"/>
          <w:vertAlign w:val="superscript"/>
          <w:lang w:val="en-GB"/>
        </w:rPr>
        <w:footnoteReference w:id="119"/>
      </w:r>
      <w:r w:rsidRPr="009645E5">
        <w:rPr>
          <w:rFonts w:ascii="Times New Roman" w:hAnsi="Times New Roman" w:cs="Times New Roman"/>
          <w:sz w:val="24"/>
          <w:szCs w:val="24"/>
          <w:lang w:val="en-GB"/>
        </w:rPr>
        <w:t xml:space="preserve">  They suggest that </w:t>
      </w:r>
      <w:r w:rsidR="00D348F2" w:rsidRPr="009645E5">
        <w:rPr>
          <w:rFonts w:ascii="Times New Roman" w:hAnsi="Times New Roman" w:cs="Times New Roman"/>
          <w:sz w:val="24"/>
          <w:szCs w:val="24"/>
          <w:lang w:val="en-GB"/>
        </w:rPr>
        <w:t>‘</w:t>
      </w:r>
      <w:r w:rsidRPr="009645E5">
        <w:rPr>
          <w:rFonts w:ascii="Times New Roman" w:hAnsi="Times New Roman" w:cs="Times New Roman"/>
          <w:i/>
          <w:iCs/>
          <w:sz w:val="24"/>
          <w:szCs w:val="24"/>
          <w:lang w:val="en-GB"/>
        </w:rPr>
        <w:t>Bolitho</w:t>
      </w:r>
      <w:r w:rsidRPr="009645E5">
        <w:rPr>
          <w:rFonts w:ascii="Times New Roman" w:hAnsi="Times New Roman" w:cs="Times New Roman"/>
          <w:sz w:val="24"/>
          <w:szCs w:val="24"/>
          <w:lang w:val="en-GB"/>
        </w:rPr>
        <w:t xml:space="preserve"> might really take effect by assessing the validity of accepting the lack of use of guidelines and, more importantly, the validity of rejecting the competing position in terms of using the guidelines</w:t>
      </w:r>
      <w:r w:rsidR="00D348F2" w:rsidRPr="009645E5">
        <w:rPr>
          <w:rFonts w:ascii="Times New Roman" w:hAnsi="Times New Roman" w:cs="Times New Roman"/>
          <w:sz w:val="24"/>
          <w:szCs w:val="24"/>
          <w:lang w:val="en-GB"/>
        </w:rPr>
        <w:t>’</w:t>
      </w:r>
      <w:r w:rsidRPr="009645E5">
        <w:rPr>
          <w:rFonts w:ascii="Times New Roman" w:hAnsi="Times New Roman" w:cs="Times New Roman"/>
          <w:sz w:val="24"/>
          <w:szCs w:val="24"/>
          <w:lang w:val="en-GB"/>
        </w:rPr>
        <w:t>.</w:t>
      </w:r>
      <w:r w:rsidRPr="009645E5">
        <w:rPr>
          <w:rFonts w:ascii="Times New Roman" w:eastAsia="Times New Roman Bold" w:hAnsi="Times New Roman" w:cs="Times New Roman"/>
          <w:sz w:val="24"/>
          <w:szCs w:val="24"/>
          <w:vertAlign w:val="superscript"/>
          <w:lang w:val="en-GB"/>
        </w:rPr>
        <w:footnoteReference w:id="120"/>
      </w:r>
      <w:r w:rsidR="00E576EB" w:rsidRPr="009645E5">
        <w:rPr>
          <w:rFonts w:ascii="Times New Roman" w:hAnsi="Times New Roman" w:cs="Times New Roman"/>
          <w:sz w:val="24"/>
          <w:szCs w:val="24"/>
          <w:lang w:val="en-GB"/>
        </w:rPr>
        <w:t xml:space="preserve">  This </w:t>
      </w:r>
      <w:r w:rsidRPr="009645E5">
        <w:rPr>
          <w:rFonts w:ascii="Times New Roman" w:hAnsi="Times New Roman" w:cs="Times New Roman"/>
          <w:sz w:val="24"/>
          <w:szCs w:val="24"/>
          <w:lang w:val="en-GB"/>
        </w:rPr>
        <w:t>recognises that professional guidelines can cut both ways in terms of their useful</w:t>
      </w:r>
      <w:r w:rsidR="00E576EB" w:rsidRPr="009645E5">
        <w:rPr>
          <w:rFonts w:ascii="Times New Roman" w:hAnsi="Times New Roman" w:cs="Times New Roman"/>
          <w:sz w:val="24"/>
          <w:szCs w:val="24"/>
          <w:lang w:val="en-GB"/>
        </w:rPr>
        <w:t>nes</w:t>
      </w:r>
      <w:r w:rsidR="00F50513" w:rsidRPr="009645E5">
        <w:rPr>
          <w:rFonts w:ascii="Times New Roman" w:hAnsi="Times New Roman" w:cs="Times New Roman"/>
          <w:sz w:val="24"/>
          <w:szCs w:val="24"/>
          <w:lang w:val="en-GB"/>
        </w:rPr>
        <w:t xml:space="preserve">s in apportioning liability.  A healthcare professional </w:t>
      </w:r>
      <w:r w:rsidRPr="009645E5">
        <w:rPr>
          <w:rFonts w:ascii="Times New Roman" w:hAnsi="Times New Roman" w:cs="Times New Roman"/>
          <w:sz w:val="24"/>
          <w:szCs w:val="24"/>
          <w:lang w:val="en-GB"/>
        </w:rPr>
        <w:t>is not bound by professional guidelines and in fact may justifiably depart from them on occasion, provided that she can point to a sufficiently convincing benefit in doing so that outweighs any associated risk.  The c</w:t>
      </w:r>
      <w:r w:rsidR="00F50513" w:rsidRPr="009645E5">
        <w:rPr>
          <w:rFonts w:ascii="Times New Roman" w:hAnsi="Times New Roman" w:cs="Times New Roman"/>
          <w:sz w:val="24"/>
          <w:szCs w:val="24"/>
          <w:lang w:val="en-GB"/>
        </w:rPr>
        <w:t xml:space="preserve">onverse is, of course, true.  A healthcare professional </w:t>
      </w:r>
      <w:r w:rsidRPr="009645E5">
        <w:rPr>
          <w:rFonts w:ascii="Times New Roman" w:hAnsi="Times New Roman" w:cs="Times New Roman"/>
          <w:sz w:val="24"/>
          <w:szCs w:val="24"/>
          <w:lang w:val="en-GB"/>
        </w:rPr>
        <w:t xml:space="preserve">should not be allowed to merely plead the defence that </w:t>
      </w:r>
      <w:r w:rsidR="00E576EB" w:rsidRPr="009645E5">
        <w:rPr>
          <w:rFonts w:ascii="Times New Roman" w:hAnsi="Times New Roman" w:cs="Times New Roman"/>
          <w:sz w:val="24"/>
          <w:szCs w:val="24"/>
          <w:lang w:val="en-GB"/>
        </w:rPr>
        <w:t>s</w:t>
      </w:r>
      <w:r w:rsidRPr="009645E5">
        <w:rPr>
          <w:rFonts w:ascii="Times New Roman" w:hAnsi="Times New Roman" w:cs="Times New Roman"/>
          <w:sz w:val="24"/>
          <w:szCs w:val="24"/>
          <w:lang w:val="en-GB"/>
        </w:rPr>
        <w:t xml:space="preserve">he acted in accordance with the professional guidelines and as a consequence </w:t>
      </w:r>
      <w:r w:rsidR="00E576EB" w:rsidRPr="009645E5">
        <w:rPr>
          <w:rFonts w:ascii="Times New Roman" w:hAnsi="Times New Roman" w:cs="Times New Roman"/>
          <w:sz w:val="24"/>
          <w:szCs w:val="24"/>
          <w:lang w:val="en-GB"/>
        </w:rPr>
        <w:t>s</w:t>
      </w:r>
      <w:r w:rsidRPr="009645E5">
        <w:rPr>
          <w:rFonts w:ascii="Times New Roman" w:hAnsi="Times New Roman" w:cs="Times New Roman"/>
          <w:sz w:val="24"/>
          <w:szCs w:val="24"/>
          <w:lang w:val="en-GB"/>
        </w:rPr>
        <w:t>he can never therefore be negligent.  There will be some occasions in which</w:t>
      </w:r>
      <w:r w:rsidR="00F50513" w:rsidRPr="009645E5">
        <w:rPr>
          <w:rFonts w:ascii="Times New Roman" w:hAnsi="Times New Roman" w:cs="Times New Roman"/>
          <w:sz w:val="24"/>
          <w:szCs w:val="24"/>
          <w:lang w:val="en-GB"/>
        </w:rPr>
        <w:t xml:space="preserve"> healthcare professionals</w:t>
      </w:r>
      <w:r w:rsidRPr="009645E5">
        <w:rPr>
          <w:rFonts w:ascii="Times New Roman" w:hAnsi="Times New Roman" w:cs="Times New Roman"/>
          <w:sz w:val="24"/>
          <w:szCs w:val="24"/>
          <w:lang w:val="en-GB"/>
        </w:rPr>
        <w:t>, having appropriate regard to the particular circumstances of th</w:t>
      </w:r>
      <w:r w:rsidR="00C578AC" w:rsidRPr="009645E5">
        <w:rPr>
          <w:rFonts w:ascii="Times New Roman" w:hAnsi="Times New Roman" w:cs="Times New Roman"/>
          <w:sz w:val="24"/>
          <w:szCs w:val="24"/>
          <w:lang w:val="en-GB"/>
        </w:rPr>
        <w:t>e case</w:t>
      </w:r>
      <w:r w:rsidRPr="009645E5">
        <w:rPr>
          <w:rFonts w:ascii="Times New Roman" w:hAnsi="Times New Roman" w:cs="Times New Roman"/>
          <w:sz w:val="24"/>
          <w:szCs w:val="24"/>
          <w:lang w:val="en-GB"/>
        </w:rPr>
        <w:t xml:space="preserve">, must be prepared act outside the scope of the guidelines, for not </w:t>
      </w:r>
      <w:r w:rsidR="00F50513" w:rsidRPr="009645E5">
        <w:rPr>
          <w:rFonts w:ascii="Times New Roman" w:hAnsi="Times New Roman" w:cs="Times New Roman"/>
          <w:sz w:val="24"/>
          <w:szCs w:val="24"/>
          <w:lang w:val="en-GB"/>
        </w:rPr>
        <w:t xml:space="preserve">to do so would be unreasonable. They </w:t>
      </w:r>
      <w:r w:rsidRPr="009645E5">
        <w:rPr>
          <w:rFonts w:ascii="Times New Roman" w:hAnsi="Times New Roman" w:cs="Times New Roman"/>
          <w:sz w:val="24"/>
          <w:szCs w:val="24"/>
          <w:lang w:val="en-GB"/>
        </w:rPr>
        <w:t xml:space="preserve">will need to be aware of this, but judges must also pay heed to the fact that, not only is it appropriate for them also to depart from the guidelines in certain cases, but that it is most definitely within their power to do so.  This especially ought to be encouraged where the risk in sticking to the guidelines seems to have outweighed a clear benefit that could have accrued </w:t>
      </w:r>
      <w:r w:rsidR="0003777F" w:rsidRPr="009645E5">
        <w:rPr>
          <w:rFonts w:ascii="Times New Roman" w:hAnsi="Times New Roman" w:cs="Times New Roman"/>
          <w:sz w:val="24"/>
          <w:szCs w:val="24"/>
          <w:lang w:val="en-GB"/>
        </w:rPr>
        <w:t xml:space="preserve">by </w:t>
      </w:r>
      <w:r w:rsidRPr="009645E5">
        <w:rPr>
          <w:rFonts w:ascii="Times New Roman" w:hAnsi="Times New Roman" w:cs="Times New Roman"/>
          <w:sz w:val="24"/>
          <w:szCs w:val="24"/>
          <w:lang w:val="en-GB"/>
        </w:rPr>
        <w:t>doi</w:t>
      </w:r>
      <w:r w:rsidR="00E576EB" w:rsidRPr="009645E5">
        <w:rPr>
          <w:rFonts w:ascii="Times New Roman" w:hAnsi="Times New Roman" w:cs="Times New Roman"/>
          <w:sz w:val="24"/>
          <w:szCs w:val="24"/>
          <w:lang w:val="en-GB"/>
        </w:rPr>
        <w:t>ng something differently.</w:t>
      </w:r>
    </w:p>
    <w:p w14:paraId="59FA49C2" w14:textId="799D974A" w:rsidR="00E576EB" w:rsidRPr="009645E5" w:rsidRDefault="00E576EB" w:rsidP="00673788">
      <w:pPr>
        <w:pStyle w:val="BodyA"/>
        <w:spacing w:line="360" w:lineRule="auto"/>
        <w:jc w:val="both"/>
        <w:rPr>
          <w:rFonts w:ascii="Times New Roman" w:hAnsi="Times New Roman" w:cs="Times New Roman"/>
          <w:sz w:val="24"/>
          <w:szCs w:val="24"/>
          <w:lang w:val="en-GB"/>
        </w:rPr>
      </w:pPr>
      <w:r w:rsidRPr="009645E5">
        <w:rPr>
          <w:rFonts w:ascii="Times New Roman" w:eastAsia="Times New Roman Bold" w:hAnsi="Times New Roman" w:cs="Times New Roman"/>
          <w:sz w:val="24"/>
          <w:szCs w:val="24"/>
          <w:lang w:val="en-GB"/>
        </w:rPr>
        <w:tab/>
      </w:r>
      <w:r w:rsidR="00754EB6">
        <w:rPr>
          <w:rFonts w:ascii="Times New Roman" w:eastAsia="Times New Roman Bold" w:hAnsi="Times New Roman" w:cs="Times New Roman"/>
          <w:sz w:val="24"/>
          <w:szCs w:val="24"/>
          <w:lang w:val="en-GB"/>
        </w:rPr>
        <w:t>T</w:t>
      </w:r>
      <w:r w:rsidR="00D70D82" w:rsidRPr="009645E5">
        <w:rPr>
          <w:rFonts w:ascii="Times New Roman" w:eastAsia="Times New Roman Bold" w:hAnsi="Times New Roman" w:cs="Times New Roman"/>
          <w:sz w:val="24"/>
          <w:szCs w:val="24"/>
          <w:lang w:val="en-GB"/>
        </w:rPr>
        <w:t>he</w:t>
      </w:r>
      <w:r w:rsidRPr="009645E5">
        <w:rPr>
          <w:rFonts w:ascii="Times New Roman" w:eastAsia="Times New Roman Bold" w:hAnsi="Times New Roman" w:cs="Times New Roman"/>
          <w:sz w:val="24"/>
          <w:szCs w:val="24"/>
          <w:lang w:val="en-GB"/>
        </w:rPr>
        <w:t xml:space="preserve">re is </w:t>
      </w:r>
      <w:r w:rsidR="00754EB6">
        <w:rPr>
          <w:rFonts w:ascii="Times New Roman" w:eastAsia="Times New Roman Bold" w:hAnsi="Times New Roman" w:cs="Times New Roman"/>
          <w:sz w:val="24"/>
          <w:szCs w:val="24"/>
          <w:lang w:val="en-GB"/>
        </w:rPr>
        <w:t xml:space="preserve">also </w:t>
      </w:r>
      <w:r w:rsidR="00D70D82" w:rsidRPr="009645E5">
        <w:rPr>
          <w:rFonts w:ascii="Times New Roman" w:eastAsia="Times New Roman Bold" w:hAnsi="Times New Roman" w:cs="Times New Roman"/>
          <w:sz w:val="24"/>
          <w:szCs w:val="24"/>
          <w:lang w:val="en-GB"/>
        </w:rPr>
        <w:t>evid</w:t>
      </w:r>
      <w:r w:rsidR="006C10A6" w:rsidRPr="009645E5">
        <w:rPr>
          <w:rFonts w:ascii="Times New Roman" w:eastAsia="Times New Roman Bold" w:hAnsi="Times New Roman" w:cs="Times New Roman"/>
          <w:sz w:val="24"/>
          <w:szCs w:val="24"/>
          <w:lang w:val="en-GB"/>
        </w:rPr>
        <w:t xml:space="preserve">ence to suggest that </w:t>
      </w:r>
      <w:r w:rsidR="00D70D82" w:rsidRPr="009645E5">
        <w:rPr>
          <w:rFonts w:ascii="Times New Roman" w:eastAsia="Times New Roman Bold" w:hAnsi="Times New Roman" w:cs="Times New Roman"/>
          <w:sz w:val="24"/>
          <w:szCs w:val="24"/>
          <w:lang w:val="en-GB"/>
        </w:rPr>
        <w:t xml:space="preserve">the guidelines are being used in a one-sided manner, supportive of the defendant and to the detriment of the patient.  Where a defendant can point to the relevant guidelines in support of what </w:t>
      </w:r>
      <w:r w:rsidRPr="009645E5">
        <w:rPr>
          <w:rFonts w:ascii="Times New Roman" w:eastAsia="Times New Roman Bold" w:hAnsi="Times New Roman" w:cs="Times New Roman"/>
          <w:sz w:val="24"/>
          <w:szCs w:val="24"/>
          <w:lang w:val="en-GB"/>
        </w:rPr>
        <w:t>s</w:t>
      </w:r>
      <w:r w:rsidR="00D70D82" w:rsidRPr="009645E5">
        <w:rPr>
          <w:rFonts w:ascii="Times New Roman" w:eastAsia="Times New Roman Bold" w:hAnsi="Times New Roman" w:cs="Times New Roman"/>
          <w:sz w:val="24"/>
          <w:szCs w:val="24"/>
          <w:lang w:val="en-GB"/>
        </w:rPr>
        <w:t xml:space="preserve">he did, there </w:t>
      </w:r>
      <w:r w:rsidR="006C10A6" w:rsidRPr="009645E5">
        <w:rPr>
          <w:rFonts w:ascii="Times New Roman" w:eastAsia="Times New Roman Bold" w:hAnsi="Times New Roman" w:cs="Times New Roman"/>
          <w:sz w:val="24"/>
          <w:szCs w:val="24"/>
          <w:lang w:val="en-GB"/>
        </w:rPr>
        <w:t xml:space="preserve">appears in some instances </w:t>
      </w:r>
      <w:r w:rsidR="00D70D82" w:rsidRPr="009645E5">
        <w:rPr>
          <w:rFonts w:ascii="Times New Roman" w:eastAsia="Times New Roman Bold" w:hAnsi="Times New Roman" w:cs="Times New Roman"/>
          <w:sz w:val="24"/>
          <w:szCs w:val="24"/>
          <w:lang w:val="en-GB"/>
        </w:rPr>
        <w:t>to be clear reticence from judges to question the appropriateness of the guidelines themselves, much less depart from them.</w:t>
      </w:r>
      <w:r w:rsidR="00D70D82" w:rsidRPr="009645E5">
        <w:rPr>
          <w:rFonts w:ascii="Times New Roman" w:eastAsia="Times New Roman Bold" w:hAnsi="Times New Roman" w:cs="Times New Roman"/>
          <w:sz w:val="24"/>
          <w:szCs w:val="24"/>
          <w:vertAlign w:val="superscript"/>
          <w:lang w:val="en-GB"/>
        </w:rPr>
        <w:footnoteReference w:id="121"/>
      </w:r>
      <w:r w:rsidR="00D70D82" w:rsidRPr="009645E5">
        <w:rPr>
          <w:rFonts w:ascii="Times New Roman" w:hAnsi="Times New Roman" w:cs="Times New Roman"/>
          <w:sz w:val="24"/>
          <w:szCs w:val="24"/>
          <w:lang w:val="en-GB"/>
        </w:rPr>
        <w:t xml:space="preserve">  On the other hand, the case of </w:t>
      </w:r>
      <w:r w:rsidR="00D70D82" w:rsidRPr="009645E5">
        <w:rPr>
          <w:rFonts w:ascii="Times New Roman" w:hAnsi="Times New Roman" w:cs="Times New Roman"/>
          <w:i/>
          <w:iCs/>
          <w:sz w:val="24"/>
          <w:szCs w:val="24"/>
          <w:lang w:val="en-GB"/>
        </w:rPr>
        <w:t xml:space="preserve">NM </w:t>
      </w:r>
      <w:r w:rsidR="00D70D82" w:rsidRPr="009645E5">
        <w:rPr>
          <w:rFonts w:ascii="Times New Roman" w:hAnsi="Times New Roman" w:cs="Times New Roman"/>
          <w:sz w:val="24"/>
          <w:szCs w:val="24"/>
          <w:lang w:val="en-GB"/>
        </w:rPr>
        <w:t>illustrates that where the pursuer seeks to rely on an argument that the defendant acted contrary to the published guidelines at the time in support of imposing liability, there seems to be a greater judicial enthusiasm for disregarding the guidelines and holding that the issue was one that fell within the margin of appreciation that was afforded to the exercise of professional discretion.</w:t>
      </w:r>
      <w:r w:rsidR="00D70D82" w:rsidRPr="009645E5">
        <w:rPr>
          <w:rFonts w:ascii="Times New Roman" w:eastAsia="Times New Roman Bold" w:hAnsi="Times New Roman" w:cs="Times New Roman"/>
          <w:sz w:val="24"/>
          <w:szCs w:val="24"/>
          <w:vertAlign w:val="superscript"/>
          <w:lang w:val="en-GB"/>
        </w:rPr>
        <w:footnoteReference w:id="122"/>
      </w:r>
      <w:r w:rsidR="00673788">
        <w:rPr>
          <w:rFonts w:ascii="Times New Roman" w:hAnsi="Times New Roman" w:cs="Times New Roman"/>
          <w:sz w:val="24"/>
          <w:szCs w:val="24"/>
          <w:lang w:val="en-GB"/>
        </w:rPr>
        <w:t xml:space="preserve">  There is </w:t>
      </w:r>
      <w:r w:rsidR="00D70D82" w:rsidRPr="009645E5">
        <w:rPr>
          <w:rFonts w:ascii="Times New Roman" w:hAnsi="Times New Roman" w:cs="Times New Roman"/>
          <w:sz w:val="24"/>
          <w:szCs w:val="24"/>
          <w:lang w:val="en-GB"/>
        </w:rPr>
        <w:t>a tendency to treat the professional guidelines as a gold standard when the defendant is relying on them in support of their case, but when the claimant attempts to do the same thing, they a</w:t>
      </w:r>
      <w:r w:rsidR="006C10A6" w:rsidRPr="009645E5">
        <w:rPr>
          <w:rFonts w:ascii="Times New Roman" w:hAnsi="Times New Roman" w:cs="Times New Roman"/>
          <w:sz w:val="24"/>
          <w:szCs w:val="24"/>
          <w:lang w:val="en-GB"/>
        </w:rPr>
        <w:t xml:space="preserve">re treated as nothing more than </w:t>
      </w:r>
      <w:r w:rsidR="00D70D82" w:rsidRPr="009645E5">
        <w:rPr>
          <w:rFonts w:ascii="Times New Roman" w:hAnsi="Times New Roman" w:cs="Times New Roman"/>
          <w:sz w:val="24"/>
          <w:szCs w:val="24"/>
          <w:lang w:val="en-GB"/>
        </w:rPr>
        <w:t xml:space="preserve">a mere guideline used to shape the contours of the legal standard, but not to categorically define it.  Samanta </w:t>
      </w:r>
      <w:r w:rsidR="00D70D82" w:rsidRPr="009645E5">
        <w:rPr>
          <w:rFonts w:ascii="Times New Roman" w:hAnsi="Times New Roman" w:cs="Times New Roman"/>
          <w:i/>
          <w:iCs/>
          <w:sz w:val="24"/>
          <w:szCs w:val="24"/>
          <w:lang w:val="en-GB"/>
        </w:rPr>
        <w:t>et al</w:t>
      </w:r>
      <w:r w:rsidR="00D70D82" w:rsidRPr="009645E5">
        <w:rPr>
          <w:rFonts w:ascii="Times New Roman" w:hAnsi="Times New Roman" w:cs="Times New Roman"/>
          <w:sz w:val="24"/>
          <w:szCs w:val="24"/>
          <w:lang w:val="en-GB"/>
        </w:rPr>
        <w:t>. indicate that a range of factors need to be considered when using professional guidelines to assist in the performance of risk benefit analysis.  This ought to include the magnitude of the risk, the comparative risk of using the guideline, the seriousness of the risk and the ease by which it might have been avoided and, interrelated, the implications of such avoidance in terms of finances and resources of healthcare.</w:t>
      </w:r>
      <w:r w:rsidR="00D70D82" w:rsidRPr="009645E5">
        <w:rPr>
          <w:rFonts w:ascii="Times New Roman" w:eastAsia="Times New Roman Bold" w:hAnsi="Times New Roman" w:cs="Times New Roman"/>
          <w:sz w:val="24"/>
          <w:szCs w:val="24"/>
          <w:vertAlign w:val="superscript"/>
          <w:lang w:val="en-GB"/>
        </w:rPr>
        <w:footnoteReference w:id="123"/>
      </w:r>
      <w:r w:rsidR="00D70D82" w:rsidRPr="009645E5">
        <w:rPr>
          <w:rFonts w:ascii="Times New Roman" w:hAnsi="Times New Roman" w:cs="Times New Roman"/>
          <w:sz w:val="24"/>
          <w:szCs w:val="24"/>
          <w:lang w:val="en-GB"/>
        </w:rPr>
        <w:t xml:space="preserve">  In the chil</w:t>
      </w:r>
      <w:r w:rsidRPr="009645E5">
        <w:rPr>
          <w:rFonts w:ascii="Times New Roman" w:hAnsi="Times New Roman" w:cs="Times New Roman"/>
          <w:sz w:val="24"/>
          <w:szCs w:val="24"/>
          <w:lang w:val="en-GB"/>
        </w:rPr>
        <w:t xml:space="preserve">dbirth cases studied, </w:t>
      </w:r>
      <w:r w:rsidR="0003777F" w:rsidRPr="009645E5">
        <w:rPr>
          <w:rFonts w:ascii="Times New Roman" w:hAnsi="Times New Roman" w:cs="Times New Roman"/>
          <w:sz w:val="24"/>
          <w:szCs w:val="24"/>
          <w:lang w:val="en-GB"/>
        </w:rPr>
        <w:t xml:space="preserve">consideration of these factors </w:t>
      </w:r>
      <w:r w:rsidR="00D70D82" w:rsidRPr="009645E5">
        <w:rPr>
          <w:rFonts w:ascii="Times New Roman" w:hAnsi="Times New Roman" w:cs="Times New Roman"/>
          <w:sz w:val="24"/>
          <w:szCs w:val="24"/>
          <w:lang w:val="en-GB"/>
        </w:rPr>
        <w:t>seems to have been fundamentally lacking</w:t>
      </w:r>
      <w:r w:rsidR="0003777F" w:rsidRPr="009645E5">
        <w:rPr>
          <w:rFonts w:ascii="Times New Roman" w:hAnsi="Times New Roman" w:cs="Times New Roman"/>
          <w:sz w:val="24"/>
          <w:szCs w:val="24"/>
          <w:lang w:val="en-GB"/>
        </w:rPr>
        <w:t xml:space="preserve"> in the judicial analysis, or, worse still, the factors only seem to have been contemplated from the perspective of </w:t>
      </w:r>
      <w:r w:rsidR="00D70D82" w:rsidRPr="009645E5">
        <w:rPr>
          <w:rFonts w:ascii="Times New Roman" w:hAnsi="Times New Roman" w:cs="Times New Roman"/>
          <w:sz w:val="24"/>
          <w:szCs w:val="24"/>
          <w:lang w:val="en-GB"/>
        </w:rPr>
        <w:t xml:space="preserve">the defendant, with little consideration as to the position of the patient.  By way of example, the departure from the guidelines in </w:t>
      </w:r>
      <w:r w:rsidR="00D70D82" w:rsidRPr="009645E5">
        <w:rPr>
          <w:rFonts w:ascii="Times New Roman" w:hAnsi="Times New Roman" w:cs="Times New Roman"/>
          <w:i/>
          <w:iCs/>
          <w:sz w:val="24"/>
          <w:szCs w:val="24"/>
          <w:lang w:val="en-GB"/>
        </w:rPr>
        <w:t>NM</w:t>
      </w:r>
      <w:r w:rsidR="00D70D82" w:rsidRPr="009645E5">
        <w:rPr>
          <w:rFonts w:ascii="Times New Roman" w:hAnsi="Times New Roman" w:cs="Times New Roman"/>
          <w:sz w:val="24"/>
          <w:szCs w:val="24"/>
          <w:lang w:val="en-GB"/>
        </w:rPr>
        <w:t xml:space="preserve"> exposed the pursuer to a significant risk which could have been avoided.</w:t>
      </w:r>
      <w:r w:rsidR="00D70D82" w:rsidRPr="009645E5">
        <w:rPr>
          <w:rFonts w:ascii="Times New Roman" w:eastAsia="Times New Roman Bold" w:hAnsi="Times New Roman" w:cs="Times New Roman"/>
          <w:sz w:val="24"/>
          <w:szCs w:val="24"/>
          <w:vertAlign w:val="superscript"/>
          <w:lang w:val="en-GB"/>
        </w:rPr>
        <w:footnoteReference w:id="124"/>
      </w:r>
      <w:r w:rsidR="00D70D82" w:rsidRPr="009645E5">
        <w:rPr>
          <w:rFonts w:ascii="Times New Roman" w:hAnsi="Times New Roman" w:cs="Times New Roman"/>
          <w:sz w:val="24"/>
          <w:szCs w:val="24"/>
          <w:lang w:val="en-GB"/>
        </w:rPr>
        <w:t xml:space="preserve">  The method of avoiding the catastrophic risk that materialised would not, admittedly, have been totally risk free, nor would it have had no impact whatsoever in terms of resources and cost.</w:t>
      </w:r>
      <w:r w:rsidR="00D70D82" w:rsidRPr="009645E5">
        <w:rPr>
          <w:rFonts w:ascii="Times New Roman" w:eastAsia="Times New Roman Bold" w:hAnsi="Times New Roman" w:cs="Times New Roman"/>
          <w:sz w:val="24"/>
          <w:szCs w:val="24"/>
          <w:vertAlign w:val="superscript"/>
          <w:lang w:val="en-GB"/>
        </w:rPr>
        <w:footnoteReference w:id="125"/>
      </w:r>
      <w:r w:rsidR="00D70D82" w:rsidRPr="009645E5">
        <w:rPr>
          <w:rFonts w:ascii="Times New Roman" w:hAnsi="Times New Roman" w:cs="Times New Roman"/>
          <w:sz w:val="24"/>
          <w:szCs w:val="24"/>
          <w:lang w:val="en-GB"/>
        </w:rPr>
        <w:t xml:space="preserve"> That being said, weighing everything in the balance in that particular set of circumstances, the departure from the guidelines was not, in this author</w:t>
      </w:r>
      <w:r w:rsidR="00D348F2" w:rsidRPr="009645E5">
        <w:rPr>
          <w:rFonts w:ascii="Times New Roman" w:hAnsi="Times New Roman" w:cs="Times New Roman"/>
          <w:sz w:val="24"/>
          <w:szCs w:val="24"/>
          <w:lang w:val="en-GB"/>
        </w:rPr>
        <w:t>’</w:t>
      </w:r>
      <w:r w:rsidR="00D70D82" w:rsidRPr="009645E5">
        <w:rPr>
          <w:rFonts w:ascii="Times New Roman" w:hAnsi="Times New Roman" w:cs="Times New Roman"/>
          <w:sz w:val="24"/>
          <w:szCs w:val="24"/>
          <w:lang w:val="en-GB"/>
        </w:rPr>
        <w:t>s view, defensible, nor could it be convincingly argued that it wa</w:t>
      </w:r>
      <w:r w:rsidR="0003777F" w:rsidRPr="009645E5">
        <w:rPr>
          <w:rFonts w:ascii="Times New Roman" w:hAnsi="Times New Roman" w:cs="Times New Roman"/>
          <w:sz w:val="24"/>
          <w:szCs w:val="24"/>
          <w:lang w:val="en-GB"/>
        </w:rPr>
        <w:t xml:space="preserve">s </w:t>
      </w:r>
      <w:r w:rsidR="00D70D82" w:rsidRPr="009645E5">
        <w:rPr>
          <w:rFonts w:ascii="Times New Roman" w:hAnsi="Times New Roman" w:cs="Times New Roman"/>
          <w:sz w:val="24"/>
          <w:szCs w:val="24"/>
          <w:lang w:val="en-GB"/>
        </w:rPr>
        <w:t>reasonable.  If this attitude towards professional guidelines in childbirth cases</w:t>
      </w:r>
      <w:r w:rsidRPr="009645E5">
        <w:rPr>
          <w:rFonts w:ascii="Times New Roman" w:hAnsi="Times New Roman" w:cs="Times New Roman"/>
          <w:sz w:val="24"/>
          <w:szCs w:val="24"/>
          <w:lang w:val="en-GB"/>
        </w:rPr>
        <w:t xml:space="preserve"> prevails</w:t>
      </w:r>
      <w:r w:rsidR="00D70D82" w:rsidRPr="009645E5">
        <w:rPr>
          <w:rFonts w:ascii="Times New Roman" w:hAnsi="Times New Roman" w:cs="Times New Roman"/>
          <w:sz w:val="24"/>
          <w:szCs w:val="24"/>
          <w:lang w:val="en-GB"/>
        </w:rPr>
        <w:t xml:space="preserve">, there is a danger that it will </w:t>
      </w:r>
      <w:r w:rsidRPr="009645E5">
        <w:rPr>
          <w:rFonts w:ascii="Times New Roman" w:hAnsi="Times New Roman" w:cs="Times New Roman"/>
          <w:sz w:val="24"/>
          <w:szCs w:val="24"/>
          <w:lang w:val="en-GB"/>
        </w:rPr>
        <w:t xml:space="preserve">continue to </w:t>
      </w:r>
      <w:r w:rsidR="00D70D82" w:rsidRPr="009645E5">
        <w:rPr>
          <w:rFonts w:ascii="Times New Roman" w:hAnsi="Times New Roman" w:cs="Times New Roman"/>
          <w:sz w:val="24"/>
          <w:szCs w:val="24"/>
          <w:lang w:val="en-GB"/>
        </w:rPr>
        <w:t>leave claimants at a manifest disadvantage</w:t>
      </w:r>
      <w:r w:rsidRPr="009645E5">
        <w:rPr>
          <w:rFonts w:ascii="Times New Roman" w:hAnsi="Times New Roman" w:cs="Times New Roman"/>
          <w:sz w:val="24"/>
          <w:szCs w:val="24"/>
          <w:lang w:val="en-GB"/>
        </w:rPr>
        <w:t>.</w:t>
      </w:r>
    </w:p>
    <w:p w14:paraId="1B3306E1" w14:textId="77777777" w:rsidR="003B037D" w:rsidRPr="009645E5" w:rsidRDefault="003B037D" w:rsidP="003B037D">
      <w:pPr>
        <w:pStyle w:val="BodyA"/>
        <w:jc w:val="both"/>
        <w:rPr>
          <w:rFonts w:ascii="Times New Roman" w:eastAsia="Times New Roman Bold" w:hAnsi="Times New Roman" w:cs="Times New Roman"/>
          <w:b/>
          <w:bCs/>
          <w:sz w:val="24"/>
          <w:szCs w:val="24"/>
          <w:lang w:val="en-GB"/>
        </w:rPr>
      </w:pPr>
    </w:p>
    <w:p w14:paraId="0F9BA475" w14:textId="77777777" w:rsidR="005A51AF" w:rsidRPr="009645E5" w:rsidRDefault="00D70D82">
      <w:pPr>
        <w:pStyle w:val="BodyA"/>
        <w:jc w:val="center"/>
        <w:rPr>
          <w:rFonts w:ascii="Times New Roman" w:eastAsia="Times New Roman Bold" w:hAnsi="Times New Roman" w:cs="Times New Roman"/>
          <w:b/>
          <w:bCs/>
          <w:sz w:val="24"/>
          <w:szCs w:val="24"/>
          <w:lang w:val="en-GB"/>
        </w:rPr>
      </w:pPr>
      <w:r w:rsidRPr="009645E5">
        <w:rPr>
          <w:rFonts w:ascii="Times New Roman" w:hAnsi="Times New Roman" w:cs="Times New Roman"/>
          <w:b/>
          <w:bCs/>
          <w:sz w:val="24"/>
          <w:szCs w:val="24"/>
          <w:lang w:val="en-GB"/>
        </w:rPr>
        <w:t>V. Conclusions: Unreasonable Risk Taking in Childbirth Litigation?</w:t>
      </w:r>
    </w:p>
    <w:p w14:paraId="6100D140" w14:textId="77777777" w:rsidR="005A51AF" w:rsidRPr="009645E5" w:rsidRDefault="005A51AF">
      <w:pPr>
        <w:pStyle w:val="BodyA"/>
        <w:jc w:val="center"/>
        <w:rPr>
          <w:rFonts w:ascii="Times New Roman" w:eastAsia="Times New Roman Bold" w:hAnsi="Times New Roman" w:cs="Times New Roman"/>
          <w:sz w:val="24"/>
          <w:szCs w:val="24"/>
          <w:lang w:val="en-GB"/>
        </w:rPr>
      </w:pPr>
    </w:p>
    <w:p w14:paraId="77687FA7" w14:textId="77777777" w:rsidR="005A51AF" w:rsidRPr="009645E5" w:rsidRDefault="00D70D82">
      <w:pPr>
        <w:pStyle w:val="BodyA"/>
        <w:spacing w:line="360" w:lineRule="auto"/>
        <w:jc w:val="both"/>
        <w:rPr>
          <w:rFonts w:ascii="Times New Roman" w:eastAsia="Times New Roman Bold" w:hAnsi="Times New Roman" w:cs="Times New Roman"/>
          <w:sz w:val="24"/>
          <w:szCs w:val="24"/>
          <w:lang w:val="en-GB"/>
        </w:rPr>
      </w:pPr>
      <w:r w:rsidRPr="009645E5">
        <w:rPr>
          <w:rFonts w:ascii="Times New Roman" w:hAnsi="Times New Roman" w:cs="Times New Roman"/>
          <w:sz w:val="24"/>
          <w:szCs w:val="24"/>
          <w:lang w:val="en-GB"/>
        </w:rPr>
        <w:t xml:space="preserve">This paper has concentrated on a selection of negligent childbirth case law that has occurred since the publication of the 2012 Report.  The research is therefore narrow in scope and clearly has its limitations.  However, a number of emerging patterns have been identified and something of importance can undoubtedly be drawn from this analysis.  </w:t>
      </w:r>
    </w:p>
    <w:p w14:paraId="7EF63016" w14:textId="126A54C8" w:rsidR="005A51AF" w:rsidRPr="009645E5" w:rsidRDefault="00D70D82" w:rsidP="00754EB6">
      <w:pPr>
        <w:pStyle w:val="BodyA"/>
        <w:spacing w:line="360" w:lineRule="auto"/>
        <w:jc w:val="both"/>
        <w:rPr>
          <w:rFonts w:ascii="Times New Roman" w:hAnsi="Times New Roman" w:cs="Times New Roman"/>
          <w:sz w:val="24"/>
          <w:szCs w:val="24"/>
          <w:lang w:val="en-GB"/>
        </w:rPr>
      </w:pPr>
      <w:r w:rsidRPr="009645E5">
        <w:rPr>
          <w:rFonts w:ascii="Times New Roman" w:eastAsia="Times New Roman Bold" w:hAnsi="Times New Roman" w:cs="Times New Roman"/>
          <w:sz w:val="24"/>
          <w:szCs w:val="24"/>
          <w:lang w:val="en-GB"/>
        </w:rPr>
        <w:tab/>
        <w:t xml:space="preserve">The recent case law certainly makes it difficult to describe judicial attitudes in respect of the </w:t>
      </w:r>
      <w:r w:rsidRPr="009645E5">
        <w:rPr>
          <w:rFonts w:ascii="Times New Roman" w:hAnsi="Times New Roman" w:cs="Times New Roman"/>
          <w:i/>
          <w:iCs/>
          <w:sz w:val="24"/>
          <w:szCs w:val="24"/>
          <w:lang w:val="en-GB"/>
        </w:rPr>
        <w:t>Bolitho</w:t>
      </w:r>
      <w:r w:rsidRPr="009645E5">
        <w:rPr>
          <w:rFonts w:ascii="Times New Roman" w:hAnsi="Times New Roman" w:cs="Times New Roman"/>
          <w:sz w:val="24"/>
          <w:szCs w:val="24"/>
          <w:lang w:val="en-GB"/>
        </w:rPr>
        <w:t xml:space="preserve"> gloss as being progressive.</w:t>
      </w:r>
      <w:r w:rsidR="00754EB6">
        <w:rPr>
          <w:rFonts w:ascii="Times New Roman" w:hAnsi="Times New Roman" w:cs="Times New Roman"/>
          <w:sz w:val="24"/>
          <w:szCs w:val="24"/>
          <w:lang w:val="en-GB"/>
        </w:rPr>
        <w:t xml:space="preserve">  </w:t>
      </w:r>
      <w:r w:rsidR="00320E3A">
        <w:rPr>
          <w:rFonts w:ascii="Times New Roman" w:hAnsi="Times New Roman" w:cs="Times New Roman"/>
          <w:sz w:val="24"/>
          <w:szCs w:val="24"/>
          <w:lang w:val="en-GB"/>
        </w:rPr>
        <w:t>Liability has, in the odd case</w:t>
      </w:r>
      <w:r w:rsidRPr="009645E5">
        <w:rPr>
          <w:rFonts w:ascii="Times New Roman" w:hAnsi="Times New Roman" w:cs="Times New Roman"/>
          <w:sz w:val="24"/>
          <w:szCs w:val="24"/>
          <w:lang w:val="en-GB"/>
        </w:rPr>
        <w:t xml:space="preserve">, been founded against midwives in situations where they have exposed patients to significant risks that could have been </w:t>
      </w:r>
      <w:r w:rsidR="006C10A6" w:rsidRPr="009645E5">
        <w:rPr>
          <w:rFonts w:ascii="Times New Roman" w:hAnsi="Times New Roman" w:cs="Times New Roman"/>
          <w:sz w:val="24"/>
          <w:szCs w:val="24"/>
          <w:lang w:val="en-GB"/>
        </w:rPr>
        <w:t>avoided with relative ease.  T</w:t>
      </w:r>
      <w:r w:rsidR="00320E3A">
        <w:rPr>
          <w:rFonts w:ascii="Times New Roman" w:hAnsi="Times New Roman" w:cs="Times New Roman"/>
          <w:sz w:val="24"/>
          <w:szCs w:val="24"/>
          <w:lang w:val="en-GB"/>
        </w:rPr>
        <w:t xml:space="preserve">hese decisions </w:t>
      </w:r>
      <w:r w:rsidRPr="009645E5">
        <w:rPr>
          <w:rFonts w:ascii="Times New Roman" w:hAnsi="Times New Roman" w:cs="Times New Roman"/>
          <w:sz w:val="24"/>
          <w:szCs w:val="24"/>
          <w:lang w:val="en-GB"/>
        </w:rPr>
        <w:t xml:space="preserve">do represent an example of </w:t>
      </w:r>
      <w:r w:rsidR="00E445F3" w:rsidRPr="009645E5">
        <w:rPr>
          <w:rFonts w:ascii="Times New Roman" w:hAnsi="Times New Roman" w:cs="Times New Roman"/>
          <w:sz w:val="24"/>
          <w:szCs w:val="24"/>
          <w:lang w:val="en-GB"/>
        </w:rPr>
        <w:t xml:space="preserve">balancing risk versus benefits, at least at </w:t>
      </w:r>
      <w:r w:rsidRPr="009645E5">
        <w:rPr>
          <w:rFonts w:ascii="Times New Roman" w:hAnsi="Times New Roman" w:cs="Times New Roman"/>
          <w:sz w:val="24"/>
          <w:szCs w:val="24"/>
          <w:lang w:val="en-GB"/>
        </w:rPr>
        <w:t>a ver</w:t>
      </w:r>
      <w:r w:rsidR="00E445F3" w:rsidRPr="009645E5">
        <w:rPr>
          <w:rFonts w:ascii="Times New Roman" w:hAnsi="Times New Roman" w:cs="Times New Roman"/>
          <w:sz w:val="24"/>
          <w:szCs w:val="24"/>
          <w:lang w:val="en-GB"/>
        </w:rPr>
        <w:t xml:space="preserve">y superficial and basic level.  Being held in breach, however, </w:t>
      </w:r>
      <w:r w:rsidRPr="009645E5">
        <w:rPr>
          <w:rFonts w:ascii="Times New Roman" w:hAnsi="Times New Roman" w:cs="Times New Roman"/>
          <w:sz w:val="24"/>
          <w:szCs w:val="24"/>
          <w:lang w:val="en-GB"/>
        </w:rPr>
        <w:t xml:space="preserve">seems only to have happened in the most straightforward of cases and in many of these situations the mistake was so blatantly obvious that recourse to </w:t>
      </w:r>
      <w:r w:rsidRPr="009645E5">
        <w:rPr>
          <w:rFonts w:ascii="Times New Roman" w:hAnsi="Times New Roman" w:cs="Times New Roman"/>
          <w:i/>
          <w:iCs/>
          <w:sz w:val="24"/>
          <w:szCs w:val="24"/>
          <w:lang w:val="en-GB"/>
        </w:rPr>
        <w:t>Bolitho</w:t>
      </w:r>
      <w:r w:rsidRPr="009645E5">
        <w:rPr>
          <w:rFonts w:ascii="Times New Roman" w:hAnsi="Times New Roman" w:cs="Times New Roman"/>
          <w:sz w:val="24"/>
          <w:szCs w:val="24"/>
          <w:lang w:val="en-GB"/>
        </w:rPr>
        <w:t xml:space="preserve"> in order to find the defendant negligent was not stric</w:t>
      </w:r>
      <w:r w:rsidR="00320E3A">
        <w:rPr>
          <w:rFonts w:ascii="Times New Roman" w:hAnsi="Times New Roman" w:cs="Times New Roman"/>
          <w:sz w:val="24"/>
          <w:szCs w:val="24"/>
          <w:lang w:val="en-GB"/>
        </w:rPr>
        <w:t>tly necessary.  Similarly, where the error does not focus solely on one individual, but on different members of the healthcare team, s</w:t>
      </w:r>
      <w:r w:rsidRPr="009645E5">
        <w:rPr>
          <w:rFonts w:ascii="Times New Roman" w:hAnsi="Times New Roman" w:cs="Times New Roman"/>
          <w:sz w:val="24"/>
          <w:szCs w:val="24"/>
          <w:lang w:val="en-GB"/>
        </w:rPr>
        <w:t>ometimes it appears that judges</w:t>
      </w:r>
      <w:r w:rsidR="00E445F3" w:rsidRPr="009645E5">
        <w:rPr>
          <w:rFonts w:ascii="Times New Roman" w:hAnsi="Times New Roman" w:cs="Times New Roman"/>
          <w:sz w:val="24"/>
          <w:szCs w:val="24"/>
          <w:lang w:val="en-GB"/>
        </w:rPr>
        <w:t xml:space="preserve"> are more amenable </w:t>
      </w:r>
      <w:r w:rsidR="006C10A6" w:rsidRPr="009645E5">
        <w:rPr>
          <w:rFonts w:ascii="Times New Roman" w:hAnsi="Times New Roman" w:cs="Times New Roman"/>
          <w:sz w:val="24"/>
          <w:szCs w:val="24"/>
          <w:lang w:val="en-GB"/>
        </w:rPr>
        <w:t>to pinpoint</w:t>
      </w:r>
      <w:r w:rsidR="00E445F3" w:rsidRPr="009645E5">
        <w:rPr>
          <w:rFonts w:ascii="Times New Roman" w:hAnsi="Times New Roman" w:cs="Times New Roman"/>
          <w:sz w:val="24"/>
          <w:szCs w:val="24"/>
          <w:lang w:val="en-GB"/>
        </w:rPr>
        <w:t>ing</w:t>
      </w:r>
      <w:r w:rsidR="006C10A6" w:rsidRPr="009645E5">
        <w:rPr>
          <w:rFonts w:ascii="Times New Roman" w:hAnsi="Times New Roman" w:cs="Times New Roman"/>
          <w:sz w:val="24"/>
          <w:szCs w:val="24"/>
          <w:lang w:val="en-GB"/>
        </w:rPr>
        <w:t xml:space="preserve"> </w:t>
      </w:r>
      <w:r w:rsidRPr="009645E5">
        <w:rPr>
          <w:rFonts w:ascii="Times New Roman" w:hAnsi="Times New Roman" w:cs="Times New Roman"/>
          <w:sz w:val="24"/>
          <w:szCs w:val="24"/>
          <w:lang w:val="en-GB"/>
        </w:rPr>
        <w:t xml:space="preserve">errors made by midwives and to deem them negligent than they </w:t>
      </w:r>
      <w:r w:rsidR="006C10A6" w:rsidRPr="009645E5">
        <w:rPr>
          <w:rFonts w:ascii="Times New Roman" w:hAnsi="Times New Roman" w:cs="Times New Roman"/>
          <w:sz w:val="24"/>
          <w:szCs w:val="24"/>
          <w:lang w:val="en-GB"/>
        </w:rPr>
        <w:t xml:space="preserve">are when it comes to making </w:t>
      </w:r>
      <w:r w:rsidRPr="009645E5">
        <w:rPr>
          <w:rFonts w:ascii="Times New Roman" w:hAnsi="Times New Roman" w:cs="Times New Roman"/>
          <w:sz w:val="24"/>
          <w:szCs w:val="24"/>
          <w:lang w:val="en-GB"/>
        </w:rPr>
        <w:t>similar finding</w:t>
      </w:r>
      <w:r w:rsidR="006C10A6" w:rsidRPr="009645E5">
        <w:rPr>
          <w:rFonts w:ascii="Times New Roman" w:hAnsi="Times New Roman" w:cs="Times New Roman"/>
          <w:sz w:val="24"/>
          <w:szCs w:val="24"/>
          <w:lang w:val="en-GB"/>
        </w:rPr>
        <w:t>s</w:t>
      </w:r>
      <w:r w:rsidRPr="009645E5">
        <w:rPr>
          <w:rFonts w:ascii="Times New Roman" w:hAnsi="Times New Roman" w:cs="Times New Roman"/>
          <w:sz w:val="24"/>
          <w:szCs w:val="24"/>
          <w:lang w:val="en-GB"/>
        </w:rPr>
        <w:t xml:space="preserve"> against doctors.  Whilst it is impossible to tell from the findings of this paper, if this attitude is representative of the majority of negligent childbirth claims </w:t>
      </w:r>
      <w:r w:rsidR="006C10A6" w:rsidRPr="009645E5">
        <w:rPr>
          <w:rFonts w:ascii="Times New Roman" w:hAnsi="Times New Roman" w:cs="Times New Roman"/>
          <w:sz w:val="24"/>
          <w:szCs w:val="24"/>
          <w:lang w:val="en-GB"/>
        </w:rPr>
        <w:t xml:space="preserve">across the board, </w:t>
      </w:r>
      <w:r w:rsidRPr="009645E5">
        <w:rPr>
          <w:rFonts w:ascii="Times New Roman" w:hAnsi="Times New Roman" w:cs="Times New Roman"/>
          <w:sz w:val="24"/>
          <w:szCs w:val="24"/>
          <w:lang w:val="en-GB"/>
        </w:rPr>
        <w:t xml:space="preserve">there is </w:t>
      </w:r>
      <w:r w:rsidR="006C10A6" w:rsidRPr="009645E5">
        <w:rPr>
          <w:rFonts w:ascii="Times New Roman" w:hAnsi="Times New Roman" w:cs="Times New Roman"/>
          <w:sz w:val="24"/>
          <w:szCs w:val="24"/>
          <w:lang w:val="en-GB"/>
        </w:rPr>
        <w:t>perhaps some cause for concern.  W</w:t>
      </w:r>
      <w:r w:rsidRPr="009645E5">
        <w:rPr>
          <w:rFonts w:ascii="Times New Roman" w:hAnsi="Times New Roman" w:cs="Times New Roman"/>
          <w:sz w:val="24"/>
          <w:szCs w:val="24"/>
          <w:lang w:val="en-GB"/>
        </w:rPr>
        <w:t xml:space="preserve">here the error is more complicated to locate, and where the issue involves a greater amount of technical expertise to resolve, judges have adopted a </w:t>
      </w:r>
      <w:r w:rsidR="00D348F2" w:rsidRPr="009645E5">
        <w:rPr>
          <w:rFonts w:ascii="Times New Roman" w:hAnsi="Times New Roman" w:cs="Times New Roman"/>
          <w:sz w:val="24"/>
          <w:szCs w:val="24"/>
          <w:lang w:val="en-GB"/>
        </w:rPr>
        <w:t>‘</w:t>
      </w:r>
      <w:r w:rsidRPr="009645E5">
        <w:rPr>
          <w:rFonts w:ascii="Times New Roman" w:hAnsi="Times New Roman" w:cs="Times New Roman"/>
          <w:sz w:val="24"/>
          <w:szCs w:val="24"/>
          <w:lang w:val="en-GB"/>
        </w:rPr>
        <w:t>hands-off</w:t>
      </w:r>
      <w:r w:rsidR="00D348F2" w:rsidRPr="009645E5">
        <w:rPr>
          <w:rFonts w:ascii="Times New Roman" w:hAnsi="Times New Roman" w:cs="Times New Roman"/>
          <w:sz w:val="24"/>
          <w:szCs w:val="24"/>
          <w:lang w:val="en-GB"/>
        </w:rPr>
        <w:t>’</w:t>
      </w:r>
      <w:r w:rsidRPr="009645E5">
        <w:rPr>
          <w:rFonts w:ascii="Times New Roman" w:hAnsi="Times New Roman" w:cs="Times New Roman"/>
          <w:sz w:val="24"/>
          <w:szCs w:val="24"/>
          <w:lang w:val="en-GB"/>
        </w:rPr>
        <w:t xml:space="preserve"> approach. Certainly in respect of CTG trace interpretation, which is a major issue in</w:t>
      </w:r>
      <w:r w:rsidR="006C10A6" w:rsidRPr="009645E5">
        <w:rPr>
          <w:rFonts w:ascii="Times New Roman" w:hAnsi="Times New Roman" w:cs="Times New Roman"/>
          <w:sz w:val="24"/>
          <w:szCs w:val="24"/>
          <w:lang w:val="en-GB"/>
        </w:rPr>
        <w:t xml:space="preserve"> childbirth cases</w:t>
      </w:r>
      <w:r w:rsidRPr="009645E5">
        <w:rPr>
          <w:rFonts w:ascii="Times New Roman" w:hAnsi="Times New Roman" w:cs="Times New Roman"/>
          <w:sz w:val="24"/>
          <w:szCs w:val="24"/>
          <w:lang w:val="en-GB"/>
        </w:rPr>
        <w:t>, judges seem to place heavy reliance on expert witness testimony and professional g</w:t>
      </w:r>
      <w:r w:rsidR="006C10A6" w:rsidRPr="009645E5">
        <w:rPr>
          <w:rFonts w:ascii="Times New Roman" w:hAnsi="Times New Roman" w:cs="Times New Roman"/>
          <w:sz w:val="24"/>
          <w:szCs w:val="24"/>
          <w:lang w:val="en-GB"/>
        </w:rPr>
        <w:t xml:space="preserve">uidelines. Even where </w:t>
      </w:r>
      <w:r w:rsidRPr="009645E5">
        <w:rPr>
          <w:rFonts w:ascii="Times New Roman" w:hAnsi="Times New Roman" w:cs="Times New Roman"/>
          <w:sz w:val="24"/>
          <w:szCs w:val="24"/>
          <w:lang w:val="en-GB"/>
        </w:rPr>
        <w:t>doctors have departed from those guidelines, there still seems to be a significant margin of appreciation afforded to them in the exercise of professional discretion.</w:t>
      </w:r>
    </w:p>
    <w:p w14:paraId="459FB719" w14:textId="0D20D707" w:rsidR="005A51AF" w:rsidRPr="009645E5" w:rsidRDefault="00D70D82">
      <w:pPr>
        <w:pStyle w:val="BodyA"/>
        <w:spacing w:line="360" w:lineRule="auto"/>
        <w:jc w:val="both"/>
        <w:rPr>
          <w:rFonts w:ascii="Times New Roman" w:eastAsia="Times New Roman Bold" w:hAnsi="Times New Roman" w:cs="Times New Roman"/>
          <w:sz w:val="24"/>
          <w:szCs w:val="24"/>
          <w:lang w:val="en-GB"/>
        </w:rPr>
      </w:pPr>
      <w:r w:rsidRPr="009645E5">
        <w:rPr>
          <w:rFonts w:ascii="Times New Roman" w:eastAsia="Times New Roman Bold" w:hAnsi="Times New Roman" w:cs="Times New Roman"/>
          <w:sz w:val="24"/>
          <w:szCs w:val="24"/>
          <w:lang w:val="en-GB"/>
        </w:rPr>
        <w:tab/>
        <w:t xml:space="preserve">It also seems evident that, unless the error in question is easily recognisable, judges are unwilling to engage in the comprehensive risk benefit analysis that </w:t>
      </w:r>
      <w:r w:rsidRPr="009645E5">
        <w:rPr>
          <w:rFonts w:ascii="Times New Roman" w:hAnsi="Times New Roman" w:cs="Times New Roman"/>
          <w:i/>
          <w:iCs/>
          <w:sz w:val="24"/>
          <w:szCs w:val="24"/>
          <w:lang w:val="en-GB"/>
        </w:rPr>
        <w:t>Bolitho</w:t>
      </w:r>
      <w:r w:rsidRPr="009645E5">
        <w:rPr>
          <w:rFonts w:ascii="Times New Roman" w:hAnsi="Times New Roman" w:cs="Times New Roman"/>
          <w:sz w:val="24"/>
          <w:szCs w:val="24"/>
          <w:lang w:val="en-GB"/>
        </w:rPr>
        <w:t xml:space="preserve"> invites of them.  In such a specialist field of medicine, this is understandable to a point, but the objective powers of reasoning that should come naturally to every judge should not yield to highly distinguished medical experts, just because they are indeed highly distinguished.  In the childbirth cases under investigation, judges have often ignored the surrounding circumstances of the case and therefore have frequently overlooked the fact that when risks are exacerbated by the individualities of th</w:t>
      </w:r>
      <w:r w:rsidR="006C10A6" w:rsidRPr="009645E5">
        <w:rPr>
          <w:rFonts w:ascii="Times New Roman" w:hAnsi="Times New Roman" w:cs="Times New Roman"/>
          <w:sz w:val="24"/>
          <w:szCs w:val="24"/>
          <w:lang w:val="en-GB"/>
        </w:rPr>
        <w:t xml:space="preserve">e patient concerned, this often opens up a different perspective </w:t>
      </w:r>
      <w:r w:rsidRPr="009645E5">
        <w:rPr>
          <w:rFonts w:ascii="Times New Roman" w:hAnsi="Times New Roman" w:cs="Times New Roman"/>
          <w:sz w:val="24"/>
          <w:szCs w:val="24"/>
          <w:lang w:val="en-GB"/>
        </w:rPr>
        <w:t>on the assessment of that risk.  Whereas ordinarily there may be some benefit in allowing the labour to proceed naturally, there may be certain factors which call for a reassessment o</w:t>
      </w:r>
      <w:r w:rsidR="000C0FE1">
        <w:rPr>
          <w:rFonts w:ascii="Times New Roman" w:hAnsi="Times New Roman" w:cs="Times New Roman"/>
          <w:sz w:val="24"/>
          <w:szCs w:val="24"/>
          <w:lang w:val="en-GB"/>
        </w:rPr>
        <w:t xml:space="preserve">f the magnitude of that benefit </w:t>
      </w:r>
      <w:r w:rsidR="000C0FE1" w:rsidRPr="000C0FE1">
        <w:rPr>
          <w:rFonts w:ascii="Times New Roman" w:hAnsi="Times New Roman" w:cs="Times New Roman"/>
          <w:color w:val="FF2D21" w:themeColor="accent5"/>
          <w:sz w:val="24"/>
          <w:szCs w:val="24"/>
          <w:lang w:val="en-GB"/>
        </w:rPr>
        <w:t>when compared</w:t>
      </w:r>
      <w:r w:rsidR="000C0FE1">
        <w:rPr>
          <w:rFonts w:ascii="Times New Roman" w:hAnsi="Times New Roman" w:cs="Times New Roman"/>
          <w:sz w:val="24"/>
          <w:szCs w:val="24"/>
          <w:lang w:val="en-GB"/>
        </w:rPr>
        <w:t xml:space="preserve"> </w:t>
      </w:r>
      <w:r w:rsidRPr="009645E5">
        <w:rPr>
          <w:rFonts w:ascii="Times New Roman" w:hAnsi="Times New Roman" w:cs="Times New Roman"/>
          <w:sz w:val="24"/>
          <w:szCs w:val="24"/>
          <w:lang w:val="en-GB"/>
        </w:rPr>
        <w:t>to any risk that may have been</w:t>
      </w:r>
      <w:r w:rsidR="00E445F3" w:rsidRPr="009645E5">
        <w:rPr>
          <w:rFonts w:ascii="Times New Roman" w:hAnsi="Times New Roman" w:cs="Times New Roman"/>
          <w:sz w:val="24"/>
          <w:szCs w:val="24"/>
          <w:lang w:val="en-GB"/>
        </w:rPr>
        <w:t xml:space="preserve"> magnified</w:t>
      </w:r>
      <w:r w:rsidRPr="009645E5">
        <w:rPr>
          <w:rFonts w:ascii="Times New Roman" w:hAnsi="Times New Roman" w:cs="Times New Roman"/>
          <w:sz w:val="24"/>
          <w:szCs w:val="24"/>
          <w:lang w:val="en-GB"/>
        </w:rPr>
        <w:t>.  Prompter intervention may certainly have seemed to produce a more convincing benefit to risk ratio in some cases.</w:t>
      </w:r>
    </w:p>
    <w:p w14:paraId="4C482CA1" w14:textId="61F19246" w:rsidR="005A51AF" w:rsidRPr="009645E5" w:rsidRDefault="00882AF8" w:rsidP="009D0D59">
      <w:pPr>
        <w:pStyle w:val="BodyA"/>
        <w:spacing w:line="360" w:lineRule="auto"/>
        <w:jc w:val="both"/>
        <w:rPr>
          <w:rFonts w:ascii="Times New Roman" w:eastAsia="Times New Roman Bold" w:hAnsi="Times New Roman" w:cs="Times New Roman"/>
          <w:sz w:val="24"/>
          <w:szCs w:val="24"/>
          <w:lang w:val="en-GB"/>
        </w:rPr>
      </w:pPr>
      <w:r>
        <w:rPr>
          <w:rFonts w:ascii="Times New Roman" w:eastAsia="Times New Roman Bold" w:hAnsi="Times New Roman" w:cs="Times New Roman"/>
          <w:sz w:val="24"/>
          <w:szCs w:val="24"/>
          <w:lang w:val="en-GB"/>
        </w:rPr>
        <w:tab/>
      </w:r>
      <w:r w:rsidR="00AF3E85" w:rsidRPr="00AF3E85">
        <w:rPr>
          <w:rFonts w:ascii="Times New Roman" w:eastAsia="Times New Roman Bold" w:hAnsi="Times New Roman" w:cs="Times New Roman"/>
          <w:color w:val="FF0000"/>
          <w:sz w:val="24"/>
          <w:szCs w:val="24"/>
          <w:lang w:val="en-GB"/>
        </w:rPr>
        <w:t xml:space="preserve">In the past the courts have, from time to time, </w:t>
      </w:r>
      <w:r w:rsidRPr="00AF3E85">
        <w:rPr>
          <w:rFonts w:ascii="Times New Roman" w:eastAsia="Times New Roman Bold" w:hAnsi="Times New Roman" w:cs="Times New Roman"/>
          <w:color w:val="FF0000"/>
          <w:sz w:val="24"/>
          <w:szCs w:val="24"/>
          <w:lang w:val="en-GB"/>
        </w:rPr>
        <w:t xml:space="preserve">seen fit to engage </w:t>
      </w:r>
      <w:r w:rsidR="00D70D82" w:rsidRPr="00AF3E85">
        <w:rPr>
          <w:rFonts w:ascii="Times New Roman" w:eastAsia="Times New Roman Bold" w:hAnsi="Times New Roman" w:cs="Times New Roman"/>
          <w:color w:val="FF0000"/>
          <w:sz w:val="24"/>
          <w:szCs w:val="24"/>
          <w:lang w:val="en-GB"/>
        </w:rPr>
        <w:t>more actively with expert opinion</w:t>
      </w:r>
      <w:r w:rsidR="00AF3E85" w:rsidRPr="00AF3E85">
        <w:rPr>
          <w:rFonts w:ascii="Times New Roman" w:eastAsia="Times New Roman Bold" w:hAnsi="Times New Roman" w:cs="Times New Roman"/>
          <w:color w:val="FF0000"/>
          <w:sz w:val="24"/>
          <w:szCs w:val="24"/>
          <w:lang w:val="en-GB"/>
        </w:rPr>
        <w:t>.  For example, outside the domain of childbirth</w:t>
      </w:r>
      <w:r w:rsidR="00AF3E85">
        <w:rPr>
          <w:rFonts w:ascii="Times New Roman" w:eastAsia="Times New Roman Bold" w:hAnsi="Times New Roman" w:cs="Times New Roman"/>
          <w:color w:val="FF0000"/>
          <w:sz w:val="24"/>
          <w:szCs w:val="24"/>
          <w:lang w:val="en-GB"/>
        </w:rPr>
        <w:t>,</w:t>
      </w:r>
      <w:r w:rsidR="00AF3E85" w:rsidRPr="00AF3E85">
        <w:rPr>
          <w:rFonts w:ascii="Times New Roman" w:eastAsia="Times New Roman Bold" w:hAnsi="Times New Roman" w:cs="Times New Roman"/>
          <w:color w:val="FF0000"/>
          <w:sz w:val="24"/>
          <w:szCs w:val="24"/>
          <w:lang w:val="en-GB"/>
        </w:rPr>
        <w:t xml:space="preserve"> there is evidence to support the fact that judges have been more willing to question the conduct of General Practitioners, especially where the exercise of due caution would have seemingly avoided a very obvious risk with relative ease.</w:t>
      </w:r>
      <w:r w:rsidR="00AF3E85">
        <w:rPr>
          <w:rStyle w:val="FootnoteReference"/>
          <w:rFonts w:ascii="Times New Roman" w:eastAsia="Times New Roman Bold" w:hAnsi="Times New Roman" w:cs="Times New Roman"/>
          <w:color w:val="FF0000"/>
          <w:sz w:val="24"/>
          <w:szCs w:val="24"/>
          <w:lang w:val="en-GB"/>
        </w:rPr>
        <w:footnoteReference w:id="126"/>
      </w:r>
      <w:r w:rsidR="00AF3E85" w:rsidRPr="00AF3E85">
        <w:rPr>
          <w:rFonts w:ascii="Times New Roman" w:eastAsia="Times New Roman Bold" w:hAnsi="Times New Roman" w:cs="Times New Roman"/>
          <w:color w:val="FF0000"/>
          <w:sz w:val="24"/>
          <w:szCs w:val="24"/>
          <w:lang w:val="en-GB"/>
        </w:rPr>
        <w:t xml:space="preserve">  One possible reason for this is that judges may well feel more at ease in questioning what they perceive to be a</w:t>
      </w:r>
      <w:r w:rsidR="003963BB">
        <w:rPr>
          <w:rFonts w:ascii="Times New Roman" w:eastAsia="Times New Roman Bold" w:hAnsi="Times New Roman" w:cs="Times New Roman"/>
          <w:color w:val="FF0000"/>
          <w:sz w:val="24"/>
          <w:szCs w:val="24"/>
          <w:lang w:val="en-GB"/>
        </w:rPr>
        <w:t>n area of medicine that is less complex than obstetrics and gynaecology.  In a similar fashion though</w:t>
      </w:r>
      <w:r w:rsidR="00AF3E85" w:rsidRPr="00AF3E85">
        <w:rPr>
          <w:rFonts w:ascii="Times New Roman" w:eastAsia="Times New Roman Bold" w:hAnsi="Times New Roman" w:cs="Times New Roman"/>
          <w:color w:val="FF0000"/>
          <w:sz w:val="24"/>
          <w:szCs w:val="24"/>
          <w:lang w:val="en-GB"/>
        </w:rPr>
        <w:t xml:space="preserve">, prior to the 2012 Report, there is also some evidence of judges showing more initiative in respect of childbirth cases </w:t>
      </w:r>
      <w:r w:rsidR="00AF3E85" w:rsidRPr="00AF3E85">
        <w:rPr>
          <w:rFonts w:ascii="Times New Roman" w:eastAsia="Times New Roman Bold" w:hAnsi="Times New Roman" w:cs="Times New Roman"/>
          <w:i/>
          <w:color w:val="FF0000"/>
          <w:sz w:val="24"/>
          <w:szCs w:val="24"/>
          <w:lang w:val="en-GB"/>
        </w:rPr>
        <w:t>per se</w:t>
      </w:r>
      <w:r w:rsidR="00AF3E85" w:rsidRPr="00AF3E85">
        <w:rPr>
          <w:rFonts w:ascii="Times New Roman" w:eastAsia="Times New Roman Bold" w:hAnsi="Times New Roman" w:cs="Times New Roman"/>
          <w:color w:val="FF0000"/>
          <w:sz w:val="24"/>
          <w:szCs w:val="24"/>
          <w:lang w:val="en-GB"/>
        </w:rPr>
        <w:t>.</w:t>
      </w:r>
      <w:r w:rsidR="00AF3E85" w:rsidRPr="00AF3E85">
        <w:rPr>
          <w:rStyle w:val="FootnoteReference"/>
          <w:rFonts w:ascii="Times New Roman" w:eastAsia="Times New Roman Bold" w:hAnsi="Times New Roman" w:cs="Times New Roman"/>
          <w:color w:val="FF0000"/>
          <w:sz w:val="24"/>
          <w:szCs w:val="24"/>
          <w:lang w:val="en-GB"/>
        </w:rPr>
        <w:footnoteReference w:id="127"/>
      </w:r>
      <w:r w:rsidR="00AF3E85" w:rsidRPr="00AF3E85">
        <w:rPr>
          <w:rFonts w:ascii="Times New Roman" w:eastAsia="Times New Roman Bold" w:hAnsi="Times New Roman" w:cs="Times New Roman"/>
          <w:color w:val="FF0000"/>
          <w:sz w:val="24"/>
          <w:szCs w:val="24"/>
          <w:lang w:val="en-GB"/>
        </w:rPr>
        <w:t xml:space="preserve">  It is only post 2012 that the picture becomes a little bleaker and it </w:t>
      </w:r>
      <w:r w:rsidR="00D70D82" w:rsidRPr="00AF3E85">
        <w:rPr>
          <w:rFonts w:ascii="Times New Roman" w:eastAsia="Times New Roman Bold" w:hAnsi="Times New Roman" w:cs="Times New Roman"/>
          <w:color w:val="FF0000"/>
          <w:sz w:val="24"/>
          <w:szCs w:val="24"/>
          <w:lang w:val="en-GB"/>
        </w:rPr>
        <w:t xml:space="preserve">does cause one to question why </w:t>
      </w:r>
      <w:r w:rsidR="00AF3E85" w:rsidRPr="00AF3E85">
        <w:rPr>
          <w:rFonts w:ascii="Times New Roman" w:eastAsia="Times New Roman Bold" w:hAnsi="Times New Roman" w:cs="Times New Roman"/>
          <w:color w:val="FF0000"/>
          <w:sz w:val="24"/>
          <w:szCs w:val="24"/>
          <w:lang w:val="en-GB"/>
        </w:rPr>
        <w:t xml:space="preserve">in recent times </w:t>
      </w:r>
      <w:r w:rsidR="00D70D82" w:rsidRPr="00AF3E85">
        <w:rPr>
          <w:rFonts w:ascii="Times New Roman" w:eastAsia="Times New Roman Bold" w:hAnsi="Times New Roman" w:cs="Times New Roman"/>
          <w:color w:val="FF0000"/>
          <w:sz w:val="24"/>
          <w:szCs w:val="24"/>
          <w:lang w:val="en-GB"/>
        </w:rPr>
        <w:t>judges</w:t>
      </w:r>
      <w:r w:rsidR="00AF3E85" w:rsidRPr="00AF3E85">
        <w:rPr>
          <w:rFonts w:ascii="Times New Roman" w:eastAsia="Times New Roman Bold" w:hAnsi="Times New Roman" w:cs="Times New Roman"/>
          <w:color w:val="FF0000"/>
          <w:sz w:val="24"/>
          <w:szCs w:val="24"/>
          <w:lang w:val="en-GB"/>
        </w:rPr>
        <w:t xml:space="preserve"> </w:t>
      </w:r>
      <w:r w:rsidR="00D70D82" w:rsidRPr="00AF3E85">
        <w:rPr>
          <w:rFonts w:ascii="Times New Roman" w:eastAsia="Times New Roman Bold" w:hAnsi="Times New Roman" w:cs="Times New Roman"/>
          <w:color w:val="FF0000"/>
          <w:sz w:val="24"/>
          <w:szCs w:val="24"/>
          <w:lang w:val="en-GB"/>
        </w:rPr>
        <w:t xml:space="preserve">seem </w:t>
      </w:r>
      <w:r w:rsidR="00AF3E85" w:rsidRPr="00AF3E85">
        <w:rPr>
          <w:rFonts w:ascii="Times New Roman" w:eastAsia="Times New Roman Bold" w:hAnsi="Times New Roman" w:cs="Times New Roman"/>
          <w:color w:val="FF0000"/>
          <w:sz w:val="24"/>
          <w:szCs w:val="24"/>
          <w:lang w:val="en-GB"/>
        </w:rPr>
        <w:t xml:space="preserve">so </w:t>
      </w:r>
      <w:r w:rsidR="00D70D82" w:rsidRPr="00AF3E85">
        <w:rPr>
          <w:rFonts w:ascii="Times New Roman" w:eastAsia="Times New Roman Bold" w:hAnsi="Times New Roman" w:cs="Times New Roman"/>
          <w:color w:val="FF0000"/>
          <w:sz w:val="24"/>
          <w:szCs w:val="24"/>
          <w:lang w:val="en-GB"/>
        </w:rPr>
        <w:t>reluctant to</w:t>
      </w:r>
      <w:r w:rsidR="00AF3E85" w:rsidRPr="00AF3E85">
        <w:rPr>
          <w:rFonts w:ascii="Times New Roman" w:eastAsia="Times New Roman Bold" w:hAnsi="Times New Roman" w:cs="Times New Roman"/>
          <w:color w:val="FF0000"/>
          <w:sz w:val="24"/>
          <w:szCs w:val="24"/>
          <w:lang w:val="en-GB"/>
        </w:rPr>
        <w:t xml:space="preserve"> engage more carefully with the weighing of risks and benefits in maternity </w:t>
      </w:r>
      <w:r w:rsidR="00D70D82" w:rsidRPr="00AF3E85">
        <w:rPr>
          <w:rFonts w:ascii="Times New Roman" w:eastAsia="Times New Roman Bold" w:hAnsi="Times New Roman" w:cs="Times New Roman"/>
          <w:color w:val="FF0000"/>
          <w:sz w:val="24"/>
          <w:szCs w:val="24"/>
          <w:lang w:val="en-GB"/>
        </w:rPr>
        <w:t>cases.</w:t>
      </w:r>
      <w:r w:rsidR="00AF3E85">
        <w:rPr>
          <w:rFonts w:ascii="Times New Roman" w:eastAsia="Times New Roman Bold" w:hAnsi="Times New Roman" w:cs="Times New Roman"/>
          <w:sz w:val="24"/>
          <w:szCs w:val="24"/>
          <w:lang w:val="en-GB"/>
        </w:rPr>
        <w:t xml:space="preserve">  </w:t>
      </w:r>
      <w:r w:rsidR="00320E3A">
        <w:rPr>
          <w:rFonts w:ascii="Times New Roman" w:eastAsia="Times New Roman Bold" w:hAnsi="Times New Roman" w:cs="Times New Roman"/>
          <w:sz w:val="24"/>
          <w:szCs w:val="24"/>
          <w:lang w:val="en-GB"/>
        </w:rPr>
        <w:t>This may be reflective of a more widespread attitude of deference towards medical testimony which may, in part, be driven by policy-based concerns that healthcare professionals should not have to make medical decisions with the threat of a negligence action hanging over their h</w:t>
      </w:r>
      <w:r w:rsidR="009D0D59">
        <w:rPr>
          <w:rFonts w:ascii="Times New Roman" w:eastAsia="Times New Roman Bold" w:hAnsi="Times New Roman" w:cs="Times New Roman"/>
          <w:sz w:val="24"/>
          <w:szCs w:val="24"/>
          <w:lang w:val="en-GB"/>
        </w:rPr>
        <w:t xml:space="preserve">eads like the sword of Damocles.  Policy considerations aimed at protecting healthcare professionals are justifiable up to a certain point, but there are situations in which these can be legitimately overridden by recourse to equally, if not more, compelling factors affecting protection of patients.  </w:t>
      </w:r>
      <w:r w:rsidR="00320E3A">
        <w:rPr>
          <w:rFonts w:ascii="Times New Roman" w:eastAsia="Times New Roman Bold" w:hAnsi="Times New Roman" w:cs="Times New Roman"/>
          <w:sz w:val="24"/>
          <w:szCs w:val="24"/>
          <w:lang w:val="en-GB"/>
        </w:rPr>
        <w:t xml:space="preserve"> </w:t>
      </w:r>
      <w:r w:rsidR="00AF3E85" w:rsidRPr="002B16A7">
        <w:rPr>
          <w:rFonts w:ascii="Times New Roman" w:eastAsia="Times New Roman Bold" w:hAnsi="Times New Roman" w:cs="Times New Roman"/>
          <w:color w:val="FF0000"/>
          <w:sz w:val="24"/>
          <w:szCs w:val="24"/>
          <w:lang w:val="en-GB"/>
        </w:rPr>
        <w:t xml:space="preserve">In response, I have </w:t>
      </w:r>
      <w:r w:rsidR="00D060A5" w:rsidRPr="002B16A7">
        <w:rPr>
          <w:rFonts w:ascii="Times New Roman" w:hAnsi="Times New Roman" w:cs="Times New Roman"/>
          <w:color w:val="FF0000"/>
          <w:sz w:val="24"/>
          <w:szCs w:val="24"/>
          <w:lang w:val="en-GB"/>
        </w:rPr>
        <w:t xml:space="preserve">argued </w:t>
      </w:r>
      <w:r w:rsidR="00D060A5" w:rsidRPr="009645E5">
        <w:rPr>
          <w:rFonts w:ascii="Times New Roman" w:hAnsi="Times New Roman" w:cs="Times New Roman"/>
          <w:sz w:val="24"/>
          <w:szCs w:val="24"/>
          <w:lang w:val="en-GB"/>
        </w:rPr>
        <w:t>elsewhere in respect of clinical negligence claims in general that the courts, after engaging in an objective assessment of the evidence from a risk benefit perspective, should ask the simple question: was the patient exposed to an unreasonable risk in the circumstances?</w:t>
      </w:r>
      <w:r w:rsidR="00D060A5" w:rsidRPr="009645E5">
        <w:rPr>
          <w:rFonts w:ascii="Times New Roman" w:eastAsia="Times New Roman Bold" w:hAnsi="Times New Roman" w:cs="Times New Roman"/>
          <w:sz w:val="24"/>
          <w:szCs w:val="24"/>
          <w:vertAlign w:val="superscript"/>
          <w:lang w:val="en-GB"/>
        </w:rPr>
        <w:footnoteReference w:id="128"/>
      </w:r>
      <w:r w:rsidR="00D060A5" w:rsidRPr="009645E5">
        <w:rPr>
          <w:rFonts w:ascii="Times New Roman" w:hAnsi="Times New Roman" w:cs="Times New Roman"/>
          <w:sz w:val="24"/>
          <w:szCs w:val="24"/>
          <w:lang w:val="en-GB"/>
        </w:rPr>
        <w:t xml:space="preserve">  </w:t>
      </w:r>
      <w:r w:rsidR="00320E3A">
        <w:rPr>
          <w:rFonts w:ascii="Times New Roman" w:hAnsi="Times New Roman" w:cs="Times New Roman"/>
          <w:sz w:val="24"/>
          <w:szCs w:val="24"/>
          <w:lang w:val="en-GB"/>
        </w:rPr>
        <w:t xml:space="preserve">This </w:t>
      </w:r>
      <w:r w:rsidR="00430251">
        <w:rPr>
          <w:rFonts w:ascii="Times New Roman" w:eastAsia="Times New Roman Bold" w:hAnsi="Times New Roman" w:cs="Times New Roman"/>
          <w:sz w:val="24"/>
          <w:szCs w:val="24"/>
          <w:lang w:val="en-GB"/>
        </w:rPr>
        <w:t>may</w:t>
      </w:r>
      <w:r w:rsidR="00320E3A">
        <w:rPr>
          <w:rFonts w:ascii="Times New Roman" w:eastAsia="Times New Roman Bold" w:hAnsi="Times New Roman" w:cs="Times New Roman"/>
          <w:sz w:val="24"/>
          <w:szCs w:val="24"/>
          <w:lang w:val="en-GB"/>
        </w:rPr>
        <w:t xml:space="preserve"> only be met with a </w:t>
      </w:r>
      <w:r w:rsidR="00FA3E6D">
        <w:rPr>
          <w:rFonts w:ascii="Times New Roman" w:eastAsia="Times New Roman Bold" w:hAnsi="Times New Roman" w:cs="Times New Roman"/>
          <w:sz w:val="24"/>
          <w:szCs w:val="24"/>
          <w:lang w:val="en-GB"/>
        </w:rPr>
        <w:t>lukewarm</w:t>
      </w:r>
      <w:r w:rsidR="00320E3A">
        <w:rPr>
          <w:rFonts w:ascii="Times New Roman" w:eastAsia="Times New Roman Bold" w:hAnsi="Times New Roman" w:cs="Times New Roman"/>
          <w:sz w:val="24"/>
          <w:szCs w:val="24"/>
          <w:lang w:val="en-GB"/>
        </w:rPr>
        <w:t xml:space="preserve"> response by some critics </w:t>
      </w:r>
      <w:r w:rsidR="00D67937">
        <w:rPr>
          <w:rFonts w:ascii="Times New Roman" w:eastAsia="Times New Roman Bold" w:hAnsi="Times New Roman" w:cs="Times New Roman"/>
          <w:sz w:val="24"/>
          <w:szCs w:val="24"/>
          <w:lang w:val="en-GB"/>
        </w:rPr>
        <w:t xml:space="preserve">who will no doubt point out that judges </w:t>
      </w:r>
      <w:r w:rsidR="00FA3E6D">
        <w:rPr>
          <w:rFonts w:ascii="Times New Roman" w:eastAsia="Times New Roman Bold" w:hAnsi="Times New Roman" w:cs="Times New Roman"/>
          <w:sz w:val="24"/>
          <w:szCs w:val="24"/>
          <w:lang w:val="en-GB"/>
        </w:rPr>
        <w:t>may</w:t>
      </w:r>
      <w:r w:rsidR="00D060A5">
        <w:rPr>
          <w:rFonts w:ascii="Times New Roman" w:eastAsia="Times New Roman Bold" w:hAnsi="Times New Roman" w:cs="Times New Roman"/>
          <w:sz w:val="24"/>
          <w:szCs w:val="24"/>
          <w:lang w:val="en-GB"/>
        </w:rPr>
        <w:t xml:space="preserve"> be </w:t>
      </w:r>
      <w:r w:rsidR="00864A8E">
        <w:rPr>
          <w:rFonts w:ascii="Times New Roman" w:eastAsia="Times New Roman Bold" w:hAnsi="Times New Roman" w:cs="Times New Roman"/>
          <w:sz w:val="24"/>
          <w:szCs w:val="24"/>
          <w:lang w:val="en-GB"/>
        </w:rPr>
        <w:t xml:space="preserve">unwilling </w:t>
      </w:r>
      <w:r w:rsidR="00D060A5">
        <w:rPr>
          <w:rFonts w:ascii="Times New Roman" w:eastAsia="Times New Roman Bold" w:hAnsi="Times New Roman" w:cs="Times New Roman"/>
          <w:sz w:val="24"/>
          <w:szCs w:val="24"/>
          <w:lang w:val="en-GB"/>
        </w:rPr>
        <w:t>to</w:t>
      </w:r>
      <w:r w:rsidR="00E90A36">
        <w:rPr>
          <w:rFonts w:ascii="Times New Roman" w:eastAsia="Times New Roman Bold" w:hAnsi="Times New Roman" w:cs="Times New Roman"/>
          <w:sz w:val="24"/>
          <w:szCs w:val="24"/>
          <w:lang w:val="en-GB"/>
        </w:rPr>
        <w:t xml:space="preserve"> make decisions which give the impression that they may be </w:t>
      </w:r>
      <w:r w:rsidR="00D060A5">
        <w:rPr>
          <w:rFonts w:ascii="Times New Roman" w:eastAsia="Times New Roman Bold" w:hAnsi="Times New Roman" w:cs="Times New Roman"/>
          <w:sz w:val="24"/>
          <w:szCs w:val="24"/>
          <w:lang w:val="en-GB"/>
        </w:rPr>
        <w:t>encroach</w:t>
      </w:r>
      <w:r w:rsidR="00E90A36">
        <w:rPr>
          <w:rFonts w:ascii="Times New Roman" w:eastAsia="Times New Roman Bold" w:hAnsi="Times New Roman" w:cs="Times New Roman"/>
          <w:sz w:val="24"/>
          <w:szCs w:val="24"/>
          <w:lang w:val="en-GB"/>
        </w:rPr>
        <w:t>ing</w:t>
      </w:r>
      <w:r w:rsidR="00D060A5">
        <w:rPr>
          <w:rFonts w:ascii="Times New Roman" w:eastAsia="Times New Roman Bold" w:hAnsi="Times New Roman" w:cs="Times New Roman"/>
          <w:sz w:val="24"/>
          <w:szCs w:val="24"/>
          <w:lang w:val="en-GB"/>
        </w:rPr>
        <w:t xml:space="preserve"> on the views expressed by medical experts</w:t>
      </w:r>
      <w:r w:rsidR="00320E3A">
        <w:rPr>
          <w:rFonts w:ascii="Times New Roman" w:eastAsia="Times New Roman Bold" w:hAnsi="Times New Roman" w:cs="Times New Roman"/>
          <w:sz w:val="24"/>
          <w:szCs w:val="24"/>
          <w:lang w:val="en-GB"/>
        </w:rPr>
        <w:t xml:space="preserve">.  Thus, it is important to remember that </w:t>
      </w:r>
      <w:r w:rsidR="001D392A">
        <w:rPr>
          <w:rFonts w:ascii="Times New Roman" w:eastAsia="Times New Roman Bold" w:hAnsi="Times New Roman" w:cs="Times New Roman"/>
          <w:sz w:val="24"/>
          <w:szCs w:val="24"/>
          <w:lang w:val="en-GB"/>
        </w:rPr>
        <w:t>w</w:t>
      </w:r>
      <w:r w:rsidR="00D060A5">
        <w:rPr>
          <w:rFonts w:ascii="Times New Roman" w:eastAsia="Times New Roman Bold" w:hAnsi="Times New Roman" w:cs="Times New Roman"/>
          <w:sz w:val="24"/>
          <w:szCs w:val="24"/>
          <w:lang w:val="en-GB"/>
        </w:rPr>
        <w:t>here there is competing evidence on both side</w:t>
      </w:r>
      <w:r w:rsidR="00E90A36">
        <w:rPr>
          <w:rFonts w:ascii="Times New Roman" w:eastAsia="Times New Roman Bold" w:hAnsi="Times New Roman" w:cs="Times New Roman"/>
          <w:sz w:val="24"/>
          <w:szCs w:val="24"/>
          <w:lang w:val="en-GB"/>
        </w:rPr>
        <w:t>s</w:t>
      </w:r>
      <w:r w:rsidR="001D392A">
        <w:rPr>
          <w:rFonts w:ascii="Times New Roman" w:eastAsia="Times New Roman Bold" w:hAnsi="Times New Roman" w:cs="Times New Roman"/>
          <w:sz w:val="24"/>
          <w:szCs w:val="24"/>
          <w:lang w:val="en-GB"/>
        </w:rPr>
        <w:t>,</w:t>
      </w:r>
      <w:r w:rsidR="00E90A36">
        <w:rPr>
          <w:rFonts w:ascii="Times New Roman" w:eastAsia="Times New Roman Bold" w:hAnsi="Times New Roman" w:cs="Times New Roman"/>
          <w:sz w:val="24"/>
          <w:szCs w:val="24"/>
          <w:lang w:val="en-GB"/>
        </w:rPr>
        <w:t xml:space="preserve"> </w:t>
      </w:r>
      <w:r w:rsidR="00D060A5">
        <w:rPr>
          <w:rFonts w:ascii="Times New Roman" w:eastAsia="Times New Roman Bold" w:hAnsi="Times New Roman" w:cs="Times New Roman"/>
          <w:sz w:val="24"/>
          <w:szCs w:val="24"/>
          <w:lang w:val="en-GB"/>
        </w:rPr>
        <w:t>a judge is not being asked to impose her own view over that of the defendant’s experts, she is simply being asked to</w:t>
      </w:r>
      <w:r>
        <w:rPr>
          <w:rFonts w:ascii="Times New Roman" w:eastAsia="Times New Roman Bold" w:hAnsi="Times New Roman" w:cs="Times New Roman"/>
          <w:sz w:val="24"/>
          <w:szCs w:val="24"/>
          <w:lang w:val="en-GB"/>
        </w:rPr>
        <w:t xml:space="preserve"> objectively </w:t>
      </w:r>
      <w:r w:rsidR="00D060A5">
        <w:rPr>
          <w:rFonts w:ascii="Times New Roman" w:eastAsia="Times New Roman Bold" w:hAnsi="Times New Roman" w:cs="Times New Roman"/>
          <w:sz w:val="24"/>
          <w:szCs w:val="24"/>
          <w:lang w:val="en-GB"/>
        </w:rPr>
        <w:t>arbitrate between</w:t>
      </w:r>
      <w:r w:rsidR="001D392A">
        <w:rPr>
          <w:rFonts w:ascii="Times New Roman" w:eastAsia="Times New Roman Bold" w:hAnsi="Times New Roman" w:cs="Times New Roman"/>
          <w:sz w:val="24"/>
          <w:szCs w:val="24"/>
          <w:lang w:val="en-GB"/>
        </w:rPr>
        <w:t xml:space="preserve"> </w:t>
      </w:r>
      <w:r w:rsidR="00D060A5">
        <w:rPr>
          <w:rFonts w:ascii="Times New Roman" w:eastAsia="Times New Roman Bold" w:hAnsi="Times New Roman" w:cs="Times New Roman"/>
          <w:sz w:val="24"/>
          <w:szCs w:val="24"/>
          <w:lang w:val="en-GB"/>
        </w:rPr>
        <w:t>two conflicting factions.</w:t>
      </w:r>
      <w:r w:rsidR="00320E3A">
        <w:rPr>
          <w:rFonts w:ascii="Times New Roman" w:eastAsia="Times New Roman Bold" w:hAnsi="Times New Roman" w:cs="Times New Roman"/>
          <w:sz w:val="24"/>
          <w:szCs w:val="24"/>
          <w:lang w:val="en-GB"/>
        </w:rPr>
        <w:t xml:space="preserve">  The argument is not that liability should be founded simply </w:t>
      </w:r>
      <w:r w:rsidR="00E90A36">
        <w:rPr>
          <w:rFonts w:ascii="Times New Roman" w:eastAsia="Times New Roman Bold" w:hAnsi="Times New Roman" w:cs="Times New Roman"/>
          <w:sz w:val="24"/>
          <w:szCs w:val="24"/>
          <w:lang w:val="en-GB"/>
        </w:rPr>
        <w:t xml:space="preserve">on the basis that what is suggested by the claimant’s experts seems </w:t>
      </w:r>
      <w:r w:rsidR="00E90A36" w:rsidRPr="00864A8E">
        <w:rPr>
          <w:rFonts w:ascii="Times New Roman" w:eastAsia="Times New Roman Bold" w:hAnsi="Times New Roman" w:cs="Times New Roman"/>
          <w:i/>
          <w:iCs/>
          <w:sz w:val="24"/>
          <w:szCs w:val="24"/>
          <w:lang w:val="en-GB"/>
        </w:rPr>
        <w:t xml:space="preserve">more </w:t>
      </w:r>
      <w:r w:rsidR="001D392A" w:rsidRPr="00864A8E">
        <w:rPr>
          <w:rFonts w:ascii="Times New Roman" w:eastAsia="Times New Roman Bold" w:hAnsi="Times New Roman" w:cs="Times New Roman"/>
          <w:i/>
          <w:iCs/>
          <w:sz w:val="24"/>
          <w:szCs w:val="24"/>
          <w:lang w:val="en-GB"/>
        </w:rPr>
        <w:t>reasonable</w:t>
      </w:r>
      <w:r w:rsidR="001D392A">
        <w:rPr>
          <w:rFonts w:ascii="Times New Roman" w:eastAsia="Times New Roman Bold" w:hAnsi="Times New Roman" w:cs="Times New Roman"/>
          <w:sz w:val="24"/>
          <w:szCs w:val="24"/>
          <w:lang w:val="en-GB"/>
        </w:rPr>
        <w:t xml:space="preserve">; the crucial point is that a judge must deem the evidence offered on behalf of the defendant to be </w:t>
      </w:r>
      <w:r w:rsidR="001D392A" w:rsidRPr="001D392A">
        <w:rPr>
          <w:rFonts w:ascii="Times New Roman" w:eastAsia="Times New Roman Bold" w:hAnsi="Times New Roman" w:cs="Times New Roman"/>
          <w:i/>
          <w:iCs/>
          <w:sz w:val="24"/>
          <w:szCs w:val="24"/>
          <w:lang w:val="en-GB"/>
        </w:rPr>
        <w:t>unreasonable</w:t>
      </w:r>
      <w:r w:rsidR="009D0D59">
        <w:rPr>
          <w:rFonts w:ascii="Times New Roman" w:eastAsia="Times New Roman Bold" w:hAnsi="Times New Roman" w:cs="Times New Roman"/>
          <w:sz w:val="24"/>
          <w:szCs w:val="24"/>
          <w:lang w:val="en-GB"/>
        </w:rPr>
        <w:t xml:space="preserve">.  </w:t>
      </w:r>
      <w:r w:rsidR="005E261E" w:rsidRPr="009645E5">
        <w:rPr>
          <w:rFonts w:ascii="Times New Roman" w:hAnsi="Times New Roman" w:cs="Times New Roman"/>
          <w:sz w:val="24"/>
          <w:szCs w:val="24"/>
          <w:lang w:val="en-GB"/>
        </w:rPr>
        <w:t xml:space="preserve">Bearing in mind </w:t>
      </w:r>
      <w:r w:rsidR="00D70D82" w:rsidRPr="009645E5">
        <w:rPr>
          <w:rFonts w:ascii="Times New Roman" w:hAnsi="Times New Roman" w:cs="Times New Roman"/>
          <w:sz w:val="24"/>
          <w:szCs w:val="24"/>
          <w:lang w:val="en-GB"/>
        </w:rPr>
        <w:t xml:space="preserve">what is at stake in childbirth - the rights and interests of the mother, considerations pertaining to the health and wellbeing of the fetus, the severity of injury that is often suffered, and how this impacts on future </w:t>
      </w:r>
      <w:r w:rsidR="00EB198A" w:rsidRPr="009645E5">
        <w:rPr>
          <w:rFonts w:ascii="Times New Roman" w:hAnsi="Times New Roman" w:cs="Times New Roman"/>
          <w:sz w:val="24"/>
          <w:szCs w:val="24"/>
          <w:lang w:val="en-GB"/>
        </w:rPr>
        <w:t xml:space="preserve">lives </w:t>
      </w:r>
      <w:r w:rsidR="00D70D82" w:rsidRPr="009645E5">
        <w:rPr>
          <w:rFonts w:ascii="Times New Roman" w:hAnsi="Times New Roman" w:cs="Times New Roman"/>
          <w:sz w:val="24"/>
          <w:szCs w:val="24"/>
          <w:lang w:val="en-GB"/>
        </w:rPr>
        <w:t>care regimes - if ever there was a field in which the courts s</w:t>
      </w:r>
      <w:r w:rsidR="00864A8E">
        <w:rPr>
          <w:rFonts w:ascii="Times New Roman" w:hAnsi="Times New Roman" w:cs="Times New Roman"/>
          <w:sz w:val="24"/>
          <w:szCs w:val="24"/>
          <w:lang w:val="en-GB"/>
        </w:rPr>
        <w:t>hould be more rec</w:t>
      </w:r>
      <w:r w:rsidR="009D0D59">
        <w:rPr>
          <w:rFonts w:ascii="Times New Roman" w:hAnsi="Times New Roman" w:cs="Times New Roman"/>
          <w:sz w:val="24"/>
          <w:szCs w:val="24"/>
          <w:lang w:val="en-GB"/>
        </w:rPr>
        <w:t xml:space="preserve">eptive to the unreasonable risk </w:t>
      </w:r>
      <w:r w:rsidR="00864A8E">
        <w:rPr>
          <w:rFonts w:ascii="Times New Roman" w:hAnsi="Times New Roman" w:cs="Times New Roman"/>
          <w:sz w:val="24"/>
          <w:szCs w:val="24"/>
          <w:lang w:val="en-GB"/>
        </w:rPr>
        <w:t xml:space="preserve">approach </w:t>
      </w:r>
      <w:r w:rsidR="00D70D82" w:rsidRPr="009645E5">
        <w:rPr>
          <w:rFonts w:ascii="Times New Roman" w:hAnsi="Times New Roman" w:cs="Times New Roman"/>
          <w:sz w:val="24"/>
          <w:szCs w:val="24"/>
          <w:lang w:val="en-GB"/>
        </w:rPr>
        <w:t>it is here.  At present, the evidence indicates that in some situations judges are oblivious to the fact that the patient, on an objective examination of the whole rather</w:t>
      </w:r>
      <w:r w:rsidR="00E445F3" w:rsidRPr="009645E5">
        <w:rPr>
          <w:rFonts w:ascii="Times New Roman" w:hAnsi="Times New Roman" w:cs="Times New Roman"/>
          <w:sz w:val="24"/>
          <w:szCs w:val="24"/>
          <w:lang w:val="en-GB"/>
        </w:rPr>
        <w:t xml:space="preserve"> that the parts, was exposed to </w:t>
      </w:r>
      <w:r w:rsidR="00864A8E">
        <w:rPr>
          <w:rFonts w:ascii="Times New Roman" w:hAnsi="Times New Roman" w:cs="Times New Roman"/>
          <w:sz w:val="24"/>
          <w:szCs w:val="24"/>
          <w:lang w:val="en-GB"/>
        </w:rPr>
        <w:t xml:space="preserve">unjustifiable </w:t>
      </w:r>
      <w:r w:rsidR="00E445F3" w:rsidRPr="009645E5">
        <w:rPr>
          <w:rFonts w:ascii="Times New Roman" w:hAnsi="Times New Roman" w:cs="Times New Roman"/>
          <w:sz w:val="24"/>
          <w:szCs w:val="24"/>
          <w:lang w:val="en-GB"/>
        </w:rPr>
        <w:t xml:space="preserve">risk taking </w:t>
      </w:r>
      <w:r w:rsidR="00D70D82" w:rsidRPr="009645E5">
        <w:rPr>
          <w:rFonts w:ascii="Times New Roman" w:hAnsi="Times New Roman" w:cs="Times New Roman"/>
          <w:sz w:val="24"/>
          <w:szCs w:val="24"/>
          <w:lang w:val="en-GB"/>
        </w:rPr>
        <w:t xml:space="preserve">and this is something that the law of negligence should be slow to </w:t>
      </w:r>
      <w:r w:rsidR="00E6743F">
        <w:rPr>
          <w:rFonts w:ascii="Times New Roman" w:hAnsi="Times New Roman" w:cs="Times New Roman"/>
          <w:sz w:val="24"/>
          <w:szCs w:val="24"/>
          <w:lang w:val="en-GB"/>
        </w:rPr>
        <w:t>tolerate</w:t>
      </w:r>
      <w:r w:rsidR="00E6743F">
        <w:rPr>
          <w:rFonts w:ascii="Times New Roman" w:eastAsia="Times New Roman Bold" w:hAnsi="Times New Roman" w:cs="Times New Roman"/>
          <w:sz w:val="24"/>
          <w:szCs w:val="24"/>
          <w:lang w:val="en-GB"/>
        </w:rPr>
        <w:t>.</w:t>
      </w:r>
    </w:p>
    <w:p w14:paraId="07E4F908" w14:textId="77777777" w:rsidR="005A51AF" w:rsidRPr="009645E5" w:rsidRDefault="005A51AF">
      <w:pPr>
        <w:pStyle w:val="BodyA"/>
        <w:spacing w:line="360" w:lineRule="auto"/>
        <w:jc w:val="both"/>
        <w:rPr>
          <w:rFonts w:ascii="Times New Roman" w:eastAsia="Times New Roman Bold" w:hAnsi="Times New Roman" w:cs="Times New Roman"/>
          <w:sz w:val="24"/>
          <w:szCs w:val="24"/>
          <w:lang w:val="en-GB"/>
        </w:rPr>
      </w:pPr>
    </w:p>
    <w:p w14:paraId="76324CFE" w14:textId="77777777" w:rsidR="005A51AF" w:rsidRPr="009645E5" w:rsidRDefault="005A51AF">
      <w:pPr>
        <w:pStyle w:val="BodyA"/>
        <w:jc w:val="both"/>
        <w:rPr>
          <w:rFonts w:ascii="Times New Roman" w:eastAsia="Times New Roman" w:hAnsi="Times New Roman" w:cs="Times New Roman"/>
          <w:sz w:val="24"/>
          <w:szCs w:val="24"/>
          <w:lang w:val="en-GB"/>
        </w:rPr>
      </w:pPr>
    </w:p>
    <w:p w14:paraId="02C0A91C" w14:textId="77777777" w:rsidR="005A51AF" w:rsidRPr="009645E5" w:rsidRDefault="005A51AF" w:rsidP="00D348F2">
      <w:pPr>
        <w:pStyle w:val="BodyA"/>
        <w:rPr>
          <w:rFonts w:ascii="Times New Roman" w:hAnsi="Times New Roman" w:cs="Times New Roman"/>
          <w:lang w:val="en-GB"/>
        </w:rPr>
      </w:pPr>
    </w:p>
    <w:sectPr w:rsidR="005A51AF" w:rsidRPr="009645E5">
      <w:headerReference w:type="default" r:id="rId9"/>
      <w:pgSz w:w="11900" w:h="16840"/>
      <w:pgMar w:top="1134" w:right="1134" w:bottom="1134" w:left="1134" w:header="283"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821FE" w14:textId="77777777" w:rsidR="00031CDC" w:rsidRDefault="00031CDC">
      <w:r>
        <w:separator/>
      </w:r>
    </w:p>
  </w:endnote>
  <w:endnote w:type="continuationSeparator" w:id="0">
    <w:p w14:paraId="664EBE12" w14:textId="77777777" w:rsidR="00031CDC" w:rsidRDefault="0003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951BC" w14:textId="77777777" w:rsidR="00031CDC" w:rsidRDefault="00031CDC">
      <w:r>
        <w:separator/>
      </w:r>
    </w:p>
  </w:footnote>
  <w:footnote w:type="continuationSeparator" w:id="0">
    <w:p w14:paraId="4FB4D315" w14:textId="77777777" w:rsidR="00031CDC" w:rsidRDefault="00031CDC">
      <w:r>
        <w:continuationSeparator/>
      </w:r>
    </w:p>
  </w:footnote>
  <w:footnote w:type="continuationNotice" w:id="1">
    <w:p w14:paraId="50192BD2" w14:textId="77777777" w:rsidR="00031CDC" w:rsidRDefault="00031CDC"/>
  </w:footnote>
  <w:footnote w:id="2">
    <w:p w14:paraId="79FA2F5B" w14:textId="2CCAE453" w:rsidR="00031CDC" w:rsidRPr="00031CDC" w:rsidRDefault="00031CDC" w:rsidP="002B16A7">
      <w:pPr>
        <w:jc w:val="both"/>
        <w:rPr>
          <w:color w:val="FF2D21" w:themeColor="accent5"/>
          <w:sz w:val="20"/>
          <w:szCs w:val="20"/>
        </w:rPr>
      </w:pPr>
      <w:r w:rsidRPr="00031CDC">
        <w:rPr>
          <w:color w:val="FF2D21" w:themeColor="accent5"/>
          <w:sz w:val="20"/>
          <w:szCs w:val="20"/>
        </w:rPr>
        <w:t xml:space="preserve">* LLB (Hons); PhD. Reader in Medical Law, UEA Law School. </w:t>
      </w:r>
      <w:hyperlink r:id="rId1" w:history="1">
        <w:r w:rsidRPr="00031CDC">
          <w:rPr>
            <w:rStyle w:val="Hyperlink"/>
            <w:color w:val="FF2D21" w:themeColor="accent5"/>
            <w:sz w:val="20"/>
            <w:szCs w:val="20"/>
            <w:u w:val="none"/>
          </w:rPr>
          <w:t>R.Heywood@Uea.Ac.Uk</w:t>
        </w:r>
      </w:hyperlink>
      <w:r w:rsidRPr="00031CDC">
        <w:rPr>
          <w:color w:val="FF2D21" w:themeColor="accent5"/>
          <w:sz w:val="20"/>
          <w:szCs w:val="20"/>
        </w:rPr>
        <w:t>.  Thanks are due to my colleague, Dr Gareth Spark, and also to Dr Sebastian Peyer and Dr Sarah Devaney, for their useful comments on an earlier draft of this piece.  Thanks are also due to the journal’s anonymous referees for their very helpful suggestions. The usual disclaimer applies.</w:t>
      </w:r>
      <w:r w:rsidRPr="00031CDC">
        <w:rPr>
          <w:color w:val="FF2D21" w:themeColor="accent5"/>
          <w:sz w:val="20"/>
          <w:szCs w:val="20"/>
        </w:rPr>
        <w:tab/>
      </w:r>
    </w:p>
    <w:p w14:paraId="0DF7A807" w14:textId="77777777" w:rsidR="00031CDC" w:rsidRPr="00031CDC" w:rsidRDefault="00031CDC" w:rsidP="002B16A7">
      <w:pPr>
        <w:pStyle w:val="NoSpacing"/>
        <w:jc w:val="both"/>
        <w:rPr>
          <w:color w:val="FF2D21" w:themeColor="accent5"/>
          <w:sz w:val="20"/>
          <w:szCs w:val="20"/>
          <w:lang w:val="en-GB"/>
        </w:rPr>
      </w:pPr>
    </w:p>
    <w:p w14:paraId="70F5D2A8" w14:textId="77777777"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w:t>
      </w:r>
      <w:r w:rsidRPr="009645E5">
        <w:rPr>
          <w:i/>
          <w:iCs/>
          <w:lang w:val="en-GB"/>
        </w:rPr>
        <w:t>Inside Llewyn Davis</w:t>
      </w:r>
      <w:r w:rsidRPr="009645E5">
        <w:rPr>
          <w:lang w:val="en-GB"/>
        </w:rPr>
        <w:t>. Written by Joel and Ethan Coen.  Directed by Joel and Ethan Coen.  Produced by Scott Rudin and Joel and Ethan Coen. Studio: Mike Zoss Productions, Scott Rudin Productions and Studio Canal. Distributed by CBS Films and Studio Canal. 2013.</w:t>
      </w:r>
    </w:p>
    <w:p w14:paraId="219F6720" w14:textId="77777777" w:rsidR="00031CDC" w:rsidRPr="009645E5" w:rsidRDefault="00031CDC" w:rsidP="002B16A7">
      <w:pPr>
        <w:pStyle w:val="FootnoteText"/>
        <w:jc w:val="both"/>
        <w:rPr>
          <w:lang w:val="en-GB"/>
        </w:rPr>
      </w:pPr>
    </w:p>
  </w:footnote>
  <w:footnote w:id="3">
    <w:p w14:paraId="7B440645" w14:textId="771C2C58" w:rsidR="00031CDC" w:rsidRPr="009645E5" w:rsidRDefault="00031CDC" w:rsidP="002B16A7">
      <w:pPr>
        <w:pStyle w:val="FootnoteText"/>
        <w:jc w:val="both"/>
        <w:rPr>
          <w:lang w:val="en-GB"/>
        </w:rPr>
      </w:pPr>
      <w:r w:rsidRPr="009645E5">
        <w:rPr>
          <w:vertAlign w:val="superscript"/>
          <w:lang w:val="en-GB"/>
        </w:rPr>
        <w:footnoteRef/>
      </w:r>
      <w:r>
        <w:rPr>
          <w:lang w:val="en-GB"/>
        </w:rPr>
        <w:t xml:space="preserve"> See below n 26.</w:t>
      </w:r>
    </w:p>
    <w:p w14:paraId="7BB1887D" w14:textId="77777777" w:rsidR="00031CDC" w:rsidRPr="009645E5" w:rsidRDefault="00031CDC" w:rsidP="002B16A7">
      <w:pPr>
        <w:pStyle w:val="FootnoteText"/>
        <w:jc w:val="both"/>
        <w:rPr>
          <w:lang w:val="en-GB"/>
        </w:rPr>
      </w:pPr>
    </w:p>
  </w:footnote>
  <w:footnote w:id="4">
    <w:p w14:paraId="50EEAA2A" w14:textId="22A49C03" w:rsidR="00031CDC" w:rsidRDefault="00031CDC" w:rsidP="002B16A7">
      <w:pPr>
        <w:pStyle w:val="FootnoteText"/>
        <w:jc w:val="both"/>
        <w:rPr>
          <w:lang w:val="en-GB"/>
        </w:rPr>
      </w:pPr>
      <w:r w:rsidRPr="009645E5">
        <w:rPr>
          <w:vertAlign w:val="superscript"/>
          <w:lang w:val="en-GB"/>
        </w:rPr>
        <w:footnoteRef/>
      </w:r>
      <w:r w:rsidRPr="009645E5">
        <w:rPr>
          <w:lang w:val="en-GB"/>
        </w:rPr>
        <w:t xml:space="preserve"> It is reported that, between 1/4/2003 and 31/3/13, out of 68,136 total files opened, 32,268 (47.36%) claims have been settled out of court.  See ‘NHSLA Factsheet Number 3: Information on Claims’, July 2013.  Written correspondence between the NHSLA and the author confirmed that of the 32,268 settled claims, 5,368 related to obstetrics and gynaecology.  </w:t>
      </w:r>
    </w:p>
    <w:p w14:paraId="63C48522" w14:textId="77777777" w:rsidR="00031CDC" w:rsidRPr="009645E5" w:rsidRDefault="00031CDC" w:rsidP="002B16A7">
      <w:pPr>
        <w:pStyle w:val="FootnoteText"/>
        <w:jc w:val="both"/>
        <w:rPr>
          <w:lang w:val="en-GB"/>
        </w:rPr>
      </w:pPr>
    </w:p>
  </w:footnote>
  <w:footnote w:id="5">
    <w:p w14:paraId="65A8642D" w14:textId="7828555D" w:rsidR="00031CDC" w:rsidRPr="00586A23" w:rsidRDefault="00031CDC" w:rsidP="002B16A7">
      <w:pPr>
        <w:pStyle w:val="FootnoteText"/>
        <w:jc w:val="both"/>
        <w:rPr>
          <w:color w:val="FF0000"/>
        </w:rPr>
      </w:pPr>
      <w:r w:rsidRPr="00586A23">
        <w:rPr>
          <w:rStyle w:val="FootnoteReference"/>
          <w:color w:val="FF0000"/>
        </w:rPr>
        <w:footnoteRef/>
      </w:r>
      <w:r w:rsidRPr="00586A23">
        <w:rPr>
          <w:color w:val="FF0000"/>
        </w:rPr>
        <w:t xml:space="preserve"> [1957] 1 WLR 582.</w:t>
      </w:r>
    </w:p>
    <w:p w14:paraId="3C5085C3" w14:textId="77777777" w:rsidR="00031CDC" w:rsidRPr="00586A23" w:rsidRDefault="00031CDC" w:rsidP="002B16A7">
      <w:pPr>
        <w:pStyle w:val="FootnoteText"/>
        <w:jc w:val="both"/>
        <w:rPr>
          <w:color w:val="FF0000"/>
        </w:rPr>
      </w:pPr>
    </w:p>
  </w:footnote>
  <w:footnote w:id="6">
    <w:p w14:paraId="5582FD76" w14:textId="1D4269C4" w:rsidR="00031CDC" w:rsidRPr="00586A23" w:rsidRDefault="00031CDC" w:rsidP="002B16A7">
      <w:pPr>
        <w:pStyle w:val="FootnoteText"/>
        <w:jc w:val="both"/>
        <w:rPr>
          <w:color w:val="FF0000"/>
        </w:rPr>
      </w:pPr>
      <w:r w:rsidRPr="00586A23">
        <w:rPr>
          <w:rStyle w:val="FootnoteReference"/>
          <w:color w:val="FF0000"/>
        </w:rPr>
        <w:footnoteRef/>
      </w:r>
      <w:r w:rsidRPr="00586A23">
        <w:rPr>
          <w:color w:val="FF0000"/>
        </w:rPr>
        <w:t xml:space="preserve"> Ibid at 587.</w:t>
      </w:r>
    </w:p>
    <w:p w14:paraId="17E04C23" w14:textId="77777777" w:rsidR="00031CDC" w:rsidRPr="00586A23" w:rsidRDefault="00031CDC" w:rsidP="002B16A7">
      <w:pPr>
        <w:pStyle w:val="FootnoteText"/>
        <w:jc w:val="both"/>
        <w:rPr>
          <w:color w:val="FF0000"/>
        </w:rPr>
      </w:pPr>
    </w:p>
  </w:footnote>
  <w:footnote w:id="7">
    <w:p w14:paraId="6F02EA51" w14:textId="77777777" w:rsidR="00031CDC" w:rsidRPr="009645E5" w:rsidRDefault="00031CDC" w:rsidP="002B16A7">
      <w:pPr>
        <w:pStyle w:val="FootnoteText"/>
        <w:jc w:val="both"/>
        <w:rPr>
          <w:lang w:val="en-GB"/>
        </w:rPr>
      </w:pPr>
      <w:r w:rsidRPr="009645E5">
        <w:rPr>
          <w:vertAlign w:val="superscript"/>
          <w:lang w:val="en-GB"/>
        </w:rPr>
        <w:footnoteRef/>
      </w:r>
      <w:r w:rsidRPr="009645E5">
        <w:rPr>
          <w:i/>
          <w:iCs/>
          <w:lang w:val="en-GB"/>
        </w:rPr>
        <w:t xml:space="preserve"> Whitehouse v Jordan </w:t>
      </w:r>
      <w:r w:rsidRPr="009645E5">
        <w:rPr>
          <w:lang w:val="en-GB"/>
        </w:rPr>
        <w:t>[1981] 1 WLR 246.</w:t>
      </w:r>
    </w:p>
    <w:p w14:paraId="5DE41631" w14:textId="77777777" w:rsidR="00031CDC" w:rsidRPr="009645E5" w:rsidRDefault="00031CDC" w:rsidP="002B16A7">
      <w:pPr>
        <w:pStyle w:val="FootnoteText"/>
        <w:jc w:val="both"/>
        <w:rPr>
          <w:lang w:val="en-GB"/>
        </w:rPr>
      </w:pPr>
    </w:p>
  </w:footnote>
  <w:footnote w:id="8">
    <w:p w14:paraId="12343DE1" w14:textId="77777777"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w:t>
      </w:r>
      <w:r w:rsidRPr="009645E5">
        <w:rPr>
          <w:i/>
          <w:iCs/>
          <w:lang w:val="en-GB"/>
        </w:rPr>
        <w:t xml:space="preserve">Whitehouse v Jordan </w:t>
      </w:r>
      <w:r w:rsidRPr="009645E5">
        <w:rPr>
          <w:lang w:val="en-GB"/>
        </w:rPr>
        <w:t>[1980] 1 All ER 650, 658.</w:t>
      </w:r>
    </w:p>
    <w:p w14:paraId="79369FAD" w14:textId="77777777" w:rsidR="00031CDC" w:rsidRPr="009645E5" w:rsidRDefault="00031CDC" w:rsidP="002B16A7">
      <w:pPr>
        <w:pStyle w:val="FootnoteText"/>
        <w:jc w:val="both"/>
        <w:rPr>
          <w:lang w:val="en-GB"/>
        </w:rPr>
      </w:pPr>
    </w:p>
  </w:footnote>
  <w:footnote w:id="9">
    <w:p w14:paraId="3F989FDE" w14:textId="68D739D5"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See G Robertson, ‘</w:t>
      </w:r>
      <w:r w:rsidRPr="009645E5">
        <w:rPr>
          <w:i/>
          <w:iCs/>
          <w:lang w:val="en-GB"/>
        </w:rPr>
        <w:t>Whitehouse v Jordan</w:t>
      </w:r>
      <w:r w:rsidRPr="009645E5">
        <w:rPr>
          <w:lang w:val="en-GB"/>
        </w:rPr>
        <w:t xml:space="preserve"> - Medical Negligence Retried’ (1981) 44 </w:t>
      </w:r>
      <w:r w:rsidRPr="009645E5">
        <w:rPr>
          <w:i/>
          <w:iCs/>
          <w:lang w:val="en-GB"/>
        </w:rPr>
        <w:t>Modern Law Review</w:t>
      </w:r>
      <w:r w:rsidRPr="009645E5">
        <w:rPr>
          <w:lang w:val="en-GB"/>
        </w:rPr>
        <w:t xml:space="preserve"> 457. </w:t>
      </w:r>
    </w:p>
    <w:p w14:paraId="5D39D067" w14:textId="77777777" w:rsidR="00031CDC" w:rsidRPr="009645E5" w:rsidRDefault="00031CDC" w:rsidP="002B16A7">
      <w:pPr>
        <w:pStyle w:val="FootnoteText"/>
        <w:jc w:val="both"/>
        <w:rPr>
          <w:lang w:val="en-GB"/>
        </w:rPr>
      </w:pPr>
    </w:p>
  </w:footnote>
  <w:footnote w:id="10">
    <w:p w14:paraId="0DFCE792" w14:textId="7C4BA5FD"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w:t>
      </w:r>
      <w:r w:rsidRPr="009645E5">
        <w:rPr>
          <w:i/>
          <w:lang w:val="en-GB"/>
        </w:rPr>
        <w:t>Whitehouse</w:t>
      </w:r>
      <w:r>
        <w:rPr>
          <w:lang w:val="en-GB"/>
        </w:rPr>
        <w:t>, above n 6</w:t>
      </w:r>
      <w:r w:rsidRPr="009645E5">
        <w:rPr>
          <w:lang w:val="en-GB"/>
        </w:rPr>
        <w:t>, 263.</w:t>
      </w:r>
    </w:p>
    <w:p w14:paraId="3A4C91F3" w14:textId="77777777" w:rsidR="00031CDC" w:rsidRPr="009645E5" w:rsidRDefault="00031CDC" w:rsidP="002B16A7">
      <w:pPr>
        <w:pStyle w:val="FootnoteText"/>
        <w:jc w:val="both"/>
        <w:rPr>
          <w:lang w:val="en-GB"/>
        </w:rPr>
      </w:pPr>
    </w:p>
  </w:footnote>
  <w:footnote w:id="11">
    <w:p w14:paraId="2687DCD0" w14:textId="17542725" w:rsidR="00031CDC" w:rsidRPr="006B1F81" w:rsidRDefault="00031CDC" w:rsidP="002B16A7">
      <w:pPr>
        <w:pStyle w:val="FootnoteText"/>
        <w:jc w:val="both"/>
        <w:rPr>
          <w:lang w:val="en-GB"/>
        </w:rPr>
      </w:pPr>
      <w:r w:rsidRPr="009645E5">
        <w:rPr>
          <w:vertAlign w:val="superscript"/>
          <w:lang w:val="en-GB"/>
        </w:rPr>
        <w:footnoteRef/>
      </w:r>
      <w:r w:rsidRPr="009645E5">
        <w:rPr>
          <w:lang w:val="en-GB"/>
        </w:rPr>
        <w:t xml:space="preserve"> </w:t>
      </w:r>
      <w:r w:rsidRPr="009645E5">
        <w:rPr>
          <w:i/>
          <w:iCs/>
          <w:lang w:val="en-GB"/>
        </w:rPr>
        <w:t>Bolam</w:t>
      </w:r>
      <w:r>
        <w:rPr>
          <w:iCs/>
          <w:lang w:val="en-GB"/>
        </w:rPr>
        <w:t>, above n 4.</w:t>
      </w:r>
    </w:p>
    <w:p w14:paraId="452EE09E" w14:textId="77777777" w:rsidR="00031CDC" w:rsidRPr="009645E5" w:rsidRDefault="00031CDC" w:rsidP="002B16A7">
      <w:pPr>
        <w:pStyle w:val="FootnoteText"/>
        <w:jc w:val="both"/>
        <w:rPr>
          <w:lang w:val="en-GB"/>
        </w:rPr>
      </w:pPr>
    </w:p>
  </w:footnote>
  <w:footnote w:id="12">
    <w:p w14:paraId="326BEB0F" w14:textId="77777777"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w:t>
      </w:r>
      <w:r w:rsidRPr="009645E5">
        <w:rPr>
          <w:i/>
          <w:iCs/>
          <w:lang w:val="en-GB"/>
        </w:rPr>
        <w:t>Bolitho v City and Hackney Health Authority</w:t>
      </w:r>
      <w:r w:rsidRPr="009645E5">
        <w:rPr>
          <w:lang w:val="en-GB"/>
        </w:rPr>
        <w:t xml:space="preserve"> [1998] AC 232.</w:t>
      </w:r>
    </w:p>
    <w:p w14:paraId="71257A3C" w14:textId="77777777" w:rsidR="00031CDC" w:rsidRPr="009645E5" w:rsidRDefault="00031CDC" w:rsidP="002B16A7">
      <w:pPr>
        <w:pStyle w:val="FootnoteText"/>
        <w:jc w:val="both"/>
        <w:rPr>
          <w:lang w:val="en-GB"/>
        </w:rPr>
      </w:pPr>
    </w:p>
  </w:footnote>
  <w:footnote w:id="13">
    <w:p w14:paraId="45CF3D31" w14:textId="3B1F32ED"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See R Mulheron, ‘Trumping </w:t>
      </w:r>
      <w:r w:rsidRPr="009645E5">
        <w:rPr>
          <w:i/>
          <w:iCs/>
          <w:lang w:val="en-GB"/>
        </w:rPr>
        <w:t>Bolam</w:t>
      </w:r>
      <w:r w:rsidRPr="009645E5">
        <w:rPr>
          <w:lang w:val="en-GB"/>
        </w:rPr>
        <w:t xml:space="preserve">: A Critical Legal Analysis of </w:t>
      </w:r>
      <w:r w:rsidRPr="009645E5">
        <w:rPr>
          <w:i/>
          <w:iCs/>
          <w:lang w:val="en-GB"/>
        </w:rPr>
        <w:t>Bolitho’s</w:t>
      </w:r>
      <w:r w:rsidRPr="009645E5">
        <w:rPr>
          <w:lang w:val="en-GB"/>
        </w:rPr>
        <w:t xml:space="preserve"> “Gloss”’ (2010) 69 </w:t>
      </w:r>
      <w:r w:rsidRPr="009645E5">
        <w:rPr>
          <w:i/>
          <w:iCs/>
          <w:lang w:val="en-GB"/>
        </w:rPr>
        <w:t xml:space="preserve">Cambridge Law Journal </w:t>
      </w:r>
      <w:r w:rsidRPr="009645E5">
        <w:rPr>
          <w:lang w:val="en-GB"/>
        </w:rPr>
        <w:t xml:space="preserve">609; R Heywood, ‘The Logic of </w:t>
      </w:r>
      <w:r w:rsidRPr="009645E5">
        <w:rPr>
          <w:i/>
          <w:iCs/>
          <w:lang w:val="en-GB"/>
        </w:rPr>
        <w:t>Bolitho</w:t>
      </w:r>
      <w:r w:rsidRPr="009645E5">
        <w:rPr>
          <w:lang w:val="en-GB"/>
        </w:rPr>
        <w:t xml:space="preserve">’ (2006) 22 </w:t>
      </w:r>
      <w:r w:rsidRPr="009645E5">
        <w:rPr>
          <w:i/>
          <w:iCs/>
          <w:lang w:val="en-GB"/>
        </w:rPr>
        <w:t>Journal of Professional Negligence</w:t>
      </w:r>
      <w:r w:rsidRPr="009645E5">
        <w:rPr>
          <w:lang w:val="en-GB"/>
        </w:rPr>
        <w:t xml:space="preserve"> 225; A MacLean, ‘Beyond </w:t>
      </w:r>
      <w:r w:rsidRPr="009645E5">
        <w:rPr>
          <w:i/>
          <w:iCs/>
          <w:lang w:val="en-GB"/>
        </w:rPr>
        <w:t>Bolam</w:t>
      </w:r>
      <w:r w:rsidRPr="009645E5">
        <w:rPr>
          <w:lang w:val="en-GB"/>
        </w:rPr>
        <w:t xml:space="preserve"> and </w:t>
      </w:r>
      <w:r w:rsidRPr="009645E5">
        <w:rPr>
          <w:i/>
          <w:iCs/>
          <w:lang w:val="en-GB"/>
        </w:rPr>
        <w:t>Bolitho</w:t>
      </w:r>
      <w:r w:rsidRPr="009645E5">
        <w:rPr>
          <w:lang w:val="en-GB"/>
        </w:rPr>
        <w:t xml:space="preserve">’ (2002) 5 </w:t>
      </w:r>
      <w:r w:rsidRPr="009645E5">
        <w:rPr>
          <w:i/>
          <w:iCs/>
          <w:lang w:val="en-GB"/>
        </w:rPr>
        <w:t xml:space="preserve">Medical Law International </w:t>
      </w:r>
      <w:r w:rsidRPr="009645E5">
        <w:rPr>
          <w:lang w:val="en-GB"/>
        </w:rPr>
        <w:t xml:space="preserve">205; M Brazier and J Miola, ‘Bye-Bye </w:t>
      </w:r>
      <w:r w:rsidRPr="009645E5">
        <w:rPr>
          <w:i/>
          <w:iCs/>
          <w:lang w:val="en-GB"/>
        </w:rPr>
        <w:t>Bolam</w:t>
      </w:r>
      <w:r w:rsidRPr="009645E5">
        <w:rPr>
          <w:lang w:val="en-GB"/>
        </w:rPr>
        <w:t xml:space="preserve">: A Medical Litigation Revolution?’ (2000) 8 </w:t>
      </w:r>
      <w:r w:rsidRPr="009645E5">
        <w:rPr>
          <w:i/>
          <w:iCs/>
          <w:lang w:val="en-GB"/>
        </w:rPr>
        <w:t>Medical Law Review</w:t>
      </w:r>
      <w:r w:rsidRPr="009645E5">
        <w:rPr>
          <w:lang w:val="en-GB"/>
        </w:rPr>
        <w:t xml:space="preserve"> 85; J Keown, ‘Reining in the </w:t>
      </w:r>
      <w:r w:rsidRPr="009645E5">
        <w:rPr>
          <w:i/>
          <w:iCs/>
          <w:lang w:val="en-GB"/>
        </w:rPr>
        <w:t xml:space="preserve">Bolam </w:t>
      </w:r>
      <w:r w:rsidRPr="009645E5">
        <w:rPr>
          <w:lang w:val="en-GB"/>
        </w:rPr>
        <w:t xml:space="preserve">Test’ (1998) 57 </w:t>
      </w:r>
      <w:r w:rsidRPr="009645E5">
        <w:rPr>
          <w:i/>
          <w:iCs/>
          <w:lang w:val="en-GB"/>
        </w:rPr>
        <w:t>Cambridge Law Journal</w:t>
      </w:r>
      <w:r w:rsidRPr="009645E5">
        <w:rPr>
          <w:lang w:val="en-GB"/>
        </w:rPr>
        <w:t xml:space="preserve"> 248; A Grubb, ‘Negligence: Causation and </w:t>
      </w:r>
      <w:r w:rsidRPr="009645E5">
        <w:rPr>
          <w:i/>
          <w:iCs/>
          <w:lang w:val="en-GB"/>
        </w:rPr>
        <w:t>Bolam</w:t>
      </w:r>
      <w:r w:rsidRPr="009645E5">
        <w:rPr>
          <w:lang w:val="en-GB"/>
        </w:rPr>
        <w:t xml:space="preserve">’ (1998) 6 </w:t>
      </w:r>
      <w:r w:rsidRPr="009645E5">
        <w:rPr>
          <w:i/>
          <w:iCs/>
          <w:lang w:val="en-GB"/>
        </w:rPr>
        <w:t>Medical Law Review</w:t>
      </w:r>
      <w:r w:rsidRPr="009645E5">
        <w:rPr>
          <w:lang w:val="en-GB"/>
        </w:rPr>
        <w:t xml:space="preserve"> 378.   </w:t>
      </w:r>
    </w:p>
    <w:p w14:paraId="4506A0F0" w14:textId="77777777" w:rsidR="00031CDC" w:rsidRPr="009645E5" w:rsidRDefault="00031CDC" w:rsidP="002B16A7">
      <w:pPr>
        <w:pStyle w:val="FootnoteText"/>
        <w:jc w:val="both"/>
        <w:rPr>
          <w:lang w:val="en-GB"/>
        </w:rPr>
      </w:pPr>
    </w:p>
  </w:footnote>
  <w:footnote w:id="14">
    <w:p w14:paraId="44A08A51" w14:textId="1517BBD2" w:rsidR="00031CDC" w:rsidRDefault="00031CDC" w:rsidP="002B16A7">
      <w:pPr>
        <w:pStyle w:val="FootnoteText"/>
        <w:jc w:val="both"/>
        <w:rPr>
          <w:lang w:val="en-GB"/>
        </w:rPr>
      </w:pPr>
      <w:r w:rsidRPr="009645E5">
        <w:rPr>
          <w:vertAlign w:val="superscript"/>
          <w:lang w:val="en-GB"/>
        </w:rPr>
        <w:footnoteRef/>
      </w:r>
      <w:r w:rsidRPr="009645E5">
        <w:rPr>
          <w:lang w:val="en-GB"/>
        </w:rPr>
        <w:t xml:space="preserve"> In order to conduct the research for this article, a s</w:t>
      </w:r>
      <w:r>
        <w:rPr>
          <w:lang w:val="en-GB"/>
        </w:rPr>
        <w:t xml:space="preserve">earch of Westlaw was undertaken.  </w:t>
      </w:r>
      <w:r w:rsidRPr="009645E5">
        <w:rPr>
          <w:lang w:val="en-GB"/>
        </w:rPr>
        <w:t xml:space="preserve">The keyword search terms comprised ‘clinical negligence’; ‘obstetricians’; ‘midwives’; ‘birth defects’.  The range of dates searched spanned 1/1/2011 up until 3/6/2014.  Whilst this piece does seek to focus on cases after the publication of the 2012 Report, the search was run from an earlier point in order to account for the fact that some of the returns in 2012 were appeal cases.  Thus, it was important to also identify these cases </w:t>
      </w:r>
      <w:r>
        <w:rPr>
          <w:lang w:val="en-GB"/>
        </w:rPr>
        <w:t xml:space="preserve">in the court of first instance.  </w:t>
      </w:r>
      <w:r w:rsidRPr="00146425">
        <w:rPr>
          <w:color w:val="FF0000"/>
          <w:lang w:val="en-GB"/>
        </w:rPr>
        <w:t>Initially the author considered performing a pre-2012 and post-2012 survey.  However, in the end this was avoided as maternity litigation is so vast, it would have extended the scope of the project beyond an appropriate level.</w:t>
      </w:r>
    </w:p>
    <w:p w14:paraId="2001DAF6" w14:textId="77777777" w:rsidR="00031CDC" w:rsidRPr="009645E5" w:rsidRDefault="00031CDC" w:rsidP="002B16A7">
      <w:pPr>
        <w:pStyle w:val="FootnoteText"/>
        <w:jc w:val="both"/>
        <w:rPr>
          <w:lang w:val="en-GB"/>
        </w:rPr>
      </w:pPr>
    </w:p>
  </w:footnote>
  <w:footnote w:id="15">
    <w:p w14:paraId="5DE728B4" w14:textId="77777777"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NHSLA, ‘Ten Years of Maternity Claims: An Analysis of NHS Litigation Authority Data’, October 2012.</w:t>
      </w:r>
    </w:p>
    <w:p w14:paraId="08117515" w14:textId="77777777" w:rsidR="00031CDC" w:rsidRPr="009645E5" w:rsidRDefault="00031CDC" w:rsidP="002B16A7">
      <w:pPr>
        <w:pStyle w:val="FootnoteText"/>
        <w:jc w:val="both"/>
        <w:rPr>
          <w:lang w:val="en-GB"/>
        </w:rPr>
      </w:pPr>
    </w:p>
  </w:footnote>
  <w:footnote w:id="16">
    <w:p w14:paraId="1FF3CC7A" w14:textId="5800F3ED" w:rsidR="00031CDC" w:rsidRPr="00B93230" w:rsidRDefault="00031CDC" w:rsidP="002B16A7">
      <w:pPr>
        <w:pStyle w:val="FootnoteText"/>
        <w:jc w:val="both"/>
        <w:rPr>
          <w:lang w:val="en-GB"/>
        </w:rPr>
      </w:pPr>
      <w:r w:rsidRPr="00B93230">
        <w:rPr>
          <w:rStyle w:val="FootnoteReference"/>
          <w:color w:val="FF0000"/>
        </w:rPr>
        <w:footnoteRef/>
      </w:r>
      <w:r w:rsidRPr="00B93230">
        <w:rPr>
          <w:color w:val="FF0000"/>
        </w:rPr>
        <w:t xml:space="preserve"> </w:t>
      </w:r>
      <w:r w:rsidRPr="00B93230">
        <w:rPr>
          <w:color w:val="FF0000"/>
          <w:lang w:val="en-GB"/>
        </w:rPr>
        <w:t>Ibid.</w:t>
      </w:r>
    </w:p>
  </w:footnote>
  <w:footnote w:id="17">
    <w:p w14:paraId="0E9C2546" w14:textId="081F31DC" w:rsidR="00031CDC" w:rsidRPr="00B93230" w:rsidRDefault="00031CDC" w:rsidP="002B16A7">
      <w:pPr>
        <w:pStyle w:val="FootnoteText"/>
        <w:jc w:val="both"/>
        <w:rPr>
          <w:color w:val="FF0000"/>
          <w:lang w:val="en-GB"/>
        </w:rPr>
      </w:pPr>
      <w:r w:rsidRPr="00B93230">
        <w:rPr>
          <w:rStyle w:val="FootnoteReference"/>
          <w:color w:val="FF0000"/>
        </w:rPr>
        <w:footnoteRef/>
      </w:r>
      <w:r w:rsidRPr="00B93230">
        <w:rPr>
          <w:color w:val="FF0000"/>
        </w:rPr>
        <w:t xml:space="preserve"> Above n 14 at 6. </w:t>
      </w:r>
    </w:p>
    <w:p w14:paraId="6FF5E852" w14:textId="77777777" w:rsidR="00031CDC" w:rsidRPr="00B93230" w:rsidRDefault="00031CDC" w:rsidP="002B16A7">
      <w:pPr>
        <w:pStyle w:val="FootnoteText"/>
        <w:jc w:val="both"/>
        <w:rPr>
          <w:color w:val="FF0000"/>
          <w:lang w:val="en-GB"/>
        </w:rPr>
      </w:pPr>
    </w:p>
  </w:footnote>
  <w:footnote w:id="18">
    <w:p w14:paraId="6D7CAB83" w14:textId="442AB028" w:rsidR="00031CDC" w:rsidRPr="00B93230" w:rsidRDefault="00031CDC" w:rsidP="002B16A7">
      <w:pPr>
        <w:pStyle w:val="FootnoteText"/>
        <w:jc w:val="both"/>
        <w:rPr>
          <w:color w:val="FF0000"/>
          <w:lang w:val="en-GB"/>
        </w:rPr>
      </w:pPr>
      <w:r w:rsidRPr="00B93230">
        <w:rPr>
          <w:rStyle w:val="FootnoteReference"/>
          <w:color w:val="FF0000"/>
        </w:rPr>
        <w:footnoteRef/>
      </w:r>
      <w:r w:rsidRPr="00B93230">
        <w:rPr>
          <w:color w:val="FF0000"/>
        </w:rPr>
        <w:t xml:space="preserve"> Above n 14 at 81.</w:t>
      </w:r>
    </w:p>
    <w:p w14:paraId="20D2704B" w14:textId="77777777" w:rsidR="00031CDC" w:rsidRPr="00B93230" w:rsidRDefault="00031CDC" w:rsidP="002B16A7">
      <w:pPr>
        <w:pStyle w:val="FootnoteText"/>
        <w:jc w:val="both"/>
        <w:rPr>
          <w:lang w:val="en-GB"/>
        </w:rPr>
      </w:pPr>
    </w:p>
  </w:footnote>
  <w:footnote w:id="19">
    <w:p w14:paraId="20C56B7E" w14:textId="77002219" w:rsidR="00031CDC" w:rsidRPr="009645E5" w:rsidRDefault="00031CDC" w:rsidP="002B16A7">
      <w:pPr>
        <w:pStyle w:val="FootnoteText"/>
        <w:jc w:val="both"/>
        <w:rPr>
          <w:lang w:val="en-GB"/>
        </w:rPr>
      </w:pPr>
      <w:r w:rsidRPr="00282034">
        <w:rPr>
          <w:vertAlign w:val="superscript"/>
          <w:lang w:val="en-GB"/>
        </w:rPr>
        <w:footnoteRef/>
      </w:r>
      <w:r>
        <w:rPr>
          <w:lang w:val="en-GB"/>
        </w:rPr>
        <w:t xml:space="preserve"> See above n </w:t>
      </w:r>
      <w:r w:rsidRPr="00CC5038">
        <w:rPr>
          <w:color w:val="FF2D21" w:themeColor="accent5"/>
          <w:lang w:val="en-GB"/>
        </w:rPr>
        <w:t>13</w:t>
      </w:r>
      <w:r w:rsidRPr="009645E5">
        <w:rPr>
          <w:lang w:val="en-GB"/>
        </w:rPr>
        <w:t xml:space="preserve"> for how the relevant cases were identified.  The English cases included: </w:t>
      </w:r>
      <w:r w:rsidRPr="009645E5">
        <w:rPr>
          <w:i/>
          <w:iCs/>
          <w:lang w:val="en-GB"/>
        </w:rPr>
        <w:t>Tippett v Guy’s &amp; St Thomas’ Hospital NHS Foundation Trust</w:t>
      </w:r>
      <w:r w:rsidRPr="009645E5">
        <w:rPr>
          <w:lang w:val="en-GB"/>
        </w:rPr>
        <w:t xml:space="preserve"> [2014] EWHC 917; 2014 WL 1219296; </w:t>
      </w:r>
      <w:r w:rsidRPr="009645E5">
        <w:rPr>
          <w:i/>
          <w:iCs/>
          <w:lang w:val="en-GB"/>
        </w:rPr>
        <w:t>Sardar v NHS Commissioning Board</w:t>
      </w:r>
      <w:r w:rsidRPr="009645E5">
        <w:rPr>
          <w:lang w:val="en-GB"/>
        </w:rPr>
        <w:t xml:space="preserve"> [2014] EWHC 38; [2014] Med LR 12; </w:t>
      </w:r>
      <w:r w:rsidRPr="009645E5">
        <w:rPr>
          <w:i/>
          <w:iCs/>
          <w:lang w:val="en-GB"/>
        </w:rPr>
        <w:t>C v North Cumbria University Hospitals NHS Trust</w:t>
      </w:r>
      <w:r w:rsidRPr="009645E5">
        <w:rPr>
          <w:lang w:val="en-GB"/>
        </w:rPr>
        <w:t xml:space="preserve"> [2014] EWHC 61; 2014 WL 16538; </w:t>
      </w:r>
      <w:r w:rsidRPr="009645E5">
        <w:rPr>
          <w:i/>
          <w:iCs/>
          <w:lang w:val="en-GB"/>
        </w:rPr>
        <w:t>Chappell v Newcastle Upon Tyne Hospitals NHS Trust</w:t>
      </w:r>
      <w:r w:rsidRPr="009645E5">
        <w:rPr>
          <w:lang w:val="en-GB"/>
        </w:rPr>
        <w:t xml:space="preserve"> [2013] EWHC 4023; 2013 WL 6537266; </w:t>
      </w:r>
      <w:r w:rsidRPr="009645E5">
        <w:rPr>
          <w:i/>
          <w:iCs/>
          <w:lang w:val="en-GB"/>
        </w:rPr>
        <w:t>Popple v Birmingham Women’s NHS Foundation Trust</w:t>
      </w:r>
      <w:r w:rsidRPr="009645E5">
        <w:rPr>
          <w:lang w:val="en-GB"/>
        </w:rPr>
        <w:t xml:space="preserve"> [2012] EWCA Civ 1628; [2013] Med LR 47; </w:t>
      </w:r>
      <w:r w:rsidRPr="009645E5">
        <w:rPr>
          <w:i/>
          <w:iCs/>
          <w:lang w:val="en-GB"/>
        </w:rPr>
        <w:t>Spencer v NHS North West</w:t>
      </w:r>
      <w:r w:rsidRPr="009645E5">
        <w:rPr>
          <w:lang w:val="en-GB"/>
        </w:rPr>
        <w:t xml:space="preserve"> [2012] EWHC 2142; </w:t>
      </w:r>
      <w:r w:rsidRPr="009645E5">
        <w:rPr>
          <w:i/>
          <w:iCs/>
          <w:lang w:val="en-GB"/>
        </w:rPr>
        <w:t>Croft v Heart of England NHS Foundation Trust</w:t>
      </w:r>
      <w:r w:rsidRPr="009645E5">
        <w:rPr>
          <w:lang w:val="en-GB"/>
        </w:rPr>
        <w:t xml:space="preserve"> [2012] EWHC 1470; 2012 WL 1933467; </w:t>
      </w:r>
      <w:r w:rsidRPr="009645E5">
        <w:rPr>
          <w:i/>
          <w:iCs/>
          <w:lang w:val="en-GB"/>
        </w:rPr>
        <w:t>Reeve v Heart of England NHS Trust</w:t>
      </w:r>
      <w:r w:rsidRPr="009645E5">
        <w:rPr>
          <w:lang w:val="en-GB"/>
        </w:rPr>
        <w:t xml:space="preserve"> [2011] EWHC 3901; 2011 WL 6329549. The Scottish cases included</w:t>
      </w:r>
      <w:r w:rsidRPr="009645E5">
        <w:rPr>
          <w:i/>
          <w:iCs/>
          <w:lang w:val="en-GB"/>
        </w:rPr>
        <w:t>: NM v Lanarkshire Health Board</w:t>
      </w:r>
      <w:r w:rsidRPr="009645E5">
        <w:rPr>
          <w:lang w:val="en-GB"/>
        </w:rPr>
        <w:t xml:space="preserve"> [2013] CSIH 3; 2013 SC 245; </w:t>
      </w:r>
      <w:r w:rsidRPr="009645E5">
        <w:rPr>
          <w:i/>
          <w:iCs/>
          <w:lang w:val="en-GB"/>
        </w:rPr>
        <w:t>MC v Borders Health Board</w:t>
      </w:r>
      <w:r w:rsidRPr="009645E5">
        <w:rPr>
          <w:lang w:val="en-GB"/>
        </w:rPr>
        <w:t xml:space="preserve"> [2012] CSIH 49; 2012 GWD 23-468. </w:t>
      </w:r>
    </w:p>
    <w:p w14:paraId="50B9717A" w14:textId="77777777" w:rsidR="00031CDC" w:rsidRPr="009645E5" w:rsidRDefault="00031CDC" w:rsidP="002B16A7">
      <w:pPr>
        <w:pStyle w:val="FootnoteText"/>
        <w:jc w:val="both"/>
        <w:rPr>
          <w:lang w:val="en-GB"/>
        </w:rPr>
      </w:pPr>
    </w:p>
  </w:footnote>
  <w:footnote w:id="20">
    <w:p w14:paraId="754331B4" w14:textId="515D1A13"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Proving causation is another difficult obstacle for patients to overcome in negligent childbirth cases.  The focus of this piece is exclusively on breach.</w:t>
      </w:r>
    </w:p>
    <w:p w14:paraId="2DD6C52C" w14:textId="77777777" w:rsidR="00031CDC" w:rsidRPr="009645E5" w:rsidRDefault="00031CDC" w:rsidP="002B16A7">
      <w:pPr>
        <w:pStyle w:val="FootnoteText"/>
        <w:jc w:val="both"/>
        <w:rPr>
          <w:lang w:val="en-GB"/>
        </w:rPr>
      </w:pPr>
    </w:p>
  </w:footnote>
  <w:footnote w:id="21">
    <w:p w14:paraId="2356E95A" w14:textId="12F841F3" w:rsidR="00031CDC" w:rsidRPr="009645E5" w:rsidRDefault="00031CDC" w:rsidP="002B16A7">
      <w:pPr>
        <w:pStyle w:val="FootnoteText"/>
        <w:jc w:val="both"/>
        <w:rPr>
          <w:lang w:val="en-GB"/>
        </w:rPr>
      </w:pPr>
      <w:r w:rsidRPr="009645E5">
        <w:rPr>
          <w:vertAlign w:val="superscript"/>
          <w:lang w:val="en-GB"/>
        </w:rPr>
        <w:footnoteRef/>
      </w:r>
      <w:r>
        <w:rPr>
          <w:lang w:val="en-GB"/>
        </w:rPr>
        <w:t xml:space="preserve"> See below n 26.</w:t>
      </w:r>
    </w:p>
    <w:p w14:paraId="0E7863E6" w14:textId="77777777" w:rsidR="00031CDC" w:rsidRPr="009645E5" w:rsidRDefault="00031CDC" w:rsidP="002B16A7">
      <w:pPr>
        <w:pStyle w:val="FootnoteText"/>
        <w:jc w:val="both"/>
        <w:rPr>
          <w:lang w:val="en-GB"/>
        </w:rPr>
      </w:pPr>
    </w:p>
  </w:footnote>
  <w:footnote w:id="22">
    <w:p w14:paraId="1723E8B8" w14:textId="50A5F768" w:rsidR="00031CDC" w:rsidRDefault="00031CDC" w:rsidP="002B16A7">
      <w:pPr>
        <w:pStyle w:val="FootnoteText"/>
        <w:jc w:val="both"/>
        <w:rPr>
          <w:lang w:val="en-GB"/>
        </w:rPr>
      </w:pPr>
      <w:r w:rsidRPr="009645E5">
        <w:rPr>
          <w:vertAlign w:val="superscript"/>
          <w:lang w:val="en-GB"/>
        </w:rPr>
        <w:footnoteRef/>
      </w:r>
      <w:r w:rsidRPr="009645E5">
        <w:rPr>
          <w:lang w:val="en-GB"/>
        </w:rPr>
        <w:t xml:space="preserve"> The 2012 Report uses ‘maternity’ as a general term to include obstetrics and gynaecology claims.</w:t>
      </w:r>
    </w:p>
    <w:p w14:paraId="1687DE7C" w14:textId="77777777" w:rsidR="00031CDC" w:rsidRPr="009645E5" w:rsidRDefault="00031CDC" w:rsidP="002B16A7">
      <w:pPr>
        <w:pStyle w:val="FootnoteText"/>
        <w:jc w:val="both"/>
        <w:rPr>
          <w:lang w:val="en-GB"/>
        </w:rPr>
      </w:pPr>
    </w:p>
  </w:footnote>
  <w:footnote w:id="23">
    <w:p w14:paraId="57A39CC8" w14:textId="528539A6"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The CNST is a risk pooling scheme administered by the NHSLA. It provides a means for organisations to fund the cost of clinical negligence claims.  Despite being voluntary, all NHS organisations providing maternity services in England are members of the scheme.  The total gross maternity contribution in 2011/12 </w:t>
      </w:r>
      <w:r>
        <w:rPr>
          <w:lang w:val="en-GB"/>
        </w:rPr>
        <w:t>was 571 million. (See above n 14</w:t>
      </w:r>
      <w:r w:rsidRPr="009645E5">
        <w:rPr>
          <w:lang w:val="en-GB"/>
        </w:rPr>
        <w:t xml:space="preserve"> at 9).</w:t>
      </w:r>
    </w:p>
    <w:p w14:paraId="3AC27880" w14:textId="77777777" w:rsidR="00031CDC" w:rsidRPr="009645E5" w:rsidRDefault="00031CDC" w:rsidP="002B16A7">
      <w:pPr>
        <w:pStyle w:val="FootnoteText"/>
        <w:jc w:val="both"/>
        <w:rPr>
          <w:lang w:val="en-GB"/>
        </w:rPr>
      </w:pPr>
    </w:p>
  </w:footnote>
  <w:footnote w:id="24">
    <w:p w14:paraId="5195AA27" w14:textId="713A5B2A" w:rsidR="00031CDC" w:rsidRPr="009645E5" w:rsidRDefault="00031CDC" w:rsidP="002B16A7">
      <w:pPr>
        <w:pStyle w:val="FootnoteText"/>
        <w:jc w:val="both"/>
        <w:rPr>
          <w:lang w:val="en-GB"/>
        </w:rPr>
      </w:pPr>
      <w:r w:rsidRPr="009645E5">
        <w:rPr>
          <w:vertAlign w:val="superscript"/>
          <w:lang w:val="en-GB"/>
        </w:rPr>
        <w:footnoteRef/>
      </w:r>
      <w:r>
        <w:rPr>
          <w:lang w:val="en-GB"/>
        </w:rPr>
        <w:t xml:space="preserve"> Above n 14</w:t>
      </w:r>
      <w:r w:rsidRPr="009645E5">
        <w:rPr>
          <w:lang w:val="en-GB"/>
        </w:rPr>
        <w:t xml:space="preserve"> at 7.</w:t>
      </w:r>
    </w:p>
    <w:p w14:paraId="75AD8A55" w14:textId="77777777" w:rsidR="00031CDC" w:rsidRPr="009645E5" w:rsidRDefault="00031CDC" w:rsidP="002B16A7">
      <w:pPr>
        <w:pStyle w:val="FootnoteText"/>
        <w:jc w:val="both"/>
        <w:rPr>
          <w:lang w:val="en-GB"/>
        </w:rPr>
      </w:pPr>
    </w:p>
  </w:footnote>
  <w:footnote w:id="25">
    <w:p w14:paraId="1DA0DBDD" w14:textId="4E8CF39A"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Ibid at 6.</w:t>
      </w:r>
    </w:p>
    <w:p w14:paraId="3F1F5FDD" w14:textId="77777777" w:rsidR="00031CDC" w:rsidRPr="009645E5" w:rsidRDefault="00031CDC" w:rsidP="002B16A7">
      <w:pPr>
        <w:pStyle w:val="FootnoteText"/>
        <w:jc w:val="both"/>
        <w:rPr>
          <w:lang w:val="en-GB"/>
        </w:rPr>
      </w:pPr>
    </w:p>
  </w:footnote>
  <w:footnote w:id="26">
    <w:p w14:paraId="31AD6C11" w14:textId="57BF5A70"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Ibid at 6 and 8.</w:t>
      </w:r>
    </w:p>
    <w:p w14:paraId="6517864A" w14:textId="77777777" w:rsidR="00031CDC" w:rsidRPr="009645E5" w:rsidRDefault="00031CDC" w:rsidP="002B16A7">
      <w:pPr>
        <w:pStyle w:val="FootnoteText"/>
        <w:jc w:val="both"/>
        <w:rPr>
          <w:lang w:val="en-GB"/>
        </w:rPr>
      </w:pPr>
    </w:p>
  </w:footnote>
  <w:footnote w:id="27">
    <w:p w14:paraId="5287B4FA" w14:textId="77777777"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‘NHSLA Factsheet Number 3: Information on Claims’, July 2013.</w:t>
      </w:r>
    </w:p>
    <w:p w14:paraId="3B36AA78" w14:textId="77777777" w:rsidR="00031CDC" w:rsidRPr="009645E5" w:rsidRDefault="00031CDC" w:rsidP="002B16A7">
      <w:pPr>
        <w:pStyle w:val="FootnoteText"/>
        <w:jc w:val="both"/>
        <w:rPr>
          <w:lang w:val="en-GB"/>
        </w:rPr>
      </w:pPr>
    </w:p>
  </w:footnote>
  <w:footnote w:id="28">
    <w:p w14:paraId="3B369AA8" w14:textId="2C0D179A" w:rsidR="00031CDC" w:rsidRPr="009645E5" w:rsidRDefault="00031CDC" w:rsidP="002B16A7">
      <w:pPr>
        <w:pStyle w:val="FootnoteText"/>
        <w:jc w:val="both"/>
        <w:rPr>
          <w:lang w:val="en-GB"/>
        </w:rPr>
      </w:pPr>
      <w:r w:rsidRPr="009645E5">
        <w:rPr>
          <w:vertAlign w:val="superscript"/>
          <w:lang w:val="en-GB"/>
        </w:rPr>
        <w:footnoteRef/>
      </w:r>
      <w:r>
        <w:rPr>
          <w:lang w:val="en-GB"/>
        </w:rPr>
        <w:t xml:space="preserve"> Above n 14</w:t>
      </w:r>
      <w:r w:rsidRPr="009645E5">
        <w:rPr>
          <w:lang w:val="en-GB"/>
        </w:rPr>
        <w:t xml:space="preserve"> at 4 and 6.</w:t>
      </w:r>
    </w:p>
    <w:p w14:paraId="38D7E970" w14:textId="77777777" w:rsidR="00031CDC" w:rsidRPr="009645E5" w:rsidRDefault="00031CDC" w:rsidP="002B16A7">
      <w:pPr>
        <w:pStyle w:val="FootnoteText"/>
        <w:jc w:val="both"/>
        <w:rPr>
          <w:lang w:val="en-GB"/>
        </w:rPr>
      </w:pPr>
    </w:p>
  </w:footnote>
  <w:footnote w:id="29">
    <w:p w14:paraId="4E232F53" w14:textId="4D695480" w:rsidR="00031CDC" w:rsidRPr="009645E5" w:rsidRDefault="00031CDC" w:rsidP="002B16A7">
      <w:pPr>
        <w:pStyle w:val="FootnoteText"/>
        <w:jc w:val="both"/>
        <w:rPr>
          <w:lang w:val="en-GB"/>
        </w:rPr>
      </w:pPr>
      <w:r w:rsidRPr="009645E5">
        <w:rPr>
          <w:vertAlign w:val="superscript"/>
          <w:lang w:val="en-GB"/>
        </w:rPr>
        <w:footnoteRef/>
      </w:r>
      <w:r>
        <w:rPr>
          <w:lang w:val="en-GB"/>
        </w:rPr>
        <w:t xml:space="preserve"> Ibid </w:t>
      </w:r>
      <w:r w:rsidRPr="009645E5">
        <w:rPr>
          <w:lang w:val="en-GB"/>
        </w:rPr>
        <w:t>at 4.</w:t>
      </w:r>
    </w:p>
    <w:p w14:paraId="36DB617D" w14:textId="77777777" w:rsidR="00031CDC" w:rsidRPr="009645E5" w:rsidRDefault="00031CDC" w:rsidP="002B16A7">
      <w:pPr>
        <w:pStyle w:val="FootnoteText"/>
        <w:jc w:val="both"/>
        <w:rPr>
          <w:lang w:val="en-GB"/>
        </w:rPr>
      </w:pPr>
    </w:p>
  </w:footnote>
  <w:footnote w:id="30">
    <w:p w14:paraId="1C5948BB" w14:textId="71756229"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Ibid.</w:t>
      </w:r>
    </w:p>
    <w:p w14:paraId="2847E635" w14:textId="77777777" w:rsidR="00031CDC" w:rsidRPr="009645E5" w:rsidRDefault="00031CDC" w:rsidP="002B16A7">
      <w:pPr>
        <w:pStyle w:val="FootnoteText"/>
        <w:jc w:val="both"/>
        <w:rPr>
          <w:lang w:val="en-GB"/>
        </w:rPr>
      </w:pPr>
      <w:r w:rsidRPr="009645E5">
        <w:rPr>
          <w:lang w:val="en-GB"/>
        </w:rPr>
        <w:t xml:space="preserve">    </w:t>
      </w:r>
    </w:p>
  </w:footnote>
  <w:footnote w:id="31">
    <w:p w14:paraId="504DB7A1" w14:textId="20E80338"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Ibid.</w:t>
      </w:r>
    </w:p>
    <w:p w14:paraId="508A6C09" w14:textId="77777777" w:rsidR="00031CDC" w:rsidRPr="009645E5" w:rsidRDefault="00031CDC" w:rsidP="002B16A7">
      <w:pPr>
        <w:pStyle w:val="FootnoteText"/>
        <w:jc w:val="both"/>
        <w:rPr>
          <w:lang w:val="en-GB"/>
        </w:rPr>
      </w:pPr>
    </w:p>
  </w:footnote>
  <w:footnote w:id="32">
    <w:p w14:paraId="1A5692E1" w14:textId="500296AE"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Cerebral palsy was omitted from this paper as a key theme of discussion because it is often a </w:t>
      </w:r>
      <w:r w:rsidRPr="009645E5">
        <w:rPr>
          <w:i/>
          <w:lang w:val="en-GB"/>
        </w:rPr>
        <w:t>consequence</w:t>
      </w:r>
      <w:r w:rsidRPr="009645E5">
        <w:rPr>
          <w:lang w:val="en-GB"/>
        </w:rPr>
        <w:t>, rather than a direct cause, of a breach of duty.</w:t>
      </w:r>
    </w:p>
    <w:p w14:paraId="064D7272" w14:textId="77777777" w:rsidR="00031CDC" w:rsidRPr="009645E5" w:rsidRDefault="00031CDC" w:rsidP="002B16A7">
      <w:pPr>
        <w:pStyle w:val="FootnoteText"/>
        <w:jc w:val="both"/>
        <w:rPr>
          <w:lang w:val="en-GB"/>
        </w:rPr>
      </w:pPr>
    </w:p>
  </w:footnote>
  <w:footnote w:id="33">
    <w:p w14:paraId="695F7939" w14:textId="6EAC2B60" w:rsidR="00031CDC" w:rsidRPr="009645E5" w:rsidRDefault="00031CDC" w:rsidP="002B16A7">
      <w:pPr>
        <w:pStyle w:val="FootnoteText"/>
        <w:jc w:val="both"/>
        <w:rPr>
          <w:lang w:val="en-GB"/>
        </w:rPr>
      </w:pPr>
      <w:r w:rsidRPr="009645E5">
        <w:rPr>
          <w:vertAlign w:val="superscript"/>
          <w:lang w:val="en-GB"/>
        </w:rPr>
        <w:footnoteRef/>
      </w:r>
      <w:r>
        <w:rPr>
          <w:lang w:val="en-GB"/>
        </w:rPr>
        <w:t xml:space="preserve"> Above n 14</w:t>
      </w:r>
      <w:r w:rsidRPr="009645E5">
        <w:rPr>
          <w:lang w:val="en-GB"/>
        </w:rPr>
        <w:t xml:space="preserve"> at 4.</w:t>
      </w:r>
    </w:p>
    <w:p w14:paraId="4209C7E3" w14:textId="77777777" w:rsidR="00031CDC" w:rsidRPr="009645E5" w:rsidRDefault="00031CDC" w:rsidP="002B16A7">
      <w:pPr>
        <w:pStyle w:val="FootnoteText"/>
        <w:jc w:val="both"/>
        <w:rPr>
          <w:lang w:val="en-GB"/>
        </w:rPr>
      </w:pPr>
    </w:p>
  </w:footnote>
  <w:footnote w:id="34">
    <w:p w14:paraId="79DA43EF" w14:textId="4E88473F" w:rsidR="00031CDC" w:rsidRPr="00031CDC" w:rsidRDefault="00031CDC" w:rsidP="002B16A7">
      <w:pPr>
        <w:pStyle w:val="FootnoteText"/>
        <w:jc w:val="both"/>
        <w:rPr>
          <w:color w:val="FF0000"/>
        </w:rPr>
      </w:pPr>
      <w:r w:rsidRPr="00586A23">
        <w:rPr>
          <w:rStyle w:val="FootnoteReference"/>
          <w:color w:val="FF0000"/>
        </w:rPr>
        <w:footnoteRef/>
      </w:r>
      <w:r>
        <w:rPr>
          <w:color w:val="FF0000"/>
        </w:rPr>
        <w:t xml:space="preserve"> </w:t>
      </w:r>
      <w:proofErr w:type="gramStart"/>
      <w:r w:rsidRPr="00CF6AE8">
        <w:rPr>
          <w:i/>
          <w:color w:val="FF0000"/>
        </w:rPr>
        <w:t>Bolam</w:t>
      </w:r>
      <w:r>
        <w:rPr>
          <w:color w:val="FF0000"/>
        </w:rPr>
        <w:t>, above n 4.</w:t>
      </w:r>
      <w:proofErr w:type="gramEnd"/>
    </w:p>
  </w:footnote>
  <w:footnote w:id="35">
    <w:p w14:paraId="4EFF625C" w14:textId="5C802EB4" w:rsidR="00031CDC" w:rsidRPr="000B59DC" w:rsidRDefault="00031CDC" w:rsidP="002B16A7">
      <w:pPr>
        <w:pStyle w:val="FootnoteText"/>
        <w:jc w:val="both"/>
        <w:rPr>
          <w:color w:val="FF0000"/>
        </w:rPr>
      </w:pPr>
      <w:r w:rsidRPr="000B59DC">
        <w:rPr>
          <w:rStyle w:val="FootnoteReference"/>
          <w:color w:val="FF0000"/>
        </w:rPr>
        <w:footnoteRef/>
      </w:r>
      <w:r w:rsidRPr="000B59DC">
        <w:rPr>
          <w:color w:val="FF0000"/>
        </w:rPr>
        <w:t xml:space="preserve"> </w:t>
      </w:r>
      <w:r w:rsidRPr="000B59DC">
        <w:rPr>
          <w:i/>
          <w:color w:val="FF0000"/>
        </w:rPr>
        <w:t>See Defreitas v O’Brien</w:t>
      </w:r>
      <w:r w:rsidRPr="000B59DC">
        <w:rPr>
          <w:color w:val="FF0000"/>
        </w:rPr>
        <w:t xml:space="preserve"> [1995] PIQR P281.</w:t>
      </w:r>
    </w:p>
    <w:p w14:paraId="3748A6B6" w14:textId="77777777" w:rsidR="00031CDC" w:rsidRDefault="00031CDC" w:rsidP="002B16A7">
      <w:pPr>
        <w:pStyle w:val="FootnoteText"/>
        <w:jc w:val="both"/>
      </w:pPr>
    </w:p>
  </w:footnote>
  <w:footnote w:id="36">
    <w:p w14:paraId="4F43AA4C" w14:textId="4BBB3CB5"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See JL Montrose, ‘Is Negligence an Ethical or Sociological Concept?’ (1958) 21 </w:t>
      </w:r>
      <w:r w:rsidRPr="009645E5">
        <w:rPr>
          <w:i/>
          <w:iCs/>
          <w:lang w:val="en-GB"/>
        </w:rPr>
        <w:t>Modern Law Review</w:t>
      </w:r>
      <w:r w:rsidRPr="009645E5">
        <w:rPr>
          <w:lang w:val="en-GB"/>
        </w:rPr>
        <w:t xml:space="preserve"> 259.</w:t>
      </w:r>
    </w:p>
    <w:p w14:paraId="71E8F6D4" w14:textId="77777777" w:rsidR="00031CDC" w:rsidRPr="009645E5" w:rsidRDefault="00031CDC" w:rsidP="002B16A7">
      <w:pPr>
        <w:pStyle w:val="FootnoteText"/>
        <w:jc w:val="both"/>
        <w:rPr>
          <w:lang w:val="en-GB"/>
        </w:rPr>
      </w:pPr>
    </w:p>
  </w:footnote>
  <w:footnote w:id="37">
    <w:p w14:paraId="168873D1" w14:textId="1B3CC408" w:rsidR="00031CDC" w:rsidRDefault="00031CDC" w:rsidP="002B16A7">
      <w:pPr>
        <w:pStyle w:val="FootnoteText"/>
        <w:jc w:val="both"/>
        <w:rPr>
          <w:i/>
          <w:iCs/>
          <w:lang w:val="en-GB"/>
        </w:rPr>
      </w:pPr>
      <w:r w:rsidRPr="009645E5">
        <w:rPr>
          <w:vertAlign w:val="superscript"/>
          <w:lang w:val="en-GB"/>
        </w:rPr>
        <w:footnoteRef/>
      </w:r>
      <w:r w:rsidRPr="009645E5">
        <w:rPr>
          <w:i/>
          <w:iCs/>
          <w:lang w:val="en-GB"/>
        </w:rPr>
        <w:t xml:space="preserve"> </w:t>
      </w:r>
      <w:r w:rsidRPr="009645E5">
        <w:rPr>
          <w:lang w:val="en-GB"/>
        </w:rPr>
        <w:t xml:space="preserve">See </w:t>
      </w:r>
      <w:r w:rsidRPr="009645E5">
        <w:rPr>
          <w:i/>
          <w:iCs/>
          <w:lang w:val="en-GB"/>
        </w:rPr>
        <w:t>Whitehouse</w:t>
      </w:r>
      <w:r>
        <w:rPr>
          <w:lang w:val="en-GB"/>
        </w:rPr>
        <w:t>, above n 6</w:t>
      </w:r>
      <w:r w:rsidRPr="009645E5">
        <w:rPr>
          <w:lang w:val="en-GB"/>
        </w:rPr>
        <w:t xml:space="preserve">; </w:t>
      </w:r>
      <w:r w:rsidRPr="009645E5">
        <w:rPr>
          <w:i/>
          <w:iCs/>
          <w:lang w:val="en-GB"/>
        </w:rPr>
        <w:t>Maynard v West Midlands Regional Health Authority</w:t>
      </w:r>
      <w:r w:rsidRPr="009645E5">
        <w:rPr>
          <w:lang w:val="en-GB"/>
        </w:rPr>
        <w:t xml:space="preserve"> [1984] 1 WLR 634.</w:t>
      </w:r>
      <w:r w:rsidRPr="009645E5">
        <w:rPr>
          <w:i/>
          <w:iCs/>
          <w:lang w:val="en-GB"/>
        </w:rPr>
        <w:t xml:space="preserve"> </w:t>
      </w:r>
    </w:p>
    <w:p w14:paraId="34CA6B24" w14:textId="77777777" w:rsidR="00031CDC" w:rsidRPr="001A5973" w:rsidRDefault="00031CDC" w:rsidP="002B16A7">
      <w:pPr>
        <w:pStyle w:val="FootnoteText"/>
        <w:jc w:val="both"/>
        <w:rPr>
          <w:i/>
          <w:iCs/>
          <w:lang w:val="en-GB"/>
        </w:rPr>
      </w:pPr>
    </w:p>
  </w:footnote>
  <w:footnote w:id="38">
    <w:p w14:paraId="0BCFE967" w14:textId="7A1A5EE1"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See H Teff, </w:t>
      </w:r>
      <w:r w:rsidRPr="009645E5">
        <w:rPr>
          <w:i/>
          <w:iCs/>
          <w:lang w:val="en-GB"/>
        </w:rPr>
        <w:t xml:space="preserve">Reasonable Care: Legal Perspectives on the Doctor Patient Relationship </w:t>
      </w:r>
      <w:r w:rsidRPr="009645E5">
        <w:rPr>
          <w:lang w:val="en-GB"/>
        </w:rPr>
        <w:t xml:space="preserve">(OUP 1996).  More recently see C Foster, ‘Autonomy in the Medico-Legal Courtroom: A Principle Fit for Purpose’ (2014) 22 </w:t>
      </w:r>
      <w:r w:rsidRPr="009645E5">
        <w:rPr>
          <w:i/>
          <w:iCs/>
          <w:lang w:val="en-GB"/>
        </w:rPr>
        <w:t>Medical Law Review</w:t>
      </w:r>
      <w:r w:rsidRPr="009645E5">
        <w:rPr>
          <w:lang w:val="en-GB"/>
        </w:rPr>
        <w:t xml:space="preserve"> 48. </w:t>
      </w:r>
    </w:p>
    <w:p w14:paraId="02A00746" w14:textId="77777777" w:rsidR="00031CDC" w:rsidRPr="009645E5" w:rsidRDefault="00031CDC" w:rsidP="002B16A7">
      <w:pPr>
        <w:pStyle w:val="FootnoteText"/>
        <w:jc w:val="both"/>
        <w:rPr>
          <w:lang w:val="en-GB"/>
        </w:rPr>
      </w:pPr>
    </w:p>
  </w:footnote>
  <w:footnote w:id="39">
    <w:p w14:paraId="4239CB0A" w14:textId="7CD53AD4" w:rsidR="00031CDC" w:rsidRPr="009645E5" w:rsidRDefault="00031CDC" w:rsidP="002B16A7">
      <w:pPr>
        <w:pStyle w:val="FootnoteText"/>
        <w:jc w:val="both"/>
        <w:rPr>
          <w:lang w:val="en-GB"/>
        </w:rPr>
      </w:pPr>
      <w:r w:rsidRPr="009645E5">
        <w:rPr>
          <w:vertAlign w:val="superscript"/>
          <w:lang w:val="en-GB"/>
        </w:rPr>
        <w:footnoteRef/>
      </w:r>
      <w:r>
        <w:rPr>
          <w:lang w:val="en-GB"/>
        </w:rPr>
        <w:t xml:space="preserve"> See Grubb, above n 12.</w:t>
      </w:r>
    </w:p>
    <w:p w14:paraId="3E2F286F" w14:textId="77777777" w:rsidR="00031CDC" w:rsidRPr="009645E5" w:rsidRDefault="00031CDC" w:rsidP="002B16A7">
      <w:pPr>
        <w:pStyle w:val="FootnoteText"/>
        <w:jc w:val="both"/>
        <w:rPr>
          <w:lang w:val="en-GB"/>
        </w:rPr>
      </w:pPr>
    </w:p>
  </w:footnote>
  <w:footnote w:id="40">
    <w:p w14:paraId="322EF015" w14:textId="530485FC"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w:t>
      </w:r>
      <w:r w:rsidRPr="009645E5">
        <w:rPr>
          <w:i/>
          <w:iCs/>
          <w:lang w:val="en-GB"/>
        </w:rPr>
        <w:t>Maynard</w:t>
      </w:r>
      <w:r w:rsidRPr="009645E5">
        <w:rPr>
          <w:lang w:val="en-GB"/>
        </w:rPr>
        <w:t>, ab</w:t>
      </w:r>
      <w:r>
        <w:rPr>
          <w:lang w:val="en-GB"/>
        </w:rPr>
        <w:t>ove n 36</w:t>
      </w:r>
      <w:r w:rsidRPr="009645E5">
        <w:rPr>
          <w:lang w:val="en-GB"/>
        </w:rPr>
        <w:t>, per Lord Scarman, 639.</w:t>
      </w:r>
    </w:p>
    <w:p w14:paraId="4DBD3397" w14:textId="77777777" w:rsidR="00031CDC" w:rsidRPr="009645E5" w:rsidRDefault="00031CDC" w:rsidP="002B16A7">
      <w:pPr>
        <w:pStyle w:val="FootnoteText"/>
        <w:jc w:val="both"/>
        <w:rPr>
          <w:lang w:val="en-GB"/>
        </w:rPr>
      </w:pPr>
    </w:p>
  </w:footnote>
  <w:footnote w:id="41">
    <w:p w14:paraId="7F132A13" w14:textId="434192D4"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w:t>
      </w:r>
      <w:r w:rsidRPr="009645E5">
        <w:rPr>
          <w:i/>
          <w:iCs/>
          <w:lang w:val="en-GB"/>
        </w:rPr>
        <w:t>Bolitho</w:t>
      </w:r>
      <w:r>
        <w:rPr>
          <w:lang w:val="en-GB"/>
        </w:rPr>
        <w:t>, above n 11</w:t>
      </w:r>
      <w:r w:rsidRPr="009645E5">
        <w:rPr>
          <w:lang w:val="en-GB"/>
        </w:rPr>
        <w:t xml:space="preserve">, 242. </w:t>
      </w:r>
    </w:p>
    <w:p w14:paraId="56664270" w14:textId="77777777" w:rsidR="00031CDC" w:rsidRPr="009645E5" w:rsidRDefault="00031CDC" w:rsidP="002B16A7">
      <w:pPr>
        <w:pStyle w:val="FootnoteText"/>
        <w:jc w:val="both"/>
        <w:rPr>
          <w:lang w:val="en-GB"/>
        </w:rPr>
      </w:pPr>
    </w:p>
  </w:footnote>
  <w:footnote w:id="42">
    <w:p w14:paraId="1D422419" w14:textId="419ACE85"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w:t>
      </w:r>
      <w:r w:rsidRPr="009645E5">
        <w:rPr>
          <w:i/>
          <w:iCs/>
          <w:lang w:val="en-GB"/>
        </w:rPr>
        <w:t>C v North Cumbria</w:t>
      </w:r>
      <w:r>
        <w:rPr>
          <w:lang w:val="en-GB"/>
        </w:rPr>
        <w:t>, above n 18</w:t>
      </w:r>
      <w:r w:rsidRPr="009645E5">
        <w:rPr>
          <w:lang w:val="en-GB"/>
        </w:rPr>
        <w:t xml:space="preserve"> at [25].</w:t>
      </w:r>
    </w:p>
    <w:p w14:paraId="0D6F9D0A" w14:textId="77777777" w:rsidR="00031CDC" w:rsidRPr="009645E5" w:rsidRDefault="00031CDC" w:rsidP="002B16A7">
      <w:pPr>
        <w:pStyle w:val="FootnoteText"/>
        <w:jc w:val="both"/>
        <w:rPr>
          <w:lang w:val="en-GB"/>
        </w:rPr>
      </w:pPr>
    </w:p>
  </w:footnote>
  <w:footnote w:id="43">
    <w:p w14:paraId="0DE846D4" w14:textId="531C2CE4" w:rsidR="00031CDC" w:rsidRPr="009645E5" w:rsidRDefault="00031CDC" w:rsidP="002B16A7">
      <w:pPr>
        <w:pStyle w:val="FootnoteText"/>
        <w:jc w:val="both"/>
        <w:rPr>
          <w:lang w:val="en-GB"/>
        </w:rPr>
      </w:pPr>
      <w:r w:rsidRPr="009645E5">
        <w:rPr>
          <w:vertAlign w:val="superscript"/>
          <w:lang w:val="en-GB"/>
        </w:rPr>
        <w:footnoteRef/>
      </w:r>
      <w:r>
        <w:rPr>
          <w:lang w:val="en-GB"/>
        </w:rPr>
        <w:t xml:space="preserve"> See Heywood, above n 12</w:t>
      </w:r>
      <w:r w:rsidRPr="009645E5">
        <w:rPr>
          <w:lang w:val="en-GB"/>
        </w:rPr>
        <w:t xml:space="preserve">. See also N Castle, ‘Applying </w:t>
      </w:r>
      <w:r w:rsidRPr="009645E5">
        <w:rPr>
          <w:i/>
          <w:iCs/>
          <w:lang w:val="en-GB"/>
        </w:rPr>
        <w:t>Bolitho</w:t>
      </w:r>
      <w:r w:rsidRPr="009645E5">
        <w:rPr>
          <w:lang w:val="en-GB"/>
        </w:rPr>
        <w:t xml:space="preserve">’ (1998) </w:t>
      </w:r>
      <w:r w:rsidRPr="009645E5">
        <w:rPr>
          <w:i/>
          <w:iCs/>
          <w:lang w:val="en-GB"/>
        </w:rPr>
        <w:t>Journal of Personal Injury Law</w:t>
      </w:r>
      <w:r w:rsidRPr="009645E5">
        <w:rPr>
          <w:lang w:val="en-GB"/>
        </w:rPr>
        <w:t xml:space="preserve"> 278; N Glover, ‘</w:t>
      </w:r>
      <w:r w:rsidRPr="009645E5">
        <w:rPr>
          <w:i/>
          <w:iCs/>
          <w:lang w:val="en-GB"/>
        </w:rPr>
        <w:t>Bolam</w:t>
      </w:r>
      <w:r w:rsidRPr="009645E5">
        <w:rPr>
          <w:lang w:val="en-GB"/>
        </w:rPr>
        <w:t xml:space="preserve"> in the House of Lords’ (1995) 15 </w:t>
      </w:r>
      <w:r w:rsidRPr="009645E5">
        <w:rPr>
          <w:i/>
          <w:iCs/>
          <w:lang w:val="en-GB"/>
        </w:rPr>
        <w:t>Journal of Professional Negligence</w:t>
      </w:r>
      <w:r w:rsidRPr="009645E5">
        <w:rPr>
          <w:lang w:val="en-GB"/>
        </w:rPr>
        <w:t xml:space="preserve"> 42.</w:t>
      </w:r>
    </w:p>
    <w:p w14:paraId="25A68508" w14:textId="77777777" w:rsidR="00031CDC" w:rsidRPr="009645E5" w:rsidRDefault="00031CDC" w:rsidP="002B16A7">
      <w:pPr>
        <w:pStyle w:val="FootnoteText"/>
        <w:jc w:val="both"/>
        <w:rPr>
          <w:lang w:val="en-GB"/>
        </w:rPr>
      </w:pPr>
    </w:p>
  </w:footnote>
  <w:footnote w:id="44">
    <w:p w14:paraId="33C59139" w14:textId="72C8CEC8" w:rsidR="00031CDC" w:rsidRDefault="00031CDC" w:rsidP="002B16A7">
      <w:pPr>
        <w:pStyle w:val="FootnoteText"/>
        <w:jc w:val="both"/>
        <w:rPr>
          <w:lang w:val="en-GB"/>
        </w:rPr>
      </w:pPr>
      <w:r w:rsidRPr="009645E5">
        <w:rPr>
          <w:vertAlign w:val="superscript"/>
          <w:lang w:val="en-GB"/>
        </w:rPr>
        <w:footnoteRef/>
      </w:r>
      <w:r w:rsidRPr="009645E5">
        <w:rPr>
          <w:lang w:val="en-GB"/>
        </w:rPr>
        <w:t xml:space="preserve"> See H Teff, ‘The Standard of Care in Medical Negligence - Moving on From </w:t>
      </w:r>
      <w:r w:rsidRPr="009645E5">
        <w:rPr>
          <w:i/>
          <w:iCs/>
          <w:lang w:val="en-GB"/>
        </w:rPr>
        <w:t>Bolam</w:t>
      </w:r>
      <w:r w:rsidRPr="009645E5">
        <w:rPr>
          <w:lang w:val="en-GB"/>
        </w:rPr>
        <w:t xml:space="preserve">?’ (1998) 18 </w:t>
      </w:r>
      <w:r w:rsidRPr="009645E5">
        <w:rPr>
          <w:i/>
          <w:iCs/>
          <w:lang w:val="en-GB"/>
        </w:rPr>
        <w:t xml:space="preserve">Oxford Journal of Legal Studies </w:t>
      </w:r>
      <w:r w:rsidRPr="009645E5">
        <w:rPr>
          <w:lang w:val="en-GB"/>
        </w:rPr>
        <w:t>473 at 481.</w:t>
      </w:r>
      <w:r w:rsidRPr="009645E5">
        <w:rPr>
          <w:color w:val="FF2C21"/>
          <w:lang w:val="en-GB"/>
        </w:rPr>
        <w:t xml:space="preserve">  </w:t>
      </w:r>
      <w:r w:rsidRPr="009645E5">
        <w:rPr>
          <w:lang w:val="en-GB"/>
        </w:rPr>
        <w:t xml:space="preserve">See also M Jones, ‘The </w:t>
      </w:r>
      <w:r w:rsidRPr="009645E5">
        <w:rPr>
          <w:i/>
          <w:iCs/>
          <w:lang w:val="en-GB"/>
        </w:rPr>
        <w:t>Bolam</w:t>
      </w:r>
      <w:r w:rsidRPr="009645E5">
        <w:rPr>
          <w:lang w:val="en-GB"/>
        </w:rPr>
        <w:t xml:space="preserve"> Test and the Reasonable Expert’ (1999) 7 </w:t>
      </w:r>
      <w:r w:rsidRPr="009645E5">
        <w:rPr>
          <w:i/>
          <w:iCs/>
          <w:lang w:val="en-GB"/>
        </w:rPr>
        <w:t>Tort Law Review</w:t>
      </w:r>
      <w:r w:rsidRPr="009645E5">
        <w:rPr>
          <w:lang w:val="en-GB"/>
        </w:rPr>
        <w:t xml:space="preserve"> 226.</w:t>
      </w:r>
    </w:p>
    <w:p w14:paraId="7EF32030" w14:textId="77777777" w:rsidR="00031CDC" w:rsidRPr="009645E5" w:rsidRDefault="00031CDC" w:rsidP="002B16A7">
      <w:pPr>
        <w:pStyle w:val="FootnoteText"/>
        <w:jc w:val="both"/>
        <w:rPr>
          <w:lang w:val="en-GB"/>
        </w:rPr>
      </w:pPr>
    </w:p>
  </w:footnote>
  <w:footnote w:id="45">
    <w:p w14:paraId="3D611525" w14:textId="58E8E0B9" w:rsidR="00031CDC" w:rsidRPr="009645E5" w:rsidRDefault="00031CDC" w:rsidP="002B16A7">
      <w:pPr>
        <w:pStyle w:val="FootnoteText"/>
        <w:jc w:val="both"/>
        <w:rPr>
          <w:lang w:val="en-GB"/>
        </w:rPr>
      </w:pPr>
      <w:r w:rsidRPr="009645E5">
        <w:rPr>
          <w:vertAlign w:val="superscript"/>
          <w:lang w:val="en-GB"/>
        </w:rPr>
        <w:footnoteRef/>
      </w:r>
      <w:r>
        <w:rPr>
          <w:lang w:val="en-GB"/>
        </w:rPr>
        <w:t xml:space="preserve"> See Heywood, above n 12</w:t>
      </w:r>
      <w:r w:rsidRPr="009645E5">
        <w:rPr>
          <w:lang w:val="en-GB"/>
        </w:rPr>
        <w:t xml:space="preserve"> at 234.</w:t>
      </w:r>
    </w:p>
    <w:p w14:paraId="5074F353" w14:textId="77777777" w:rsidR="00031CDC" w:rsidRPr="009645E5" w:rsidRDefault="00031CDC" w:rsidP="002B16A7">
      <w:pPr>
        <w:pStyle w:val="FootnoteText"/>
        <w:jc w:val="both"/>
        <w:rPr>
          <w:lang w:val="en-GB"/>
        </w:rPr>
      </w:pPr>
    </w:p>
  </w:footnote>
  <w:footnote w:id="46">
    <w:p w14:paraId="31A78A8C" w14:textId="59C1F172" w:rsidR="00031CDC" w:rsidRPr="009645E5" w:rsidRDefault="00031CDC" w:rsidP="002B16A7">
      <w:pPr>
        <w:pStyle w:val="FootnoteText"/>
        <w:jc w:val="both"/>
        <w:rPr>
          <w:lang w:val="en-GB"/>
        </w:rPr>
      </w:pPr>
      <w:r w:rsidRPr="009645E5">
        <w:rPr>
          <w:vertAlign w:val="superscript"/>
          <w:lang w:val="en-GB"/>
        </w:rPr>
        <w:footnoteRef/>
      </w:r>
      <w:r>
        <w:rPr>
          <w:lang w:val="en-GB"/>
        </w:rPr>
        <w:t xml:space="preserve"> Mulheron, above n 12</w:t>
      </w:r>
      <w:r w:rsidRPr="009645E5">
        <w:rPr>
          <w:lang w:val="en-GB"/>
        </w:rPr>
        <w:t xml:space="preserve">. </w:t>
      </w:r>
    </w:p>
    <w:p w14:paraId="037AFD12" w14:textId="77777777" w:rsidR="00031CDC" w:rsidRPr="009645E5" w:rsidRDefault="00031CDC" w:rsidP="002B16A7">
      <w:pPr>
        <w:pStyle w:val="FootnoteText"/>
        <w:jc w:val="both"/>
        <w:rPr>
          <w:lang w:val="en-GB"/>
        </w:rPr>
      </w:pPr>
    </w:p>
  </w:footnote>
  <w:footnote w:id="47">
    <w:p w14:paraId="204B57B5" w14:textId="77777777"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Ibid at 620 - 637.</w:t>
      </w:r>
    </w:p>
    <w:p w14:paraId="24D5019A" w14:textId="77777777" w:rsidR="00031CDC" w:rsidRPr="009645E5" w:rsidRDefault="00031CDC" w:rsidP="002B16A7">
      <w:pPr>
        <w:pStyle w:val="FootnoteText"/>
        <w:jc w:val="both"/>
        <w:rPr>
          <w:lang w:val="en-GB"/>
        </w:rPr>
      </w:pPr>
    </w:p>
  </w:footnote>
  <w:footnote w:id="48">
    <w:p w14:paraId="05708F21" w14:textId="5F64071C"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w:t>
      </w:r>
      <w:r w:rsidRPr="009645E5">
        <w:rPr>
          <w:i/>
          <w:iCs/>
          <w:lang w:val="en-GB"/>
        </w:rPr>
        <w:t>Chappell</w:t>
      </w:r>
      <w:r>
        <w:rPr>
          <w:lang w:val="en-GB"/>
        </w:rPr>
        <w:t>, above n 18</w:t>
      </w:r>
      <w:r w:rsidRPr="009645E5">
        <w:rPr>
          <w:lang w:val="en-GB"/>
        </w:rPr>
        <w:t xml:space="preserve"> at 22.</w:t>
      </w:r>
    </w:p>
    <w:p w14:paraId="4A2F8655" w14:textId="77777777" w:rsidR="00031CDC" w:rsidRPr="009645E5" w:rsidRDefault="00031CDC" w:rsidP="002B16A7">
      <w:pPr>
        <w:pStyle w:val="FootnoteText"/>
        <w:jc w:val="both"/>
        <w:rPr>
          <w:lang w:val="en-GB"/>
        </w:rPr>
      </w:pPr>
    </w:p>
  </w:footnote>
  <w:footnote w:id="49">
    <w:p w14:paraId="1C413E34" w14:textId="710E5EE3" w:rsidR="00031CDC" w:rsidRPr="009645E5" w:rsidRDefault="00031CDC" w:rsidP="002B16A7">
      <w:pPr>
        <w:pStyle w:val="FootnoteText"/>
        <w:jc w:val="both"/>
        <w:rPr>
          <w:lang w:val="en-GB"/>
        </w:rPr>
      </w:pPr>
      <w:r w:rsidRPr="009645E5">
        <w:rPr>
          <w:vertAlign w:val="superscript"/>
          <w:lang w:val="en-GB"/>
        </w:rPr>
        <w:footnoteRef/>
      </w:r>
      <w:r>
        <w:rPr>
          <w:lang w:val="en-GB"/>
        </w:rPr>
        <w:t xml:space="preserve"> Above n 14</w:t>
      </w:r>
      <w:r w:rsidRPr="009645E5">
        <w:rPr>
          <w:lang w:val="en-GB"/>
        </w:rPr>
        <w:t xml:space="preserve"> at 41.</w:t>
      </w:r>
    </w:p>
    <w:p w14:paraId="0DFC03C5" w14:textId="77777777" w:rsidR="00031CDC" w:rsidRPr="009645E5" w:rsidRDefault="00031CDC" w:rsidP="002B16A7">
      <w:pPr>
        <w:pStyle w:val="FootnoteText"/>
        <w:jc w:val="both"/>
        <w:rPr>
          <w:lang w:val="en-GB"/>
        </w:rPr>
      </w:pPr>
    </w:p>
  </w:footnote>
  <w:footnote w:id="50">
    <w:p w14:paraId="18295CDC" w14:textId="72D4E9AA"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See the expert testimony in the case of </w:t>
      </w:r>
      <w:r w:rsidRPr="009645E5">
        <w:rPr>
          <w:i/>
          <w:iCs/>
          <w:lang w:val="en-GB"/>
        </w:rPr>
        <w:t>Tippett</w:t>
      </w:r>
      <w:r>
        <w:rPr>
          <w:lang w:val="en-GB"/>
        </w:rPr>
        <w:t>, above n 18</w:t>
      </w:r>
      <w:r w:rsidRPr="009645E5">
        <w:rPr>
          <w:lang w:val="en-GB"/>
        </w:rPr>
        <w:t xml:space="preserve"> at [37].</w:t>
      </w:r>
    </w:p>
    <w:p w14:paraId="2FDC4CE6" w14:textId="77777777" w:rsidR="00031CDC" w:rsidRPr="009645E5" w:rsidRDefault="00031CDC" w:rsidP="002B16A7">
      <w:pPr>
        <w:pStyle w:val="FootnoteText"/>
        <w:jc w:val="both"/>
        <w:rPr>
          <w:lang w:val="en-GB"/>
        </w:rPr>
      </w:pPr>
    </w:p>
  </w:footnote>
  <w:footnote w:id="51">
    <w:p w14:paraId="669A3FD0" w14:textId="185E600D" w:rsidR="00031CDC" w:rsidRPr="009645E5" w:rsidRDefault="00031CDC" w:rsidP="002B16A7">
      <w:pPr>
        <w:pStyle w:val="FootnoteText"/>
        <w:jc w:val="both"/>
        <w:rPr>
          <w:lang w:val="en-GB"/>
        </w:rPr>
      </w:pPr>
      <w:r w:rsidRPr="009645E5">
        <w:rPr>
          <w:vertAlign w:val="superscript"/>
          <w:lang w:val="en-GB"/>
        </w:rPr>
        <w:footnoteRef/>
      </w:r>
      <w:r>
        <w:rPr>
          <w:lang w:val="en-GB"/>
        </w:rPr>
        <w:t xml:space="preserve"> Teff, above n 43.  In terms of witness credibility, see also </w:t>
      </w:r>
      <w:r w:rsidRPr="009645E5">
        <w:rPr>
          <w:i/>
          <w:iCs/>
          <w:lang w:val="en-GB"/>
        </w:rPr>
        <w:t>Croft</w:t>
      </w:r>
      <w:r>
        <w:rPr>
          <w:lang w:val="en-GB"/>
        </w:rPr>
        <w:t>, above n 18</w:t>
      </w:r>
      <w:r w:rsidRPr="009645E5">
        <w:rPr>
          <w:lang w:val="en-GB"/>
        </w:rPr>
        <w:t xml:space="preserve">. </w:t>
      </w:r>
    </w:p>
    <w:p w14:paraId="6914BEB3" w14:textId="77777777" w:rsidR="00031CDC" w:rsidRPr="009645E5" w:rsidRDefault="00031CDC" w:rsidP="002B16A7">
      <w:pPr>
        <w:pStyle w:val="FootnoteText"/>
        <w:jc w:val="both"/>
        <w:rPr>
          <w:lang w:val="en-GB"/>
        </w:rPr>
      </w:pPr>
    </w:p>
  </w:footnote>
  <w:footnote w:id="52">
    <w:p w14:paraId="468EF67D" w14:textId="09FBB01A"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w:t>
      </w:r>
      <w:r w:rsidRPr="009645E5">
        <w:rPr>
          <w:i/>
          <w:iCs/>
          <w:lang w:val="en-GB"/>
        </w:rPr>
        <w:t>Tippett</w:t>
      </w:r>
      <w:r>
        <w:rPr>
          <w:lang w:val="en-GB"/>
        </w:rPr>
        <w:t>, above n 18</w:t>
      </w:r>
      <w:r w:rsidRPr="009645E5">
        <w:rPr>
          <w:lang w:val="en-GB"/>
        </w:rPr>
        <w:t xml:space="preserve"> at [5].</w:t>
      </w:r>
    </w:p>
    <w:p w14:paraId="7592F0C6" w14:textId="77777777" w:rsidR="00031CDC" w:rsidRPr="009645E5" w:rsidRDefault="00031CDC" w:rsidP="002B16A7">
      <w:pPr>
        <w:pStyle w:val="FootnoteText"/>
        <w:jc w:val="both"/>
        <w:rPr>
          <w:lang w:val="en-GB"/>
        </w:rPr>
      </w:pPr>
    </w:p>
  </w:footnote>
  <w:footnote w:id="53">
    <w:p w14:paraId="297823CF" w14:textId="2C0FACB6"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Ibid at 82.</w:t>
      </w:r>
    </w:p>
    <w:p w14:paraId="6918052C" w14:textId="77777777" w:rsidR="00031CDC" w:rsidRPr="009645E5" w:rsidRDefault="00031CDC" w:rsidP="002B16A7">
      <w:pPr>
        <w:pStyle w:val="FootnoteText"/>
        <w:jc w:val="both"/>
        <w:rPr>
          <w:lang w:val="en-GB"/>
        </w:rPr>
      </w:pPr>
    </w:p>
  </w:footnote>
  <w:footnote w:id="54">
    <w:p w14:paraId="01028509" w14:textId="4CC13949"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w:t>
      </w:r>
      <w:r w:rsidRPr="009645E5">
        <w:rPr>
          <w:iCs/>
          <w:lang w:val="en-GB"/>
        </w:rPr>
        <w:t xml:space="preserve">Ibid </w:t>
      </w:r>
      <w:r>
        <w:rPr>
          <w:lang w:val="en-GB"/>
        </w:rPr>
        <w:t xml:space="preserve">at [85].  See </w:t>
      </w:r>
      <w:r w:rsidRPr="009645E5">
        <w:rPr>
          <w:lang w:val="en-GB"/>
        </w:rPr>
        <w:t xml:space="preserve">NICE, </w:t>
      </w:r>
      <w:r w:rsidRPr="009645E5">
        <w:rPr>
          <w:i/>
          <w:iCs/>
          <w:lang w:val="en-GB"/>
        </w:rPr>
        <w:t>Intrapartum Care: Care of Healthy Women and Their Babies During Childbirth</w:t>
      </w:r>
      <w:r w:rsidRPr="009645E5">
        <w:rPr>
          <w:lang w:val="en-GB"/>
        </w:rPr>
        <w:t>, September 2007.</w:t>
      </w:r>
    </w:p>
    <w:p w14:paraId="58B64CA9" w14:textId="77777777" w:rsidR="00031CDC" w:rsidRPr="009645E5" w:rsidRDefault="00031CDC" w:rsidP="002B16A7">
      <w:pPr>
        <w:pStyle w:val="FootnoteText"/>
        <w:jc w:val="both"/>
        <w:rPr>
          <w:lang w:val="en-GB"/>
        </w:rPr>
      </w:pPr>
    </w:p>
  </w:footnote>
  <w:footnote w:id="55">
    <w:p w14:paraId="1089C64C" w14:textId="77777777" w:rsidR="00031CDC" w:rsidRPr="000F6F07" w:rsidRDefault="00031CDC" w:rsidP="002B16A7">
      <w:pPr>
        <w:pStyle w:val="FootnoteText"/>
        <w:jc w:val="both"/>
        <w:rPr>
          <w:lang w:val="en-GB"/>
        </w:rPr>
      </w:pPr>
      <w:r w:rsidRPr="009645E5">
        <w:rPr>
          <w:vertAlign w:val="superscript"/>
          <w:lang w:val="en-GB"/>
        </w:rPr>
        <w:footnoteRef/>
      </w:r>
      <w:r w:rsidRPr="000F6F07">
        <w:rPr>
          <w:lang w:val="en-GB"/>
        </w:rPr>
        <w:t xml:space="preserve"> Ibid at [86].</w:t>
      </w:r>
    </w:p>
    <w:p w14:paraId="27B80838" w14:textId="77777777" w:rsidR="00031CDC" w:rsidRPr="000F6F07" w:rsidRDefault="00031CDC" w:rsidP="002B16A7">
      <w:pPr>
        <w:pStyle w:val="FootnoteText"/>
        <w:jc w:val="both"/>
        <w:rPr>
          <w:lang w:val="en-GB"/>
        </w:rPr>
      </w:pPr>
    </w:p>
  </w:footnote>
  <w:footnote w:id="56">
    <w:p w14:paraId="1604E73C" w14:textId="77777777" w:rsidR="00031CDC" w:rsidRPr="000F6F07" w:rsidRDefault="00031CDC" w:rsidP="002B16A7">
      <w:pPr>
        <w:pStyle w:val="FootnoteText"/>
        <w:jc w:val="both"/>
        <w:rPr>
          <w:lang w:val="en-GB"/>
        </w:rPr>
      </w:pPr>
      <w:r w:rsidRPr="009645E5">
        <w:rPr>
          <w:vertAlign w:val="superscript"/>
          <w:lang w:val="en-GB"/>
        </w:rPr>
        <w:footnoteRef/>
      </w:r>
      <w:r w:rsidRPr="000F6F07">
        <w:rPr>
          <w:lang w:val="en-GB"/>
        </w:rPr>
        <w:t xml:space="preserve"> Ibid at [87].</w:t>
      </w:r>
    </w:p>
    <w:p w14:paraId="5527A650" w14:textId="77777777" w:rsidR="00031CDC" w:rsidRPr="000F6F07" w:rsidRDefault="00031CDC" w:rsidP="002B16A7">
      <w:pPr>
        <w:pStyle w:val="FootnoteText"/>
        <w:jc w:val="both"/>
        <w:rPr>
          <w:lang w:val="en-GB"/>
        </w:rPr>
      </w:pPr>
    </w:p>
  </w:footnote>
  <w:footnote w:id="57">
    <w:p w14:paraId="1F635B30" w14:textId="2BBF91DE" w:rsidR="00031CDC" w:rsidRDefault="00031CDC" w:rsidP="002B16A7">
      <w:pPr>
        <w:pStyle w:val="FootnoteText"/>
        <w:jc w:val="both"/>
        <w:rPr>
          <w:lang w:val="en-GB"/>
        </w:rPr>
      </w:pPr>
      <w:r w:rsidRPr="009645E5">
        <w:rPr>
          <w:vertAlign w:val="superscript"/>
          <w:lang w:val="en-GB"/>
        </w:rPr>
        <w:footnoteRef/>
      </w:r>
      <w:r w:rsidRPr="008D4C31">
        <w:rPr>
          <w:lang w:val="en-GB"/>
        </w:rPr>
        <w:t xml:space="preserve"> Ibid at [23].  </w:t>
      </w:r>
      <w:r w:rsidRPr="009645E5">
        <w:rPr>
          <w:lang w:val="en-GB"/>
        </w:rPr>
        <w:t>It was designated as high risk due to the patients PPRM (premature rupturing of membranes).</w:t>
      </w:r>
    </w:p>
    <w:p w14:paraId="547D17FF" w14:textId="77777777" w:rsidR="00031CDC" w:rsidRPr="009645E5" w:rsidRDefault="00031CDC" w:rsidP="002B16A7">
      <w:pPr>
        <w:pStyle w:val="FootnoteText"/>
        <w:jc w:val="both"/>
        <w:rPr>
          <w:lang w:val="en-GB"/>
        </w:rPr>
      </w:pPr>
    </w:p>
  </w:footnote>
  <w:footnote w:id="58">
    <w:p w14:paraId="41ADF437" w14:textId="4C7ABE46"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It was acknowledged that this was what the midwife wanted to do. Ibid at [87].</w:t>
      </w:r>
    </w:p>
    <w:p w14:paraId="497EA929" w14:textId="77777777" w:rsidR="00031CDC" w:rsidRPr="009645E5" w:rsidRDefault="00031CDC" w:rsidP="002B16A7">
      <w:pPr>
        <w:pStyle w:val="FootnoteText"/>
        <w:jc w:val="both"/>
        <w:rPr>
          <w:lang w:val="en-GB"/>
        </w:rPr>
      </w:pPr>
    </w:p>
  </w:footnote>
  <w:footnote w:id="59">
    <w:p w14:paraId="1B2C792A" w14:textId="392813D0"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w:t>
      </w:r>
      <w:r w:rsidRPr="009645E5">
        <w:rPr>
          <w:iCs/>
          <w:lang w:val="en-GB"/>
        </w:rPr>
        <w:t>Ibid</w:t>
      </w:r>
      <w:r w:rsidRPr="009645E5">
        <w:rPr>
          <w:i/>
          <w:iCs/>
          <w:lang w:val="en-GB"/>
        </w:rPr>
        <w:t xml:space="preserve"> </w:t>
      </w:r>
      <w:r w:rsidRPr="009645E5">
        <w:rPr>
          <w:lang w:val="en-GB"/>
        </w:rPr>
        <w:t>at [88].</w:t>
      </w:r>
    </w:p>
    <w:p w14:paraId="14310FFC" w14:textId="77777777" w:rsidR="00031CDC" w:rsidRPr="009645E5" w:rsidRDefault="00031CDC" w:rsidP="002B16A7">
      <w:pPr>
        <w:pStyle w:val="FootnoteText"/>
        <w:jc w:val="both"/>
        <w:rPr>
          <w:lang w:val="en-GB"/>
        </w:rPr>
      </w:pPr>
    </w:p>
  </w:footnote>
  <w:footnote w:id="60">
    <w:p w14:paraId="393EF437" w14:textId="77777777"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Ibid at [89].</w:t>
      </w:r>
    </w:p>
    <w:p w14:paraId="3F2BA843" w14:textId="77777777" w:rsidR="00031CDC" w:rsidRPr="009645E5" w:rsidRDefault="00031CDC" w:rsidP="002B16A7">
      <w:pPr>
        <w:pStyle w:val="FootnoteText"/>
        <w:jc w:val="both"/>
        <w:rPr>
          <w:lang w:val="en-GB"/>
        </w:rPr>
      </w:pPr>
    </w:p>
  </w:footnote>
  <w:footnote w:id="61">
    <w:p w14:paraId="06B9194C" w14:textId="06B33B3C" w:rsidR="00031CDC" w:rsidRDefault="00031CDC" w:rsidP="002B16A7">
      <w:pPr>
        <w:pStyle w:val="FootnoteText"/>
        <w:jc w:val="both"/>
        <w:rPr>
          <w:lang w:val="en-GB"/>
        </w:rPr>
      </w:pPr>
      <w:r w:rsidRPr="009645E5">
        <w:rPr>
          <w:vertAlign w:val="superscript"/>
          <w:lang w:val="en-GB"/>
        </w:rPr>
        <w:footnoteRef/>
      </w:r>
      <w:r w:rsidRPr="009645E5">
        <w:rPr>
          <w:lang w:val="en-GB"/>
        </w:rPr>
        <w:t xml:space="preserve"> </w:t>
      </w:r>
      <w:r>
        <w:rPr>
          <w:lang w:val="en-GB"/>
        </w:rPr>
        <w:t xml:space="preserve">For a similar CTG case see also </w:t>
      </w:r>
      <w:r w:rsidRPr="009645E5">
        <w:rPr>
          <w:i/>
          <w:iCs/>
          <w:lang w:val="en-GB"/>
        </w:rPr>
        <w:t>Reeve</w:t>
      </w:r>
      <w:r>
        <w:rPr>
          <w:lang w:val="en-GB"/>
        </w:rPr>
        <w:t>, above n 18.  T</w:t>
      </w:r>
      <w:r w:rsidRPr="009645E5">
        <w:rPr>
          <w:lang w:val="en-GB"/>
        </w:rPr>
        <w:t xml:space="preserve">he case of </w:t>
      </w:r>
      <w:r w:rsidRPr="009645E5">
        <w:rPr>
          <w:i/>
          <w:iCs/>
          <w:lang w:val="en-GB"/>
        </w:rPr>
        <w:t>Sardar</w:t>
      </w:r>
      <w:r>
        <w:rPr>
          <w:lang w:val="en-GB"/>
        </w:rPr>
        <w:t>, above n 18</w:t>
      </w:r>
      <w:r w:rsidRPr="009645E5">
        <w:rPr>
          <w:lang w:val="en-GB"/>
        </w:rPr>
        <w:t>, illustrates the enormous weight that judges place on the credibility of expert witnesses outside the domain of CTG interpretation.</w:t>
      </w:r>
    </w:p>
    <w:p w14:paraId="24F433C2" w14:textId="77777777" w:rsidR="00031CDC" w:rsidRPr="009645E5" w:rsidRDefault="00031CDC" w:rsidP="002B16A7">
      <w:pPr>
        <w:pStyle w:val="FootnoteText"/>
        <w:jc w:val="both"/>
        <w:rPr>
          <w:lang w:val="en-GB"/>
        </w:rPr>
      </w:pPr>
    </w:p>
  </w:footnote>
  <w:footnote w:id="62">
    <w:p w14:paraId="060C31C9" w14:textId="07131D69"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w:t>
      </w:r>
      <w:r w:rsidRPr="009645E5">
        <w:rPr>
          <w:i/>
          <w:iCs/>
          <w:lang w:val="en-GB"/>
        </w:rPr>
        <w:t>Chappell</w:t>
      </w:r>
      <w:r>
        <w:rPr>
          <w:lang w:val="en-GB"/>
        </w:rPr>
        <w:t>, above n 18.</w:t>
      </w:r>
    </w:p>
    <w:p w14:paraId="518CD3E6" w14:textId="77777777" w:rsidR="00031CDC" w:rsidRPr="009645E5" w:rsidRDefault="00031CDC" w:rsidP="002B16A7">
      <w:pPr>
        <w:pStyle w:val="FootnoteText"/>
        <w:jc w:val="both"/>
        <w:rPr>
          <w:lang w:val="en-GB"/>
        </w:rPr>
      </w:pPr>
    </w:p>
  </w:footnote>
  <w:footnote w:id="63">
    <w:p w14:paraId="0ABA8025" w14:textId="5A3D5837" w:rsidR="00031CDC" w:rsidRDefault="00031CDC" w:rsidP="002B16A7">
      <w:pPr>
        <w:pStyle w:val="FootnoteText"/>
        <w:jc w:val="both"/>
        <w:rPr>
          <w:lang w:val="en-GB"/>
        </w:rPr>
      </w:pPr>
      <w:r w:rsidRPr="009645E5">
        <w:rPr>
          <w:vertAlign w:val="superscript"/>
          <w:lang w:val="en-GB"/>
        </w:rPr>
        <w:footnoteRef/>
      </w:r>
      <w:r w:rsidRPr="009645E5">
        <w:rPr>
          <w:lang w:val="en-GB"/>
        </w:rPr>
        <w:t xml:space="preserve"> Syntocinon is used to induce labour whilst avoiding hyper-stimulation of the maternal uterus.  See ibid at [5]. </w:t>
      </w:r>
    </w:p>
    <w:p w14:paraId="0C4A1BDF" w14:textId="77777777" w:rsidR="00031CDC" w:rsidRPr="009645E5" w:rsidRDefault="00031CDC" w:rsidP="002B16A7">
      <w:pPr>
        <w:pStyle w:val="FootnoteText"/>
        <w:jc w:val="both"/>
        <w:rPr>
          <w:lang w:val="en-GB"/>
        </w:rPr>
      </w:pPr>
    </w:p>
  </w:footnote>
  <w:footnote w:id="64">
    <w:p w14:paraId="0B8116B5" w14:textId="121BF2CF" w:rsidR="00031CDC" w:rsidRPr="009D0D59" w:rsidRDefault="00031CDC" w:rsidP="002B16A7">
      <w:pPr>
        <w:pStyle w:val="FootnoteText"/>
        <w:jc w:val="both"/>
        <w:rPr>
          <w:lang w:val="en-GB"/>
        </w:rPr>
      </w:pPr>
      <w:r w:rsidRPr="009645E5">
        <w:rPr>
          <w:vertAlign w:val="superscript"/>
          <w:lang w:val="en-GB"/>
        </w:rPr>
        <w:footnoteRef/>
      </w:r>
      <w:r w:rsidRPr="009D0D59">
        <w:rPr>
          <w:lang w:val="en-GB"/>
        </w:rPr>
        <w:t xml:space="preserve"> Ibid</w:t>
      </w:r>
      <w:r w:rsidRPr="009D0D59">
        <w:rPr>
          <w:i/>
          <w:iCs/>
          <w:lang w:val="en-GB"/>
        </w:rPr>
        <w:t xml:space="preserve"> </w:t>
      </w:r>
      <w:r w:rsidRPr="009D0D59">
        <w:rPr>
          <w:lang w:val="en-GB"/>
        </w:rPr>
        <w:t>at [4].</w:t>
      </w:r>
    </w:p>
    <w:p w14:paraId="4347F916" w14:textId="77777777" w:rsidR="00031CDC" w:rsidRPr="009D0D59" w:rsidRDefault="00031CDC" w:rsidP="002B16A7">
      <w:pPr>
        <w:pStyle w:val="FootnoteText"/>
        <w:jc w:val="both"/>
        <w:rPr>
          <w:lang w:val="en-GB"/>
        </w:rPr>
      </w:pPr>
    </w:p>
  </w:footnote>
  <w:footnote w:id="65">
    <w:p w14:paraId="7250CA42" w14:textId="77777777" w:rsidR="00031CDC" w:rsidRPr="009D0D59" w:rsidRDefault="00031CDC" w:rsidP="002B16A7">
      <w:pPr>
        <w:pStyle w:val="FootnoteText"/>
        <w:jc w:val="both"/>
        <w:rPr>
          <w:lang w:val="en-GB"/>
        </w:rPr>
      </w:pPr>
      <w:r w:rsidRPr="009645E5">
        <w:rPr>
          <w:vertAlign w:val="superscript"/>
          <w:lang w:val="en-GB"/>
        </w:rPr>
        <w:footnoteRef/>
      </w:r>
      <w:r w:rsidRPr="009D0D59">
        <w:rPr>
          <w:lang w:val="en-GB"/>
        </w:rPr>
        <w:t xml:space="preserve"> Ibid at [48].</w:t>
      </w:r>
    </w:p>
    <w:p w14:paraId="206C4223" w14:textId="77777777" w:rsidR="00031CDC" w:rsidRPr="009D0D59" w:rsidRDefault="00031CDC" w:rsidP="002B16A7">
      <w:pPr>
        <w:pStyle w:val="FootnoteText"/>
        <w:jc w:val="both"/>
        <w:rPr>
          <w:lang w:val="en-GB"/>
        </w:rPr>
      </w:pPr>
    </w:p>
  </w:footnote>
  <w:footnote w:id="66">
    <w:p w14:paraId="7431EB70" w14:textId="77777777" w:rsidR="00031CDC" w:rsidRPr="009D0D59" w:rsidRDefault="00031CDC" w:rsidP="002B16A7">
      <w:pPr>
        <w:pStyle w:val="FootnoteText"/>
        <w:jc w:val="both"/>
        <w:rPr>
          <w:lang w:val="en-GB"/>
        </w:rPr>
      </w:pPr>
      <w:r w:rsidRPr="009645E5">
        <w:rPr>
          <w:vertAlign w:val="superscript"/>
          <w:lang w:val="en-GB"/>
        </w:rPr>
        <w:footnoteRef/>
      </w:r>
      <w:r w:rsidRPr="009D0D59">
        <w:rPr>
          <w:lang w:val="en-GB"/>
        </w:rPr>
        <w:t xml:space="preserve"> Ibid at [74].</w:t>
      </w:r>
    </w:p>
    <w:p w14:paraId="3A2226C4" w14:textId="77777777" w:rsidR="00031CDC" w:rsidRPr="009D0D59" w:rsidRDefault="00031CDC" w:rsidP="002B16A7">
      <w:pPr>
        <w:pStyle w:val="FootnoteText"/>
        <w:jc w:val="both"/>
        <w:rPr>
          <w:lang w:val="en-GB"/>
        </w:rPr>
      </w:pPr>
    </w:p>
  </w:footnote>
  <w:footnote w:id="67">
    <w:p w14:paraId="4B360971" w14:textId="77777777"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Ibid.</w:t>
      </w:r>
    </w:p>
    <w:p w14:paraId="7314FE87" w14:textId="77777777" w:rsidR="00031CDC" w:rsidRPr="009645E5" w:rsidRDefault="00031CDC" w:rsidP="002B16A7">
      <w:pPr>
        <w:pStyle w:val="FootnoteText"/>
        <w:jc w:val="both"/>
        <w:rPr>
          <w:lang w:val="en-GB"/>
        </w:rPr>
      </w:pPr>
    </w:p>
  </w:footnote>
  <w:footnote w:id="68">
    <w:p w14:paraId="3F56FD61" w14:textId="70619CC7"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An earlier reassuring FBS was taken at 01.55. See ibid at [75].</w:t>
      </w:r>
    </w:p>
    <w:p w14:paraId="598B4F2F" w14:textId="77777777" w:rsidR="00031CDC" w:rsidRPr="009645E5" w:rsidRDefault="00031CDC" w:rsidP="002B16A7">
      <w:pPr>
        <w:pStyle w:val="FootnoteText"/>
        <w:jc w:val="both"/>
        <w:rPr>
          <w:lang w:val="en-GB"/>
        </w:rPr>
      </w:pPr>
    </w:p>
  </w:footnote>
  <w:footnote w:id="69">
    <w:p w14:paraId="3C6DFD77" w14:textId="2652170F"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Ibid at [85].</w:t>
      </w:r>
    </w:p>
    <w:p w14:paraId="62A19B37" w14:textId="77777777" w:rsidR="00031CDC" w:rsidRPr="009645E5" w:rsidRDefault="00031CDC" w:rsidP="002B16A7">
      <w:pPr>
        <w:pStyle w:val="FootnoteText"/>
        <w:jc w:val="both"/>
        <w:rPr>
          <w:lang w:val="en-GB"/>
        </w:rPr>
      </w:pPr>
    </w:p>
  </w:footnote>
  <w:footnote w:id="70">
    <w:p w14:paraId="6CCC76C7" w14:textId="1881317D"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w:t>
      </w:r>
      <w:r w:rsidRPr="009645E5">
        <w:rPr>
          <w:i/>
          <w:iCs/>
          <w:lang w:val="en-GB"/>
        </w:rPr>
        <w:t>Maynard</w:t>
      </w:r>
      <w:r>
        <w:rPr>
          <w:lang w:val="en-GB"/>
        </w:rPr>
        <w:t>, above n 36.</w:t>
      </w:r>
    </w:p>
    <w:p w14:paraId="364B5246" w14:textId="77777777" w:rsidR="00031CDC" w:rsidRPr="009645E5" w:rsidRDefault="00031CDC" w:rsidP="002B16A7">
      <w:pPr>
        <w:pStyle w:val="FootnoteText"/>
        <w:jc w:val="both"/>
        <w:rPr>
          <w:lang w:val="en-GB"/>
        </w:rPr>
      </w:pPr>
    </w:p>
  </w:footnote>
  <w:footnote w:id="71">
    <w:p w14:paraId="7AF59C69" w14:textId="4BD1F2DE"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w:t>
      </w:r>
      <w:r w:rsidRPr="009645E5">
        <w:rPr>
          <w:i/>
          <w:iCs/>
          <w:lang w:val="en-GB"/>
        </w:rPr>
        <w:t>Chappell</w:t>
      </w:r>
      <w:r>
        <w:rPr>
          <w:lang w:val="en-GB"/>
        </w:rPr>
        <w:t xml:space="preserve">, above n 18 </w:t>
      </w:r>
      <w:r w:rsidRPr="009645E5">
        <w:rPr>
          <w:lang w:val="en-GB"/>
        </w:rPr>
        <w:t>at [75].</w:t>
      </w:r>
    </w:p>
    <w:p w14:paraId="3B7E6C8B" w14:textId="77777777" w:rsidR="00031CDC" w:rsidRPr="009645E5" w:rsidRDefault="00031CDC" w:rsidP="002B16A7">
      <w:pPr>
        <w:pStyle w:val="FootnoteText"/>
        <w:jc w:val="both"/>
        <w:rPr>
          <w:lang w:val="en-GB"/>
        </w:rPr>
      </w:pPr>
    </w:p>
  </w:footnote>
  <w:footnote w:id="72">
    <w:p w14:paraId="7C16E8D5" w14:textId="40594F2C"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Ibid at [74].  </w:t>
      </w:r>
    </w:p>
    <w:p w14:paraId="15EF3981" w14:textId="77777777" w:rsidR="00031CDC" w:rsidRPr="009645E5" w:rsidRDefault="00031CDC" w:rsidP="002B16A7">
      <w:pPr>
        <w:pStyle w:val="FootnoteText"/>
        <w:jc w:val="both"/>
        <w:rPr>
          <w:lang w:val="en-GB"/>
        </w:rPr>
      </w:pPr>
    </w:p>
  </w:footnote>
  <w:footnote w:id="73">
    <w:p w14:paraId="14A47AF8" w14:textId="58C8AF81"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The claimant had a persistent fever throughout labour and after her son was born.  A subsequent diagnosis of Chlamydia was confirmed.  Given that the finding of breach was resolved in favour of the defendant, there was technically no need for McKenna J to consider the question of causation. He did proceed to analyse the point and concluded that it was more likely than not that the claimant’s injury had actually been caused by the mother’s existing infection.  Thus, even if the claimant had managed to successfully argue that there had been a breach, the case may still have been lost on causation.</w:t>
      </w:r>
    </w:p>
    <w:p w14:paraId="5069B4FC" w14:textId="77777777" w:rsidR="00031CDC" w:rsidRPr="009645E5" w:rsidRDefault="00031CDC" w:rsidP="002B16A7">
      <w:pPr>
        <w:pStyle w:val="FootnoteText"/>
        <w:jc w:val="both"/>
        <w:rPr>
          <w:lang w:val="en-GB"/>
        </w:rPr>
      </w:pPr>
    </w:p>
  </w:footnote>
  <w:footnote w:id="74">
    <w:p w14:paraId="050E3950" w14:textId="69A46BC5" w:rsidR="00031CDC" w:rsidRPr="009645E5" w:rsidRDefault="00031CDC" w:rsidP="002B16A7">
      <w:pPr>
        <w:pStyle w:val="FootnoteText"/>
        <w:jc w:val="both"/>
        <w:rPr>
          <w:lang w:val="en-GB"/>
        </w:rPr>
      </w:pPr>
      <w:r w:rsidRPr="009645E5">
        <w:rPr>
          <w:vertAlign w:val="superscript"/>
          <w:lang w:val="en-GB"/>
        </w:rPr>
        <w:footnoteRef/>
      </w:r>
      <w:r>
        <w:rPr>
          <w:lang w:val="en-GB"/>
        </w:rPr>
        <w:t xml:space="preserve"> Mulheron, above n 12</w:t>
      </w:r>
      <w:r w:rsidRPr="009645E5">
        <w:rPr>
          <w:lang w:val="en-GB"/>
        </w:rPr>
        <w:t>.</w:t>
      </w:r>
    </w:p>
  </w:footnote>
  <w:footnote w:id="75">
    <w:p w14:paraId="0DB974E7" w14:textId="6F279CA3"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w:t>
      </w:r>
      <w:r w:rsidRPr="009645E5">
        <w:rPr>
          <w:i/>
          <w:iCs/>
          <w:lang w:val="en-GB"/>
        </w:rPr>
        <w:t>NM v Lanarkshire</w:t>
      </w:r>
      <w:r>
        <w:rPr>
          <w:lang w:val="en-GB"/>
        </w:rPr>
        <w:t>, above n 18</w:t>
      </w:r>
      <w:r w:rsidRPr="009645E5">
        <w:rPr>
          <w:lang w:val="en-GB"/>
        </w:rPr>
        <w:t>.</w:t>
      </w:r>
      <w:r>
        <w:rPr>
          <w:lang w:val="en-GB"/>
        </w:rPr>
        <w:t xml:space="preserve">  </w:t>
      </w:r>
      <w:r>
        <w:rPr>
          <w:color w:val="FF0000"/>
          <w:lang w:val="en-GB"/>
        </w:rPr>
        <w:t xml:space="preserve">At the time of writing, this case is currently under appeal before the Supreme Court.  The controversial aspect of the decision is more concerned with information disclosure and breach. However, it will be interesting to see what their Lordships say in respect of the actual treatment decision </w:t>
      </w:r>
      <w:r w:rsidRPr="005A0CCC">
        <w:rPr>
          <w:i/>
          <w:color w:val="FF0000"/>
          <w:lang w:val="en-GB"/>
        </w:rPr>
        <w:t>per se</w:t>
      </w:r>
      <w:r>
        <w:rPr>
          <w:color w:val="FF0000"/>
          <w:lang w:val="en-GB"/>
        </w:rPr>
        <w:t xml:space="preserve"> and the question of breach.  See UKSC 2013/0136.  </w:t>
      </w:r>
      <w:r w:rsidRPr="005A0CCC">
        <w:rPr>
          <w:color w:val="auto"/>
          <w:lang w:val="en-GB"/>
        </w:rPr>
        <w:t>Fo</w:t>
      </w:r>
      <w:r w:rsidRPr="009645E5">
        <w:rPr>
          <w:lang w:val="en-GB"/>
        </w:rPr>
        <w:t xml:space="preserve">r discussion of the decision of the Outer House of the Court of Session see R Heywood, ‘Negligent Antenatal Disclosure and Management of Labour’ (2011) 19 </w:t>
      </w:r>
      <w:r w:rsidRPr="009645E5">
        <w:rPr>
          <w:i/>
          <w:iCs/>
          <w:lang w:val="en-GB"/>
        </w:rPr>
        <w:t>Medical Law Review</w:t>
      </w:r>
      <w:r w:rsidRPr="009645E5">
        <w:rPr>
          <w:lang w:val="en-GB"/>
        </w:rPr>
        <w:t xml:space="preserve"> 140.  See also A MacLean, ‘From </w:t>
      </w:r>
      <w:r w:rsidRPr="009645E5">
        <w:rPr>
          <w:i/>
          <w:iCs/>
          <w:lang w:val="en-GB"/>
        </w:rPr>
        <w:t>Sidaway</w:t>
      </w:r>
      <w:r w:rsidRPr="009645E5">
        <w:rPr>
          <w:lang w:val="en-GB"/>
        </w:rPr>
        <w:t xml:space="preserve"> to </w:t>
      </w:r>
      <w:r w:rsidRPr="009645E5">
        <w:rPr>
          <w:i/>
          <w:iCs/>
          <w:lang w:val="en-GB"/>
        </w:rPr>
        <w:t>Pearce</w:t>
      </w:r>
      <w:r w:rsidRPr="009645E5">
        <w:rPr>
          <w:lang w:val="en-GB"/>
        </w:rPr>
        <w:t xml:space="preserve"> and Beyond: Is the Legal Regulation of Consent Any Better Following a Quarter of a Century of Judicial Scrutiny?’ (2012) 20 </w:t>
      </w:r>
      <w:r w:rsidRPr="009645E5">
        <w:rPr>
          <w:i/>
          <w:iCs/>
          <w:lang w:val="en-GB"/>
        </w:rPr>
        <w:t>Medical Law Review</w:t>
      </w:r>
      <w:r w:rsidRPr="009645E5">
        <w:rPr>
          <w:lang w:val="en-GB"/>
        </w:rPr>
        <w:t xml:space="preserve"> 108.</w:t>
      </w:r>
    </w:p>
    <w:p w14:paraId="0D548382" w14:textId="77777777" w:rsidR="00031CDC" w:rsidRPr="009645E5" w:rsidRDefault="00031CDC" w:rsidP="002B16A7">
      <w:pPr>
        <w:pStyle w:val="FootnoteText"/>
        <w:jc w:val="both"/>
        <w:rPr>
          <w:lang w:val="en-GB"/>
        </w:rPr>
      </w:pPr>
    </w:p>
  </w:footnote>
  <w:footnote w:id="76">
    <w:p w14:paraId="1EC6764C" w14:textId="6E4B6E10" w:rsidR="00031CDC" w:rsidRPr="009645E5" w:rsidRDefault="00031CDC" w:rsidP="002B16A7">
      <w:pPr>
        <w:pStyle w:val="FootnoteText"/>
        <w:jc w:val="both"/>
        <w:rPr>
          <w:lang w:val="en-GB"/>
        </w:rPr>
      </w:pPr>
      <w:r w:rsidRPr="009645E5">
        <w:rPr>
          <w:vertAlign w:val="superscript"/>
          <w:lang w:val="en-GB"/>
        </w:rPr>
        <w:footnoteRef/>
      </w:r>
      <w:r w:rsidRPr="009645E5">
        <w:rPr>
          <w:i/>
          <w:iCs/>
          <w:lang w:val="en-GB"/>
        </w:rPr>
        <w:t xml:space="preserve"> NM v Lanarkshire</w:t>
      </w:r>
      <w:r>
        <w:rPr>
          <w:lang w:val="en-GB"/>
        </w:rPr>
        <w:t>, above n 18</w:t>
      </w:r>
      <w:r w:rsidRPr="009645E5">
        <w:rPr>
          <w:lang w:val="en-GB"/>
        </w:rPr>
        <w:t xml:space="preserve"> at [55].</w:t>
      </w:r>
    </w:p>
    <w:p w14:paraId="3EB4F3D0" w14:textId="77777777" w:rsidR="00031CDC" w:rsidRPr="009645E5" w:rsidRDefault="00031CDC" w:rsidP="002B16A7">
      <w:pPr>
        <w:pStyle w:val="FootnoteText"/>
        <w:jc w:val="both"/>
        <w:rPr>
          <w:lang w:val="en-GB"/>
        </w:rPr>
      </w:pPr>
    </w:p>
  </w:footnote>
  <w:footnote w:id="77">
    <w:p w14:paraId="3EFA40DD" w14:textId="5604A648"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The Scottish courts are not technically bound to follow the English House of Lords’ decision in </w:t>
      </w:r>
      <w:r w:rsidRPr="009645E5">
        <w:rPr>
          <w:i/>
          <w:iCs/>
          <w:lang w:val="en-GB"/>
        </w:rPr>
        <w:t>Bolitho</w:t>
      </w:r>
      <w:r>
        <w:rPr>
          <w:lang w:val="en-GB"/>
        </w:rPr>
        <w:t xml:space="preserve">.  However, </w:t>
      </w:r>
      <w:r w:rsidRPr="009645E5">
        <w:rPr>
          <w:lang w:val="en-GB"/>
        </w:rPr>
        <w:t>there is no indication that Scottish law wishes to travel in a different direction.</w:t>
      </w:r>
    </w:p>
    <w:p w14:paraId="21973102" w14:textId="77777777" w:rsidR="00031CDC" w:rsidRPr="009645E5" w:rsidRDefault="00031CDC" w:rsidP="002B16A7">
      <w:pPr>
        <w:pStyle w:val="FootnoteText"/>
        <w:jc w:val="both"/>
        <w:rPr>
          <w:lang w:val="en-GB"/>
        </w:rPr>
      </w:pPr>
    </w:p>
  </w:footnote>
  <w:footnote w:id="78">
    <w:p w14:paraId="403FE195" w14:textId="13897F2B" w:rsidR="00031CDC" w:rsidRPr="009645E5" w:rsidRDefault="00031CDC" w:rsidP="002B16A7">
      <w:pPr>
        <w:pStyle w:val="FootnoteText"/>
        <w:jc w:val="both"/>
        <w:rPr>
          <w:lang w:val="en-GB"/>
        </w:rPr>
      </w:pPr>
      <w:r w:rsidRPr="009645E5">
        <w:rPr>
          <w:vertAlign w:val="superscript"/>
          <w:lang w:val="en-GB"/>
        </w:rPr>
        <w:footnoteRef/>
      </w:r>
      <w:r w:rsidRPr="009645E5">
        <w:rPr>
          <w:i/>
          <w:iCs/>
          <w:lang w:val="en-GB"/>
        </w:rPr>
        <w:t xml:space="preserve"> NM v Lanarkshire</w:t>
      </w:r>
      <w:r>
        <w:rPr>
          <w:lang w:val="en-GB"/>
        </w:rPr>
        <w:t>, above n 18</w:t>
      </w:r>
      <w:r w:rsidRPr="009645E5">
        <w:rPr>
          <w:lang w:val="en-GB"/>
        </w:rPr>
        <w:t xml:space="preserve"> at [60].</w:t>
      </w:r>
    </w:p>
    <w:p w14:paraId="6DBDF262" w14:textId="77777777" w:rsidR="00031CDC" w:rsidRPr="009645E5" w:rsidRDefault="00031CDC" w:rsidP="002B16A7">
      <w:pPr>
        <w:pStyle w:val="FootnoteText"/>
        <w:jc w:val="both"/>
        <w:rPr>
          <w:lang w:val="en-GB"/>
        </w:rPr>
      </w:pPr>
    </w:p>
  </w:footnote>
  <w:footnote w:id="79">
    <w:p w14:paraId="2B0890F7" w14:textId="77777777" w:rsidR="00031CDC" w:rsidRPr="00673788" w:rsidRDefault="00031CDC" w:rsidP="002B16A7">
      <w:pPr>
        <w:pStyle w:val="FootnoteText"/>
        <w:jc w:val="both"/>
        <w:rPr>
          <w:lang w:val="en-GB"/>
        </w:rPr>
      </w:pPr>
      <w:r w:rsidRPr="009645E5">
        <w:rPr>
          <w:vertAlign w:val="superscript"/>
          <w:lang w:val="en-GB"/>
        </w:rPr>
        <w:footnoteRef/>
      </w:r>
      <w:r w:rsidRPr="00673788">
        <w:rPr>
          <w:lang w:val="en-GB"/>
        </w:rPr>
        <w:t xml:space="preserve"> Ibid at [66].</w:t>
      </w:r>
    </w:p>
    <w:p w14:paraId="02AE14D9" w14:textId="77777777" w:rsidR="00031CDC" w:rsidRPr="00673788" w:rsidRDefault="00031CDC" w:rsidP="002B16A7">
      <w:pPr>
        <w:pStyle w:val="FootnoteText"/>
        <w:jc w:val="both"/>
        <w:rPr>
          <w:lang w:val="en-GB"/>
        </w:rPr>
      </w:pPr>
    </w:p>
  </w:footnote>
  <w:footnote w:id="80">
    <w:p w14:paraId="6B627663" w14:textId="77777777" w:rsidR="00031CDC" w:rsidRPr="00673788" w:rsidRDefault="00031CDC" w:rsidP="002B16A7">
      <w:pPr>
        <w:pStyle w:val="FootnoteText"/>
        <w:jc w:val="both"/>
        <w:rPr>
          <w:lang w:val="en-GB"/>
        </w:rPr>
      </w:pPr>
      <w:r w:rsidRPr="009645E5">
        <w:rPr>
          <w:vertAlign w:val="superscript"/>
          <w:lang w:val="en-GB"/>
        </w:rPr>
        <w:footnoteRef/>
      </w:r>
      <w:r w:rsidRPr="00673788">
        <w:rPr>
          <w:lang w:val="en-GB"/>
        </w:rPr>
        <w:t xml:space="preserve"> Ibid at [59].</w:t>
      </w:r>
    </w:p>
    <w:p w14:paraId="3B649E97" w14:textId="77777777" w:rsidR="00031CDC" w:rsidRPr="00673788" w:rsidRDefault="00031CDC" w:rsidP="002B16A7">
      <w:pPr>
        <w:pStyle w:val="FootnoteText"/>
        <w:jc w:val="both"/>
        <w:rPr>
          <w:lang w:val="en-GB"/>
        </w:rPr>
      </w:pPr>
    </w:p>
  </w:footnote>
  <w:footnote w:id="81">
    <w:p w14:paraId="447A96C8" w14:textId="51932307" w:rsidR="00031CDC" w:rsidRPr="00673788" w:rsidRDefault="00031CDC" w:rsidP="002B16A7">
      <w:pPr>
        <w:pStyle w:val="FootnoteText"/>
        <w:jc w:val="both"/>
        <w:rPr>
          <w:lang w:val="en-GB"/>
        </w:rPr>
      </w:pPr>
      <w:r w:rsidRPr="009645E5">
        <w:rPr>
          <w:vertAlign w:val="superscript"/>
          <w:lang w:val="en-GB"/>
        </w:rPr>
        <w:footnoteRef/>
      </w:r>
      <w:r w:rsidRPr="00673788">
        <w:rPr>
          <w:i/>
          <w:iCs/>
          <w:lang w:val="en-GB"/>
        </w:rPr>
        <w:t xml:space="preserve"> </w:t>
      </w:r>
      <w:r w:rsidRPr="00673788">
        <w:rPr>
          <w:iCs/>
          <w:lang w:val="en-GB"/>
        </w:rPr>
        <w:t xml:space="preserve">Ibid </w:t>
      </w:r>
      <w:r w:rsidRPr="00673788">
        <w:rPr>
          <w:lang w:val="en-GB"/>
        </w:rPr>
        <w:t>at [55].</w:t>
      </w:r>
    </w:p>
    <w:p w14:paraId="724514B7" w14:textId="77777777" w:rsidR="00031CDC" w:rsidRPr="00673788" w:rsidRDefault="00031CDC" w:rsidP="002B16A7">
      <w:pPr>
        <w:pStyle w:val="FootnoteText"/>
        <w:jc w:val="both"/>
        <w:rPr>
          <w:lang w:val="en-GB"/>
        </w:rPr>
      </w:pPr>
    </w:p>
  </w:footnote>
  <w:footnote w:id="82">
    <w:p w14:paraId="503AA938" w14:textId="6CC1DC05" w:rsidR="00031CDC" w:rsidRDefault="00031CDC" w:rsidP="002B16A7">
      <w:pPr>
        <w:pStyle w:val="FootnoteText"/>
        <w:jc w:val="both"/>
        <w:rPr>
          <w:color w:val="auto"/>
          <w:lang w:val="en-GB"/>
        </w:rPr>
      </w:pPr>
      <w:r w:rsidRPr="009645E5">
        <w:rPr>
          <w:vertAlign w:val="superscript"/>
          <w:lang w:val="en-GB"/>
        </w:rPr>
        <w:footnoteRef/>
      </w:r>
      <w:r w:rsidRPr="00673788">
        <w:rPr>
          <w:lang w:val="en-GB"/>
        </w:rPr>
        <w:t xml:space="preserve"> See L Liljeström </w:t>
      </w:r>
      <w:r w:rsidRPr="00673788">
        <w:rPr>
          <w:i/>
          <w:iCs/>
          <w:lang w:val="en-GB"/>
        </w:rPr>
        <w:t>et al</w:t>
      </w:r>
      <w:r w:rsidRPr="00673788">
        <w:rPr>
          <w:lang w:val="en-GB"/>
        </w:rPr>
        <w:t xml:space="preserve">., ‘Experiences of Fetal Scalp Blood Sampling During Labor’ (2014) 93 </w:t>
      </w:r>
      <w:r w:rsidRPr="00673788">
        <w:rPr>
          <w:i/>
          <w:iCs/>
          <w:lang w:val="en-GB"/>
        </w:rPr>
        <w:t xml:space="preserve">Acta Obstetricia </w:t>
      </w:r>
      <w:proofErr w:type="gramStart"/>
      <w:r w:rsidRPr="00673788">
        <w:rPr>
          <w:i/>
          <w:iCs/>
          <w:lang w:val="en-GB"/>
        </w:rPr>
        <w:t>Et</w:t>
      </w:r>
      <w:proofErr w:type="gramEnd"/>
      <w:r w:rsidRPr="00673788">
        <w:rPr>
          <w:i/>
          <w:iCs/>
          <w:lang w:val="en-GB"/>
        </w:rPr>
        <w:t xml:space="preserve"> Gynecologica Scandinavica</w:t>
      </w:r>
      <w:r w:rsidRPr="00673788">
        <w:rPr>
          <w:lang w:val="en-GB"/>
        </w:rPr>
        <w:t xml:space="preserve"> 113</w:t>
      </w:r>
      <w:r w:rsidRPr="00673788">
        <w:rPr>
          <w:color w:val="auto"/>
          <w:lang w:val="en-GB"/>
        </w:rPr>
        <w:t>.</w:t>
      </w:r>
    </w:p>
    <w:p w14:paraId="1CE0446E" w14:textId="77777777" w:rsidR="00031CDC" w:rsidRPr="00921372" w:rsidRDefault="00031CDC" w:rsidP="002B16A7">
      <w:pPr>
        <w:pStyle w:val="FootnoteText"/>
        <w:jc w:val="both"/>
        <w:rPr>
          <w:color w:val="FF2C21"/>
          <w:lang w:val="en-GB"/>
        </w:rPr>
      </w:pPr>
    </w:p>
  </w:footnote>
  <w:footnote w:id="83">
    <w:p w14:paraId="04ACA03E" w14:textId="00A9E18F" w:rsidR="00031CDC" w:rsidRPr="00673788" w:rsidRDefault="00031CDC" w:rsidP="002B16A7">
      <w:pPr>
        <w:pStyle w:val="FootnoteText"/>
        <w:jc w:val="both"/>
        <w:rPr>
          <w:color w:val="FF2C21"/>
          <w:lang w:val="en-GB"/>
        </w:rPr>
      </w:pPr>
      <w:r w:rsidRPr="009645E5">
        <w:rPr>
          <w:vertAlign w:val="superscript"/>
          <w:lang w:val="en-GB"/>
        </w:rPr>
        <w:footnoteRef/>
      </w:r>
      <w:r w:rsidRPr="00673788">
        <w:rPr>
          <w:lang w:val="en-GB"/>
        </w:rPr>
        <w:t xml:space="preserve"> See J Villar </w:t>
      </w:r>
      <w:r w:rsidRPr="00673788">
        <w:rPr>
          <w:i/>
          <w:iCs/>
          <w:lang w:val="en-GB"/>
        </w:rPr>
        <w:t>et al</w:t>
      </w:r>
      <w:r w:rsidRPr="00673788">
        <w:rPr>
          <w:lang w:val="en-GB"/>
        </w:rPr>
        <w:t xml:space="preserve">., ‘Maternal and Neonatal Individual Risks and Benefits Associated With Caesarean Delivery: Multicentre Prospective Study’ </w:t>
      </w:r>
      <w:r w:rsidRPr="00673788">
        <w:rPr>
          <w:i/>
          <w:iCs/>
          <w:lang w:val="en-GB"/>
        </w:rPr>
        <w:t>BMJ Online First</w:t>
      </w:r>
      <w:r w:rsidRPr="00673788">
        <w:rPr>
          <w:lang w:val="en-GB"/>
        </w:rPr>
        <w:t xml:space="preserve"> doi: 10.1136/bmj.39363.706956.55; JL Ecker, ‘Cesarean Delivery and the Risk-Benefit Calculus’ (2007) 356 </w:t>
      </w:r>
      <w:r w:rsidRPr="00673788">
        <w:rPr>
          <w:i/>
          <w:iCs/>
          <w:lang w:val="en-GB"/>
        </w:rPr>
        <w:t>The New England Journal of Medicine</w:t>
      </w:r>
      <w:r w:rsidRPr="00673788">
        <w:rPr>
          <w:lang w:val="en-GB"/>
        </w:rPr>
        <w:t xml:space="preserve"> 885; J Villar </w:t>
      </w:r>
      <w:r w:rsidRPr="00673788">
        <w:rPr>
          <w:i/>
          <w:iCs/>
          <w:lang w:val="en-GB"/>
        </w:rPr>
        <w:t>et al</w:t>
      </w:r>
      <w:r w:rsidRPr="00673788">
        <w:rPr>
          <w:lang w:val="en-GB"/>
        </w:rPr>
        <w:t xml:space="preserve">., ‘Caesarean Delivery Rates and Pregnancy Outcomes: The 2005 WHO Global Survey on Maternal and Perinatal Health in Latin America (2006) 367 </w:t>
      </w:r>
      <w:r w:rsidRPr="00673788">
        <w:rPr>
          <w:i/>
          <w:iCs/>
          <w:lang w:val="en-GB"/>
        </w:rPr>
        <w:t>Lancet</w:t>
      </w:r>
      <w:r w:rsidRPr="00673788">
        <w:rPr>
          <w:lang w:val="en-GB"/>
        </w:rPr>
        <w:t xml:space="preserve"> 1819.</w:t>
      </w:r>
      <w:r w:rsidRPr="00673788">
        <w:rPr>
          <w:color w:val="FF2C21"/>
          <w:lang w:val="en-GB"/>
        </w:rPr>
        <w:t xml:space="preserve">  </w:t>
      </w:r>
    </w:p>
    <w:p w14:paraId="6D8C1F7F" w14:textId="77777777" w:rsidR="00031CDC" w:rsidRPr="00673788" w:rsidRDefault="00031CDC" w:rsidP="002B16A7">
      <w:pPr>
        <w:pStyle w:val="FootnoteText"/>
        <w:jc w:val="both"/>
        <w:rPr>
          <w:lang w:val="en-GB"/>
        </w:rPr>
      </w:pPr>
    </w:p>
  </w:footnote>
  <w:footnote w:id="84">
    <w:p w14:paraId="4A7E60D6" w14:textId="5B7134D7" w:rsidR="00031CDC" w:rsidRPr="009645E5" w:rsidRDefault="00031CDC" w:rsidP="002B16A7">
      <w:pPr>
        <w:pStyle w:val="FootnoteText"/>
        <w:jc w:val="both"/>
        <w:rPr>
          <w:lang w:val="en-GB"/>
        </w:rPr>
      </w:pPr>
      <w:r w:rsidRPr="009645E5">
        <w:rPr>
          <w:vertAlign w:val="superscript"/>
          <w:lang w:val="en-GB"/>
        </w:rPr>
        <w:footnoteRef/>
      </w:r>
      <w:r w:rsidRPr="009645E5">
        <w:rPr>
          <w:i/>
          <w:iCs/>
          <w:lang w:val="en-GB"/>
        </w:rPr>
        <w:t xml:space="preserve"> NM v Lanarkshire</w:t>
      </w:r>
      <w:r>
        <w:rPr>
          <w:lang w:val="en-GB"/>
        </w:rPr>
        <w:t>, above n 18</w:t>
      </w:r>
      <w:r w:rsidRPr="009645E5">
        <w:rPr>
          <w:lang w:val="en-GB"/>
        </w:rPr>
        <w:t xml:space="preserve"> at [2].</w:t>
      </w:r>
    </w:p>
  </w:footnote>
  <w:footnote w:id="85">
    <w:p w14:paraId="6D55D565" w14:textId="77777777"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Ibid. A macrosomic fetus is a larger than average baby.</w:t>
      </w:r>
    </w:p>
    <w:p w14:paraId="10E873DD" w14:textId="77777777" w:rsidR="00031CDC" w:rsidRPr="009645E5" w:rsidRDefault="00031CDC" w:rsidP="002B16A7">
      <w:pPr>
        <w:pStyle w:val="FootnoteText"/>
        <w:jc w:val="both"/>
        <w:rPr>
          <w:lang w:val="en-GB"/>
        </w:rPr>
      </w:pPr>
    </w:p>
  </w:footnote>
  <w:footnote w:id="86">
    <w:p w14:paraId="40B1959D" w14:textId="77777777"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Ibid at [2] - [3].</w:t>
      </w:r>
    </w:p>
    <w:p w14:paraId="103EDAAF" w14:textId="77777777" w:rsidR="00031CDC" w:rsidRPr="009645E5" w:rsidRDefault="00031CDC" w:rsidP="002B16A7">
      <w:pPr>
        <w:pStyle w:val="FootnoteText"/>
        <w:jc w:val="both"/>
        <w:rPr>
          <w:lang w:val="en-GB"/>
        </w:rPr>
      </w:pPr>
    </w:p>
  </w:footnote>
  <w:footnote w:id="87">
    <w:p w14:paraId="77C587F1" w14:textId="13480108"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w:t>
      </w:r>
      <w:r w:rsidRPr="009645E5">
        <w:rPr>
          <w:i/>
          <w:iCs/>
          <w:lang w:val="en-GB"/>
        </w:rPr>
        <w:t>C v North Cumbria</w:t>
      </w:r>
      <w:r>
        <w:rPr>
          <w:lang w:val="en-GB"/>
        </w:rPr>
        <w:t>, above n 18</w:t>
      </w:r>
      <w:r w:rsidRPr="009645E5">
        <w:rPr>
          <w:lang w:val="en-GB"/>
        </w:rPr>
        <w:t>.</w:t>
      </w:r>
    </w:p>
    <w:p w14:paraId="6FFD1592" w14:textId="77777777" w:rsidR="00031CDC" w:rsidRPr="009645E5" w:rsidRDefault="00031CDC" w:rsidP="002B16A7">
      <w:pPr>
        <w:pStyle w:val="FootnoteText"/>
        <w:jc w:val="both"/>
        <w:rPr>
          <w:lang w:val="en-GB"/>
        </w:rPr>
      </w:pPr>
    </w:p>
  </w:footnote>
  <w:footnote w:id="88">
    <w:p w14:paraId="5B3166F7" w14:textId="77777777"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Prostin is a drug that stimulates natural contractions in the uterus.</w:t>
      </w:r>
    </w:p>
    <w:p w14:paraId="11480559" w14:textId="77777777" w:rsidR="00031CDC" w:rsidRPr="009645E5" w:rsidRDefault="00031CDC" w:rsidP="002B16A7">
      <w:pPr>
        <w:pStyle w:val="FootnoteText"/>
        <w:jc w:val="both"/>
        <w:rPr>
          <w:lang w:val="en-GB"/>
        </w:rPr>
      </w:pPr>
    </w:p>
  </w:footnote>
  <w:footnote w:id="89">
    <w:p w14:paraId="404671C2" w14:textId="1B6EB9CF"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The mother tragically died and the child was born with cerebral palsy.</w:t>
      </w:r>
    </w:p>
    <w:p w14:paraId="6986EDA0" w14:textId="77777777" w:rsidR="00031CDC" w:rsidRPr="009645E5" w:rsidRDefault="00031CDC" w:rsidP="002B16A7">
      <w:pPr>
        <w:pStyle w:val="FootnoteText"/>
        <w:jc w:val="both"/>
        <w:rPr>
          <w:lang w:val="en-GB"/>
        </w:rPr>
      </w:pPr>
    </w:p>
  </w:footnote>
  <w:footnote w:id="90">
    <w:p w14:paraId="4C80AB34" w14:textId="0A529B1F"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w:t>
      </w:r>
      <w:r w:rsidRPr="009645E5">
        <w:rPr>
          <w:i/>
          <w:iCs/>
          <w:lang w:val="en-GB"/>
        </w:rPr>
        <w:t>C v North Cumbria</w:t>
      </w:r>
      <w:r>
        <w:rPr>
          <w:lang w:val="en-GB"/>
        </w:rPr>
        <w:t>, above n 18</w:t>
      </w:r>
      <w:r w:rsidRPr="009645E5">
        <w:rPr>
          <w:lang w:val="en-GB"/>
        </w:rPr>
        <w:t xml:space="preserve"> at [75].</w:t>
      </w:r>
    </w:p>
    <w:p w14:paraId="7F34C5D3" w14:textId="77777777" w:rsidR="00031CDC" w:rsidRPr="009645E5" w:rsidRDefault="00031CDC" w:rsidP="002B16A7">
      <w:pPr>
        <w:pStyle w:val="FootnoteText"/>
        <w:jc w:val="both"/>
        <w:rPr>
          <w:lang w:val="en-GB"/>
        </w:rPr>
      </w:pPr>
    </w:p>
  </w:footnote>
  <w:footnote w:id="91">
    <w:p w14:paraId="26962AFC" w14:textId="77777777"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Ibid at [78].</w:t>
      </w:r>
    </w:p>
    <w:p w14:paraId="69FBDEC9" w14:textId="77777777" w:rsidR="00031CDC" w:rsidRPr="009645E5" w:rsidRDefault="00031CDC" w:rsidP="002B16A7">
      <w:pPr>
        <w:pStyle w:val="FootnoteText"/>
        <w:jc w:val="both"/>
        <w:rPr>
          <w:lang w:val="en-GB"/>
        </w:rPr>
      </w:pPr>
    </w:p>
  </w:footnote>
  <w:footnote w:id="92">
    <w:p w14:paraId="7E9EABAB" w14:textId="77777777"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Ibid at [37].</w:t>
      </w:r>
    </w:p>
    <w:p w14:paraId="282CB97B" w14:textId="77777777" w:rsidR="00031CDC" w:rsidRPr="009645E5" w:rsidRDefault="00031CDC" w:rsidP="002B16A7">
      <w:pPr>
        <w:pStyle w:val="FootnoteText"/>
        <w:jc w:val="both"/>
        <w:rPr>
          <w:lang w:val="en-GB"/>
        </w:rPr>
      </w:pPr>
    </w:p>
  </w:footnote>
  <w:footnote w:id="93">
    <w:p w14:paraId="5F1AD429" w14:textId="41D6380E" w:rsidR="00031CDC" w:rsidRPr="009645E5" w:rsidRDefault="00031CDC" w:rsidP="002B16A7">
      <w:pPr>
        <w:pStyle w:val="FootnoteText"/>
        <w:jc w:val="both"/>
        <w:rPr>
          <w:lang w:val="en-GB"/>
        </w:rPr>
      </w:pPr>
      <w:r w:rsidRPr="009645E5">
        <w:rPr>
          <w:vertAlign w:val="superscript"/>
          <w:lang w:val="en-GB"/>
        </w:rPr>
        <w:footnoteRef/>
      </w:r>
      <w:r>
        <w:rPr>
          <w:lang w:val="en-GB"/>
        </w:rPr>
        <w:t xml:space="preserve">  </w:t>
      </w:r>
      <w:r w:rsidRPr="009645E5">
        <w:rPr>
          <w:i/>
          <w:iCs/>
          <w:lang w:val="en-GB"/>
        </w:rPr>
        <w:t>Spencer</w:t>
      </w:r>
      <w:r>
        <w:rPr>
          <w:lang w:val="en-GB"/>
        </w:rPr>
        <w:t>, above n 18</w:t>
      </w:r>
      <w:r w:rsidRPr="009645E5">
        <w:rPr>
          <w:lang w:val="en-GB"/>
        </w:rPr>
        <w:t>, is another decision in which liability was denied on a similar basis.</w:t>
      </w:r>
    </w:p>
    <w:p w14:paraId="56D46EFC" w14:textId="234A105F" w:rsidR="00031CDC" w:rsidRPr="009645E5" w:rsidRDefault="00031CDC" w:rsidP="002B16A7">
      <w:pPr>
        <w:pStyle w:val="FootnoteText"/>
        <w:jc w:val="both"/>
        <w:rPr>
          <w:lang w:val="en-GB"/>
        </w:rPr>
      </w:pPr>
      <w:r w:rsidRPr="009645E5">
        <w:rPr>
          <w:lang w:val="en-GB"/>
        </w:rPr>
        <w:t xml:space="preserve">  </w:t>
      </w:r>
    </w:p>
  </w:footnote>
  <w:footnote w:id="94">
    <w:p w14:paraId="2EB2A871" w14:textId="46148ECA"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w:t>
      </w:r>
      <w:r w:rsidRPr="009645E5">
        <w:rPr>
          <w:i/>
          <w:iCs/>
          <w:lang w:val="en-GB"/>
        </w:rPr>
        <w:t>Popple</w:t>
      </w:r>
      <w:r>
        <w:rPr>
          <w:lang w:val="en-GB"/>
        </w:rPr>
        <w:t>, above n 18</w:t>
      </w:r>
      <w:r w:rsidRPr="009645E5">
        <w:rPr>
          <w:lang w:val="en-GB"/>
        </w:rPr>
        <w:t>.</w:t>
      </w:r>
    </w:p>
    <w:p w14:paraId="16F4CA4D" w14:textId="77777777" w:rsidR="00031CDC" w:rsidRPr="009645E5" w:rsidRDefault="00031CDC" w:rsidP="002B16A7">
      <w:pPr>
        <w:pStyle w:val="FootnoteText"/>
        <w:jc w:val="both"/>
        <w:rPr>
          <w:lang w:val="en-GB"/>
        </w:rPr>
      </w:pPr>
    </w:p>
  </w:footnote>
  <w:footnote w:id="95">
    <w:p w14:paraId="7C87C477" w14:textId="45F9FF99" w:rsidR="00031CDC" w:rsidRPr="009645E5" w:rsidRDefault="00031CDC" w:rsidP="002B16A7">
      <w:pPr>
        <w:pStyle w:val="FootnoteText"/>
        <w:jc w:val="both"/>
        <w:rPr>
          <w:lang w:val="en-GB"/>
        </w:rPr>
      </w:pPr>
      <w:r w:rsidRPr="009645E5">
        <w:rPr>
          <w:rStyle w:val="FootnoteReference"/>
          <w:lang w:val="en-GB"/>
        </w:rPr>
        <w:footnoteRef/>
      </w:r>
      <w:r w:rsidRPr="009645E5">
        <w:rPr>
          <w:lang w:val="en-GB"/>
        </w:rPr>
        <w:t xml:space="preserve"> See </w:t>
      </w:r>
      <w:r w:rsidRPr="009645E5">
        <w:rPr>
          <w:i/>
          <w:iCs/>
          <w:lang w:val="en-GB"/>
        </w:rPr>
        <w:t>Popple</w:t>
      </w:r>
      <w:r w:rsidRPr="009645E5">
        <w:rPr>
          <w:lang w:val="en-GB"/>
        </w:rPr>
        <w:t xml:space="preserve"> in the High Court [2011] EWHC 2320, p 60 at [D] (b).</w:t>
      </w:r>
    </w:p>
    <w:p w14:paraId="7366BA15" w14:textId="77777777" w:rsidR="00031CDC" w:rsidRPr="009645E5" w:rsidRDefault="00031CDC" w:rsidP="002B16A7">
      <w:pPr>
        <w:pStyle w:val="FootnoteText"/>
        <w:jc w:val="both"/>
        <w:rPr>
          <w:lang w:val="en-GB"/>
        </w:rPr>
      </w:pPr>
    </w:p>
  </w:footnote>
  <w:footnote w:id="96">
    <w:p w14:paraId="480197E1" w14:textId="124662D5"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An episiotomy is an incision through</w:t>
      </w:r>
      <w:r>
        <w:rPr>
          <w:lang w:val="en-GB"/>
        </w:rPr>
        <w:t xml:space="preserve"> the perineum and perineal body.  </w:t>
      </w:r>
      <w:r w:rsidRPr="009645E5">
        <w:rPr>
          <w:lang w:val="en-GB"/>
        </w:rPr>
        <w:t xml:space="preserve">Its main aim is to speed up the delivery where there is evidence of fetal distress. See ibid at [78].  </w:t>
      </w:r>
    </w:p>
    <w:p w14:paraId="002C7D84" w14:textId="77777777" w:rsidR="00031CDC" w:rsidRPr="009645E5" w:rsidRDefault="00031CDC" w:rsidP="002B16A7">
      <w:pPr>
        <w:pStyle w:val="FootnoteText"/>
        <w:jc w:val="both"/>
        <w:rPr>
          <w:lang w:val="en-GB"/>
        </w:rPr>
      </w:pPr>
    </w:p>
  </w:footnote>
  <w:footnote w:id="97">
    <w:p w14:paraId="45D7DE36" w14:textId="05F41624"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Ibid, p 65 at [j].  The decision was appealed to the Court of Appeal on a point of causation (</w:t>
      </w:r>
      <w:r w:rsidRPr="009645E5">
        <w:rPr>
          <w:i/>
          <w:lang w:val="en-GB"/>
        </w:rPr>
        <w:t>Popple</w:t>
      </w:r>
      <w:r>
        <w:rPr>
          <w:lang w:val="en-GB"/>
        </w:rPr>
        <w:t>, above n 18</w:t>
      </w:r>
      <w:r w:rsidRPr="009645E5">
        <w:rPr>
          <w:lang w:val="en-GB"/>
        </w:rPr>
        <w:t>).  Oliver-Jones J’s initial finding of negligence was no longer challenged at this stage.  The appeal was dismissed in favour of the claimant.</w:t>
      </w:r>
    </w:p>
    <w:p w14:paraId="29D2051A" w14:textId="77777777" w:rsidR="00031CDC" w:rsidRPr="009645E5" w:rsidRDefault="00031CDC" w:rsidP="002B16A7">
      <w:pPr>
        <w:pStyle w:val="FootnoteText"/>
        <w:jc w:val="both"/>
        <w:rPr>
          <w:lang w:val="en-GB"/>
        </w:rPr>
      </w:pPr>
    </w:p>
  </w:footnote>
  <w:footnote w:id="98">
    <w:p w14:paraId="05748C5F" w14:textId="6AFFD911"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w:t>
      </w:r>
      <w:r w:rsidRPr="009645E5">
        <w:rPr>
          <w:i/>
          <w:iCs/>
          <w:lang w:val="en-GB"/>
        </w:rPr>
        <w:t>MC</w:t>
      </w:r>
      <w:r>
        <w:rPr>
          <w:lang w:val="en-GB"/>
        </w:rPr>
        <w:t>, above n 18</w:t>
      </w:r>
      <w:r w:rsidRPr="009645E5">
        <w:rPr>
          <w:lang w:val="en-GB"/>
        </w:rPr>
        <w:t>.</w:t>
      </w:r>
    </w:p>
    <w:p w14:paraId="6339D6B3" w14:textId="77777777" w:rsidR="00031CDC" w:rsidRPr="009645E5" w:rsidRDefault="00031CDC" w:rsidP="002B16A7">
      <w:pPr>
        <w:pStyle w:val="FootnoteText"/>
        <w:jc w:val="both"/>
        <w:rPr>
          <w:lang w:val="en-GB"/>
        </w:rPr>
      </w:pPr>
    </w:p>
  </w:footnote>
  <w:footnote w:id="99">
    <w:p w14:paraId="3CEE8817" w14:textId="08B44766"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[2011] CSOH 73 at [127] - [128].  The case was initially heard in the Outer House of the Court of Session in 2011.  The case was then appealed to the Inner House in 2012 and the appeal in relation to the negligence of both midwives was dismissed in favour of the pursuer (</w:t>
      </w:r>
      <w:r w:rsidRPr="009645E5">
        <w:rPr>
          <w:i/>
          <w:iCs/>
          <w:lang w:val="en-GB"/>
        </w:rPr>
        <w:t>MC</w:t>
      </w:r>
      <w:r>
        <w:rPr>
          <w:lang w:val="en-GB"/>
        </w:rPr>
        <w:t>, above n 18</w:t>
      </w:r>
      <w:r w:rsidRPr="009645E5">
        <w:rPr>
          <w:lang w:val="en-GB"/>
        </w:rPr>
        <w:t xml:space="preserve">). </w:t>
      </w:r>
    </w:p>
    <w:p w14:paraId="25E7A5E3" w14:textId="77777777" w:rsidR="00031CDC" w:rsidRPr="009645E5" w:rsidRDefault="00031CDC" w:rsidP="002B16A7">
      <w:pPr>
        <w:pStyle w:val="FootnoteText"/>
        <w:jc w:val="both"/>
        <w:rPr>
          <w:lang w:val="en-GB"/>
        </w:rPr>
      </w:pPr>
    </w:p>
  </w:footnote>
  <w:footnote w:id="100">
    <w:p w14:paraId="42D3AC8A" w14:textId="77777777"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Ibid at [132].</w:t>
      </w:r>
    </w:p>
    <w:p w14:paraId="4D8EF104" w14:textId="77777777" w:rsidR="00031CDC" w:rsidRPr="009645E5" w:rsidRDefault="00031CDC" w:rsidP="002B16A7">
      <w:pPr>
        <w:pStyle w:val="FootnoteText"/>
        <w:jc w:val="both"/>
        <w:rPr>
          <w:lang w:val="en-GB"/>
        </w:rPr>
      </w:pPr>
    </w:p>
  </w:footnote>
  <w:footnote w:id="101">
    <w:p w14:paraId="7FC0F9D8" w14:textId="77777777"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Ibid.</w:t>
      </w:r>
    </w:p>
    <w:p w14:paraId="791A7023" w14:textId="77777777" w:rsidR="00031CDC" w:rsidRPr="009645E5" w:rsidRDefault="00031CDC" w:rsidP="002B16A7">
      <w:pPr>
        <w:pStyle w:val="FootnoteText"/>
        <w:jc w:val="both"/>
        <w:rPr>
          <w:lang w:val="en-GB"/>
        </w:rPr>
      </w:pPr>
    </w:p>
  </w:footnote>
  <w:footnote w:id="102">
    <w:p w14:paraId="293DDA0B" w14:textId="77777777"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Ibid at [3] and [47].</w:t>
      </w:r>
    </w:p>
    <w:p w14:paraId="44E2942A" w14:textId="77777777" w:rsidR="00031CDC" w:rsidRPr="009645E5" w:rsidRDefault="00031CDC" w:rsidP="002B16A7">
      <w:pPr>
        <w:pStyle w:val="FootnoteText"/>
        <w:jc w:val="both"/>
        <w:rPr>
          <w:lang w:val="en-GB"/>
        </w:rPr>
      </w:pPr>
    </w:p>
  </w:footnote>
  <w:footnote w:id="103">
    <w:p w14:paraId="435AE3A1" w14:textId="77777777"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Ibid at [140].</w:t>
      </w:r>
    </w:p>
    <w:p w14:paraId="10DB5F33" w14:textId="77777777" w:rsidR="00031CDC" w:rsidRPr="009645E5" w:rsidRDefault="00031CDC" w:rsidP="002B16A7">
      <w:pPr>
        <w:pStyle w:val="FootnoteText"/>
        <w:jc w:val="both"/>
        <w:rPr>
          <w:lang w:val="en-GB"/>
        </w:rPr>
      </w:pPr>
    </w:p>
  </w:footnote>
  <w:footnote w:id="104">
    <w:p w14:paraId="4ADFD47C" w14:textId="77777777"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Ibid at [137].</w:t>
      </w:r>
    </w:p>
    <w:p w14:paraId="38CC2684" w14:textId="77777777" w:rsidR="00031CDC" w:rsidRPr="009645E5" w:rsidRDefault="00031CDC" w:rsidP="002B16A7">
      <w:pPr>
        <w:pStyle w:val="FootnoteText"/>
        <w:jc w:val="both"/>
        <w:rPr>
          <w:lang w:val="en-GB"/>
        </w:rPr>
      </w:pPr>
    </w:p>
  </w:footnote>
  <w:footnote w:id="105">
    <w:p w14:paraId="07E7724A" w14:textId="77777777"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Ibid at [133] and [137].</w:t>
      </w:r>
    </w:p>
    <w:p w14:paraId="5518412C" w14:textId="77777777" w:rsidR="00031CDC" w:rsidRPr="009645E5" w:rsidRDefault="00031CDC" w:rsidP="002B16A7">
      <w:pPr>
        <w:pStyle w:val="FootnoteText"/>
        <w:jc w:val="both"/>
        <w:rPr>
          <w:lang w:val="en-GB"/>
        </w:rPr>
      </w:pPr>
    </w:p>
  </w:footnote>
  <w:footnote w:id="106">
    <w:p w14:paraId="1E8908FB" w14:textId="77777777"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Ibid at [150].</w:t>
      </w:r>
    </w:p>
    <w:p w14:paraId="0A2A506A" w14:textId="77777777" w:rsidR="00031CDC" w:rsidRPr="009645E5" w:rsidRDefault="00031CDC" w:rsidP="002B16A7">
      <w:pPr>
        <w:pStyle w:val="FootnoteText"/>
        <w:jc w:val="both"/>
        <w:rPr>
          <w:lang w:val="en-GB"/>
        </w:rPr>
      </w:pPr>
    </w:p>
  </w:footnote>
  <w:footnote w:id="107">
    <w:p w14:paraId="145BB413" w14:textId="77777777"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Ibid at [151].</w:t>
      </w:r>
    </w:p>
    <w:p w14:paraId="55093795" w14:textId="77777777" w:rsidR="00031CDC" w:rsidRPr="009645E5" w:rsidRDefault="00031CDC" w:rsidP="002B16A7">
      <w:pPr>
        <w:pStyle w:val="FootnoteText"/>
        <w:jc w:val="both"/>
        <w:rPr>
          <w:lang w:val="en-GB"/>
        </w:rPr>
      </w:pPr>
    </w:p>
  </w:footnote>
  <w:footnote w:id="108">
    <w:p w14:paraId="1D17EDE8" w14:textId="05ACDB6C" w:rsidR="00031CDC" w:rsidRPr="009645E5" w:rsidRDefault="00031CDC" w:rsidP="002B16A7">
      <w:pPr>
        <w:pStyle w:val="FootnoteText"/>
        <w:jc w:val="both"/>
        <w:rPr>
          <w:lang w:val="en-GB"/>
        </w:rPr>
      </w:pPr>
      <w:r w:rsidRPr="009645E5">
        <w:rPr>
          <w:vertAlign w:val="superscript"/>
          <w:lang w:val="en-GB"/>
        </w:rPr>
        <w:footnoteRef/>
      </w:r>
      <w:r>
        <w:rPr>
          <w:lang w:val="en-GB"/>
        </w:rPr>
        <w:t xml:space="preserve">  Above n 14</w:t>
      </w:r>
      <w:r w:rsidRPr="009645E5">
        <w:rPr>
          <w:lang w:val="en-GB"/>
        </w:rPr>
        <w:t xml:space="preserve"> at pp 77 - 81.</w:t>
      </w:r>
    </w:p>
    <w:p w14:paraId="3A0EAF2E" w14:textId="77777777" w:rsidR="00031CDC" w:rsidRPr="009645E5" w:rsidRDefault="00031CDC" w:rsidP="002B16A7">
      <w:pPr>
        <w:pStyle w:val="FootnoteText"/>
        <w:jc w:val="both"/>
        <w:rPr>
          <w:lang w:val="en-GB"/>
        </w:rPr>
      </w:pPr>
    </w:p>
  </w:footnote>
  <w:footnote w:id="109">
    <w:p w14:paraId="60633FA4" w14:textId="36BE5799"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See </w:t>
      </w:r>
      <w:r w:rsidRPr="009645E5">
        <w:rPr>
          <w:i/>
          <w:iCs/>
          <w:lang w:val="en-GB"/>
        </w:rPr>
        <w:t>Tippett</w:t>
      </w:r>
      <w:r w:rsidRPr="009645E5">
        <w:rPr>
          <w:lang w:val="en-GB"/>
        </w:rPr>
        <w:t xml:space="preserve"> and </w:t>
      </w:r>
      <w:r w:rsidRPr="009645E5">
        <w:rPr>
          <w:i/>
          <w:iCs/>
          <w:lang w:val="en-GB"/>
        </w:rPr>
        <w:t>Chappell</w:t>
      </w:r>
      <w:r>
        <w:rPr>
          <w:lang w:val="en-GB"/>
        </w:rPr>
        <w:t xml:space="preserve"> above n 18</w:t>
      </w:r>
      <w:r w:rsidRPr="009645E5">
        <w:rPr>
          <w:lang w:val="en-GB"/>
        </w:rPr>
        <w:t xml:space="preserve">. </w:t>
      </w:r>
    </w:p>
    <w:p w14:paraId="5A8D5ECD" w14:textId="77777777" w:rsidR="00031CDC" w:rsidRPr="009645E5" w:rsidRDefault="00031CDC" w:rsidP="002B16A7">
      <w:pPr>
        <w:pStyle w:val="FootnoteText"/>
        <w:jc w:val="both"/>
        <w:rPr>
          <w:lang w:val="en-GB"/>
        </w:rPr>
      </w:pPr>
    </w:p>
  </w:footnote>
  <w:footnote w:id="110">
    <w:p w14:paraId="7C7AD1B6" w14:textId="318198D7" w:rsidR="00031CDC" w:rsidRPr="009645E5" w:rsidRDefault="00031CDC" w:rsidP="002B16A7">
      <w:pPr>
        <w:pStyle w:val="FootnoteText"/>
        <w:jc w:val="both"/>
        <w:rPr>
          <w:lang w:val="en-GB"/>
        </w:rPr>
      </w:pPr>
      <w:r w:rsidRPr="009645E5">
        <w:rPr>
          <w:vertAlign w:val="superscript"/>
          <w:lang w:val="en-GB"/>
        </w:rPr>
        <w:footnoteRef/>
      </w:r>
      <w:r>
        <w:rPr>
          <w:lang w:val="en-GB"/>
        </w:rPr>
        <w:t xml:space="preserve"> See above n 53.</w:t>
      </w:r>
    </w:p>
    <w:p w14:paraId="0ECC1AE5" w14:textId="77777777" w:rsidR="00031CDC" w:rsidRPr="009645E5" w:rsidRDefault="00031CDC" w:rsidP="002B16A7">
      <w:pPr>
        <w:pStyle w:val="FootnoteText"/>
        <w:jc w:val="both"/>
        <w:rPr>
          <w:lang w:val="en-GB"/>
        </w:rPr>
      </w:pPr>
    </w:p>
  </w:footnote>
  <w:footnote w:id="111">
    <w:p w14:paraId="2C9269C6" w14:textId="3B2BA360" w:rsidR="00031CDC" w:rsidRDefault="00031CDC" w:rsidP="002B16A7">
      <w:pPr>
        <w:pStyle w:val="FootnoteText"/>
        <w:jc w:val="both"/>
        <w:rPr>
          <w:lang w:val="en-GB"/>
        </w:rPr>
      </w:pPr>
      <w:r w:rsidRPr="009645E5">
        <w:rPr>
          <w:vertAlign w:val="superscript"/>
          <w:lang w:val="en-GB"/>
        </w:rPr>
        <w:footnoteRef/>
      </w:r>
      <w:r w:rsidRPr="009645E5">
        <w:rPr>
          <w:lang w:val="en-GB"/>
        </w:rPr>
        <w:t xml:space="preserve"> See Royal College of Obstetricians and Gynaecologists, </w:t>
      </w:r>
      <w:proofErr w:type="gramStart"/>
      <w:r w:rsidRPr="009645E5">
        <w:rPr>
          <w:i/>
          <w:iCs/>
          <w:lang w:val="en-GB"/>
        </w:rPr>
        <w:t>Shoulder  Dystocia</w:t>
      </w:r>
      <w:proofErr w:type="gramEnd"/>
      <w:r w:rsidRPr="009645E5">
        <w:rPr>
          <w:i/>
          <w:iCs/>
          <w:lang w:val="en-GB"/>
        </w:rPr>
        <w:t xml:space="preserve">: </w:t>
      </w:r>
      <w:r w:rsidRPr="009645E5">
        <w:rPr>
          <w:lang w:val="en-GB"/>
        </w:rPr>
        <w:t xml:space="preserve">Green-Top Guideline No. 42, 2nd edn, 2012. </w:t>
      </w:r>
    </w:p>
    <w:p w14:paraId="53D12DEC" w14:textId="77777777" w:rsidR="00031CDC" w:rsidRPr="009645E5" w:rsidRDefault="00031CDC" w:rsidP="002B16A7">
      <w:pPr>
        <w:pStyle w:val="FootnoteText"/>
        <w:jc w:val="both"/>
        <w:rPr>
          <w:lang w:val="en-GB"/>
        </w:rPr>
      </w:pPr>
    </w:p>
  </w:footnote>
  <w:footnote w:id="112">
    <w:p w14:paraId="07F093FF" w14:textId="04CDD305"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See Royal College of Midwives, </w:t>
      </w:r>
      <w:r w:rsidRPr="009645E5">
        <w:rPr>
          <w:i/>
          <w:iCs/>
          <w:lang w:val="en-GB"/>
        </w:rPr>
        <w:t>Evidence Based Guidelines for Midwifery-Led Care in Labour: Supporting Women in Labour</w:t>
      </w:r>
      <w:r w:rsidRPr="009645E5">
        <w:rPr>
          <w:lang w:val="en-GB"/>
        </w:rPr>
        <w:t>, 2012.</w:t>
      </w:r>
    </w:p>
    <w:p w14:paraId="336A408E" w14:textId="77777777" w:rsidR="00031CDC" w:rsidRPr="009645E5" w:rsidRDefault="00031CDC" w:rsidP="002B16A7">
      <w:pPr>
        <w:pStyle w:val="FootnoteText"/>
        <w:jc w:val="both"/>
        <w:rPr>
          <w:lang w:val="en-GB"/>
        </w:rPr>
      </w:pPr>
    </w:p>
  </w:footnote>
  <w:footnote w:id="113">
    <w:p w14:paraId="0E3B53CB" w14:textId="736E92C5" w:rsidR="00031CDC" w:rsidRPr="009645E5" w:rsidRDefault="00031CDC" w:rsidP="002B16A7">
      <w:pPr>
        <w:pStyle w:val="FootnoteText"/>
        <w:jc w:val="both"/>
        <w:rPr>
          <w:lang w:val="en-GB"/>
        </w:rPr>
      </w:pPr>
      <w:r w:rsidRPr="009645E5">
        <w:rPr>
          <w:vertAlign w:val="superscript"/>
          <w:lang w:val="en-GB"/>
        </w:rPr>
        <w:footnoteRef/>
      </w:r>
      <w:r>
        <w:rPr>
          <w:lang w:val="en-GB"/>
        </w:rPr>
        <w:t xml:space="preserve">  S</w:t>
      </w:r>
      <w:r w:rsidRPr="009645E5">
        <w:rPr>
          <w:lang w:val="en-GB"/>
        </w:rPr>
        <w:t xml:space="preserve">ee </w:t>
      </w:r>
      <w:r w:rsidRPr="009645E5">
        <w:rPr>
          <w:i/>
          <w:iCs/>
          <w:lang w:val="en-GB"/>
        </w:rPr>
        <w:t>Chappell</w:t>
      </w:r>
      <w:r>
        <w:rPr>
          <w:lang w:val="en-GB"/>
        </w:rPr>
        <w:t>, above n 18.</w:t>
      </w:r>
    </w:p>
    <w:p w14:paraId="150A3BCF" w14:textId="77777777" w:rsidR="00031CDC" w:rsidRPr="009645E5" w:rsidRDefault="00031CDC" w:rsidP="002B16A7">
      <w:pPr>
        <w:pStyle w:val="FootnoteText"/>
        <w:jc w:val="both"/>
        <w:rPr>
          <w:lang w:val="en-GB"/>
        </w:rPr>
      </w:pPr>
    </w:p>
  </w:footnote>
  <w:footnote w:id="114">
    <w:p w14:paraId="44A53C5B" w14:textId="4F38C94D"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See K Cornthwaite </w:t>
      </w:r>
      <w:r w:rsidRPr="009645E5">
        <w:rPr>
          <w:i/>
          <w:iCs/>
          <w:lang w:val="en-GB"/>
        </w:rPr>
        <w:t>et al</w:t>
      </w:r>
      <w:r w:rsidRPr="009645E5">
        <w:rPr>
          <w:lang w:val="en-GB"/>
        </w:rPr>
        <w:t xml:space="preserve">. ‘Reducing Risk in Maternity by Optimising Teamwork and Leadership: An Evidence-Based Approach to Save Mothers and Babies’ (2013) 27 </w:t>
      </w:r>
      <w:r w:rsidRPr="009645E5">
        <w:rPr>
          <w:i/>
          <w:iCs/>
          <w:lang w:val="en-GB"/>
        </w:rPr>
        <w:t xml:space="preserve">Best Practice &amp; Research: Clinical Obstetrics and Gynaecology </w:t>
      </w:r>
      <w:r w:rsidRPr="009645E5">
        <w:rPr>
          <w:lang w:val="en-GB"/>
        </w:rPr>
        <w:t xml:space="preserve">571; SL Clark </w:t>
      </w:r>
      <w:r w:rsidRPr="009645E5">
        <w:rPr>
          <w:i/>
          <w:iCs/>
          <w:lang w:val="en-GB"/>
        </w:rPr>
        <w:t>et al</w:t>
      </w:r>
      <w:r w:rsidRPr="009645E5">
        <w:rPr>
          <w:lang w:val="en-GB"/>
        </w:rPr>
        <w:t xml:space="preserve">., ‘Improved Outcomes, Fewer Cesarean Deliveries, and Reduced Litigation: Results of a New Paradigm in Patient Safety’ (2008) 199 </w:t>
      </w:r>
      <w:r w:rsidRPr="009645E5">
        <w:rPr>
          <w:i/>
          <w:iCs/>
          <w:lang w:val="en-GB"/>
        </w:rPr>
        <w:t>American Journal of Obstetrics and Gynecology</w:t>
      </w:r>
      <w:r w:rsidRPr="009645E5">
        <w:rPr>
          <w:lang w:val="en-GB"/>
        </w:rPr>
        <w:t xml:space="preserve"> 105.</w:t>
      </w:r>
    </w:p>
    <w:p w14:paraId="1516AC96" w14:textId="77777777" w:rsidR="00031CDC" w:rsidRPr="009645E5" w:rsidRDefault="00031CDC" w:rsidP="002B16A7">
      <w:pPr>
        <w:pStyle w:val="FootnoteText"/>
        <w:jc w:val="both"/>
        <w:rPr>
          <w:lang w:val="en-GB"/>
        </w:rPr>
      </w:pPr>
    </w:p>
  </w:footnote>
  <w:footnote w:id="115">
    <w:p w14:paraId="120945D4" w14:textId="77777777"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M Jones, ‘Informed Consent and Other Fairy Stories’ (1999) 7 </w:t>
      </w:r>
      <w:r w:rsidRPr="009645E5">
        <w:rPr>
          <w:i/>
          <w:iCs/>
          <w:lang w:val="en-GB"/>
        </w:rPr>
        <w:t xml:space="preserve">Medical Law Review </w:t>
      </w:r>
      <w:r w:rsidRPr="009645E5">
        <w:rPr>
          <w:lang w:val="en-GB"/>
        </w:rPr>
        <w:t>103 at 125.</w:t>
      </w:r>
    </w:p>
    <w:p w14:paraId="08C89688" w14:textId="77777777" w:rsidR="00031CDC" w:rsidRPr="009645E5" w:rsidRDefault="00031CDC" w:rsidP="002B16A7">
      <w:pPr>
        <w:pStyle w:val="FootnoteText"/>
        <w:jc w:val="both"/>
        <w:rPr>
          <w:lang w:val="en-GB"/>
        </w:rPr>
      </w:pPr>
    </w:p>
  </w:footnote>
  <w:footnote w:id="116">
    <w:p w14:paraId="7BAD171B" w14:textId="0C435F1C" w:rsidR="00031CDC" w:rsidRPr="002E2FE7" w:rsidRDefault="00031CDC" w:rsidP="002B16A7">
      <w:pPr>
        <w:pStyle w:val="FootnoteText"/>
        <w:jc w:val="both"/>
        <w:rPr>
          <w:color w:val="FF0000"/>
          <w:lang w:val="en-GB"/>
        </w:rPr>
      </w:pPr>
      <w:r w:rsidRPr="002E2FE7">
        <w:rPr>
          <w:rStyle w:val="FootnoteReference"/>
          <w:color w:val="FF0000"/>
        </w:rPr>
        <w:footnoteRef/>
      </w:r>
      <w:r w:rsidRPr="002E2FE7">
        <w:rPr>
          <w:color w:val="FF0000"/>
        </w:rPr>
        <w:t xml:space="preserve"> In the specific context of childbirth</w:t>
      </w:r>
      <w:r>
        <w:rPr>
          <w:color w:val="FF0000"/>
        </w:rPr>
        <w:t xml:space="preserve">, see </w:t>
      </w:r>
      <w:r w:rsidRPr="002E2FE7">
        <w:rPr>
          <w:i/>
          <w:color w:val="FF0000"/>
        </w:rPr>
        <w:t>Rich v Hull and East Yorkshire Hospitals Trust</w:t>
      </w:r>
      <w:r w:rsidRPr="002E2FE7">
        <w:rPr>
          <w:color w:val="FF0000"/>
        </w:rPr>
        <w:t xml:space="preserve"> [2014] EWHC 1978 in which a judge allowed expert testimony to be admitted that called into question the interpretation of clinical guidelines.  In contrast, and in a different context than childbirth, see </w:t>
      </w:r>
      <w:r w:rsidRPr="002E2FE7">
        <w:rPr>
          <w:i/>
          <w:color w:val="FF0000"/>
        </w:rPr>
        <w:t>Jones v Conwy and Denbighsire NHS Trust</w:t>
      </w:r>
      <w:r w:rsidRPr="002E2FE7">
        <w:rPr>
          <w:color w:val="FF0000"/>
        </w:rPr>
        <w:t xml:space="preserve"> [2008] EWHC 3172 QB; 2008 WL 6036247.</w:t>
      </w:r>
    </w:p>
    <w:p w14:paraId="5919A761" w14:textId="77777777" w:rsidR="00031CDC" w:rsidRPr="002E2FE7" w:rsidRDefault="00031CDC" w:rsidP="002B16A7">
      <w:pPr>
        <w:pStyle w:val="FootnoteText"/>
        <w:jc w:val="both"/>
        <w:rPr>
          <w:lang w:val="en-GB"/>
        </w:rPr>
      </w:pPr>
    </w:p>
  </w:footnote>
  <w:footnote w:id="117">
    <w:p w14:paraId="1243A1F2" w14:textId="77777777"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w:t>
      </w:r>
      <w:r w:rsidRPr="009645E5">
        <w:rPr>
          <w:i/>
          <w:iCs/>
          <w:lang w:val="en-GB"/>
        </w:rPr>
        <w:t>See Daubert v Merrill Dow Pharmaceuticals Inc.</w:t>
      </w:r>
      <w:r w:rsidRPr="009645E5">
        <w:rPr>
          <w:lang w:val="en-GB"/>
        </w:rPr>
        <w:t xml:space="preserve"> 509 US 579 (1993).</w:t>
      </w:r>
    </w:p>
    <w:p w14:paraId="47A87FC7" w14:textId="77777777" w:rsidR="00031CDC" w:rsidRPr="009645E5" w:rsidRDefault="00031CDC" w:rsidP="002B16A7">
      <w:pPr>
        <w:pStyle w:val="FootnoteText"/>
        <w:jc w:val="both"/>
        <w:rPr>
          <w:lang w:val="en-GB"/>
        </w:rPr>
      </w:pPr>
      <w:r w:rsidRPr="009645E5">
        <w:rPr>
          <w:lang w:val="en-GB"/>
        </w:rPr>
        <w:t xml:space="preserve"> </w:t>
      </w:r>
    </w:p>
  </w:footnote>
  <w:footnote w:id="118">
    <w:p w14:paraId="263ADE58" w14:textId="77777777"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A Samanta </w:t>
      </w:r>
      <w:r w:rsidRPr="009645E5">
        <w:rPr>
          <w:i/>
          <w:iCs/>
          <w:lang w:val="en-GB"/>
        </w:rPr>
        <w:t>et al.</w:t>
      </w:r>
      <w:r w:rsidRPr="009645E5">
        <w:rPr>
          <w:lang w:val="en-GB"/>
        </w:rPr>
        <w:t xml:space="preserve">, ‘The Role of Clinical Guidelines in Medical Negligence Litigation: A Shift from the </w:t>
      </w:r>
      <w:r w:rsidRPr="009645E5">
        <w:rPr>
          <w:i/>
          <w:iCs/>
          <w:lang w:val="en-GB"/>
        </w:rPr>
        <w:t>Bolam</w:t>
      </w:r>
      <w:r w:rsidRPr="009645E5">
        <w:rPr>
          <w:lang w:val="en-GB"/>
        </w:rPr>
        <w:t xml:space="preserve"> Standard?’ </w:t>
      </w:r>
      <w:proofErr w:type="gramStart"/>
      <w:r w:rsidRPr="009645E5">
        <w:rPr>
          <w:lang w:val="en-GB"/>
        </w:rPr>
        <w:t xml:space="preserve">(2006) 14 </w:t>
      </w:r>
      <w:r w:rsidRPr="009645E5">
        <w:rPr>
          <w:i/>
          <w:iCs/>
          <w:lang w:val="en-GB"/>
        </w:rPr>
        <w:t>Medical Law Review</w:t>
      </w:r>
      <w:proofErr w:type="gramEnd"/>
      <w:r w:rsidRPr="009645E5">
        <w:rPr>
          <w:lang w:val="en-GB"/>
        </w:rPr>
        <w:t xml:space="preserve"> 321 at 364.  </w:t>
      </w:r>
    </w:p>
    <w:p w14:paraId="3B70A2C5" w14:textId="77777777" w:rsidR="00031CDC" w:rsidRPr="009645E5" w:rsidRDefault="00031CDC" w:rsidP="002B16A7">
      <w:pPr>
        <w:pStyle w:val="FootnoteText"/>
        <w:jc w:val="both"/>
        <w:rPr>
          <w:lang w:val="en-GB"/>
        </w:rPr>
      </w:pPr>
    </w:p>
  </w:footnote>
  <w:footnote w:id="119">
    <w:p w14:paraId="75AF706C" w14:textId="7E6E107E" w:rsidR="00031CDC" w:rsidRDefault="00031CDC" w:rsidP="002B16A7">
      <w:pPr>
        <w:pStyle w:val="FootnoteText"/>
        <w:jc w:val="both"/>
        <w:rPr>
          <w:lang w:val="en-GB"/>
        </w:rPr>
      </w:pPr>
      <w:r w:rsidRPr="009645E5">
        <w:rPr>
          <w:vertAlign w:val="superscript"/>
          <w:lang w:val="en-GB"/>
        </w:rPr>
        <w:footnoteRef/>
      </w:r>
      <w:r w:rsidRPr="009645E5">
        <w:rPr>
          <w:lang w:val="en-GB"/>
        </w:rPr>
        <w:t xml:space="preserve"> Ibid at 361.</w:t>
      </w:r>
    </w:p>
    <w:p w14:paraId="5F7B9BCC" w14:textId="77777777" w:rsidR="00031CDC" w:rsidRPr="009645E5" w:rsidRDefault="00031CDC" w:rsidP="002B16A7">
      <w:pPr>
        <w:pStyle w:val="FootnoteText"/>
        <w:jc w:val="both"/>
        <w:rPr>
          <w:lang w:val="en-GB"/>
        </w:rPr>
      </w:pPr>
    </w:p>
  </w:footnote>
  <w:footnote w:id="120">
    <w:p w14:paraId="6678DF6F" w14:textId="77777777" w:rsidR="00031CDC" w:rsidRDefault="00031CDC" w:rsidP="002B16A7">
      <w:pPr>
        <w:pStyle w:val="FootnoteText"/>
        <w:jc w:val="both"/>
        <w:rPr>
          <w:lang w:val="en-GB"/>
        </w:rPr>
      </w:pPr>
      <w:r w:rsidRPr="009645E5">
        <w:rPr>
          <w:vertAlign w:val="superscript"/>
          <w:lang w:val="en-GB"/>
        </w:rPr>
        <w:footnoteRef/>
      </w:r>
      <w:r w:rsidRPr="009645E5">
        <w:rPr>
          <w:lang w:val="en-GB"/>
        </w:rPr>
        <w:t xml:space="preserve"> Ibid.</w:t>
      </w:r>
    </w:p>
    <w:p w14:paraId="40A2E9AF" w14:textId="77777777" w:rsidR="00031CDC" w:rsidRPr="009645E5" w:rsidRDefault="00031CDC" w:rsidP="002B16A7">
      <w:pPr>
        <w:pStyle w:val="FootnoteText"/>
        <w:jc w:val="both"/>
        <w:rPr>
          <w:lang w:val="en-GB"/>
        </w:rPr>
      </w:pPr>
    </w:p>
  </w:footnote>
  <w:footnote w:id="121">
    <w:p w14:paraId="46209D6F" w14:textId="7B376769"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See </w:t>
      </w:r>
      <w:r w:rsidRPr="009645E5">
        <w:rPr>
          <w:i/>
          <w:iCs/>
          <w:lang w:val="en-GB"/>
        </w:rPr>
        <w:t>Tippett</w:t>
      </w:r>
      <w:r w:rsidRPr="009645E5">
        <w:rPr>
          <w:lang w:val="en-GB"/>
        </w:rPr>
        <w:t xml:space="preserve">, </w:t>
      </w:r>
      <w:r w:rsidRPr="009645E5">
        <w:rPr>
          <w:i/>
          <w:iCs/>
          <w:lang w:val="en-GB"/>
        </w:rPr>
        <w:t>Reeve</w:t>
      </w:r>
      <w:r w:rsidRPr="009645E5">
        <w:rPr>
          <w:lang w:val="en-GB"/>
        </w:rPr>
        <w:t xml:space="preserve"> and </w:t>
      </w:r>
      <w:r w:rsidRPr="009645E5">
        <w:rPr>
          <w:i/>
          <w:iCs/>
          <w:lang w:val="en-GB"/>
        </w:rPr>
        <w:t>Chappell</w:t>
      </w:r>
      <w:r>
        <w:rPr>
          <w:lang w:val="en-GB"/>
        </w:rPr>
        <w:t>, above n 18</w:t>
      </w:r>
      <w:r w:rsidRPr="009645E5">
        <w:rPr>
          <w:lang w:val="en-GB"/>
        </w:rPr>
        <w:t>.</w:t>
      </w:r>
    </w:p>
    <w:p w14:paraId="6C448BAE" w14:textId="77777777" w:rsidR="00031CDC" w:rsidRPr="009645E5" w:rsidRDefault="00031CDC" w:rsidP="002B16A7">
      <w:pPr>
        <w:pStyle w:val="FootnoteText"/>
        <w:jc w:val="both"/>
        <w:rPr>
          <w:lang w:val="en-GB"/>
        </w:rPr>
      </w:pPr>
    </w:p>
  </w:footnote>
  <w:footnote w:id="122">
    <w:p w14:paraId="1CAF82AE" w14:textId="3650DAD7" w:rsidR="00031CDC" w:rsidRPr="00E6743F" w:rsidRDefault="00031CDC" w:rsidP="002B16A7">
      <w:pPr>
        <w:pStyle w:val="FootnoteText"/>
        <w:jc w:val="both"/>
        <w:rPr>
          <w:lang w:val="da-DK"/>
        </w:rPr>
      </w:pPr>
      <w:r w:rsidRPr="009645E5">
        <w:rPr>
          <w:vertAlign w:val="superscript"/>
          <w:lang w:val="en-GB"/>
        </w:rPr>
        <w:footnoteRef/>
      </w:r>
      <w:r w:rsidRPr="00E6743F">
        <w:rPr>
          <w:i/>
          <w:iCs/>
          <w:lang w:val="da-DK"/>
        </w:rPr>
        <w:t xml:space="preserve"> NM v Lanarkshire</w:t>
      </w:r>
      <w:r>
        <w:rPr>
          <w:lang w:val="da-DK"/>
        </w:rPr>
        <w:t>, above n 18</w:t>
      </w:r>
      <w:r w:rsidRPr="00E6743F">
        <w:rPr>
          <w:lang w:val="da-DK"/>
        </w:rPr>
        <w:t xml:space="preserve"> at [58] - [59].</w:t>
      </w:r>
    </w:p>
    <w:p w14:paraId="1435196A" w14:textId="77777777" w:rsidR="00031CDC" w:rsidRPr="00864A8E" w:rsidRDefault="00031CDC" w:rsidP="002B16A7">
      <w:pPr>
        <w:pStyle w:val="FootnoteText"/>
        <w:jc w:val="both"/>
        <w:rPr>
          <w:lang w:val="da-DK"/>
        </w:rPr>
      </w:pPr>
    </w:p>
  </w:footnote>
  <w:footnote w:id="123">
    <w:p w14:paraId="541CC6EE" w14:textId="254D2611" w:rsidR="00031CDC" w:rsidRPr="00E6743F" w:rsidRDefault="00031CDC" w:rsidP="002B16A7">
      <w:pPr>
        <w:pStyle w:val="FootnoteText"/>
        <w:jc w:val="both"/>
        <w:rPr>
          <w:lang w:val="da-DK"/>
        </w:rPr>
      </w:pPr>
      <w:r w:rsidRPr="009645E5">
        <w:rPr>
          <w:vertAlign w:val="superscript"/>
          <w:lang w:val="en-GB"/>
        </w:rPr>
        <w:footnoteRef/>
      </w:r>
      <w:r w:rsidRPr="00E6743F">
        <w:rPr>
          <w:lang w:val="da-DK"/>
        </w:rPr>
        <w:t xml:space="preserve"> Samanta </w:t>
      </w:r>
      <w:r w:rsidRPr="00E6743F">
        <w:rPr>
          <w:i/>
          <w:iCs/>
          <w:lang w:val="da-DK"/>
        </w:rPr>
        <w:t>et al.</w:t>
      </w:r>
      <w:r>
        <w:rPr>
          <w:lang w:val="da-DK"/>
        </w:rPr>
        <w:t>, above n 117</w:t>
      </w:r>
      <w:r w:rsidRPr="00E6743F">
        <w:rPr>
          <w:lang w:val="da-DK"/>
        </w:rPr>
        <w:t xml:space="preserve"> at 361.</w:t>
      </w:r>
    </w:p>
    <w:p w14:paraId="2A23E5AC" w14:textId="77777777" w:rsidR="00031CDC" w:rsidRPr="00E6743F" w:rsidRDefault="00031CDC" w:rsidP="002B16A7">
      <w:pPr>
        <w:pStyle w:val="FootnoteText"/>
        <w:jc w:val="both"/>
        <w:rPr>
          <w:lang w:val="da-DK"/>
        </w:rPr>
      </w:pPr>
    </w:p>
  </w:footnote>
  <w:footnote w:id="124">
    <w:p w14:paraId="6F0886FA" w14:textId="3D16D973"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w:t>
      </w:r>
      <w:r w:rsidRPr="009645E5">
        <w:rPr>
          <w:i/>
          <w:iCs/>
          <w:lang w:val="en-GB"/>
        </w:rPr>
        <w:t>NM v Lanarkshire</w:t>
      </w:r>
      <w:r w:rsidRPr="009645E5">
        <w:rPr>
          <w:lang w:val="en-GB"/>
        </w:rPr>
        <w:t xml:space="preserve">, discussed above at pp </w:t>
      </w:r>
      <w:r>
        <w:rPr>
          <w:color w:val="FF2C21"/>
          <w:lang w:val="en-GB"/>
        </w:rPr>
        <w:t>15 – 17.</w:t>
      </w:r>
    </w:p>
    <w:p w14:paraId="352F21F4" w14:textId="77777777" w:rsidR="00031CDC" w:rsidRPr="009645E5" w:rsidRDefault="00031CDC" w:rsidP="002B16A7">
      <w:pPr>
        <w:pStyle w:val="FootnoteText"/>
        <w:jc w:val="both"/>
        <w:rPr>
          <w:lang w:val="en-GB"/>
        </w:rPr>
      </w:pPr>
    </w:p>
  </w:footnote>
  <w:footnote w:id="125">
    <w:p w14:paraId="6C364E4D" w14:textId="77777777" w:rsidR="00031CDC" w:rsidRPr="009645E5" w:rsidRDefault="00031CDC" w:rsidP="002B16A7">
      <w:pPr>
        <w:pStyle w:val="FootnoteText"/>
        <w:jc w:val="both"/>
        <w:rPr>
          <w:lang w:val="en-GB"/>
        </w:rPr>
      </w:pPr>
      <w:r w:rsidRPr="009645E5">
        <w:rPr>
          <w:vertAlign w:val="superscript"/>
          <w:lang w:val="en-GB"/>
        </w:rPr>
        <w:footnoteRef/>
      </w:r>
      <w:r w:rsidRPr="009645E5">
        <w:rPr>
          <w:lang w:val="en-GB"/>
        </w:rPr>
        <w:t xml:space="preserve"> Ibid.</w:t>
      </w:r>
    </w:p>
  </w:footnote>
  <w:footnote w:id="126">
    <w:p w14:paraId="49DD7145" w14:textId="75972722" w:rsidR="00031CDC" w:rsidRPr="00AF3E85" w:rsidRDefault="00031CDC" w:rsidP="002B16A7">
      <w:pPr>
        <w:pStyle w:val="FootnoteText"/>
        <w:jc w:val="both"/>
        <w:rPr>
          <w:color w:val="FF0000"/>
        </w:rPr>
      </w:pPr>
      <w:r w:rsidRPr="00AF3E85">
        <w:rPr>
          <w:rStyle w:val="FootnoteReference"/>
          <w:color w:val="FF0000"/>
        </w:rPr>
        <w:footnoteRef/>
      </w:r>
      <w:r w:rsidRPr="00AF3E85">
        <w:rPr>
          <w:color w:val="FF0000"/>
        </w:rPr>
        <w:t xml:space="preserve"> </w:t>
      </w:r>
      <w:r w:rsidRPr="00AF3E85">
        <w:rPr>
          <w:color w:val="FF0000"/>
          <w:lang w:val="en-GB"/>
        </w:rPr>
        <w:t xml:space="preserve">See </w:t>
      </w:r>
      <w:r w:rsidRPr="00AF3E85">
        <w:rPr>
          <w:i/>
          <w:iCs/>
          <w:color w:val="FF0000"/>
          <w:lang w:val="en-GB"/>
        </w:rPr>
        <w:t>Marriott v West Midlands Heath Authority</w:t>
      </w:r>
      <w:r w:rsidRPr="00AF3E85">
        <w:rPr>
          <w:color w:val="FF0000"/>
          <w:lang w:val="en-GB"/>
        </w:rPr>
        <w:t xml:space="preserve"> [1999] Lloyd’s Rep Med 23; </w:t>
      </w:r>
      <w:r w:rsidRPr="00AF3E85">
        <w:rPr>
          <w:i/>
          <w:iCs/>
          <w:color w:val="FF0000"/>
          <w:lang w:val="en-GB"/>
        </w:rPr>
        <w:t>Hucks v Cole</w:t>
      </w:r>
      <w:r w:rsidRPr="00AF3E85">
        <w:rPr>
          <w:color w:val="FF0000"/>
          <w:lang w:val="en-GB"/>
        </w:rPr>
        <w:t xml:space="preserve"> (1968) [1993] 4 Med LR 393 (CA).</w:t>
      </w:r>
    </w:p>
    <w:p w14:paraId="36B5818A" w14:textId="77777777" w:rsidR="00031CDC" w:rsidRPr="00AF3E85" w:rsidRDefault="00031CDC" w:rsidP="002B16A7">
      <w:pPr>
        <w:pStyle w:val="FootnoteText"/>
        <w:jc w:val="both"/>
        <w:rPr>
          <w:lang w:val="en-GB"/>
        </w:rPr>
      </w:pPr>
    </w:p>
  </w:footnote>
  <w:footnote w:id="127">
    <w:p w14:paraId="6A60501D" w14:textId="38DD3761" w:rsidR="00031CDC" w:rsidRPr="00AF3E85" w:rsidRDefault="00031CDC" w:rsidP="002B16A7">
      <w:pPr>
        <w:pStyle w:val="FootnoteText"/>
        <w:jc w:val="both"/>
        <w:rPr>
          <w:i/>
          <w:color w:val="FF0000"/>
          <w:lang w:val="en-GB"/>
        </w:rPr>
      </w:pPr>
      <w:r w:rsidRPr="00AF3E85">
        <w:rPr>
          <w:rStyle w:val="FootnoteReference"/>
          <w:color w:val="FF0000"/>
        </w:rPr>
        <w:footnoteRef/>
      </w:r>
      <w:r w:rsidRPr="00AF3E85">
        <w:rPr>
          <w:color w:val="FF0000"/>
        </w:rPr>
        <w:t xml:space="preserve"> See, for example, </w:t>
      </w:r>
      <w:r w:rsidRPr="00AF3E85">
        <w:rPr>
          <w:i/>
          <w:color w:val="FF0000"/>
        </w:rPr>
        <w:t>Kingsberry v Greater Manchester Strategic Health Authority</w:t>
      </w:r>
      <w:r w:rsidRPr="00AF3E85">
        <w:rPr>
          <w:color w:val="FF0000"/>
        </w:rPr>
        <w:t xml:space="preserve"> [2005] EWHC 2253 (QB); [2011] Med LR 334; </w:t>
      </w:r>
      <w:r w:rsidRPr="00AF3E85">
        <w:rPr>
          <w:i/>
          <w:color w:val="FF0000"/>
        </w:rPr>
        <w:t>Hunt v NHS Litigation Authority</w:t>
      </w:r>
      <w:r w:rsidRPr="00AF3E85">
        <w:rPr>
          <w:color w:val="FF0000"/>
        </w:rPr>
        <w:t xml:space="preserve"> [1998] Lloyd’s Red Med 425; </w:t>
      </w:r>
      <w:r w:rsidRPr="00AF3E85">
        <w:rPr>
          <w:i/>
          <w:color w:val="FF0000"/>
        </w:rPr>
        <w:t>Wiszniewski v Central Manchester HA</w:t>
      </w:r>
      <w:r w:rsidRPr="00AF3E85">
        <w:rPr>
          <w:color w:val="FF0000"/>
        </w:rPr>
        <w:t xml:space="preserve"> [1998] P.I.Q.R. P324.  In particular, for an example of the weighing of risks v benefits, see the decision of the High Court in </w:t>
      </w:r>
      <w:r w:rsidRPr="00AF3E85">
        <w:rPr>
          <w:i/>
          <w:color w:val="FF0000"/>
        </w:rPr>
        <w:t xml:space="preserve">Wiszniewski </w:t>
      </w:r>
      <w:r w:rsidRPr="00AF3E85">
        <w:rPr>
          <w:color w:val="FF0000"/>
          <w:lang w:val="en-GB"/>
        </w:rPr>
        <w:t>[1996] 7 Med LR 248.</w:t>
      </w:r>
    </w:p>
    <w:p w14:paraId="17D6AF72" w14:textId="77777777" w:rsidR="00031CDC" w:rsidRPr="00AF3E85" w:rsidRDefault="00031CDC" w:rsidP="002B16A7">
      <w:pPr>
        <w:pStyle w:val="FootnoteText"/>
        <w:jc w:val="both"/>
        <w:rPr>
          <w:lang w:val="en-GB"/>
        </w:rPr>
      </w:pPr>
    </w:p>
  </w:footnote>
  <w:footnote w:id="128">
    <w:p w14:paraId="0D443848" w14:textId="4C87E762" w:rsidR="00031CDC" w:rsidRPr="009645E5" w:rsidRDefault="00031CDC" w:rsidP="002B16A7">
      <w:pPr>
        <w:pStyle w:val="FootnoteText"/>
        <w:jc w:val="both"/>
        <w:rPr>
          <w:lang w:val="en-GB"/>
        </w:rPr>
      </w:pPr>
      <w:r w:rsidRPr="009645E5">
        <w:rPr>
          <w:vertAlign w:val="superscript"/>
          <w:lang w:val="en-GB"/>
        </w:rPr>
        <w:footnoteRef/>
      </w:r>
      <w:r>
        <w:rPr>
          <w:vertAlign w:val="superscript"/>
          <w:lang w:val="en-GB"/>
        </w:rPr>
        <w:t xml:space="preserve"> </w:t>
      </w:r>
      <w:r>
        <w:rPr>
          <w:lang w:val="en-GB"/>
        </w:rPr>
        <w:t>Heywood, above n 12.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A0CE7" w14:textId="77777777" w:rsidR="00031CDC" w:rsidRDefault="00031CDC">
    <w:pPr>
      <w:pStyle w:val="HeaderFooterA"/>
      <w:tabs>
        <w:tab w:val="clear" w:pos="9020"/>
        <w:tab w:val="center" w:pos="4819"/>
        <w:tab w:val="right" w:pos="9612"/>
      </w:tabs>
    </w:pPr>
    <w:r>
      <w:rPr>
        <w:rFonts w:ascii="Times New Roman"/>
        <w:i/>
        <w:iCs/>
      </w:rPr>
      <w:t>Common Law World Review</w:t>
    </w:r>
    <w:r>
      <w:rPr>
        <w:rFonts w:ascii="Times New Roman" w:eastAsia="Times New Roman" w:hAnsi="Times New Roman" w:cs="Times New Roman"/>
        <w:i/>
        <w:iCs/>
        <w:sz w:val="20"/>
        <w:szCs w:val="20"/>
      </w:rPr>
      <w:tab/>
    </w:r>
    <w:r>
      <w:rPr>
        <w:rFonts w:ascii="Times New Roman" w:eastAsia="Times New Roman" w:hAnsi="Times New Roman" w:cs="Times New Roman"/>
        <w:i/>
        <w:iCs/>
        <w:sz w:val="20"/>
        <w:szCs w:val="20"/>
      </w:rPr>
      <w:tab/>
    </w:r>
    <w:r>
      <w:rPr>
        <w:rFonts w:ascii="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993DCD">
      <w:rPr>
        <w:rFonts w:ascii="Times New Roman" w:eastAsia="Times New Roman" w:hAnsi="Times New Roman" w:cs="Times New Roman"/>
        <w:noProof/>
      </w:rPr>
      <w:t>20</w:t>
    </w:r>
    <w:r>
      <w:rPr>
        <w:rFonts w:ascii="Times New Roman" w:eastAsia="Times New Roman" w:hAnsi="Times New Roman" w:cs="Times New Roman"/>
      </w:rPr>
      <w:fldChar w:fldCharType="end"/>
    </w:r>
    <w:r>
      <w:rPr>
        <w:rFonts w:ascii="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w:instrText>
    </w:r>
    <w:r>
      <w:rPr>
        <w:rFonts w:ascii="Times New Roman" w:eastAsia="Times New Roman" w:hAnsi="Times New Roman" w:cs="Times New Roman"/>
      </w:rPr>
      <w:fldChar w:fldCharType="separate"/>
    </w:r>
    <w:r w:rsidR="00993DCD">
      <w:rPr>
        <w:rFonts w:ascii="Times New Roman" w:eastAsia="Times New Roman" w:hAnsi="Times New Roman" w:cs="Times New Roman"/>
        <w:noProof/>
      </w:rPr>
      <w:t>20</w:t>
    </w:r>
    <w:r>
      <w:rPr>
        <w:rFonts w:ascii="Times New Roman" w:eastAsia="Times New Roman" w:hAnsi="Times New Roman" w:cs="Times New Roman"/>
      </w:rPr>
      <w:fldChar w:fldCharType="end"/>
    </w:r>
    <w:r>
      <w:rPr>
        <w:rFonts w:ascii="Times New Roman"/>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32FA"/>
    <w:multiLevelType w:val="hybridMultilevel"/>
    <w:tmpl w:val="94A2B11C"/>
    <w:lvl w:ilvl="0" w:tplc="704A36C6">
      <w:start w:val="3"/>
      <w:numFmt w:val="bullet"/>
      <w:lvlText w:val=""/>
      <w:lvlJc w:val="left"/>
      <w:pPr>
        <w:ind w:left="720" w:hanging="360"/>
      </w:pPr>
      <w:rPr>
        <w:rFonts w:ascii="Symbol" w:eastAsia="Arial Unicode MS" w:hAnsi="Symbol"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US" w:vendorID="64" w:dllVersion="131078" w:nlCheck="1" w:checkStyle="1"/>
  <w:activeWritingStyle w:appName="MSWord" w:lang="en-GB" w:vendorID="64" w:dllVersion="131078" w:nlCheck="1" w:checkStyle="1"/>
  <w:proofState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5A51AF"/>
    <w:rsid w:val="00002370"/>
    <w:rsid w:val="00003E3C"/>
    <w:rsid w:val="00015C42"/>
    <w:rsid w:val="00015EAC"/>
    <w:rsid w:val="000269F9"/>
    <w:rsid w:val="000275A4"/>
    <w:rsid w:val="00031CDC"/>
    <w:rsid w:val="0003777F"/>
    <w:rsid w:val="00050B01"/>
    <w:rsid w:val="000708E6"/>
    <w:rsid w:val="0007586A"/>
    <w:rsid w:val="0009410A"/>
    <w:rsid w:val="000B0937"/>
    <w:rsid w:val="000B29EE"/>
    <w:rsid w:val="000B349D"/>
    <w:rsid w:val="000B59DC"/>
    <w:rsid w:val="000C0FE1"/>
    <w:rsid w:val="000D2549"/>
    <w:rsid w:val="000F6F07"/>
    <w:rsid w:val="001432C8"/>
    <w:rsid w:val="001451E4"/>
    <w:rsid w:val="00146425"/>
    <w:rsid w:val="00195475"/>
    <w:rsid w:val="001957B4"/>
    <w:rsid w:val="001A3966"/>
    <w:rsid w:val="001A5973"/>
    <w:rsid w:val="001C79DB"/>
    <w:rsid w:val="001C7D25"/>
    <w:rsid w:val="001D0B66"/>
    <w:rsid w:val="001D250F"/>
    <w:rsid w:val="001D392A"/>
    <w:rsid w:val="001D7C77"/>
    <w:rsid w:val="00210206"/>
    <w:rsid w:val="00211229"/>
    <w:rsid w:val="002264B1"/>
    <w:rsid w:val="00260216"/>
    <w:rsid w:val="00270121"/>
    <w:rsid w:val="00282034"/>
    <w:rsid w:val="0028753A"/>
    <w:rsid w:val="002934D3"/>
    <w:rsid w:val="002B16A7"/>
    <w:rsid w:val="002B4969"/>
    <w:rsid w:val="002B5EE6"/>
    <w:rsid w:val="002E2FE7"/>
    <w:rsid w:val="002F09F0"/>
    <w:rsid w:val="002F4F44"/>
    <w:rsid w:val="003032B2"/>
    <w:rsid w:val="00320E3A"/>
    <w:rsid w:val="00361C95"/>
    <w:rsid w:val="003963BB"/>
    <w:rsid w:val="003B037D"/>
    <w:rsid w:val="003B2DCC"/>
    <w:rsid w:val="003E6ACE"/>
    <w:rsid w:val="003F0862"/>
    <w:rsid w:val="004025CD"/>
    <w:rsid w:val="0041416B"/>
    <w:rsid w:val="004141FD"/>
    <w:rsid w:val="004208C7"/>
    <w:rsid w:val="00420E4B"/>
    <w:rsid w:val="00430251"/>
    <w:rsid w:val="004435BD"/>
    <w:rsid w:val="00444514"/>
    <w:rsid w:val="004519AC"/>
    <w:rsid w:val="0045767E"/>
    <w:rsid w:val="004768D4"/>
    <w:rsid w:val="0049185B"/>
    <w:rsid w:val="004A2972"/>
    <w:rsid w:val="004C12F2"/>
    <w:rsid w:val="004C5953"/>
    <w:rsid w:val="004D2978"/>
    <w:rsid w:val="004F1CE2"/>
    <w:rsid w:val="005028A8"/>
    <w:rsid w:val="00505FF0"/>
    <w:rsid w:val="00507829"/>
    <w:rsid w:val="00515B5D"/>
    <w:rsid w:val="00522F6D"/>
    <w:rsid w:val="005231F7"/>
    <w:rsid w:val="0053171F"/>
    <w:rsid w:val="0053195F"/>
    <w:rsid w:val="00541202"/>
    <w:rsid w:val="00561FF9"/>
    <w:rsid w:val="00564E68"/>
    <w:rsid w:val="00572B1D"/>
    <w:rsid w:val="0057564F"/>
    <w:rsid w:val="00586A23"/>
    <w:rsid w:val="00592CF8"/>
    <w:rsid w:val="005A0CCC"/>
    <w:rsid w:val="005A51AF"/>
    <w:rsid w:val="005B2EAE"/>
    <w:rsid w:val="005C64B4"/>
    <w:rsid w:val="005D7797"/>
    <w:rsid w:val="005E261E"/>
    <w:rsid w:val="006006FB"/>
    <w:rsid w:val="00600EC2"/>
    <w:rsid w:val="00604999"/>
    <w:rsid w:val="00624E06"/>
    <w:rsid w:val="00625CC0"/>
    <w:rsid w:val="00647FA0"/>
    <w:rsid w:val="00652644"/>
    <w:rsid w:val="0065422E"/>
    <w:rsid w:val="00673788"/>
    <w:rsid w:val="006740AB"/>
    <w:rsid w:val="006868D6"/>
    <w:rsid w:val="00693E92"/>
    <w:rsid w:val="00697267"/>
    <w:rsid w:val="006B088C"/>
    <w:rsid w:val="006B1F81"/>
    <w:rsid w:val="006B7A13"/>
    <w:rsid w:val="006C10A6"/>
    <w:rsid w:val="006E7FC0"/>
    <w:rsid w:val="007330AE"/>
    <w:rsid w:val="0073354F"/>
    <w:rsid w:val="00754EB6"/>
    <w:rsid w:val="00766A54"/>
    <w:rsid w:val="00767F08"/>
    <w:rsid w:val="00776AD4"/>
    <w:rsid w:val="0079708D"/>
    <w:rsid w:val="007A376D"/>
    <w:rsid w:val="007C7B2C"/>
    <w:rsid w:val="007D117C"/>
    <w:rsid w:val="007D4A21"/>
    <w:rsid w:val="007F0E96"/>
    <w:rsid w:val="007F3334"/>
    <w:rsid w:val="007F6D3F"/>
    <w:rsid w:val="00804716"/>
    <w:rsid w:val="008163EF"/>
    <w:rsid w:val="00823211"/>
    <w:rsid w:val="008506E0"/>
    <w:rsid w:val="00864A8E"/>
    <w:rsid w:val="00867794"/>
    <w:rsid w:val="00873515"/>
    <w:rsid w:val="008739E6"/>
    <w:rsid w:val="0088269E"/>
    <w:rsid w:val="00882AF8"/>
    <w:rsid w:val="00896C40"/>
    <w:rsid w:val="008B3FCF"/>
    <w:rsid w:val="008C1863"/>
    <w:rsid w:val="008D3176"/>
    <w:rsid w:val="008D3D9A"/>
    <w:rsid w:val="008D4C31"/>
    <w:rsid w:val="00921372"/>
    <w:rsid w:val="00927C29"/>
    <w:rsid w:val="00931B00"/>
    <w:rsid w:val="00931DDA"/>
    <w:rsid w:val="00933D42"/>
    <w:rsid w:val="009340AB"/>
    <w:rsid w:val="00942FDB"/>
    <w:rsid w:val="00954073"/>
    <w:rsid w:val="009645E5"/>
    <w:rsid w:val="00964A88"/>
    <w:rsid w:val="0097270D"/>
    <w:rsid w:val="00993DCD"/>
    <w:rsid w:val="009A1B67"/>
    <w:rsid w:val="009A1D81"/>
    <w:rsid w:val="009A239F"/>
    <w:rsid w:val="009D0D59"/>
    <w:rsid w:val="009F5B52"/>
    <w:rsid w:val="00A20B44"/>
    <w:rsid w:val="00A33F72"/>
    <w:rsid w:val="00A34866"/>
    <w:rsid w:val="00A71307"/>
    <w:rsid w:val="00A72965"/>
    <w:rsid w:val="00A83A5A"/>
    <w:rsid w:val="00A87DED"/>
    <w:rsid w:val="00A9160F"/>
    <w:rsid w:val="00AB3718"/>
    <w:rsid w:val="00AC10CC"/>
    <w:rsid w:val="00AF3E85"/>
    <w:rsid w:val="00B1118C"/>
    <w:rsid w:val="00B32900"/>
    <w:rsid w:val="00B51530"/>
    <w:rsid w:val="00B53D28"/>
    <w:rsid w:val="00B9229B"/>
    <w:rsid w:val="00B93230"/>
    <w:rsid w:val="00B95E7E"/>
    <w:rsid w:val="00B96715"/>
    <w:rsid w:val="00BE0A2C"/>
    <w:rsid w:val="00C03175"/>
    <w:rsid w:val="00C43CD9"/>
    <w:rsid w:val="00C454BD"/>
    <w:rsid w:val="00C578AC"/>
    <w:rsid w:val="00C64DC4"/>
    <w:rsid w:val="00CC3140"/>
    <w:rsid w:val="00CC5038"/>
    <w:rsid w:val="00CE4E46"/>
    <w:rsid w:val="00CF1187"/>
    <w:rsid w:val="00CF6AE8"/>
    <w:rsid w:val="00D060A5"/>
    <w:rsid w:val="00D139A0"/>
    <w:rsid w:val="00D20477"/>
    <w:rsid w:val="00D348F2"/>
    <w:rsid w:val="00D36699"/>
    <w:rsid w:val="00D37329"/>
    <w:rsid w:val="00D52B0D"/>
    <w:rsid w:val="00D537D5"/>
    <w:rsid w:val="00D57106"/>
    <w:rsid w:val="00D61D16"/>
    <w:rsid w:val="00D6401E"/>
    <w:rsid w:val="00D67937"/>
    <w:rsid w:val="00D70D82"/>
    <w:rsid w:val="00D84B07"/>
    <w:rsid w:val="00D929C2"/>
    <w:rsid w:val="00DA2FC6"/>
    <w:rsid w:val="00DB2A6F"/>
    <w:rsid w:val="00E11A67"/>
    <w:rsid w:val="00E445F3"/>
    <w:rsid w:val="00E46D8F"/>
    <w:rsid w:val="00E4720E"/>
    <w:rsid w:val="00E576EB"/>
    <w:rsid w:val="00E6743F"/>
    <w:rsid w:val="00E8050B"/>
    <w:rsid w:val="00E90A36"/>
    <w:rsid w:val="00E9244A"/>
    <w:rsid w:val="00EB198A"/>
    <w:rsid w:val="00EB430A"/>
    <w:rsid w:val="00EB66F2"/>
    <w:rsid w:val="00F4172F"/>
    <w:rsid w:val="00F50513"/>
    <w:rsid w:val="00F71F5D"/>
    <w:rsid w:val="00FA3E6D"/>
    <w:rsid w:val="00FC26C2"/>
    <w:rsid w:val="00FC7617"/>
    <w:rsid w:val="00FC7836"/>
    <w:rsid w:val="00FD7D22"/>
    <w:rsid w:val="00FE2C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6FD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w:hAnsi="Arial Unicode MS" w:cs="Arial Unicode MS"/>
      <w:color w:val="000000"/>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rPr>
      <w:rFonts w:ascii="Helvetica" w:eastAsia="Helvetica" w:hAnsi="Helvetica" w:cs="Helvetica"/>
      <w:color w:val="000000"/>
      <w:sz w:val="22"/>
      <w:szCs w:val="22"/>
      <w:u w:color="000000"/>
      <w:lang w:val="en-US"/>
    </w:rPr>
  </w:style>
  <w:style w:type="paragraph" w:styleId="NoSpacing">
    <w:name w:val="No Spacing"/>
    <w:rPr>
      <w:rFonts w:hAnsi="Arial Unicode MS" w:cs="Arial Unicode MS"/>
      <w:color w:val="000000"/>
      <w:sz w:val="24"/>
      <w:szCs w:val="24"/>
      <w:u w:color="000000"/>
      <w:lang w:val="en-US"/>
    </w:rPr>
  </w:style>
  <w:style w:type="character" w:customStyle="1" w:styleId="None">
    <w:name w:val="None"/>
  </w:style>
  <w:style w:type="character" w:customStyle="1" w:styleId="Hyperlink0">
    <w:name w:val="Hyperlink.0"/>
    <w:basedOn w:val="None"/>
    <w:rPr>
      <w:u w:val="single"/>
    </w:rPr>
  </w:style>
  <w:style w:type="paragraph" w:styleId="FootnoteText">
    <w:name w:val="footnote text"/>
    <w:rPr>
      <w:rFonts w:eastAsia="Times New Roman"/>
      <w:color w:val="000000"/>
      <w:u w:color="000000"/>
      <w:lang w:val="en-US"/>
    </w:rPr>
  </w:style>
  <w:style w:type="paragraph" w:styleId="BalloonText">
    <w:name w:val="Balloon Text"/>
    <w:basedOn w:val="Normal"/>
    <w:link w:val="BalloonTextChar"/>
    <w:uiPriority w:val="99"/>
    <w:semiHidden/>
    <w:unhideWhenUsed/>
    <w:rsid w:val="00522F6D"/>
    <w:rPr>
      <w:rFonts w:ascii="Tahoma" w:hAnsi="Tahoma" w:cs="Tahoma"/>
      <w:sz w:val="16"/>
      <w:szCs w:val="16"/>
    </w:rPr>
  </w:style>
  <w:style w:type="character" w:customStyle="1" w:styleId="BalloonTextChar">
    <w:name w:val="Balloon Text Char"/>
    <w:basedOn w:val="DefaultParagraphFont"/>
    <w:link w:val="BalloonText"/>
    <w:uiPriority w:val="99"/>
    <w:semiHidden/>
    <w:rsid w:val="00522F6D"/>
    <w:rPr>
      <w:rFonts w:ascii="Tahoma" w:hAnsi="Tahoma" w:cs="Tahoma"/>
      <w:sz w:val="16"/>
      <w:szCs w:val="16"/>
      <w:lang w:val="en-US" w:eastAsia="en-US"/>
    </w:rPr>
  </w:style>
  <w:style w:type="character" w:styleId="FootnoteReference">
    <w:name w:val="footnote reference"/>
    <w:basedOn w:val="DefaultParagraphFont"/>
    <w:uiPriority w:val="99"/>
    <w:unhideWhenUsed/>
    <w:rsid w:val="009340AB"/>
    <w:rPr>
      <w:vertAlign w:val="superscript"/>
    </w:rPr>
  </w:style>
  <w:style w:type="character" w:styleId="CommentReference">
    <w:name w:val="annotation reference"/>
    <w:basedOn w:val="DefaultParagraphFont"/>
    <w:uiPriority w:val="99"/>
    <w:semiHidden/>
    <w:unhideWhenUsed/>
    <w:rsid w:val="00823211"/>
    <w:rPr>
      <w:sz w:val="16"/>
      <w:szCs w:val="16"/>
    </w:rPr>
  </w:style>
  <w:style w:type="paragraph" w:styleId="CommentText">
    <w:name w:val="annotation text"/>
    <w:basedOn w:val="Normal"/>
    <w:link w:val="CommentTextChar"/>
    <w:uiPriority w:val="99"/>
    <w:semiHidden/>
    <w:unhideWhenUsed/>
    <w:rsid w:val="00823211"/>
    <w:rPr>
      <w:sz w:val="20"/>
      <w:szCs w:val="20"/>
    </w:rPr>
  </w:style>
  <w:style w:type="character" w:customStyle="1" w:styleId="CommentTextChar">
    <w:name w:val="Comment Text Char"/>
    <w:basedOn w:val="DefaultParagraphFont"/>
    <w:link w:val="CommentText"/>
    <w:uiPriority w:val="99"/>
    <w:semiHidden/>
    <w:rsid w:val="00823211"/>
    <w:rPr>
      <w:lang w:val="en-US" w:eastAsia="en-US"/>
    </w:rPr>
  </w:style>
  <w:style w:type="paragraph" w:styleId="CommentSubject">
    <w:name w:val="annotation subject"/>
    <w:basedOn w:val="CommentText"/>
    <w:next w:val="CommentText"/>
    <w:link w:val="CommentSubjectChar"/>
    <w:uiPriority w:val="99"/>
    <w:semiHidden/>
    <w:unhideWhenUsed/>
    <w:rsid w:val="00823211"/>
    <w:rPr>
      <w:b/>
      <w:bCs/>
    </w:rPr>
  </w:style>
  <w:style w:type="character" w:customStyle="1" w:styleId="CommentSubjectChar">
    <w:name w:val="Comment Subject Char"/>
    <w:basedOn w:val="CommentTextChar"/>
    <w:link w:val="CommentSubject"/>
    <w:uiPriority w:val="99"/>
    <w:semiHidden/>
    <w:rsid w:val="00823211"/>
    <w:rPr>
      <w:b/>
      <w:bCs/>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w:hAnsi="Arial Unicode MS" w:cs="Arial Unicode MS"/>
      <w:color w:val="000000"/>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rPr>
      <w:rFonts w:ascii="Helvetica" w:eastAsia="Helvetica" w:hAnsi="Helvetica" w:cs="Helvetica"/>
      <w:color w:val="000000"/>
      <w:sz w:val="22"/>
      <w:szCs w:val="22"/>
      <w:u w:color="000000"/>
      <w:lang w:val="en-US"/>
    </w:rPr>
  </w:style>
  <w:style w:type="paragraph" w:styleId="NoSpacing">
    <w:name w:val="No Spacing"/>
    <w:rPr>
      <w:rFonts w:hAnsi="Arial Unicode MS" w:cs="Arial Unicode MS"/>
      <w:color w:val="000000"/>
      <w:sz w:val="24"/>
      <w:szCs w:val="24"/>
      <w:u w:color="000000"/>
      <w:lang w:val="en-US"/>
    </w:rPr>
  </w:style>
  <w:style w:type="character" w:customStyle="1" w:styleId="None">
    <w:name w:val="None"/>
  </w:style>
  <w:style w:type="character" w:customStyle="1" w:styleId="Hyperlink0">
    <w:name w:val="Hyperlink.0"/>
    <w:basedOn w:val="None"/>
    <w:rPr>
      <w:u w:val="single"/>
    </w:rPr>
  </w:style>
  <w:style w:type="paragraph" w:styleId="FootnoteText">
    <w:name w:val="footnote text"/>
    <w:rPr>
      <w:rFonts w:eastAsia="Times New Roman"/>
      <w:color w:val="000000"/>
      <w:u w:color="000000"/>
      <w:lang w:val="en-US"/>
    </w:rPr>
  </w:style>
  <w:style w:type="paragraph" w:styleId="BalloonText">
    <w:name w:val="Balloon Text"/>
    <w:basedOn w:val="Normal"/>
    <w:link w:val="BalloonTextChar"/>
    <w:uiPriority w:val="99"/>
    <w:semiHidden/>
    <w:unhideWhenUsed/>
    <w:rsid w:val="00522F6D"/>
    <w:rPr>
      <w:rFonts w:ascii="Tahoma" w:hAnsi="Tahoma" w:cs="Tahoma"/>
      <w:sz w:val="16"/>
      <w:szCs w:val="16"/>
    </w:rPr>
  </w:style>
  <w:style w:type="character" w:customStyle="1" w:styleId="BalloonTextChar">
    <w:name w:val="Balloon Text Char"/>
    <w:basedOn w:val="DefaultParagraphFont"/>
    <w:link w:val="BalloonText"/>
    <w:uiPriority w:val="99"/>
    <w:semiHidden/>
    <w:rsid w:val="00522F6D"/>
    <w:rPr>
      <w:rFonts w:ascii="Tahoma" w:hAnsi="Tahoma" w:cs="Tahoma"/>
      <w:sz w:val="16"/>
      <w:szCs w:val="16"/>
      <w:lang w:val="en-US" w:eastAsia="en-US"/>
    </w:rPr>
  </w:style>
  <w:style w:type="character" w:styleId="FootnoteReference">
    <w:name w:val="footnote reference"/>
    <w:basedOn w:val="DefaultParagraphFont"/>
    <w:uiPriority w:val="99"/>
    <w:unhideWhenUsed/>
    <w:rsid w:val="009340AB"/>
    <w:rPr>
      <w:vertAlign w:val="superscript"/>
    </w:rPr>
  </w:style>
  <w:style w:type="character" w:styleId="CommentReference">
    <w:name w:val="annotation reference"/>
    <w:basedOn w:val="DefaultParagraphFont"/>
    <w:uiPriority w:val="99"/>
    <w:semiHidden/>
    <w:unhideWhenUsed/>
    <w:rsid w:val="00823211"/>
    <w:rPr>
      <w:sz w:val="16"/>
      <w:szCs w:val="16"/>
    </w:rPr>
  </w:style>
  <w:style w:type="paragraph" w:styleId="CommentText">
    <w:name w:val="annotation text"/>
    <w:basedOn w:val="Normal"/>
    <w:link w:val="CommentTextChar"/>
    <w:uiPriority w:val="99"/>
    <w:semiHidden/>
    <w:unhideWhenUsed/>
    <w:rsid w:val="00823211"/>
    <w:rPr>
      <w:sz w:val="20"/>
      <w:szCs w:val="20"/>
    </w:rPr>
  </w:style>
  <w:style w:type="character" w:customStyle="1" w:styleId="CommentTextChar">
    <w:name w:val="Comment Text Char"/>
    <w:basedOn w:val="DefaultParagraphFont"/>
    <w:link w:val="CommentText"/>
    <w:uiPriority w:val="99"/>
    <w:semiHidden/>
    <w:rsid w:val="00823211"/>
    <w:rPr>
      <w:lang w:val="en-US" w:eastAsia="en-US"/>
    </w:rPr>
  </w:style>
  <w:style w:type="paragraph" w:styleId="CommentSubject">
    <w:name w:val="annotation subject"/>
    <w:basedOn w:val="CommentText"/>
    <w:next w:val="CommentText"/>
    <w:link w:val="CommentSubjectChar"/>
    <w:uiPriority w:val="99"/>
    <w:semiHidden/>
    <w:unhideWhenUsed/>
    <w:rsid w:val="00823211"/>
    <w:rPr>
      <w:b/>
      <w:bCs/>
    </w:rPr>
  </w:style>
  <w:style w:type="character" w:customStyle="1" w:styleId="CommentSubjectChar">
    <w:name w:val="Comment Subject Char"/>
    <w:basedOn w:val="CommentTextChar"/>
    <w:link w:val="CommentSubject"/>
    <w:uiPriority w:val="99"/>
    <w:semiHidden/>
    <w:rsid w:val="0082321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93191">
      <w:bodyDiv w:val="1"/>
      <w:marLeft w:val="375"/>
      <w:marRight w:val="375"/>
      <w:marTop w:val="75"/>
      <w:marBottom w:val="75"/>
      <w:divBdr>
        <w:top w:val="none" w:sz="0" w:space="0" w:color="auto"/>
        <w:left w:val="none" w:sz="0" w:space="0" w:color="auto"/>
        <w:bottom w:val="none" w:sz="0" w:space="0" w:color="auto"/>
        <w:right w:val="none" w:sz="0" w:space="0" w:color="auto"/>
      </w:divBdr>
      <w:divsChild>
        <w:div w:id="1147627484">
          <w:marLeft w:val="0"/>
          <w:marRight w:val="0"/>
          <w:marTop w:val="0"/>
          <w:marBottom w:val="0"/>
          <w:divBdr>
            <w:top w:val="none" w:sz="0" w:space="0" w:color="auto"/>
            <w:left w:val="none" w:sz="0" w:space="0" w:color="auto"/>
            <w:bottom w:val="none" w:sz="0" w:space="0" w:color="auto"/>
            <w:right w:val="none" w:sz="0" w:space="0" w:color="auto"/>
          </w:divBdr>
          <w:divsChild>
            <w:div w:id="779839337">
              <w:marLeft w:val="0"/>
              <w:marRight w:val="0"/>
              <w:marTop w:val="0"/>
              <w:marBottom w:val="0"/>
              <w:divBdr>
                <w:top w:val="none" w:sz="0" w:space="0" w:color="auto"/>
                <w:left w:val="none" w:sz="0" w:space="0" w:color="auto"/>
                <w:bottom w:val="none" w:sz="0" w:space="0" w:color="auto"/>
                <w:right w:val="none" w:sz="0" w:space="0" w:color="auto"/>
              </w:divBdr>
              <w:divsChild>
                <w:div w:id="193428463">
                  <w:marLeft w:val="0"/>
                  <w:marRight w:val="0"/>
                  <w:marTop w:val="0"/>
                  <w:marBottom w:val="0"/>
                  <w:divBdr>
                    <w:top w:val="none" w:sz="0" w:space="0" w:color="auto"/>
                    <w:left w:val="none" w:sz="0" w:space="0" w:color="auto"/>
                    <w:bottom w:val="none" w:sz="0" w:space="0" w:color="auto"/>
                    <w:right w:val="none" w:sz="0" w:space="0" w:color="auto"/>
                  </w:divBdr>
                  <w:divsChild>
                    <w:div w:id="4119720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69335523">
      <w:bodyDiv w:val="1"/>
      <w:marLeft w:val="375"/>
      <w:marRight w:val="375"/>
      <w:marTop w:val="75"/>
      <w:marBottom w:val="75"/>
      <w:divBdr>
        <w:top w:val="none" w:sz="0" w:space="0" w:color="auto"/>
        <w:left w:val="none" w:sz="0" w:space="0" w:color="auto"/>
        <w:bottom w:val="none" w:sz="0" w:space="0" w:color="auto"/>
        <w:right w:val="none" w:sz="0" w:space="0" w:color="auto"/>
      </w:divBdr>
      <w:divsChild>
        <w:div w:id="1794404394">
          <w:marLeft w:val="0"/>
          <w:marRight w:val="0"/>
          <w:marTop w:val="0"/>
          <w:marBottom w:val="0"/>
          <w:divBdr>
            <w:top w:val="none" w:sz="0" w:space="0" w:color="auto"/>
            <w:left w:val="none" w:sz="0" w:space="0" w:color="auto"/>
            <w:bottom w:val="none" w:sz="0" w:space="0" w:color="auto"/>
            <w:right w:val="none" w:sz="0" w:space="0" w:color="auto"/>
          </w:divBdr>
          <w:divsChild>
            <w:div w:id="877008110">
              <w:marLeft w:val="0"/>
              <w:marRight w:val="0"/>
              <w:marTop w:val="0"/>
              <w:marBottom w:val="0"/>
              <w:divBdr>
                <w:top w:val="none" w:sz="0" w:space="0" w:color="auto"/>
                <w:left w:val="none" w:sz="0" w:space="0" w:color="auto"/>
                <w:bottom w:val="none" w:sz="0" w:space="0" w:color="auto"/>
                <w:right w:val="none" w:sz="0" w:space="0" w:color="auto"/>
              </w:divBdr>
              <w:divsChild>
                <w:div w:id="238176709">
                  <w:marLeft w:val="0"/>
                  <w:marRight w:val="0"/>
                  <w:marTop w:val="0"/>
                  <w:marBottom w:val="0"/>
                  <w:divBdr>
                    <w:top w:val="none" w:sz="0" w:space="0" w:color="auto"/>
                    <w:left w:val="none" w:sz="0" w:space="0" w:color="auto"/>
                    <w:bottom w:val="none" w:sz="0" w:space="0" w:color="auto"/>
                    <w:right w:val="none" w:sz="0" w:space="0" w:color="auto"/>
                  </w:divBdr>
                  <w:divsChild>
                    <w:div w:id="633399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846601240">
      <w:bodyDiv w:val="1"/>
      <w:marLeft w:val="375"/>
      <w:marRight w:val="375"/>
      <w:marTop w:val="75"/>
      <w:marBottom w:val="75"/>
      <w:divBdr>
        <w:top w:val="none" w:sz="0" w:space="0" w:color="auto"/>
        <w:left w:val="none" w:sz="0" w:space="0" w:color="auto"/>
        <w:bottom w:val="none" w:sz="0" w:space="0" w:color="auto"/>
        <w:right w:val="none" w:sz="0" w:space="0" w:color="auto"/>
      </w:divBdr>
      <w:divsChild>
        <w:div w:id="1479688671">
          <w:marLeft w:val="0"/>
          <w:marRight w:val="0"/>
          <w:marTop w:val="0"/>
          <w:marBottom w:val="0"/>
          <w:divBdr>
            <w:top w:val="none" w:sz="0" w:space="0" w:color="auto"/>
            <w:left w:val="none" w:sz="0" w:space="0" w:color="auto"/>
            <w:bottom w:val="none" w:sz="0" w:space="0" w:color="auto"/>
            <w:right w:val="none" w:sz="0" w:space="0" w:color="auto"/>
          </w:divBdr>
          <w:divsChild>
            <w:div w:id="1806123565">
              <w:marLeft w:val="0"/>
              <w:marRight w:val="0"/>
              <w:marTop w:val="0"/>
              <w:marBottom w:val="0"/>
              <w:divBdr>
                <w:top w:val="none" w:sz="0" w:space="0" w:color="auto"/>
                <w:left w:val="none" w:sz="0" w:space="0" w:color="auto"/>
                <w:bottom w:val="none" w:sz="0" w:space="0" w:color="auto"/>
                <w:right w:val="none" w:sz="0" w:space="0" w:color="auto"/>
              </w:divBdr>
              <w:divsChild>
                <w:div w:id="67657857">
                  <w:marLeft w:val="0"/>
                  <w:marRight w:val="0"/>
                  <w:marTop w:val="0"/>
                  <w:marBottom w:val="0"/>
                  <w:divBdr>
                    <w:top w:val="none" w:sz="0" w:space="0" w:color="auto"/>
                    <w:left w:val="none" w:sz="0" w:space="0" w:color="auto"/>
                    <w:bottom w:val="none" w:sz="0" w:space="0" w:color="auto"/>
                    <w:right w:val="none" w:sz="0" w:space="0" w:color="auto"/>
                  </w:divBdr>
                  <w:divsChild>
                    <w:div w:id="17486521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mailto:R.Heywood@Uea.Ac.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A4B10-20E6-5D4C-8E00-EBDEB0E77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10325</Words>
  <Characters>58856</Characters>
  <Application>Microsoft Macintosh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69043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Heywood (LAW)</dc:creator>
  <cp:lastModifiedBy>Rob Heywood</cp:lastModifiedBy>
  <cp:revision>2</cp:revision>
  <cp:lastPrinted>2014-07-15T11:32:00Z</cp:lastPrinted>
  <dcterms:created xsi:type="dcterms:W3CDTF">2014-11-12T13:59:00Z</dcterms:created>
  <dcterms:modified xsi:type="dcterms:W3CDTF">2014-11-12T13:59:00Z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770066959</vt:i4>
  </property>
  <property fmtid="{D5CDD505-2E9C-101B-9397-08002B2CF9AE}" pid="3" name="_NewReviewCycle">
    <vt:lpwstr/>
  </property>
  <property fmtid="{D5CDD505-2E9C-101B-9397-08002B2CF9AE}" pid="4" name="_EmailSubject">
    <vt:lpwstr>CLWR Submission</vt:lpwstr>
  </property>
  <property fmtid="{D5CDD505-2E9C-101B-9397-08002B2CF9AE}" pid="5" name="_AuthorEmail">
    <vt:lpwstr>R.Heywood@uea.ac.uk</vt:lpwstr>
  </property>
  <property fmtid="{D5CDD505-2E9C-101B-9397-08002B2CF9AE}" pid="6" name="_AuthorEmailDisplayName">
    <vt:lpwstr>Rob Heywood (LAW)</vt:lpwstr>
  </property>
</Properties>
</file>