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0086" w:rsidRPr="00020AED" w:rsidRDefault="00020AED" w:rsidP="00284E30">
      <w:pPr>
        <w:autoSpaceDE w:val="0"/>
        <w:autoSpaceDN w:val="0"/>
        <w:adjustRightInd w:val="0"/>
        <w:spacing w:after="0" w:line="240" w:lineRule="auto"/>
        <w:contextualSpacing/>
        <w:jc w:val="both"/>
        <w:rPr>
          <w:rFonts w:cstheme="majorBidi"/>
          <w:b/>
          <w:bCs/>
          <w:sz w:val="24"/>
          <w:szCs w:val="24"/>
        </w:rPr>
      </w:pPr>
      <w:r w:rsidRPr="00020AED">
        <w:rPr>
          <w:rFonts w:cstheme="majorBidi"/>
          <w:b/>
          <w:bCs/>
          <w:sz w:val="24"/>
          <w:szCs w:val="24"/>
        </w:rPr>
        <w:t>Nutrigenetics and personalised/stratified approaches to the provision of</w:t>
      </w:r>
      <w:r w:rsidR="00284E30">
        <w:rPr>
          <w:rFonts w:cstheme="majorBidi"/>
          <w:b/>
          <w:bCs/>
          <w:sz w:val="24"/>
          <w:szCs w:val="24"/>
        </w:rPr>
        <w:t xml:space="preserve"> </w:t>
      </w:r>
      <w:r w:rsidRPr="00020AED">
        <w:rPr>
          <w:rFonts w:cstheme="majorBidi"/>
          <w:b/>
          <w:bCs/>
          <w:sz w:val="24"/>
          <w:szCs w:val="24"/>
        </w:rPr>
        <w:t>d</w:t>
      </w:r>
      <w:r w:rsidRPr="00020AED">
        <w:rPr>
          <w:rFonts w:cstheme="majorBidi"/>
          <w:b/>
          <w:bCs/>
          <w:sz w:val="24"/>
          <w:szCs w:val="24"/>
        </w:rPr>
        <w:t>ie</w:t>
      </w:r>
      <w:r w:rsidRPr="00020AED">
        <w:rPr>
          <w:rFonts w:cstheme="majorBidi"/>
          <w:b/>
          <w:bCs/>
          <w:sz w:val="24"/>
          <w:szCs w:val="24"/>
        </w:rPr>
        <w:t xml:space="preserve">tary </w:t>
      </w:r>
      <w:r w:rsidRPr="00020AED">
        <w:rPr>
          <w:rFonts w:cstheme="majorBidi"/>
          <w:b/>
          <w:bCs/>
          <w:sz w:val="24"/>
          <w:szCs w:val="24"/>
        </w:rPr>
        <w:t>advice</w:t>
      </w:r>
    </w:p>
    <w:p w:rsidR="00020AED" w:rsidRPr="00020AED" w:rsidRDefault="00020AED" w:rsidP="00284E30">
      <w:pPr>
        <w:spacing w:line="240" w:lineRule="auto"/>
        <w:contextualSpacing/>
        <w:jc w:val="both"/>
        <w:rPr>
          <w:rFonts w:cstheme="majorBidi"/>
          <w:b/>
          <w:bCs/>
          <w:sz w:val="24"/>
          <w:szCs w:val="24"/>
        </w:rPr>
      </w:pPr>
    </w:p>
    <w:p w:rsidR="00020AED" w:rsidRPr="00020AED" w:rsidRDefault="00020AED" w:rsidP="00284E30">
      <w:pPr>
        <w:spacing w:line="240" w:lineRule="auto"/>
        <w:contextualSpacing/>
        <w:jc w:val="both"/>
        <w:rPr>
          <w:rFonts w:cstheme="majorBidi"/>
          <w:sz w:val="24"/>
          <w:szCs w:val="24"/>
        </w:rPr>
      </w:pPr>
      <w:r w:rsidRPr="00020AED">
        <w:rPr>
          <w:rFonts w:cstheme="majorBidi"/>
          <w:sz w:val="24"/>
          <w:szCs w:val="24"/>
        </w:rPr>
        <w:t>Anne-Marie Minihane</w:t>
      </w:r>
    </w:p>
    <w:p w:rsidR="00020AED" w:rsidRPr="00020AED" w:rsidRDefault="00020AED" w:rsidP="00284E30">
      <w:pPr>
        <w:spacing w:line="240" w:lineRule="auto"/>
        <w:contextualSpacing/>
        <w:jc w:val="both"/>
        <w:rPr>
          <w:rFonts w:cstheme="majorBidi"/>
          <w:sz w:val="24"/>
          <w:szCs w:val="24"/>
        </w:rPr>
      </w:pPr>
    </w:p>
    <w:p w:rsidR="00020AED" w:rsidRPr="00020AED" w:rsidRDefault="00020AED" w:rsidP="00284E30">
      <w:pPr>
        <w:spacing w:line="240" w:lineRule="auto"/>
        <w:contextualSpacing/>
        <w:jc w:val="both"/>
        <w:rPr>
          <w:rFonts w:cstheme="majorBidi"/>
          <w:sz w:val="24"/>
          <w:szCs w:val="24"/>
        </w:rPr>
      </w:pPr>
      <w:r w:rsidRPr="00020AED">
        <w:rPr>
          <w:rFonts w:cstheme="majorBidi"/>
          <w:sz w:val="24"/>
          <w:szCs w:val="24"/>
        </w:rPr>
        <w:t>Nutrition Department, Norwich Medical School, University of East Anglia (UEA), Norwich NR4 7TJ, UK</w:t>
      </w:r>
    </w:p>
    <w:p w:rsidR="00020AED" w:rsidRPr="00020AED" w:rsidRDefault="00020AED" w:rsidP="00284E30">
      <w:pPr>
        <w:spacing w:line="240" w:lineRule="auto"/>
        <w:contextualSpacing/>
        <w:jc w:val="both"/>
        <w:rPr>
          <w:rFonts w:cstheme="majorBidi"/>
          <w:sz w:val="24"/>
          <w:szCs w:val="24"/>
        </w:rPr>
      </w:pPr>
    </w:p>
    <w:p w:rsidR="00020AED" w:rsidRPr="00A75F52" w:rsidRDefault="00020AED" w:rsidP="00284E30">
      <w:pPr>
        <w:spacing w:line="240" w:lineRule="auto"/>
        <w:contextualSpacing/>
        <w:jc w:val="both"/>
        <w:rPr>
          <w:sz w:val="24"/>
          <w:szCs w:val="24"/>
        </w:rPr>
      </w:pPr>
      <w:r w:rsidRPr="00A75F52">
        <w:rPr>
          <w:sz w:val="24"/>
          <w:szCs w:val="24"/>
        </w:rPr>
        <w:t xml:space="preserve">Nutrigenetics refers to the interaction of genotype and diet </w:t>
      </w:r>
      <w:r w:rsidRPr="00A75F52">
        <w:rPr>
          <w:sz w:val="24"/>
          <w:szCs w:val="24"/>
        </w:rPr>
        <w:t xml:space="preserve">composition </w:t>
      </w:r>
      <w:r w:rsidRPr="00A75F52">
        <w:rPr>
          <w:sz w:val="24"/>
          <w:szCs w:val="24"/>
        </w:rPr>
        <w:t xml:space="preserve">to influence </w:t>
      </w:r>
      <w:r w:rsidR="00A75F52">
        <w:rPr>
          <w:sz w:val="24"/>
          <w:szCs w:val="24"/>
        </w:rPr>
        <w:t>metabolism</w:t>
      </w:r>
      <w:r w:rsidRPr="00A75F52">
        <w:rPr>
          <w:sz w:val="24"/>
          <w:szCs w:val="24"/>
        </w:rPr>
        <w:t>, health status and the risk of diet-related diseases.</w:t>
      </w:r>
      <w:r w:rsidRPr="00A75F52">
        <w:rPr>
          <w:sz w:val="24"/>
          <w:szCs w:val="24"/>
        </w:rPr>
        <w:t xml:space="preserve"> Gene variants influence food choice and appetite and therefore the intake of dietary components, their absorption, metabolism and tissue up</w:t>
      </w:r>
      <w:r w:rsidR="00A75F52">
        <w:rPr>
          <w:sz w:val="24"/>
          <w:szCs w:val="24"/>
        </w:rPr>
        <w:t xml:space="preserve">take along with their impact on </w:t>
      </w:r>
      <w:r w:rsidRPr="00A75F52">
        <w:rPr>
          <w:sz w:val="24"/>
          <w:szCs w:val="24"/>
        </w:rPr>
        <w:t xml:space="preserve">molecular </w:t>
      </w:r>
      <w:r w:rsidR="00284E30">
        <w:rPr>
          <w:sz w:val="24"/>
          <w:szCs w:val="24"/>
        </w:rPr>
        <w:t xml:space="preserve">targets </w:t>
      </w:r>
      <w:r w:rsidRPr="00A75F52">
        <w:rPr>
          <w:sz w:val="24"/>
          <w:szCs w:val="24"/>
        </w:rPr>
        <w:t>and physiological processes</w:t>
      </w:r>
      <w:r w:rsidR="00A75F52">
        <w:rPr>
          <w:sz w:val="24"/>
          <w:szCs w:val="24"/>
        </w:rPr>
        <w:t>.</w:t>
      </w:r>
    </w:p>
    <w:p w:rsidR="00A75F52" w:rsidRDefault="00020AED" w:rsidP="00284E30">
      <w:pPr>
        <w:spacing w:line="240" w:lineRule="auto"/>
        <w:contextualSpacing/>
        <w:jc w:val="both"/>
        <w:rPr>
          <w:sz w:val="24"/>
          <w:szCs w:val="24"/>
        </w:rPr>
      </w:pPr>
      <w:r w:rsidRPr="00A75F52">
        <w:rPr>
          <w:sz w:val="24"/>
          <w:szCs w:val="24"/>
        </w:rPr>
        <w:t xml:space="preserve">The first draft of the majority (~90%) of the sequence of the human genome was published in a </w:t>
      </w:r>
      <w:r w:rsidRPr="00A75F52">
        <w:rPr>
          <w:i/>
          <w:iCs/>
          <w:sz w:val="24"/>
          <w:szCs w:val="24"/>
        </w:rPr>
        <w:t xml:space="preserve">Nature </w:t>
      </w:r>
      <w:r w:rsidRPr="00A75F52">
        <w:rPr>
          <w:sz w:val="24"/>
          <w:szCs w:val="24"/>
        </w:rPr>
        <w:t>article entitled ‘</w:t>
      </w:r>
      <w:r w:rsidRPr="00A75F52">
        <w:rPr>
          <w:i/>
          <w:iCs/>
          <w:sz w:val="24"/>
          <w:szCs w:val="24"/>
        </w:rPr>
        <w:t xml:space="preserve">Initial sequencing and analysis of the human genome’ </w:t>
      </w:r>
      <w:r w:rsidR="00284E30">
        <w:rPr>
          <w:sz w:val="24"/>
          <w:szCs w:val="24"/>
        </w:rPr>
        <w:t>in</w:t>
      </w:r>
      <w:r w:rsidRPr="00A75F52">
        <w:rPr>
          <w:sz w:val="24"/>
          <w:szCs w:val="24"/>
        </w:rPr>
        <w:t xml:space="preserve"> 2</w:t>
      </w:r>
      <w:r w:rsidR="00284E30">
        <w:rPr>
          <w:sz w:val="24"/>
          <w:szCs w:val="24"/>
        </w:rPr>
        <w:t xml:space="preserve">001 </w:t>
      </w:r>
      <w:r w:rsidR="00570516">
        <w:rPr>
          <w:sz w:val="24"/>
          <w:szCs w:val="24"/>
        </w:rPr>
        <w:t>[1]</w:t>
      </w:r>
      <w:r w:rsidRPr="00A75F52">
        <w:rPr>
          <w:sz w:val="24"/>
          <w:szCs w:val="24"/>
        </w:rPr>
        <w:t xml:space="preserve"> with the complete sequence (~99.7%) available in 2004</w:t>
      </w:r>
      <w:r w:rsidR="00570516">
        <w:rPr>
          <w:sz w:val="24"/>
          <w:szCs w:val="24"/>
        </w:rPr>
        <w:t xml:space="preserve"> [2]</w:t>
      </w:r>
      <w:r w:rsidRPr="00A75F52">
        <w:rPr>
          <w:sz w:val="24"/>
          <w:szCs w:val="24"/>
        </w:rPr>
        <w:t>. At the time such information was considered by many to be the panaceas and one of the gre</w:t>
      </w:r>
      <w:r w:rsidRPr="00A75F52">
        <w:rPr>
          <w:sz w:val="24"/>
          <w:szCs w:val="24"/>
        </w:rPr>
        <w:t xml:space="preserve">atest ever medical achievements, with </w:t>
      </w:r>
      <w:r w:rsidR="00A75F52">
        <w:rPr>
          <w:sz w:val="24"/>
          <w:szCs w:val="24"/>
        </w:rPr>
        <w:t xml:space="preserve">genetic </w:t>
      </w:r>
      <w:r w:rsidRPr="00A75F52">
        <w:rPr>
          <w:sz w:val="24"/>
          <w:szCs w:val="24"/>
        </w:rPr>
        <w:t xml:space="preserve">analysis </w:t>
      </w:r>
      <w:r w:rsidR="00A75F52">
        <w:rPr>
          <w:sz w:val="24"/>
          <w:szCs w:val="24"/>
        </w:rPr>
        <w:t>likely to refine</w:t>
      </w:r>
      <w:r w:rsidRPr="00A75F52">
        <w:rPr>
          <w:sz w:val="24"/>
          <w:szCs w:val="24"/>
        </w:rPr>
        <w:t xml:space="preserve"> disease risk and </w:t>
      </w:r>
      <w:r w:rsidR="00A75F52">
        <w:rPr>
          <w:sz w:val="24"/>
          <w:szCs w:val="24"/>
        </w:rPr>
        <w:t>prediction</w:t>
      </w:r>
      <w:r w:rsidRPr="00A75F52">
        <w:rPr>
          <w:sz w:val="24"/>
          <w:szCs w:val="24"/>
        </w:rPr>
        <w:t xml:space="preserve"> and the personalisation/stratification of interventions in order to affor</w:t>
      </w:r>
      <w:r w:rsidR="00A75F52">
        <w:rPr>
          <w:sz w:val="24"/>
          <w:szCs w:val="24"/>
        </w:rPr>
        <w:t>d</w:t>
      </w:r>
      <w:r w:rsidRPr="00A75F52">
        <w:rPr>
          <w:sz w:val="24"/>
          <w:szCs w:val="24"/>
        </w:rPr>
        <w:t xml:space="preserve"> maximum benefits.</w:t>
      </w:r>
    </w:p>
    <w:p w:rsidR="00A75F52" w:rsidRDefault="00A75F52" w:rsidP="00284E30">
      <w:pPr>
        <w:spacing w:line="240" w:lineRule="auto"/>
        <w:contextualSpacing/>
        <w:jc w:val="both"/>
        <w:rPr>
          <w:sz w:val="24"/>
          <w:szCs w:val="24"/>
        </w:rPr>
      </w:pPr>
      <w:r>
        <w:rPr>
          <w:sz w:val="24"/>
          <w:szCs w:val="24"/>
        </w:rPr>
        <w:t xml:space="preserve">Thirteen </w:t>
      </w:r>
      <w:r w:rsidR="00020AED" w:rsidRPr="00A75F52">
        <w:rPr>
          <w:sz w:val="24"/>
          <w:szCs w:val="24"/>
        </w:rPr>
        <w:t xml:space="preserve">years on many consider progress based on the human genome to be limited, </w:t>
      </w:r>
      <w:r>
        <w:rPr>
          <w:sz w:val="24"/>
          <w:szCs w:val="24"/>
        </w:rPr>
        <w:t xml:space="preserve">with the exception of </w:t>
      </w:r>
      <w:r w:rsidR="00020AED" w:rsidRPr="00A75F52">
        <w:rPr>
          <w:sz w:val="24"/>
          <w:szCs w:val="24"/>
        </w:rPr>
        <w:t xml:space="preserve">the </w:t>
      </w:r>
      <w:r>
        <w:rPr>
          <w:sz w:val="24"/>
          <w:szCs w:val="24"/>
        </w:rPr>
        <w:t xml:space="preserve">identification </w:t>
      </w:r>
      <w:r w:rsidR="00020AED" w:rsidRPr="00A75F52">
        <w:rPr>
          <w:sz w:val="24"/>
          <w:szCs w:val="24"/>
        </w:rPr>
        <w:t>of the genetic basis of M</w:t>
      </w:r>
      <w:r w:rsidR="00020AED" w:rsidRPr="00A75F52">
        <w:rPr>
          <w:sz w:val="24"/>
          <w:szCs w:val="24"/>
        </w:rPr>
        <w:t>endelian (monogenic) disorders</w:t>
      </w:r>
      <w:r>
        <w:rPr>
          <w:sz w:val="24"/>
          <w:szCs w:val="24"/>
        </w:rPr>
        <w:t>.</w:t>
      </w:r>
      <w:r w:rsidR="00020AED" w:rsidRPr="00A75F52">
        <w:rPr>
          <w:sz w:val="24"/>
          <w:szCs w:val="24"/>
        </w:rPr>
        <w:t xml:space="preserve"> </w:t>
      </w:r>
      <w:bookmarkStart w:id="0" w:name="_GoBack"/>
      <w:bookmarkEnd w:id="0"/>
      <w:r w:rsidR="00020AED" w:rsidRPr="00A75F52">
        <w:rPr>
          <w:sz w:val="24"/>
          <w:szCs w:val="24"/>
        </w:rPr>
        <w:t>Much</w:t>
      </w:r>
      <w:r w:rsidR="00020AED" w:rsidRPr="00A75F52">
        <w:rPr>
          <w:sz w:val="24"/>
          <w:szCs w:val="24"/>
        </w:rPr>
        <w:t xml:space="preserve"> of the estimated heritable component of disease risk and response to </w:t>
      </w:r>
      <w:r w:rsidR="00020AED" w:rsidRPr="00A75F52">
        <w:rPr>
          <w:sz w:val="24"/>
          <w:szCs w:val="24"/>
        </w:rPr>
        <w:t xml:space="preserve">environmental change </w:t>
      </w:r>
      <w:r w:rsidR="00284E30">
        <w:rPr>
          <w:sz w:val="24"/>
          <w:szCs w:val="24"/>
        </w:rPr>
        <w:t xml:space="preserve">is unaccounted for. </w:t>
      </w:r>
      <w:r w:rsidR="00020AED" w:rsidRPr="00A75F52">
        <w:rPr>
          <w:sz w:val="24"/>
          <w:szCs w:val="24"/>
        </w:rPr>
        <w:t xml:space="preserve">Based on available information, it appears that rather than being overestimated, the heritability is dark matter (i.e. it is real but we cannot see it yet), attributable to as yet undetected rare variants, or the underestimation of the impact of known variants. </w:t>
      </w:r>
      <w:r>
        <w:rPr>
          <w:sz w:val="24"/>
          <w:szCs w:val="24"/>
        </w:rPr>
        <w:t xml:space="preserve">Genotype-diet-phenotype </w:t>
      </w:r>
      <w:r w:rsidR="00020AED" w:rsidRPr="00A75F52">
        <w:rPr>
          <w:sz w:val="24"/>
          <w:szCs w:val="24"/>
        </w:rPr>
        <w:t xml:space="preserve">associations are not homogenous </w:t>
      </w:r>
      <w:r w:rsidR="00020AED" w:rsidRPr="00A75F52">
        <w:rPr>
          <w:sz w:val="24"/>
          <w:szCs w:val="24"/>
        </w:rPr>
        <w:t>and influenced by a whole range of variables such as sex, ethnicity, drug use and o</w:t>
      </w:r>
      <w:r w:rsidR="00020AED" w:rsidRPr="00A75F52">
        <w:rPr>
          <w:sz w:val="24"/>
          <w:szCs w:val="24"/>
        </w:rPr>
        <w:t>ther lifestyle variables which could in part account for the</w:t>
      </w:r>
      <w:r>
        <w:rPr>
          <w:sz w:val="24"/>
          <w:szCs w:val="24"/>
        </w:rPr>
        <w:t xml:space="preserve"> apparent</w:t>
      </w:r>
      <w:r w:rsidR="00020AED" w:rsidRPr="00A75F52">
        <w:rPr>
          <w:sz w:val="24"/>
          <w:szCs w:val="24"/>
        </w:rPr>
        <w:t xml:space="preserve"> ‘</w:t>
      </w:r>
      <w:r w:rsidRPr="00A75F52">
        <w:rPr>
          <w:sz w:val="24"/>
          <w:szCs w:val="24"/>
        </w:rPr>
        <w:t>hidden heritability’</w:t>
      </w:r>
      <w:r w:rsidR="00570516">
        <w:rPr>
          <w:sz w:val="24"/>
          <w:szCs w:val="24"/>
        </w:rPr>
        <w:t xml:space="preserve"> [3] </w:t>
      </w:r>
    </w:p>
    <w:p w:rsidR="00A75F52" w:rsidRPr="00A75F52" w:rsidRDefault="00A75F52" w:rsidP="00284E30">
      <w:pPr>
        <w:spacing w:line="240" w:lineRule="auto"/>
        <w:contextualSpacing/>
        <w:jc w:val="both"/>
        <w:rPr>
          <w:sz w:val="24"/>
          <w:szCs w:val="24"/>
        </w:rPr>
      </w:pPr>
      <w:r w:rsidRPr="00A75F52">
        <w:rPr>
          <w:sz w:val="24"/>
          <w:szCs w:val="24"/>
        </w:rPr>
        <w:t>Specific examples of nutrigen</w:t>
      </w:r>
      <w:r w:rsidR="00284E30">
        <w:rPr>
          <w:sz w:val="24"/>
          <w:szCs w:val="24"/>
        </w:rPr>
        <w:t>etic</w:t>
      </w:r>
      <w:r w:rsidRPr="00A75F52">
        <w:rPr>
          <w:sz w:val="24"/>
          <w:szCs w:val="24"/>
        </w:rPr>
        <w:t xml:space="preserve"> interactions will be presented, in particular in the area of </w:t>
      </w:r>
      <w:r w:rsidRPr="00A75F52">
        <w:rPr>
          <w:i/>
          <w:iCs/>
          <w:sz w:val="24"/>
          <w:szCs w:val="24"/>
        </w:rPr>
        <w:t xml:space="preserve">APOE </w:t>
      </w:r>
      <w:r w:rsidRPr="00A75F52">
        <w:rPr>
          <w:sz w:val="24"/>
          <w:szCs w:val="24"/>
        </w:rPr>
        <w:t>genotype, along with some consideration of the practical, ethical, social and cost implications of the wider use of genetic information in public health and clinical practice</w:t>
      </w:r>
      <w:r>
        <w:rPr>
          <w:sz w:val="24"/>
          <w:szCs w:val="24"/>
        </w:rPr>
        <w:t>.</w:t>
      </w:r>
    </w:p>
    <w:p w:rsidR="00A75F52" w:rsidRDefault="00A75F52" w:rsidP="00284E30">
      <w:pPr>
        <w:spacing w:line="240" w:lineRule="auto"/>
        <w:contextualSpacing/>
        <w:jc w:val="both"/>
        <w:rPr>
          <w:sz w:val="24"/>
          <w:szCs w:val="24"/>
        </w:rPr>
      </w:pPr>
    </w:p>
    <w:p w:rsidR="00570516" w:rsidRPr="00D53767" w:rsidRDefault="00570516" w:rsidP="00284E30">
      <w:pPr>
        <w:spacing w:after="0" w:line="240" w:lineRule="auto"/>
        <w:jc w:val="both"/>
        <w:rPr>
          <w:rFonts w:cs="Calibri"/>
          <w:noProof/>
          <w:szCs w:val="24"/>
        </w:rPr>
      </w:pPr>
      <w:bookmarkStart w:id="1" w:name="_ENREF_65"/>
      <w:r>
        <w:rPr>
          <w:rFonts w:cs="Calibri"/>
          <w:noProof/>
          <w:szCs w:val="24"/>
          <w:lang w:val="de-DE"/>
        </w:rPr>
        <w:t xml:space="preserve">1. </w:t>
      </w:r>
      <w:r w:rsidRPr="00D53767">
        <w:rPr>
          <w:rFonts w:cs="Calibri"/>
          <w:noProof/>
          <w:szCs w:val="24"/>
          <w:lang w:val="de-DE"/>
        </w:rPr>
        <w:t>Lander ES, Linton LM, Birren B</w:t>
      </w:r>
      <w:r w:rsidRPr="00D53767">
        <w:rPr>
          <w:rFonts w:cs="Calibri"/>
          <w:i/>
          <w:noProof/>
          <w:szCs w:val="24"/>
          <w:lang w:val="de-DE"/>
        </w:rPr>
        <w:t xml:space="preserve"> et al.</w:t>
      </w:r>
      <w:r w:rsidRPr="00D53767">
        <w:rPr>
          <w:rFonts w:cs="Calibri"/>
          <w:noProof/>
          <w:szCs w:val="24"/>
          <w:lang w:val="de-DE"/>
        </w:rPr>
        <w:t xml:space="preserve"> </w:t>
      </w:r>
      <w:r w:rsidRPr="00F451F6">
        <w:rPr>
          <w:rFonts w:cs="Calibri"/>
          <w:b/>
          <w:bCs/>
          <w:noProof/>
          <w:szCs w:val="24"/>
        </w:rPr>
        <w:t>Initial sequencing and analysis of the human genome</w:t>
      </w:r>
      <w:r w:rsidRPr="00D53767">
        <w:rPr>
          <w:rFonts w:cs="Calibri"/>
          <w:noProof/>
          <w:szCs w:val="24"/>
        </w:rPr>
        <w:t xml:space="preserve">. </w:t>
      </w:r>
      <w:r w:rsidRPr="00D53767">
        <w:rPr>
          <w:rFonts w:cs="Calibri"/>
          <w:i/>
          <w:noProof/>
          <w:szCs w:val="24"/>
        </w:rPr>
        <w:t>Nature</w:t>
      </w:r>
      <w:r w:rsidRPr="00D53767">
        <w:rPr>
          <w:rFonts w:cs="Calibri"/>
          <w:noProof/>
          <w:szCs w:val="24"/>
        </w:rPr>
        <w:t xml:space="preserve"> </w:t>
      </w:r>
      <w:r w:rsidR="00F451F6">
        <w:rPr>
          <w:rFonts w:cs="Calibri"/>
          <w:noProof/>
          <w:szCs w:val="24"/>
        </w:rPr>
        <w:t xml:space="preserve">2001, </w:t>
      </w:r>
      <w:r w:rsidRPr="00D53767">
        <w:rPr>
          <w:rFonts w:cs="Calibri"/>
          <w:b/>
          <w:noProof/>
          <w:szCs w:val="24"/>
        </w:rPr>
        <w:t>409</w:t>
      </w:r>
      <w:r w:rsidR="00F451F6">
        <w:rPr>
          <w:rFonts w:cs="Calibri"/>
          <w:noProof/>
          <w:szCs w:val="24"/>
        </w:rPr>
        <w:t>:</w:t>
      </w:r>
      <w:r w:rsidRPr="00D53767">
        <w:rPr>
          <w:rFonts w:cs="Calibri"/>
          <w:noProof/>
          <w:szCs w:val="24"/>
        </w:rPr>
        <w:t>860-921.</w:t>
      </w:r>
      <w:bookmarkEnd w:id="1"/>
    </w:p>
    <w:p w:rsidR="00570516" w:rsidRDefault="00570516" w:rsidP="00284E30">
      <w:pPr>
        <w:spacing w:after="0" w:line="240" w:lineRule="auto"/>
        <w:jc w:val="both"/>
        <w:rPr>
          <w:rFonts w:cs="Calibri"/>
          <w:noProof/>
          <w:szCs w:val="24"/>
        </w:rPr>
      </w:pPr>
      <w:bookmarkStart w:id="2" w:name="_ENREF_66"/>
      <w:r>
        <w:rPr>
          <w:rFonts w:cs="Calibri"/>
          <w:noProof/>
          <w:szCs w:val="24"/>
        </w:rPr>
        <w:t xml:space="preserve">2. </w:t>
      </w:r>
      <w:r>
        <w:rPr>
          <w:rFonts w:cs="Calibri"/>
          <w:noProof/>
          <w:szCs w:val="24"/>
        </w:rPr>
        <w:t>International Hum</w:t>
      </w:r>
      <w:r w:rsidR="00F451F6">
        <w:rPr>
          <w:rFonts w:cs="Calibri"/>
          <w:noProof/>
          <w:szCs w:val="24"/>
        </w:rPr>
        <w:t xml:space="preserve">an Genome Sequencing Consortium: </w:t>
      </w:r>
      <w:r w:rsidRPr="00F451F6">
        <w:rPr>
          <w:rFonts w:cs="Calibri"/>
          <w:b/>
          <w:bCs/>
          <w:noProof/>
          <w:szCs w:val="24"/>
        </w:rPr>
        <w:t>Finishing the euchromatic sequence of the human genome</w:t>
      </w:r>
      <w:r w:rsidRPr="00D53767">
        <w:rPr>
          <w:rFonts w:cs="Calibri"/>
          <w:noProof/>
          <w:szCs w:val="24"/>
        </w:rPr>
        <w:t xml:space="preserve">. </w:t>
      </w:r>
      <w:r w:rsidRPr="00D53767">
        <w:rPr>
          <w:rFonts w:cs="Calibri"/>
          <w:i/>
          <w:noProof/>
          <w:szCs w:val="24"/>
        </w:rPr>
        <w:t>Nature</w:t>
      </w:r>
      <w:r w:rsidRPr="00D53767">
        <w:rPr>
          <w:rFonts w:cs="Calibri"/>
          <w:noProof/>
          <w:szCs w:val="24"/>
        </w:rPr>
        <w:t xml:space="preserve"> </w:t>
      </w:r>
      <w:r w:rsidR="00F451F6">
        <w:rPr>
          <w:rFonts w:cs="Calibri"/>
          <w:noProof/>
          <w:szCs w:val="24"/>
        </w:rPr>
        <w:t xml:space="preserve"> 2004, </w:t>
      </w:r>
      <w:r w:rsidRPr="00D53767">
        <w:rPr>
          <w:rFonts w:cs="Calibri"/>
          <w:b/>
          <w:noProof/>
          <w:szCs w:val="24"/>
        </w:rPr>
        <w:t>431</w:t>
      </w:r>
      <w:r w:rsidR="00F451F6">
        <w:rPr>
          <w:rFonts w:cs="Calibri"/>
          <w:noProof/>
          <w:szCs w:val="24"/>
        </w:rPr>
        <w:t>:</w:t>
      </w:r>
      <w:r w:rsidRPr="00D53767">
        <w:rPr>
          <w:rFonts w:cs="Calibri"/>
          <w:noProof/>
          <w:szCs w:val="24"/>
        </w:rPr>
        <w:t>931-945.</w:t>
      </w:r>
      <w:bookmarkEnd w:id="2"/>
    </w:p>
    <w:p w:rsidR="00570516" w:rsidRPr="00570516" w:rsidRDefault="00570516" w:rsidP="00284E30">
      <w:pPr>
        <w:spacing w:after="0" w:line="240" w:lineRule="auto"/>
        <w:jc w:val="both"/>
        <w:rPr>
          <w:rFonts w:cs="Calibri"/>
          <w:noProof/>
          <w:szCs w:val="24"/>
        </w:rPr>
      </w:pPr>
      <w:r>
        <w:rPr>
          <w:rFonts w:ascii="Calibri" w:hAnsi="Calibri" w:cs="Calibri"/>
        </w:rPr>
        <w:t xml:space="preserve">3. </w:t>
      </w:r>
      <w:r w:rsidRPr="00570516">
        <w:rPr>
          <w:rFonts w:ascii="Calibri" w:hAnsi="Calibri" w:cs="Calibri"/>
        </w:rPr>
        <w:t>Minihane AM</w:t>
      </w:r>
      <w:r w:rsidR="00F451F6">
        <w:rPr>
          <w:rFonts w:cs="Calibri"/>
          <w:noProof/>
          <w:szCs w:val="24"/>
        </w:rPr>
        <w:t>:</w:t>
      </w:r>
      <w:r>
        <w:rPr>
          <w:rFonts w:cs="Calibri"/>
          <w:noProof/>
          <w:szCs w:val="24"/>
        </w:rPr>
        <w:t xml:space="preserve"> </w:t>
      </w:r>
      <w:r w:rsidRPr="00F451F6">
        <w:rPr>
          <w:rFonts w:ascii="Calibri" w:hAnsi="Calibri" w:cs="Calibri"/>
          <w:b/>
        </w:rPr>
        <w:t>The genetic contribution to disease risk and variability in response to diet</w:t>
      </w:r>
      <w:r w:rsidRPr="00570516">
        <w:rPr>
          <w:rFonts w:ascii="Calibri" w:hAnsi="Calibri" w:cs="Calibri"/>
          <w:bCs/>
        </w:rPr>
        <w:t xml:space="preserve">: </w:t>
      </w:r>
      <w:r w:rsidRPr="00F451F6">
        <w:rPr>
          <w:rFonts w:ascii="Calibri" w:hAnsi="Calibri" w:cs="Calibri"/>
          <w:b/>
        </w:rPr>
        <w:t>Where is the hidden heritability?</w:t>
      </w:r>
      <w:r w:rsidRPr="00F451F6">
        <w:rPr>
          <w:rFonts w:cs="Calibri"/>
          <w:b/>
          <w:noProof/>
          <w:szCs w:val="24"/>
        </w:rPr>
        <w:t xml:space="preserve"> </w:t>
      </w:r>
      <w:r w:rsidR="00F451F6">
        <w:rPr>
          <w:rFonts w:ascii="Calibri" w:hAnsi="Calibri" w:cs="Calibri"/>
          <w:b/>
          <w:i/>
          <w:iCs/>
        </w:rPr>
        <w:t xml:space="preserve"> </w:t>
      </w:r>
      <w:r w:rsidRPr="00F451F6">
        <w:rPr>
          <w:rFonts w:ascii="Calibri" w:hAnsi="Calibri" w:cs="Calibri"/>
          <w:bCs/>
          <w:i/>
          <w:iCs/>
        </w:rPr>
        <w:t>Proc Nutr Soc</w:t>
      </w:r>
      <w:r w:rsidR="00F451F6">
        <w:rPr>
          <w:rFonts w:ascii="Calibri" w:hAnsi="Calibri" w:cs="Calibri"/>
          <w:b/>
          <w:i/>
          <w:iCs/>
        </w:rPr>
        <w:t xml:space="preserve"> </w:t>
      </w:r>
      <w:r w:rsidRPr="00F451F6">
        <w:rPr>
          <w:rFonts w:ascii="Calibri" w:hAnsi="Calibri"/>
          <w:bCs/>
        </w:rPr>
        <w:t>2013</w:t>
      </w:r>
      <w:r w:rsidR="00F451F6" w:rsidRPr="00F451F6">
        <w:rPr>
          <w:rFonts w:ascii="Calibri" w:hAnsi="Calibri"/>
          <w:bCs/>
        </w:rPr>
        <w:t>,</w:t>
      </w:r>
      <w:r w:rsidR="00F451F6">
        <w:rPr>
          <w:rFonts w:ascii="Calibri" w:hAnsi="Calibri"/>
          <w:b/>
        </w:rPr>
        <w:t xml:space="preserve"> </w:t>
      </w:r>
      <w:r w:rsidRPr="00F451F6">
        <w:rPr>
          <w:rFonts w:ascii="Calibri" w:hAnsi="Calibri"/>
          <w:b/>
        </w:rPr>
        <w:t>72:</w:t>
      </w:r>
      <w:r w:rsidRPr="00F451F6">
        <w:rPr>
          <w:rFonts w:ascii="Calibri" w:hAnsi="Calibri"/>
          <w:bCs/>
        </w:rPr>
        <w:t>40-47</w:t>
      </w:r>
      <w:r w:rsidRPr="00F451F6">
        <w:rPr>
          <w:rFonts w:ascii="Calibri" w:hAnsi="Calibri"/>
          <w:b/>
        </w:rPr>
        <w:t>.</w:t>
      </w:r>
    </w:p>
    <w:p w:rsidR="00570516" w:rsidRPr="00D53767" w:rsidRDefault="00570516" w:rsidP="00284E30">
      <w:pPr>
        <w:spacing w:after="0" w:line="240" w:lineRule="auto"/>
        <w:jc w:val="both"/>
        <w:rPr>
          <w:rFonts w:cs="Calibri"/>
          <w:noProof/>
          <w:szCs w:val="24"/>
        </w:rPr>
      </w:pPr>
    </w:p>
    <w:p w:rsidR="00570516" w:rsidRDefault="00570516" w:rsidP="00284E30">
      <w:pPr>
        <w:spacing w:line="240" w:lineRule="auto"/>
        <w:contextualSpacing/>
        <w:jc w:val="both"/>
        <w:rPr>
          <w:sz w:val="24"/>
          <w:szCs w:val="24"/>
        </w:rPr>
      </w:pPr>
    </w:p>
    <w:p w:rsidR="00A75F52" w:rsidRPr="00A75F52" w:rsidRDefault="00A75F52" w:rsidP="00284E30">
      <w:pPr>
        <w:spacing w:line="240" w:lineRule="auto"/>
        <w:contextualSpacing/>
        <w:jc w:val="both"/>
        <w:rPr>
          <w:rFonts w:cstheme="majorBidi"/>
          <w:sz w:val="24"/>
          <w:szCs w:val="24"/>
        </w:rPr>
      </w:pPr>
    </w:p>
    <w:p w:rsidR="00020AED" w:rsidRPr="00020AED" w:rsidRDefault="00020AED" w:rsidP="00284E30">
      <w:pPr>
        <w:spacing w:line="240" w:lineRule="auto"/>
        <w:contextualSpacing/>
        <w:jc w:val="both"/>
        <w:rPr>
          <w:rFonts w:cstheme="majorBidi"/>
          <w:sz w:val="24"/>
          <w:szCs w:val="24"/>
        </w:rPr>
      </w:pPr>
    </w:p>
    <w:p w:rsidR="00020AED" w:rsidRPr="00020AED" w:rsidRDefault="00020AED" w:rsidP="00284E30">
      <w:pPr>
        <w:spacing w:line="240" w:lineRule="auto"/>
        <w:contextualSpacing/>
        <w:jc w:val="both"/>
        <w:rPr>
          <w:rFonts w:cstheme="majorBidi"/>
          <w:sz w:val="24"/>
          <w:szCs w:val="24"/>
        </w:rPr>
      </w:pPr>
    </w:p>
    <w:sectPr w:rsidR="00020AED" w:rsidRPr="00020A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A642A7"/>
    <w:multiLevelType w:val="hybridMultilevel"/>
    <w:tmpl w:val="45B2419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0AED"/>
    <w:rsid w:val="00020AED"/>
    <w:rsid w:val="0002164F"/>
    <w:rsid w:val="00166978"/>
    <w:rsid w:val="00284E30"/>
    <w:rsid w:val="003816FC"/>
    <w:rsid w:val="003B172B"/>
    <w:rsid w:val="0049746C"/>
    <w:rsid w:val="00570516"/>
    <w:rsid w:val="005A5E86"/>
    <w:rsid w:val="008715E6"/>
    <w:rsid w:val="008E50A0"/>
    <w:rsid w:val="009F2F68"/>
    <w:rsid w:val="009F75AA"/>
    <w:rsid w:val="00A75F52"/>
    <w:rsid w:val="00F41543"/>
    <w:rsid w:val="00F451F6"/>
    <w:rsid w:val="00FE62B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0516"/>
    <w:pPr>
      <w:spacing w:after="0" w:line="240" w:lineRule="auto"/>
      <w:ind w:left="720"/>
    </w:pPr>
    <w:rPr>
      <w:rFonts w:ascii="Times New Roman" w:eastAsia="Times New Roman" w:hAnsi="Times New Roman" w:cs="Times New Roman"/>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0516"/>
    <w:pPr>
      <w:spacing w:after="0" w:line="240" w:lineRule="auto"/>
      <w:ind w:left="720"/>
    </w:pPr>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RelyOnCSS/>
  <w:doNotOrganizeInFolder/>
  <w:doNotUseLongFileNames/>
  <w:pixelsPerInch w:val="0"/>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Pages>
  <Words>387</Words>
  <Characters>2207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2589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wzf10kxu</dc:creator>
  <cp:lastModifiedBy>wzf10kxu</cp:lastModifiedBy>
  <cp:revision>3</cp:revision>
  <dcterms:created xsi:type="dcterms:W3CDTF">2014-03-24T13:45:00Z</dcterms:created>
  <dcterms:modified xsi:type="dcterms:W3CDTF">2014-03-24T14:39:00Z</dcterms:modified>
</cp:coreProperties>
</file>