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0CA9" w:rsidRPr="00F90480" w:rsidRDefault="00A51FCA" w:rsidP="00F90480">
      <w:pPr>
        <w:spacing w:line="480" w:lineRule="exact"/>
        <w:rPr>
          <w:rFonts w:ascii="Arial" w:hAnsi="Arial" w:cs="Arial"/>
          <w:b/>
          <w:bCs/>
          <w:sz w:val="40"/>
          <w:szCs w:val="40"/>
        </w:rPr>
      </w:pPr>
      <w:bookmarkStart w:id="0" w:name="_GoBack"/>
      <w:bookmarkEnd w:id="0"/>
      <w:r w:rsidRPr="00511FBA">
        <w:rPr>
          <w:rFonts w:ascii="Arial" w:hAnsi="Arial" w:cs="Arial"/>
          <w:b/>
          <w:bCs/>
          <w:i/>
          <w:iCs/>
          <w:sz w:val="40"/>
          <w:szCs w:val="40"/>
        </w:rPr>
        <w:t>In vitro</w:t>
      </w:r>
      <w:r>
        <w:rPr>
          <w:rFonts w:ascii="Arial" w:hAnsi="Arial" w:cs="Arial"/>
          <w:b/>
          <w:bCs/>
          <w:sz w:val="40"/>
          <w:szCs w:val="40"/>
        </w:rPr>
        <w:t xml:space="preserve"> and </w:t>
      </w:r>
      <w:r w:rsidRPr="00511FBA">
        <w:rPr>
          <w:rFonts w:ascii="Arial" w:hAnsi="Arial" w:cs="Arial"/>
          <w:b/>
          <w:bCs/>
          <w:i/>
          <w:iCs/>
          <w:sz w:val="40"/>
          <w:szCs w:val="40"/>
        </w:rPr>
        <w:t>in vivo</w:t>
      </w:r>
      <w:r>
        <w:rPr>
          <w:rFonts w:ascii="Arial" w:hAnsi="Arial" w:cs="Arial"/>
          <w:b/>
          <w:bCs/>
          <w:sz w:val="40"/>
          <w:szCs w:val="40"/>
        </w:rPr>
        <w:t xml:space="preserve"> studies of trypanocidal activity of dietary isothiocyanates</w:t>
      </w:r>
    </w:p>
    <w:p w:rsidR="00D60CA9" w:rsidRDefault="00D60CA9" w:rsidP="00D60CA9">
      <w:pPr>
        <w:spacing w:line="480" w:lineRule="exact"/>
      </w:pPr>
    </w:p>
    <w:p w:rsidR="00D60CA9" w:rsidRPr="00F90480" w:rsidRDefault="00D60CA9" w:rsidP="00F90480">
      <w:pPr>
        <w:spacing w:line="480" w:lineRule="exact"/>
        <w:rPr>
          <w:rFonts w:ascii="Arial" w:hAnsi="Arial" w:cs="Arial"/>
          <w:b/>
          <w:bCs/>
          <w:sz w:val="28"/>
          <w:szCs w:val="28"/>
        </w:rPr>
      </w:pPr>
      <w:r w:rsidRPr="00F90480">
        <w:rPr>
          <w:rFonts w:ascii="Arial" w:hAnsi="Arial" w:cs="Arial"/>
          <w:b/>
          <w:bCs/>
          <w:sz w:val="28"/>
          <w:szCs w:val="28"/>
        </w:rPr>
        <w:t>Dietmar Steverding</w:t>
      </w:r>
      <w:r w:rsidRPr="00F90480">
        <w:rPr>
          <w:rFonts w:ascii="Arial" w:hAnsi="Arial" w:cs="Arial"/>
          <w:b/>
          <w:bCs/>
          <w:sz w:val="28"/>
          <w:szCs w:val="28"/>
          <w:vertAlign w:val="superscript"/>
        </w:rPr>
        <w:t>1</w:t>
      </w:r>
      <w:r w:rsidR="00F90480">
        <w:rPr>
          <w:rFonts w:ascii="Arial" w:hAnsi="Arial" w:cs="Arial"/>
          <w:b/>
          <w:bCs/>
          <w:sz w:val="28"/>
          <w:szCs w:val="28"/>
        </w:rPr>
        <w:t xml:space="preserve">, </w:t>
      </w:r>
      <w:r w:rsidR="00A51FCA">
        <w:rPr>
          <w:rFonts w:ascii="Arial" w:hAnsi="Arial" w:cs="Arial"/>
          <w:b/>
          <w:bCs/>
          <w:sz w:val="28"/>
          <w:szCs w:val="28"/>
        </w:rPr>
        <w:t>Sarah Michaels</w:t>
      </w:r>
      <w:r w:rsidR="00A51FCA" w:rsidRPr="00A51FCA">
        <w:rPr>
          <w:rFonts w:ascii="Arial" w:hAnsi="Arial" w:cs="Arial"/>
          <w:b/>
          <w:bCs/>
          <w:sz w:val="28"/>
          <w:szCs w:val="28"/>
          <w:vertAlign w:val="superscript"/>
        </w:rPr>
        <w:t>1</w:t>
      </w:r>
      <w:r w:rsidR="00A51FCA">
        <w:rPr>
          <w:rFonts w:ascii="Arial" w:hAnsi="Arial" w:cs="Arial"/>
          <w:b/>
          <w:bCs/>
          <w:sz w:val="28"/>
          <w:szCs w:val="28"/>
        </w:rPr>
        <w:t xml:space="preserve">, </w:t>
      </w:r>
      <w:r w:rsidR="00511FBA">
        <w:rPr>
          <w:rFonts w:ascii="Arial" w:hAnsi="Arial" w:cs="Arial"/>
          <w:b/>
          <w:bCs/>
          <w:sz w:val="28"/>
          <w:szCs w:val="28"/>
        </w:rPr>
        <w:t xml:space="preserve">Kevin </w:t>
      </w:r>
      <w:r w:rsidR="00382845">
        <w:rPr>
          <w:rFonts w:ascii="Arial" w:hAnsi="Arial" w:cs="Arial"/>
          <w:b/>
          <w:bCs/>
          <w:sz w:val="28"/>
          <w:szCs w:val="28"/>
        </w:rPr>
        <w:t xml:space="preserve">D. </w:t>
      </w:r>
      <w:r w:rsidR="00511FBA">
        <w:rPr>
          <w:rFonts w:ascii="Arial" w:hAnsi="Arial" w:cs="Arial"/>
          <w:b/>
          <w:bCs/>
          <w:sz w:val="28"/>
          <w:szCs w:val="28"/>
        </w:rPr>
        <w:t>Read</w:t>
      </w:r>
      <w:r w:rsidR="00511FBA" w:rsidRPr="00511FBA">
        <w:rPr>
          <w:rFonts w:ascii="Arial" w:hAnsi="Arial" w:cs="Arial"/>
          <w:b/>
          <w:bCs/>
          <w:sz w:val="28"/>
          <w:szCs w:val="28"/>
          <w:vertAlign w:val="superscript"/>
        </w:rPr>
        <w:t>2</w:t>
      </w:r>
    </w:p>
    <w:p w:rsidR="00D60CA9" w:rsidRDefault="00D60CA9" w:rsidP="00D60CA9">
      <w:pPr>
        <w:spacing w:line="480" w:lineRule="exact"/>
      </w:pPr>
    </w:p>
    <w:p w:rsidR="00F90480" w:rsidRDefault="00F90480" w:rsidP="00F90480">
      <w:pPr>
        <w:tabs>
          <w:tab w:val="left" w:pos="284"/>
        </w:tabs>
        <w:spacing w:line="480" w:lineRule="exact"/>
        <w:ind w:left="284" w:hanging="284"/>
        <w:rPr>
          <w:rFonts w:ascii="Arial" w:hAnsi="Arial" w:cs="Arial"/>
          <w:iCs/>
        </w:rPr>
      </w:pPr>
      <w:r w:rsidRPr="00F90480">
        <w:rPr>
          <w:rFonts w:ascii="Arial" w:hAnsi="Arial" w:cs="Arial"/>
          <w:iCs/>
          <w:vertAlign w:val="superscript"/>
        </w:rPr>
        <w:t>1</w:t>
      </w:r>
      <w:r>
        <w:rPr>
          <w:rFonts w:ascii="Arial" w:hAnsi="Arial" w:cs="Arial"/>
          <w:iCs/>
        </w:rPr>
        <w:tab/>
      </w:r>
      <w:r w:rsidR="00D60CA9" w:rsidRPr="00F90480">
        <w:rPr>
          <w:rFonts w:ascii="Arial" w:hAnsi="Arial" w:cs="Arial"/>
          <w:iCs/>
        </w:rPr>
        <w:t>BioMed</w:t>
      </w:r>
      <w:r>
        <w:rPr>
          <w:rFonts w:ascii="Arial" w:hAnsi="Arial" w:cs="Arial"/>
          <w:iCs/>
        </w:rPr>
        <w:t>ical Research Centre, Norwich Medical School</w:t>
      </w:r>
      <w:r w:rsidR="00D60CA9" w:rsidRPr="00F90480">
        <w:rPr>
          <w:rFonts w:ascii="Arial" w:hAnsi="Arial" w:cs="Arial"/>
          <w:iCs/>
        </w:rPr>
        <w:t>, University of East</w:t>
      </w:r>
      <w:r>
        <w:rPr>
          <w:rFonts w:ascii="Arial" w:hAnsi="Arial" w:cs="Arial"/>
          <w:iCs/>
        </w:rPr>
        <w:t xml:space="preserve"> Anglia, Norwich, U.K.</w:t>
      </w:r>
    </w:p>
    <w:p w:rsidR="00D60CA9" w:rsidRPr="00F90480" w:rsidRDefault="00F90480" w:rsidP="00F90480">
      <w:pPr>
        <w:tabs>
          <w:tab w:val="left" w:pos="284"/>
        </w:tabs>
        <w:spacing w:line="480" w:lineRule="exact"/>
        <w:ind w:left="284" w:hanging="284"/>
        <w:rPr>
          <w:rFonts w:ascii="Arial" w:hAnsi="Arial" w:cs="Arial"/>
          <w:iCs/>
        </w:rPr>
      </w:pPr>
      <w:r w:rsidRPr="00F90480">
        <w:rPr>
          <w:rFonts w:ascii="Arial" w:hAnsi="Arial" w:cs="Arial"/>
          <w:iCs/>
          <w:vertAlign w:val="superscript"/>
        </w:rPr>
        <w:t>2</w:t>
      </w:r>
      <w:r>
        <w:rPr>
          <w:rFonts w:ascii="Arial" w:hAnsi="Arial" w:cs="Arial"/>
          <w:iCs/>
        </w:rPr>
        <w:tab/>
      </w:r>
      <w:r w:rsidR="00382845">
        <w:rPr>
          <w:rFonts w:ascii="Arial" w:hAnsi="Arial" w:cs="Arial"/>
          <w:iCs/>
        </w:rPr>
        <w:t>Drug Discovery Unit, Division of Biological Chemistry &amp; Drug Discovery, College of L</w:t>
      </w:r>
      <w:r w:rsidR="00870BDB">
        <w:rPr>
          <w:rFonts w:ascii="Arial" w:hAnsi="Arial" w:cs="Arial"/>
          <w:iCs/>
        </w:rPr>
        <w:t>ife Sciences, University of</w:t>
      </w:r>
      <w:r w:rsidR="00382845">
        <w:rPr>
          <w:rFonts w:ascii="Arial" w:hAnsi="Arial" w:cs="Arial"/>
          <w:iCs/>
        </w:rPr>
        <w:t xml:space="preserve"> Dundee, Dundee, U.K.</w:t>
      </w:r>
    </w:p>
    <w:p w:rsidR="00D60CA9" w:rsidRDefault="00D60CA9" w:rsidP="00D60CA9">
      <w:pPr>
        <w:spacing w:line="480" w:lineRule="exact"/>
      </w:pPr>
    </w:p>
    <w:p w:rsidR="00D60CA9" w:rsidRDefault="00D60CA9" w:rsidP="00D60CA9">
      <w:pPr>
        <w:spacing w:line="480" w:lineRule="exact"/>
      </w:pPr>
    </w:p>
    <w:p w:rsidR="00D60CA9" w:rsidRDefault="00D60CA9" w:rsidP="00D60CA9">
      <w:pPr>
        <w:spacing w:line="480" w:lineRule="exact"/>
      </w:pPr>
    </w:p>
    <w:p w:rsidR="00D60CA9" w:rsidRDefault="00D60CA9" w:rsidP="00D60CA9">
      <w:pPr>
        <w:spacing w:line="480" w:lineRule="exact"/>
      </w:pPr>
    </w:p>
    <w:p w:rsidR="00D60CA9" w:rsidRDefault="00D60CA9" w:rsidP="00D60CA9">
      <w:pPr>
        <w:spacing w:line="480" w:lineRule="exact"/>
      </w:pPr>
    </w:p>
    <w:p w:rsidR="00D60CA9" w:rsidRDefault="00D60CA9" w:rsidP="00D60CA9">
      <w:pPr>
        <w:spacing w:line="480" w:lineRule="exact"/>
      </w:pPr>
    </w:p>
    <w:p w:rsidR="00D60CA9" w:rsidRDefault="00D60CA9" w:rsidP="00D60CA9">
      <w:pPr>
        <w:spacing w:line="480" w:lineRule="exact"/>
      </w:pPr>
    </w:p>
    <w:p w:rsidR="00D60CA9" w:rsidRDefault="00D60CA9" w:rsidP="00D60CA9">
      <w:pPr>
        <w:spacing w:line="480" w:lineRule="exact"/>
      </w:pPr>
    </w:p>
    <w:p w:rsidR="00A51FCA" w:rsidRDefault="00A51FCA" w:rsidP="00D60CA9">
      <w:pPr>
        <w:spacing w:line="480" w:lineRule="exact"/>
      </w:pPr>
    </w:p>
    <w:p w:rsidR="009939A4" w:rsidRPr="009939A4" w:rsidRDefault="00D60CA9" w:rsidP="00D60CA9">
      <w:pPr>
        <w:tabs>
          <w:tab w:val="left" w:pos="480"/>
        </w:tabs>
        <w:spacing w:line="480" w:lineRule="exact"/>
        <w:jc w:val="both"/>
        <w:rPr>
          <w:rFonts w:ascii="Arial" w:hAnsi="Arial" w:cs="Arial"/>
          <w:b/>
        </w:rPr>
      </w:pPr>
      <w:r w:rsidRPr="009939A4">
        <w:rPr>
          <w:rFonts w:ascii="Arial" w:hAnsi="Arial" w:cs="Arial"/>
          <w:b/>
        </w:rPr>
        <w:t>Corres</w:t>
      </w:r>
      <w:r w:rsidR="009939A4" w:rsidRPr="009939A4">
        <w:rPr>
          <w:rFonts w:ascii="Arial" w:hAnsi="Arial" w:cs="Arial"/>
          <w:b/>
        </w:rPr>
        <w:t>pondence</w:t>
      </w:r>
    </w:p>
    <w:p w:rsidR="009939A4" w:rsidRPr="009939A4" w:rsidRDefault="009939A4" w:rsidP="00D60CA9">
      <w:pPr>
        <w:tabs>
          <w:tab w:val="left" w:pos="480"/>
        </w:tabs>
        <w:spacing w:line="480" w:lineRule="exact"/>
        <w:jc w:val="both"/>
        <w:rPr>
          <w:rFonts w:ascii="Arial" w:hAnsi="Arial" w:cs="Arial"/>
          <w:b/>
          <w:i/>
        </w:rPr>
      </w:pPr>
      <w:r w:rsidRPr="009939A4">
        <w:rPr>
          <w:rFonts w:ascii="Arial" w:hAnsi="Arial" w:cs="Arial"/>
          <w:b/>
          <w:i/>
        </w:rPr>
        <w:t>Dietmar Steverding</w:t>
      </w:r>
    </w:p>
    <w:p w:rsidR="009939A4" w:rsidRPr="009939A4" w:rsidRDefault="009939A4" w:rsidP="00D60CA9">
      <w:pPr>
        <w:tabs>
          <w:tab w:val="left" w:pos="480"/>
        </w:tabs>
        <w:spacing w:line="480" w:lineRule="exact"/>
        <w:jc w:val="both"/>
        <w:rPr>
          <w:rFonts w:ascii="Arial" w:hAnsi="Arial" w:cs="Arial"/>
        </w:rPr>
      </w:pPr>
      <w:r w:rsidRPr="009939A4">
        <w:rPr>
          <w:rFonts w:ascii="Arial" w:hAnsi="Arial" w:cs="Arial"/>
        </w:rPr>
        <w:t>BioMedical Research Centre,</w:t>
      </w:r>
    </w:p>
    <w:p w:rsidR="009939A4" w:rsidRPr="009939A4" w:rsidRDefault="009939A4" w:rsidP="00D60CA9">
      <w:pPr>
        <w:tabs>
          <w:tab w:val="left" w:pos="480"/>
        </w:tabs>
        <w:spacing w:line="480" w:lineRule="exact"/>
        <w:jc w:val="both"/>
        <w:rPr>
          <w:rFonts w:ascii="Arial" w:hAnsi="Arial" w:cs="Arial"/>
        </w:rPr>
      </w:pPr>
      <w:r w:rsidRPr="009939A4">
        <w:rPr>
          <w:rFonts w:ascii="Arial" w:hAnsi="Arial" w:cs="Arial"/>
        </w:rPr>
        <w:t>Norwich Medical School</w:t>
      </w:r>
    </w:p>
    <w:p w:rsidR="009939A4" w:rsidRDefault="009939A4" w:rsidP="00D60CA9">
      <w:pPr>
        <w:tabs>
          <w:tab w:val="left" w:pos="480"/>
        </w:tabs>
        <w:spacing w:line="480" w:lineRule="exact"/>
        <w:jc w:val="both"/>
        <w:rPr>
          <w:rFonts w:ascii="Arial" w:hAnsi="Arial" w:cs="Arial"/>
        </w:rPr>
      </w:pPr>
      <w:r w:rsidRPr="009939A4">
        <w:rPr>
          <w:rFonts w:ascii="Arial" w:hAnsi="Arial" w:cs="Arial"/>
        </w:rPr>
        <w:t>University of East Anglia</w:t>
      </w:r>
    </w:p>
    <w:p w:rsidR="00795B91" w:rsidRPr="009939A4" w:rsidRDefault="00795B91" w:rsidP="00D60CA9">
      <w:pPr>
        <w:tabs>
          <w:tab w:val="left" w:pos="480"/>
        </w:tabs>
        <w:spacing w:line="480" w:lineRule="exact"/>
        <w:jc w:val="both"/>
        <w:rPr>
          <w:rFonts w:ascii="Arial" w:hAnsi="Arial" w:cs="Arial"/>
        </w:rPr>
      </w:pPr>
      <w:r>
        <w:rPr>
          <w:rFonts w:ascii="Arial" w:hAnsi="Arial" w:cs="Arial"/>
        </w:rPr>
        <w:t>Norwich Research Park</w:t>
      </w:r>
    </w:p>
    <w:p w:rsidR="009939A4" w:rsidRPr="009939A4" w:rsidRDefault="009939A4" w:rsidP="00D60CA9">
      <w:pPr>
        <w:tabs>
          <w:tab w:val="left" w:pos="480"/>
        </w:tabs>
        <w:spacing w:line="480" w:lineRule="exact"/>
        <w:jc w:val="both"/>
        <w:rPr>
          <w:rFonts w:ascii="Arial" w:hAnsi="Arial" w:cs="Arial"/>
        </w:rPr>
      </w:pPr>
      <w:r w:rsidRPr="009939A4">
        <w:rPr>
          <w:rFonts w:ascii="Arial" w:hAnsi="Arial" w:cs="Arial"/>
        </w:rPr>
        <w:t>Norwich NR4 7TJ</w:t>
      </w:r>
    </w:p>
    <w:p w:rsidR="009939A4" w:rsidRPr="009939A4" w:rsidRDefault="00D60CA9" w:rsidP="00D60CA9">
      <w:pPr>
        <w:tabs>
          <w:tab w:val="left" w:pos="480"/>
        </w:tabs>
        <w:spacing w:line="480" w:lineRule="exact"/>
        <w:jc w:val="both"/>
        <w:rPr>
          <w:rFonts w:ascii="Arial" w:hAnsi="Arial" w:cs="Arial"/>
        </w:rPr>
      </w:pPr>
      <w:r w:rsidRPr="009939A4">
        <w:rPr>
          <w:rFonts w:ascii="Arial" w:hAnsi="Arial" w:cs="Arial"/>
        </w:rPr>
        <w:t>United Kingd</w:t>
      </w:r>
      <w:r w:rsidR="009939A4" w:rsidRPr="009939A4">
        <w:rPr>
          <w:rFonts w:ascii="Arial" w:hAnsi="Arial" w:cs="Arial"/>
        </w:rPr>
        <w:t>om</w:t>
      </w:r>
    </w:p>
    <w:p w:rsidR="009939A4" w:rsidRPr="009939A4" w:rsidRDefault="009939A4" w:rsidP="00D60CA9">
      <w:pPr>
        <w:tabs>
          <w:tab w:val="left" w:pos="480"/>
        </w:tabs>
        <w:spacing w:line="480" w:lineRule="exact"/>
        <w:jc w:val="both"/>
        <w:rPr>
          <w:rFonts w:ascii="Arial" w:hAnsi="Arial" w:cs="Arial"/>
        </w:rPr>
      </w:pPr>
      <w:r w:rsidRPr="009939A4">
        <w:rPr>
          <w:rFonts w:ascii="Arial" w:hAnsi="Arial" w:cs="Arial"/>
        </w:rPr>
        <w:t>Phone: + 1603591291</w:t>
      </w:r>
    </w:p>
    <w:p w:rsidR="009939A4" w:rsidRPr="009939A4" w:rsidRDefault="009939A4" w:rsidP="00D60CA9">
      <w:pPr>
        <w:tabs>
          <w:tab w:val="left" w:pos="480"/>
        </w:tabs>
        <w:spacing w:line="480" w:lineRule="exact"/>
        <w:jc w:val="both"/>
        <w:rPr>
          <w:rFonts w:ascii="Arial" w:hAnsi="Arial" w:cs="Arial"/>
        </w:rPr>
      </w:pPr>
      <w:r w:rsidRPr="009939A4">
        <w:rPr>
          <w:rFonts w:ascii="Arial" w:hAnsi="Arial" w:cs="Arial"/>
        </w:rPr>
        <w:t xml:space="preserve">Fax: + </w:t>
      </w:r>
      <w:r w:rsidR="00D60CA9" w:rsidRPr="009939A4">
        <w:rPr>
          <w:rFonts w:ascii="Arial" w:hAnsi="Arial" w:cs="Arial"/>
        </w:rPr>
        <w:t>1603-591750</w:t>
      </w:r>
    </w:p>
    <w:p w:rsidR="00D60CA9" w:rsidRPr="009939A4" w:rsidRDefault="005940D9" w:rsidP="00D60CA9">
      <w:pPr>
        <w:tabs>
          <w:tab w:val="left" w:pos="480"/>
        </w:tabs>
        <w:spacing w:line="480" w:lineRule="exact"/>
        <w:jc w:val="both"/>
        <w:rPr>
          <w:rFonts w:ascii="Arial" w:hAnsi="Arial" w:cs="Arial"/>
        </w:rPr>
      </w:pPr>
      <w:hyperlink r:id="rId7" w:history="1">
        <w:r w:rsidR="00D60CA9" w:rsidRPr="009939A4">
          <w:rPr>
            <w:rStyle w:val="Hyperlink"/>
            <w:rFonts w:ascii="Arial" w:hAnsi="Arial" w:cs="Arial"/>
          </w:rPr>
          <w:t>dsteverding@hotmail.com</w:t>
        </w:r>
      </w:hyperlink>
    </w:p>
    <w:p w:rsidR="002253CA" w:rsidRPr="002253CA" w:rsidRDefault="002253CA" w:rsidP="002253CA">
      <w:pPr>
        <w:spacing w:line="480" w:lineRule="exact"/>
        <w:jc w:val="both"/>
        <w:rPr>
          <w:rFonts w:ascii="Arial" w:hAnsi="Arial" w:cs="Arial"/>
          <w:b/>
        </w:rPr>
      </w:pPr>
      <w:r w:rsidRPr="002253CA">
        <w:rPr>
          <w:rFonts w:ascii="Arial" w:hAnsi="Arial" w:cs="Arial"/>
          <w:b/>
        </w:rPr>
        <w:lastRenderedPageBreak/>
        <w:t>Abstract</w:t>
      </w:r>
    </w:p>
    <w:p w:rsidR="002253CA" w:rsidRPr="002253CA" w:rsidRDefault="002253CA" w:rsidP="002253CA">
      <w:pPr>
        <w:spacing w:line="480" w:lineRule="exact"/>
        <w:jc w:val="both"/>
      </w:pPr>
    </w:p>
    <w:p w:rsidR="006119F5" w:rsidRDefault="001B3619" w:rsidP="002253CA">
      <w:pPr>
        <w:spacing w:line="480" w:lineRule="exact"/>
        <w:jc w:val="both"/>
      </w:pPr>
      <w:r>
        <w:t>Six dietary isothiocyanates (ITCs), allyl-ITC (AITC), benzyl-ITC (BITC), phen</w:t>
      </w:r>
      <w:r w:rsidR="00AB7C62">
        <w:t>yl</w:t>
      </w:r>
      <w:r>
        <w:t>ethyl-ITC (PEITC), sulforaphane (SFN), erucin (ERN) and iberin (IBN),</w:t>
      </w:r>
      <w:r w:rsidR="0078099B">
        <w:t xml:space="preserve"> were tested for their trypanocidal activities </w:t>
      </w:r>
      <w:r w:rsidR="0078099B" w:rsidRPr="0078099B">
        <w:rPr>
          <w:i/>
        </w:rPr>
        <w:t>in vitro</w:t>
      </w:r>
      <w:r w:rsidR="0078099B">
        <w:t xml:space="preserve"> using culture-adapted bloodstream forms of </w:t>
      </w:r>
      <w:r w:rsidR="0078099B" w:rsidRPr="0078099B">
        <w:rPr>
          <w:i/>
        </w:rPr>
        <w:t>Trypanosoma brucei</w:t>
      </w:r>
      <w:r w:rsidR="0078099B">
        <w:t xml:space="preserve">.  </w:t>
      </w:r>
      <w:r w:rsidR="006119F5">
        <w:t>All ITCs showed a dose-dependent effect on the growth of trypanosomes</w:t>
      </w:r>
      <w:r w:rsidR="0078099B">
        <w:t xml:space="preserve">.  </w:t>
      </w:r>
      <w:r w:rsidR="006119F5">
        <w:t>Five compounds displayed minimum inhibitory concentration (MIC) values of 10 µM and 50% growth inhibition (GI</w:t>
      </w:r>
      <w:r w:rsidR="006119F5" w:rsidRPr="00D71776">
        <w:rPr>
          <w:vertAlign w:val="subscript"/>
        </w:rPr>
        <w:t>50</w:t>
      </w:r>
      <w:r w:rsidR="00D71776">
        <w:t>) value</w:t>
      </w:r>
      <w:r w:rsidR="00AB7C62">
        <w:t>s</w:t>
      </w:r>
      <w:r w:rsidR="00D71776">
        <w:t xml:space="preserve"> of around 1.5</w:t>
      </w:r>
      <w:r w:rsidR="006119F5">
        <w:t xml:space="preserve"> µM while AITC exhibited values of 100 and 11 </w:t>
      </w:r>
      <w:r w:rsidR="006119F5" w:rsidRPr="002B059A">
        <w:t>µM, respectively.</w:t>
      </w:r>
      <w:r w:rsidR="00D71776" w:rsidRPr="002B059A">
        <w:t xml:space="preserve">  </w:t>
      </w:r>
      <w:r w:rsidR="0088311E" w:rsidRPr="002B059A">
        <w:t>The compounds showed similar cytotoxic activities against human HL-60 cells with GI</w:t>
      </w:r>
      <w:r w:rsidR="0088311E" w:rsidRPr="002B059A">
        <w:rPr>
          <w:vertAlign w:val="subscript"/>
        </w:rPr>
        <w:t>50</w:t>
      </w:r>
      <w:r w:rsidR="0088311E" w:rsidRPr="002B059A">
        <w:t xml:space="preserve"> values of 1-4</w:t>
      </w:r>
      <w:r w:rsidR="006D29D1" w:rsidRPr="002B059A">
        <w:t xml:space="preserve"> μM and MIC values of 10-100 μM</w:t>
      </w:r>
      <w:r w:rsidR="0088311E" w:rsidRPr="002B059A">
        <w:t xml:space="preserve">.  </w:t>
      </w:r>
      <w:r w:rsidR="00D71776" w:rsidRPr="002B059A">
        <w:t>Short</w:t>
      </w:r>
      <w:r w:rsidR="00D71776">
        <w:t>-term experiments revealed that, with the exception of AITC, ITCs at a concentration of 10 µM kill trypanosomes within 1-4 h of incubation</w:t>
      </w:r>
      <w:r w:rsidR="00D71776" w:rsidRPr="002B059A">
        <w:t xml:space="preserve">.  </w:t>
      </w:r>
      <w:r w:rsidR="0088311E" w:rsidRPr="002B059A">
        <w:t>In contrast, HL-60 cells were not aff</w:t>
      </w:r>
      <w:r w:rsidR="00DC3E0D" w:rsidRPr="002B059A">
        <w:t>ected by any of the compounds in short-term incubation experiments</w:t>
      </w:r>
      <w:r w:rsidR="0088311E" w:rsidRPr="002B059A">
        <w:t xml:space="preserve">.  </w:t>
      </w:r>
      <w:r w:rsidR="00D71776" w:rsidRPr="002B059A">
        <w:t>SFN</w:t>
      </w:r>
      <w:r w:rsidR="00D71776">
        <w:t xml:space="preserve">, the most intensively studied ITC, was also investigated for </w:t>
      </w:r>
      <w:r w:rsidR="00915462">
        <w:t xml:space="preserve">its </w:t>
      </w:r>
      <w:r w:rsidR="00915462" w:rsidRPr="00915462">
        <w:rPr>
          <w:i/>
          <w:iCs/>
        </w:rPr>
        <w:t>in vivo</w:t>
      </w:r>
      <w:r w:rsidR="00915462">
        <w:t xml:space="preserve"> trypanocidal activity.  </w:t>
      </w:r>
      <w:r w:rsidR="00641775">
        <w:t xml:space="preserve">However, administration of 50 mg/kg SFN orally or intraperitoneally for four days had no effect on the parasitaemia in mice infected with </w:t>
      </w:r>
      <w:r w:rsidR="00641775" w:rsidRPr="00641775">
        <w:rPr>
          <w:i/>
          <w:iCs/>
        </w:rPr>
        <w:t>T. brucei</w:t>
      </w:r>
      <w:r w:rsidR="00641775">
        <w:t xml:space="preserve"> compared to control animals treated with vehicle alone.</w:t>
      </w:r>
    </w:p>
    <w:p w:rsidR="006119F5" w:rsidRDefault="006119F5" w:rsidP="002253CA">
      <w:pPr>
        <w:spacing w:line="480" w:lineRule="exact"/>
        <w:jc w:val="both"/>
      </w:pPr>
    </w:p>
    <w:p w:rsidR="002253CA" w:rsidRPr="009004E4" w:rsidRDefault="009004E4" w:rsidP="002253CA">
      <w:pPr>
        <w:spacing w:line="480" w:lineRule="exact"/>
        <w:jc w:val="both"/>
        <w:rPr>
          <w:rFonts w:ascii="Arial" w:hAnsi="Arial" w:cs="Arial"/>
          <w:b/>
        </w:rPr>
      </w:pPr>
      <w:r w:rsidRPr="009004E4">
        <w:rPr>
          <w:rFonts w:ascii="Arial" w:hAnsi="Arial" w:cs="Arial"/>
          <w:b/>
        </w:rPr>
        <w:t>Key words</w:t>
      </w:r>
    </w:p>
    <w:p w:rsidR="009004E4" w:rsidRPr="009004E4" w:rsidRDefault="009004E4" w:rsidP="002253CA">
      <w:pPr>
        <w:spacing w:line="480" w:lineRule="exact"/>
        <w:jc w:val="both"/>
      </w:pPr>
      <w:r w:rsidRPr="009004E4">
        <w:rPr>
          <w:i/>
        </w:rPr>
        <w:t>Trypanosoma brucei</w:t>
      </w:r>
      <w:r w:rsidRPr="009004E4">
        <w:t xml:space="preserve"> </w:t>
      </w:r>
      <w:r>
        <w:t>•</w:t>
      </w:r>
      <w:r w:rsidRPr="009004E4">
        <w:t xml:space="preserve"> </w:t>
      </w:r>
      <w:r>
        <w:t xml:space="preserve">sleeping sickness • </w:t>
      </w:r>
      <w:r w:rsidR="001B3619">
        <w:t>isothiocyanates • sulforaphane</w:t>
      </w:r>
    </w:p>
    <w:p w:rsidR="00430D06" w:rsidRDefault="00D60CA9" w:rsidP="00F90480">
      <w:pPr>
        <w:spacing w:line="480" w:lineRule="exact"/>
        <w:jc w:val="both"/>
      </w:pPr>
      <w:r>
        <w:br w:type="page"/>
      </w:r>
    </w:p>
    <w:p w:rsidR="00E331BF" w:rsidRDefault="00E331BF" w:rsidP="00F90480">
      <w:pPr>
        <w:spacing w:line="480" w:lineRule="exact"/>
        <w:jc w:val="both"/>
        <w:rPr>
          <w:rFonts w:asciiTheme="majorBidi" w:hAnsiTheme="majorBidi" w:cstheme="majorBidi"/>
        </w:rPr>
      </w:pPr>
      <w:r>
        <w:lastRenderedPageBreak/>
        <w:t>African trypanosome</w:t>
      </w:r>
      <w:r w:rsidR="00467BA3">
        <w:t>s are the causative</w:t>
      </w:r>
      <w:r w:rsidR="004654ED">
        <w:t xml:space="preserve"> agent of nagana pest</w:t>
      </w:r>
      <w:r>
        <w:t xml:space="preserve"> in cattle and sleeping sickness in</w:t>
      </w:r>
      <w:r w:rsidR="004654ED">
        <w:t xml:space="preserve"> humans</w:t>
      </w:r>
      <w:r w:rsidR="00973812">
        <w:t xml:space="preserve"> [1]</w:t>
      </w:r>
      <w:r w:rsidR="004654ED">
        <w:t xml:space="preserve">.  Both diseases occur in sub-Saharan Africa between 14° North and 20° South latitude and </w:t>
      </w:r>
      <w:r w:rsidR="005E082C">
        <w:t xml:space="preserve">are transmitted by the bite of infected insect vectors (tsetse flies) [1].  Millions of people and cattle are at risk of contracting sleeping sickness and nagana pest, respectively [2,3]. </w:t>
      </w:r>
      <w:r w:rsidR="001E4721">
        <w:t xml:space="preserve"> Moreover</w:t>
      </w:r>
      <w:r w:rsidR="005E082C">
        <w:t xml:space="preserve">, </w:t>
      </w:r>
      <w:r w:rsidR="009429FC">
        <w:t xml:space="preserve">nagana pest hampers livestock breeding in the affected areas costing the African economies over </w:t>
      </w:r>
      <w:r w:rsidR="009429FC">
        <w:rPr>
          <w:rFonts w:asciiTheme="majorBidi" w:hAnsiTheme="majorBidi" w:cstheme="majorBidi"/>
        </w:rPr>
        <w:t xml:space="preserve">1 billion USD per year [3].  For </w:t>
      </w:r>
      <w:r w:rsidR="00E96E5F">
        <w:rPr>
          <w:rFonts w:asciiTheme="majorBidi" w:hAnsiTheme="majorBidi" w:cstheme="majorBidi"/>
        </w:rPr>
        <w:t xml:space="preserve">the </w:t>
      </w:r>
      <w:r w:rsidR="009429FC">
        <w:rPr>
          <w:rFonts w:asciiTheme="majorBidi" w:hAnsiTheme="majorBidi" w:cstheme="majorBidi"/>
        </w:rPr>
        <w:t xml:space="preserve">treatment of African trypanosomiasis, only </w:t>
      </w:r>
      <w:r w:rsidR="00E96E5F">
        <w:rPr>
          <w:rFonts w:asciiTheme="majorBidi" w:hAnsiTheme="majorBidi" w:cstheme="majorBidi"/>
        </w:rPr>
        <w:t xml:space="preserve">a </w:t>
      </w:r>
      <w:r w:rsidR="009429FC">
        <w:rPr>
          <w:rFonts w:asciiTheme="majorBidi" w:hAnsiTheme="majorBidi" w:cstheme="majorBidi"/>
        </w:rPr>
        <w:t>few drugs are available, most of which are outdated</w:t>
      </w:r>
      <w:r w:rsidR="00AA4C68">
        <w:rPr>
          <w:rFonts w:asciiTheme="majorBidi" w:hAnsiTheme="majorBidi" w:cstheme="majorBidi"/>
        </w:rPr>
        <w:t xml:space="preserve"> [4]</w:t>
      </w:r>
      <w:r w:rsidR="009429FC">
        <w:rPr>
          <w:rFonts w:asciiTheme="majorBidi" w:hAnsiTheme="majorBidi" w:cstheme="majorBidi"/>
        </w:rPr>
        <w:t xml:space="preserve">.  </w:t>
      </w:r>
      <w:r w:rsidR="00E233CF">
        <w:rPr>
          <w:rFonts w:asciiTheme="majorBidi" w:hAnsiTheme="majorBidi" w:cstheme="majorBidi"/>
        </w:rPr>
        <w:t>All of</w:t>
      </w:r>
      <w:r w:rsidR="00B1353D">
        <w:rPr>
          <w:rFonts w:asciiTheme="majorBidi" w:hAnsiTheme="majorBidi" w:cstheme="majorBidi"/>
        </w:rPr>
        <w:t xml:space="preserve"> thes</w:t>
      </w:r>
      <w:r w:rsidR="00870BDB">
        <w:rPr>
          <w:rFonts w:asciiTheme="majorBidi" w:hAnsiTheme="majorBidi" w:cstheme="majorBidi"/>
        </w:rPr>
        <w:t>e therapies have poor efficacy</w:t>
      </w:r>
      <w:r w:rsidR="00B1353D">
        <w:rPr>
          <w:rFonts w:asciiTheme="majorBidi" w:hAnsiTheme="majorBidi" w:cstheme="majorBidi"/>
        </w:rPr>
        <w:t xml:space="preserve">, display </w:t>
      </w:r>
      <w:r w:rsidR="001E4721">
        <w:rPr>
          <w:rFonts w:asciiTheme="majorBidi" w:hAnsiTheme="majorBidi" w:cstheme="majorBidi"/>
        </w:rPr>
        <w:t>si</w:t>
      </w:r>
      <w:r w:rsidR="00B1353D">
        <w:rPr>
          <w:rFonts w:asciiTheme="majorBidi" w:hAnsiTheme="majorBidi" w:cstheme="majorBidi"/>
        </w:rPr>
        <w:t>gnificant toxicity and show increasing problems with drug resistance [4,5].</w:t>
      </w:r>
      <w:r w:rsidR="00E233CF">
        <w:rPr>
          <w:rFonts w:asciiTheme="majorBidi" w:hAnsiTheme="majorBidi" w:cstheme="majorBidi"/>
        </w:rPr>
        <w:t xml:space="preserve">  In addition, most of these drugs have to be administered by injection or infusion which makes the treatment difficult and labour-intensive [4,5].  Thus, there is an urgent need for the development of oral drugs for the therapy of African trypanosomiasis.</w:t>
      </w:r>
    </w:p>
    <w:p w:rsidR="00E233CF" w:rsidRPr="002B059A" w:rsidRDefault="00E233CF" w:rsidP="00F90480">
      <w:pPr>
        <w:spacing w:line="480" w:lineRule="exact"/>
        <w:jc w:val="both"/>
      </w:pPr>
      <w:r>
        <w:t xml:space="preserve">Phytochemicals have been used as </w:t>
      </w:r>
      <w:r w:rsidR="00964353">
        <w:t xml:space="preserve">drugs for the treatment of illnesses for </w:t>
      </w:r>
      <w:r w:rsidR="00964353" w:rsidRPr="002B059A">
        <w:t>millennia</w:t>
      </w:r>
      <w:r w:rsidR="00FF1DAA" w:rsidRPr="002B059A">
        <w:t xml:space="preserve"> and a considerable number of natural products have been shown to inhibit the growth of African trypanosomes</w:t>
      </w:r>
      <w:r w:rsidR="00B96B58" w:rsidRPr="002B059A">
        <w:t xml:space="preserve"> [</w:t>
      </w:r>
      <w:r w:rsidR="00FF1DAA" w:rsidRPr="002B059A">
        <w:t xml:space="preserve">6]. </w:t>
      </w:r>
      <w:r w:rsidR="00964353" w:rsidRPr="002B059A">
        <w:t xml:space="preserve"> Isothiocy</w:t>
      </w:r>
      <w:r w:rsidR="00964353">
        <w:t>anates (ITCs), a group of naturally occurring compounds found in cruciferous vegetables such as broccoli, cabbage, radish and wa</w:t>
      </w:r>
      <w:r w:rsidR="00AD2FE9">
        <w:t>tercress, have been found to inhibit the growth of tumour cells</w:t>
      </w:r>
      <w:r w:rsidR="00FF1DAA">
        <w:t xml:space="preserve"> [7</w:t>
      </w:r>
      <w:r w:rsidR="003A526E">
        <w:t>]</w:t>
      </w:r>
      <w:r w:rsidR="00AD2FE9">
        <w:t xml:space="preserve">.  However, </w:t>
      </w:r>
      <w:r w:rsidR="00964353">
        <w:t xml:space="preserve">agents </w:t>
      </w:r>
      <w:r w:rsidR="00AD2FE9">
        <w:t xml:space="preserve">with anti-cancer activity </w:t>
      </w:r>
      <w:r w:rsidR="00E27F0A">
        <w:t xml:space="preserve">are </w:t>
      </w:r>
      <w:r w:rsidR="00964353">
        <w:t xml:space="preserve">usually also </w:t>
      </w:r>
      <w:r w:rsidR="00E27F0A">
        <w:t>active</w:t>
      </w:r>
      <w:r w:rsidR="00964353">
        <w:t xml:space="preserve"> against </w:t>
      </w:r>
      <w:r w:rsidR="00AD2FE9">
        <w:t xml:space="preserve">African </w:t>
      </w:r>
      <w:r w:rsidR="00964353">
        <w:t xml:space="preserve">trypanosomes.  </w:t>
      </w:r>
      <w:r w:rsidR="00E27F0A">
        <w:t xml:space="preserve">For example, topoisomerase and proteasome inhibitors including approved anti-cancer </w:t>
      </w:r>
      <w:r w:rsidR="00AD2FE9">
        <w:t>drugs have been shown to display</w:t>
      </w:r>
      <w:r w:rsidR="00E27F0A">
        <w:t xml:space="preserve"> promising trypanocidal activity [</w:t>
      </w:r>
      <w:r w:rsidR="00FF1DAA">
        <w:t>8-10</w:t>
      </w:r>
      <w:r w:rsidR="00E27F0A">
        <w:t>].</w:t>
      </w:r>
      <w:r w:rsidR="007F6EA4">
        <w:t xml:space="preserve">  </w:t>
      </w:r>
      <w:r w:rsidR="000A655D">
        <w:t>Importantly, phytochemicals including ITCs are orally bioavailable compounds and, therefore, ideal drug candidates for the development of oral treatment regimens for African trypanosomiasis.  In this study, we investigated the trypanocidal activity of six dietary ITCs, allyl-ITC (3-isothiocyanatoprop-1-ene; AITC), benzyl-ITC (isothiocyanatomethylbenzene; BITC), phenylethyl-ITC (2-isothiocyanatoethylbenzene; PEITC), sulforaphane (1-isothiocyanato-4-</w:t>
      </w:r>
      <w:r w:rsidR="008C528F">
        <w:t xml:space="preserve">methylsulfinyl-butane; SFN), erucin (1-isothiocyanato-4-methylsulfanyl-butane; ERN) and iberin (1-isothiocyanato-3-methylsulfinyl-propane; </w:t>
      </w:r>
      <w:r w:rsidR="008C528F" w:rsidRPr="002B059A">
        <w:t>IBN)</w:t>
      </w:r>
      <w:r w:rsidR="00FA0663" w:rsidRPr="002B059A">
        <w:t xml:space="preserve"> (</w:t>
      </w:r>
      <w:r w:rsidR="00FA0663" w:rsidRPr="002B059A">
        <w:rPr>
          <w:rFonts w:ascii="Arial" w:hAnsi="Arial" w:cs="Arial"/>
          <w:b/>
          <w:bCs/>
        </w:rPr>
        <w:t>Fig. 1</w:t>
      </w:r>
      <w:r w:rsidR="00FA0663" w:rsidRPr="002B059A">
        <w:t>)</w:t>
      </w:r>
      <w:r w:rsidR="008C528F" w:rsidRPr="002B059A">
        <w:t>.</w:t>
      </w:r>
    </w:p>
    <w:p w:rsidR="0075735D" w:rsidRPr="002B059A" w:rsidRDefault="008C528F" w:rsidP="00F55A35">
      <w:pPr>
        <w:spacing w:line="480" w:lineRule="exact"/>
        <w:jc w:val="both"/>
      </w:pPr>
      <w:r>
        <w:t>The anti-trypanosomal activity of ITCs was determined wi</w:t>
      </w:r>
      <w:r w:rsidR="00870BDB">
        <w:t>th bloodstream forms of</w:t>
      </w:r>
      <w:r w:rsidR="00EA56B6">
        <w:t xml:space="preserve"> </w:t>
      </w:r>
      <w:r w:rsidR="00EA56B6">
        <w:rPr>
          <w:i/>
          <w:iCs/>
        </w:rPr>
        <w:t>T. brucei</w:t>
      </w:r>
      <w:r w:rsidR="00EA56B6">
        <w:t xml:space="preserve"> while the general cytotoxicity of the compounds was evalua</w:t>
      </w:r>
      <w:r>
        <w:t>ted with human</w:t>
      </w:r>
      <w:r w:rsidR="00EA56B6">
        <w:t xml:space="preserve"> HL-60 cells.  </w:t>
      </w:r>
      <w:r>
        <w:t>All ITCs showed a dose-dependent eff</w:t>
      </w:r>
      <w:r w:rsidR="00060E0B">
        <w:t xml:space="preserve">ect on the </w:t>
      </w:r>
      <w:r w:rsidR="00870BDB">
        <w:t xml:space="preserve">inhibition of </w:t>
      </w:r>
      <w:r w:rsidR="00060E0B">
        <w:t>proliferation of the</w:t>
      </w:r>
      <w:r>
        <w:t xml:space="preserve"> </w:t>
      </w:r>
      <w:r w:rsidR="00060E0B">
        <w:t xml:space="preserve">growth of </w:t>
      </w:r>
      <w:r w:rsidR="00060E0B">
        <w:lastRenderedPageBreak/>
        <w:t>trypanosome</w:t>
      </w:r>
      <w:r w:rsidR="00870BDB">
        <w:t>s</w:t>
      </w:r>
      <w:r w:rsidR="00060E0B">
        <w:t xml:space="preserve"> in cell </w:t>
      </w:r>
      <w:r w:rsidR="00060E0B" w:rsidRPr="002B059A">
        <w:t>culture</w:t>
      </w:r>
      <w:r w:rsidR="00484B7D" w:rsidRPr="002B059A">
        <w:t xml:space="preserve"> (</w:t>
      </w:r>
      <w:r w:rsidR="00484B7D" w:rsidRPr="002B059A">
        <w:rPr>
          <w:rFonts w:ascii="Arial" w:hAnsi="Arial" w:cs="Arial"/>
          <w:b/>
          <w:bCs/>
        </w:rPr>
        <w:t>Fig. 2A</w:t>
      </w:r>
      <w:r w:rsidRPr="002B059A">
        <w:t xml:space="preserve">).  </w:t>
      </w:r>
      <w:r w:rsidR="00060E0B" w:rsidRPr="002B059A">
        <w:t xml:space="preserve">Five </w:t>
      </w:r>
      <w:r w:rsidR="00060E0B">
        <w:t xml:space="preserve">ITCs displayed MIC </w:t>
      </w:r>
      <w:r w:rsidR="00060E0B" w:rsidRPr="00697B16">
        <w:t>(minimum inhibitory concentration, i.e., that concentration of the compounds at which all cells were killed)</w:t>
      </w:r>
      <w:r w:rsidR="00060E0B">
        <w:t xml:space="preserve"> values of 10 µM and GI</w:t>
      </w:r>
      <w:r w:rsidR="00060E0B" w:rsidRPr="00060E0B">
        <w:rPr>
          <w:vertAlign w:val="subscript"/>
        </w:rPr>
        <w:t>50</w:t>
      </w:r>
      <w:r w:rsidR="00060E0B">
        <w:t xml:space="preserve"> </w:t>
      </w:r>
      <w:r w:rsidR="00060E0B" w:rsidRPr="00697B16">
        <w:t>(50% growth inhibition, i.e., that concentration of a compound necessary to reduce the growth rate of cells by 50% to that of controls)</w:t>
      </w:r>
      <w:r w:rsidR="00060E0B">
        <w:t xml:space="preserve"> values between 1.41 to 1.72 µM (</w:t>
      </w:r>
      <w:r w:rsidR="00060E0B" w:rsidRPr="00060E0B">
        <w:rPr>
          <w:rFonts w:asciiTheme="minorBidi" w:hAnsiTheme="minorBidi" w:cstheme="minorBidi"/>
          <w:b/>
          <w:bCs/>
        </w:rPr>
        <w:t>Table 1</w:t>
      </w:r>
      <w:r w:rsidR="00060E0B">
        <w:t>).  Only</w:t>
      </w:r>
      <w:r w:rsidR="00467BA3">
        <w:t xml:space="preserve"> AITC exhibited</w:t>
      </w:r>
      <w:r w:rsidR="00060E0B">
        <w:t xml:space="preserve"> higher MIC and GI</w:t>
      </w:r>
      <w:r w:rsidR="00060E0B" w:rsidRPr="00060E0B">
        <w:rPr>
          <w:vertAlign w:val="subscript"/>
        </w:rPr>
        <w:t>50</w:t>
      </w:r>
      <w:r w:rsidR="00060E0B">
        <w:t xml:space="preserve"> values of 100 µM and 11 µM, respectively (</w:t>
      </w:r>
      <w:r w:rsidR="00060E0B" w:rsidRPr="00060E0B">
        <w:rPr>
          <w:rFonts w:asciiTheme="minorBidi" w:hAnsiTheme="minorBidi" w:cstheme="minorBidi"/>
          <w:b/>
          <w:bCs/>
        </w:rPr>
        <w:t>Table 1</w:t>
      </w:r>
      <w:r w:rsidR="00060E0B">
        <w:t xml:space="preserve">).  </w:t>
      </w:r>
      <w:r w:rsidR="00AF6F56">
        <w:t xml:space="preserve">All ITCs displayed similar activity towards human HL-60 cells with MIC values of 100 µM </w:t>
      </w:r>
      <w:r w:rsidR="00AB7C62">
        <w:t xml:space="preserve">(except BITC which </w:t>
      </w:r>
      <w:r w:rsidR="00E96E5F">
        <w:t>had an MIC of</w:t>
      </w:r>
      <w:r w:rsidR="00AB7C62">
        <w:t xml:space="preserve"> 10 µM) </w:t>
      </w:r>
      <w:r w:rsidR="00AF6F56">
        <w:t>and GI</w:t>
      </w:r>
      <w:r w:rsidR="00AF6F56" w:rsidRPr="00AF6F56">
        <w:rPr>
          <w:vertAlign w:val="subscript"/>
        </w:rPr>
        <w:t>50</w:t>
      </w:r>
      <w:r w:rsidR="00AF6F56">
        <w:t xml:space="preserve"> values ranging between 0.99 to 2.70 </w:t>
      </w:r>
      <w:r w:rsidR="00AF6F56" w:rsidRPr="002B059A">
        <w:t>µM (</w:t>
      </w:r>
      <w:r w:rsidR="00484B7D" w:rsidRPr="002B059A">
        <w:rPr>
          <w:rFonts w:ascii="Arial" w:hAnsi="Arial" w:cs="Arial"/>
          <w:b/>
          <w:bCs/>
        </w:rPr>
        <w:t>Fig. 2B</w:t>
      </w:r>
      <w:r w:rsidR="00484B7D" w:rsidRPr="002B059A">
        <w:t xml:space="preserve"> and </w:t>
      </w:r>
      <w:r w:rsidR="00AF6F56" w:rsidRPr="00AF6F56">
        <w:rPr>
          <w:rFonts w:ascii="Arial" w:hAnsi="Arial" w:cs="Arial"/>
          <w:b/>
          <w:bCs/>
        </w:rPr>
        <w:t>Table 1</w:t>
      </w:r>
      <w:r w:rsidR="00AF6F56">
        <w:t xml:space="preserve">).  </w:t>
      </w:r>
      <w:r w:rsidR="0075735D">
        <w:t xml:space="preserve">The observed </w:t>
      </w:r>
      <w:r w:rsidR="00E96E5F">
        <w:t>antiproliferative</w:t>
      </w:r>
      <w:r w:rsidR="0075735D">
        <w:t xml:space="preserve"> activities of the six ITCs against HL-60 cells are in good agreement with </w:t>
      </w:r>
      <w:r w:rsidR="00FF1DAA">
        <w:t>previously reported findings [11</w:t>
      </w:r>
      <w:r w:rsidR="0075735D">
        <w:t>].</w:t>
      </w:r>
      <w:r w:rsidR="00F55A35">
        <w:t xml:space="preserve">  </w:t>
      </w:r>
      <w:r w:rsidR="00B6113E">
        <w:t>As the cytotoxic and trypanocidal activities of the ITCs were not much different, their selectivity indices (MIC and GI</w:t>
      </w:r>
      <w:r w:rsidR="00B6113E">
        <w:rPr>
          <w:vertAlign w:val="subscript"/>
        </w:rPr>
        <w:t>50</w:t>
      </w:r>
      <w:r w:rsidR="00881F33">
        <w:t xml:space="preserve"> ratios) are found to be in an unfavourable </w:t>
      </w:r>
      <w:r w:rsidR="00881F33" w:rsidRPr="002B059A">
        <w:t>range (</w:t>
      </w:r>
      <w:r w:rsidR="00BD0C53" w:rsidRPr="002B059A">
        <w:rPr>
          <w:rFonts w:ascii="Arial" w:hAnsi="Arial" w:cs="Arial"/>
          <w:b/>
          <w:bCs/>
        </w:rPr>
        <w:t>Table 1</w:t>
      </w:r>
      <w:r w:rsidR="00881F33" w:rsidRPr="002B059A">
        <w:t>)</w:t>
      </w:r>
      <w:r w:rsidR="00870BDB" w:rsidRPr="002B059A">
        <w:t xml:space="preserve"> </w:t>
      </w:r>
      <w:r w:rsidR="00870BDB">
        <w:t>for consideration for further development</w:t>
      </w:r>
      <w:r w:rsidR="00881F33">
        <w:t>.</w:t>
      </w:r>
      <w:r w:rsidR="00F55A35">
        <w:t xml:space="preserve">  In contrast, drugs used for treatment of African trypanosomiasis have much higher selectivity indices.  For example, the reference drug suramin has MIC and GI</w:t>
      </w:r>
      <w:r w:rsidR="00F55A35" w:rsidRPr="00F55A35">
        <w:rPr>
          <w:vertAlign w:val="subscript"/>
        </w:rPr>
        <w:t>50</w:t>
      </w:r>
      <w:r w:rsidR="00F55A35">
        <w:t xml:space="preserve"> ratios of &gt;100 and &gt;3125, </w:t>
      </w:r>
      <w:r w:rsidR="00F55A35" w:rsidRPr="002B059A">
        <w:t>respectively (</w:t>
      </w:r>
      <w:r w:rsidR="00F55A35" w:rsidRPr="002B059A">
        <w:rPr>
          <w:rFonts w:ascii="Arial" w:hAnsi="Arial" w:cs="Arial"/>
          <w:b/>
          <w:bCs/>
        </w:rPr>
        <w:t>Table</w:t>
      </w:r>
      <w:r w:rsidR="00BD0C53" w:rsidRPr="002B059A">
        <w:rPr>
          <w:rFonts w:ascii="Arial" w:hAnsi="Arial" w:cs="Arial"/>
          <w:b/>
          <w:bCs/>
        </w:rPr>
        <w:t xml:space="preserve"> 1</w:t>
      </w:r>
      <w:r w:rsidR="00F55A35" w:rsidRPr="002B059A">
        <w:t>).</w:t>
      </w:r>
    </w:p>
    <w:p w:rsidR="0075735D" w:rsidRPr="002B059A" w:rsidRDefault="00595983" w:rsidP="00760D75">
      <w:pPr>
        <w:spacing w:line="480" w:lineRule="exact"/>
        <w:jc w:val="both"/>
      </w:pPr>
      <w:r>
        <w:t xml:space="preserve">Next, the rate at which </w:t>
      </w:r>
      <w:r w:rsidR="009E1DA0">
        <w:t xml:space="preserve">the different </w:t>
      </w:r>
      <w:r>
        <w:t xml:space="preserve">ITCs kill bloodstream forms of </w:t>
      </w:r>
      <w:r w:rsidRPr="00595983">
        <w:rPr>
          <w:i/>
          <w:iCs/>
        </w:rPr>
        <w:t>T. brucei</w:t>
      </w:r>
      <w:r>
        <w:t xml:space="preserve"> was investigated.  </w:t>
      </w:r>
      <w:r w:rsidR="00901BC2">
        <w:t>To this end, t</w:t>
      </w:r>
      <w:r>
        <w:t>rypanosomes were incubated with 10 µ</w:t>
      </w:r>
      <w:r w:rsidR="009E1DA0">
        <w:t>M ITC, the</w:t>
      </w:r>
      <w:r w:rsidR="009E1DA0" w:rsidRPr="006E1B0A">
        <w:t xml:space="preserve"> concentration </w:t>
      </w:r>
      <w:r w:rsidR="00B5133F">
        <w:t xml:space="preserve">(MIC value) </w:t>
      </w:r>
      <w:r w:rsidR="009E1DA0" w:rsidRPr="006E1B0A">
        <w:t>at which all pa</w:t>
      </w:r>
      <w:r w:rsidR="009E1DA0">
        <w:t>rasites were killed by ITCs except for AITC.  The</w:t>
      </w:r>
      <w:r>
        <w:t xml:space="preserve"> viability </w:t>
      </w:r>
      <w:r w:rsidR="00C518E5">
        <w:t>of the parasites w</w:t>
      </w:r>
      <w:r w:rsidR="00901BC2">
        <w:t>as</w:t>
      </w:r>
      <w:r w:rsidR="009E1DA0">
        <w:t xml:space="preserve"> </w:t>
      </w:r>
      <w:r>
        <w:t>monitored with the vital dye resazurin</w:t>
      </w:r>
      <w:r w:rsidR="00316D0F">
        <w:t xml:space="preserve"> over a time period of seven hours</w:t>
      </w:r>
      <w:r w:rsidR="009E1DA0">
        <w:t xml:space="preserve">.  </w:t>
      </w:r>
      <w:r w:rsidR="00C518E5">
        <w:t xml:space="preserve">BITC and PEITC </w:t>
      </w:r>
      <w:r w:rsidR="00B5133F">
        <w:t>kill</w:t>
      </w:r>
      <w:r w:rsidR="00E96E5F">
        <w:t>ed trypanosomes within 1 h,</w:t>
      </w:r>
      <w:r w:rsidR="00B5133F">
        <w:t xml:space="preserve"> ERN within 3 h and SFN and IBN within 4 h</w:t>
      </w:r>
      <w:r w:rsidR="009E1DA0">
        <w:t xml:space="preserve"> (</w:t>
      </w:r>
      <w:r w:rsidR="00FA0663">
        <w:rPr>
          <w:rFonts w:ascii="Arial" w:hAnsi="Arial" w:cs="Arial"/>
          <w:b/>
          <w:bCs/>
        </w:rPr>
        <w:t xml:space="preserve">Fig. </w:t>
      </w:r>
      <w:r w:rsidR="00FA0663" w:rsidRPr="002B059A">
        <w:rPr>
          <w:rFonts w:ascii="Arial" w:hAnsi="Arial" w:cs="Arial"/>
          <w:b/>
          <w:bCs/>
        </w:rPr>
        <w:t>3A</w:t>
      </w:r>
      <w:r w:rsidR="009E1DA0" w:rsidRPr="002B059A">
        <w:t>)</w:t>
      </w:r>
      <w:r w:rsidRPr="002B059A">
        <w:t xml:space="preserve">.  </w:t>
      </w:r>
      <w:r w:rsidR="00B5133F" w:rsidRPr="002B059A">
        <w:t xml:space="preserve">As </w:t>
      </w:r>
      <w:r w:rsidR="00B5133F">
        <w:t>expected, AITC at a concentration o</w:t>
      </w:r>
      <w:r w:rsidR="000B1023">
        <w:t>f 10 µM did not kill trypanosomes</w:t>
      </w:r>
      <w:r w:rsidR="000E5AA1">
        <w:t xml:space="preserve"> </w:t>
      </w:r>
      <w:r w:rsidR="000B1023">
        <w:t>(MIC value =</w:t>
      </w:r>
      <w:r w:rsidR="000E5AA1">
        <w:t xml:space="preserve"> 100 µM</w:t>
      </w:r>
      <w:r w:rsidR="000B1023">
        <w:t>) but slowe</w:t>
      </w:r>
      <w:r w:rsidR="00F74AD6">
        <w:t xml:space="preserve">d down the metabolism </w:t>
      </w:r>
      <w:r w:rsidR="00F74AD6" w:rsidRPr="002B059A">
        <w:t>of resazu</w:t>
      </w:r>
      <w:r w:rsidR="000B1023" w:rsidRPr="002B059A">
        <w:t>r</w:t>
      </w:r>
      <w:r w:rsidR="00F74AD6" w:rsidRPr="002B059A">
        <w:t>i</w:t>
      </w:r>
      <w:r w:rsidR="000B1023" w:rsidRPr="002B059A">
        <w:t xml:space="preserve">n over time </w:t>
      </w:r>
      <w:r w:rsidR="000B1023">
        <w:t xml:space="preserve">compared to control parasites.  In contrast, </w:t>
      </w:r>
      <w:r w:rsidR="00472D39">
        <w:t xml:space="preserve">under the same experimental conditions </w:t>
      </w:r>
      <w:r w:rsidR="000B1023">
        <w:t>the viability of HL-60</w:t>
      </w:r>
      <w:r w:rsidR="00472D39">
        <w:t xml:space="preserve"> cells</w:t>
      </w:r>
      <w:r w:rsidR="000B1023">
        <w:t xml:space="preserve"> was not affected by </w:t>
      </w:r>
      <w:r w:rsidR="00FA0663" w:rsidRPr="002B059A">
        <w:t>ITCs (</w:t>
      </w:r>
      <w:r w:rsidR="00FA0663" w:rsidRPr="002B059A">
        <w:rPr>
          <w:rFonts w:ascii="Arial" w:hAnsi="Arial" w:cs="Arial"/>
          <w:b/>
          <w:bCs/>
        </w:rPr>
        <w:t>Fig. 3B</w:t>
      </w:r>
      <w:r w:rsidR="00472D39" w:rsidRPr="002B059A">
        <w:t>).</w:t>
      </w:r>
    </w:p>
    <w:p w:rsidR="00DD14F4" w:rsidRPr="002B059A" w:rsidRDefault="00DD14F4" w:rsidP="00760D75">
      <w:pPr>
        <w:spacing w:line="480" w:lineRule="exact"/>
        <w:jc w:val="both"/>
      </w:pPr>
      <w:r w:rsidRPr="002B059A">
        <w:t>Whereas the growth inhibition experiment did not show any correlation between structure and trypanocidal activity of the ITCs, the short time assay revealed some structure-activity relationship.  ITCs with an aro</w:t>
      </w:r>
      <w:r w:rsidR="001A517C" w:rsidRPr="002B059A">
        <w:t>matic side chain killed</w:t>
      </w:r>
      <w:r w:rsidRPr="002B059A">
        <w:t xml:space="preserve"> trypanosomes </w:t>
      </w:r>
      <w:r w:rsidR="001A517C" w:rsidRPr="002B059A">
        <w:t xml:space="preserve">much faster </w:t>
      </w:r>
      <w:r w:rsidRPr="002B059A">
        <w:t>t</w:t>
      </w:r>
      <w:r w:rsidR="001A517C" w:rsidRPr="002B059A">
        <w:t>han ITSs with an alkylthioalkyl</w:t>
      </w:r>
      <w:r w:rsidRPr="002B059A">
        <w:t xml:space="preserve"> side chain.  </w:t>
      </w:r>
      <w:r w:rsidR="001A517C" w:rsidRPr="002B059A">
        <w:t xml:space="preserve">This structure-activity </w:t>
      </w:r>
      <w:r w:rsidR="005A7751" w:rsidRPr="002B059A">
        <w:t>correlates well with</w:t>
      </w:r>
      <w:r w:rsidR="001A517C" w:rsidRPr="002B059A">
        <w:t xml:space="preserve"> the hydrophobicity of the compounds.  </w:t>
      </w:r>
      <w:r w:rsidR="005A7751" w:rsidRPr="002B059A">
        <w:t>For instance, t</w:t>
      </w:r>
      <w:r w:rsidR="001A517C" w:rsidRPr="002B059A">
        <w:t>he log P value</w:t>
      </w:r>
      <w:r w:rsidR="005A7751" w:rsidRPr="002B059A">
        <w:t>s</w:t>
      </w:r>
      <w:r w:rsidR="001A517C" w:rsidRPr="002B059A">
        <w:t xml:space="preserve"> </w:t>
      </w:r>
      <w:r w:rsidR="005A7751" w:rsidRPr="002B059A">
        <w:t xml:space="preserve">for BITC, PEITC, ERN, </w:t>
      </w:r>
      <w:r w:rsidR="005A7751" w:rsidRPr="002B059A">
        <w:lastRenderedPageBreak/>
        <w:t>SFN and IBN</w:t>
      </w:r>
      <w:r w:rsidR="001A517C" w:rsidRPr="002B059A">
        <w:t xml:space="preserve"> are</w:t>
      </w:r>
      <w:r w:rsidR="005A7751" w:rsidRPr="002B059A">
        <w:t xml:space="preserve"> 2.79, 3.08, 2.60, 0.22 and -0.30, respectively. The </w:t>
      </w:r>
      <w:r w:rsidR="003818EE" w:rsidRPr="002B059A">
        <w:t>ineffectiveness of</w:t>
      </w:r>
      <w:r w:rsidR="005A7751" w:rsidRPr="002B059A">
        <w:t xml:space="preserve"> AITC (log P = 1.80) </w:t>
      </w:r>
      <w:r w:rsidR="00F1427F" w:rsidRPr="002B059A">
        <w:t>may be due to</w:t>
      </w:r>
      <w:r w:rsidR="003818EE" w:rsidRPr="002B059A">
        <w:t xml:space="preserve"> its </w:t>
      </w:r>
      <w:r w:rsidR="008C1A39" w:rsidRPr="002B059A">
        <w:t>instability in</w:t>
      </w:r>
      <w:r w:rsidR="00F1427F" w:rsidRPr="002B059A">
        <w:t xml:space="preserve"> aqueous solu</w:t>
      </w:r>
      <w:r w:rsidR="00EC3B58" w:rsidRPr="002B059A">
        <w:t>tions at elevated temperature [</w:t>
      </w:r>
      <w:r w:rsidR="00F1427F" w:rsidRPr="002B059A">
        <w:t>12].</w:t>
      </w:r>
    </w:p>
    <w:p w:rsidR="008C528F" w:rsidRDefault="008C11B8" w:rsidP="00325E1E">
      <w:pPr>
        <w:spacing w:line="480" w:lineRule="exact"/>
        <w:jc w:val="both"/>
      </w:pPr>
      <w:r>
        <w:t xml:space="preserve">The fact that ITCs at 10 µM kill bloodstream forms of </w:t>
      </w:r>
      <w:r w:rsidRPr="008C11B8">
        <w:rPr>
          <w:i/>
          <w:iCs/>
        </w:rPr>
        <w:t>T. brucei</w:t>
      </w:r>
      <w:r>
        <w:t xml:space="preserve"> quickly (this study) and that a single oral dose of SFN at 26.6 mg/kg results in peak plas</w:t>
      </w:r>
      <w:r w:rsidR="00D44925">
        <w:t>ma levels of 15.2 µM in rats [13</w:t>
      </w:r>
      <w:r>
        <w:t>] prompted us to check whether t</w:t>
      </w:r>
      <w:r w:rsidR="00217660">
        <w:t xml:space="preserve">his class of phytochemicals showed any trypanocidal effect </w:t>
      </w:r>
      <w:r w:rsidR="00217660" w:rsidRPr="00217660">
        <w:rPr>
          <w:i/>
          <w:iCs/>
        </w:rPr>
        <w:t>in vivo</w:t>
      </w:r>
      <w:r w:rsidR="00217660">
        <w:t xml:space="preserve">.  To this end, mice infected with the monomorphic </w:t>
      </w:r>
      <w:r w:rsidR="00217660" w:rsidRPr="00217660">
        <w:rPr>
          <w:i/>
          <w:iCs/>
        </w:rPr>
        <w:t>T. brucei</w:t>
      </w:r>
      <w:r w:rsidR="00D44925">
        <w:t xml:space="preserve"> clone S427 [14</w:t>
      </w:r>
      <w:r w:rsidR="00217660">
        <w:t>] were treated with 50 mg/kg SFN on days 3 to 6 post</w:t>
      </w:r>
      <w:r w:rsidR="003F0F3E">
        <w:t xml:space="preserve"> infection orally or intraperitonea</w:t>
      </w:r>
      <w:r w:rsidR="0011124A">
        <w:t>l</w:t>
      </w:r>
      <w:r w:rsidR="003F0F3E">
        <w:t xml:space="preserve">ly.  </w:t>
      </w:r>
      <w:r w:rsidR="0011124A">
        <w:t>Mice dosed orally with SFN tolerated the compound very well</w:t>
      </w:r>
      <w:r w:rsidR="00870BDB">
        <w:t>, although this may simply be a consequence of poor bioavailability as oral pharmacokinetics in mouse has not been assessed.  In contrast,</w:t>
      </w:r>
      <w:r w:rsidR="0011124A">
        <w:t xml:space="preserve"> mice dosed intraperitoneally with the phytochemical </w:t>
      </w:r>
      <w:r w:rsidR="00870BDB">
        <w:t>showed signs of toxicity</w:t>
      </w:r>
      <w:r w:rsidR="0011124A">
        <w:t xml:space="preserve"> after the first dose.  </w:t>
      </w:r>
      <w:r w:rsidR="009F0725">
        <w:t>However</w:t>
      </w:r>
      <w:r w:rsidR="00915462">
        <w:t xml:space="preserve">, </w:t>
      </w:r>
      <w:r w:rsidR="0011124A">
        <w:t xml:space="preserve">no suppression of parasitaemia was observed </w:t>
      </w:r>
      <w:r w:rsidR="0015202C">
        <w:t xml:space="preserve">with both dose regimens </w:t>
      </w:r>
      <w:r w:rsidR="0011124A">
        <w:t>compared to control animals treated with vehicle alone</w:t>
      </w:r>
      <w:r w:rsidR="00866E0E">
        <w:t xml:space="preserve"> (data not shown)</w:t>
      </w:r>
      <w:r w:rsidR="0011124A">
        <w:t>.</w:t>
      </w:r>
      <w:r w:rsidR="00177F70">
        <w:t xml:space="preserve">  </w:t>
      </w:r>
      <w:r w:rsidR="000F0A99">
        <w:t xml:space="preserve">On the other hand, mice treated intraperitoneally with a single dose of 40 mg/kg </w:t>
      </w:r>
      <w:r w:rsidR="00357055">
        <w:t>berenil</w:t>
      </w:r>
      <w:r w:rsidR="000F0A99">
        <w:t xml:space="preserve"> (positive control) went to full cure.  </w:t>
      </w:r>
      <w:r w:rsidR="00177F70">
        <w:t>The lack of</w:t>
      </w:r>
      <w:r w:rsidR="008F111D">
        <w:t xml:space="preserve"> </w:t>
      </w:r>
      <w:r w:rsidR="008F111D" w:rsidRPr="008F111D">
        <w:rPr>
          <w:i/>
          <w:iCs/>
        </w:rPr>
        <w:t>in vivo</w:t>
      </w:r>
      <w:r w:rsidR="008F111D">
        <w:t xml:space="preserve"> </w:t>
      </w:r>
      <w:r w:rsidR="00177F70">
        <w:t xml:space="preserve">efficacy of SFN </w:t>
      </w:r>
      <w:r w:rsidR="008F111D">
        <w:t>may be explained by the fact that ITCs are quickly</w:t>
      </w:r>
      <w:r w:rsidR="001B3619">
        <w:t xml:space="preserve"> (within 15 min)</w:t>
      </w:r>
      <w:r w:rsidR="008F111D">
        <w:t xml:space="preserve"> interconverted into thioconjugates (</w:t>
      </w:r>
      <w:r w:rsidR="008F111D" w:rsidRPr="005037BD">
        <w:rPr>
          <w:i/>
          <w:iCs/>
        </w:rPr>
        <w:t>N</w:t>
      </w:r>
      <w:r w:rsidR="008F111D">
        <w:t>-acetylcysteine adducts) via the mercap</w:t>
      </w:r>
      <w:r w:rsidR="00D44925">
        <w:t>turic acid metabolic pathway [15</w:t>
      </w:r>
      <w:r w:rsidR="008F111D">
        <w:t>].</w:t>
      </w:r>
    </w:p>
    <w:p w:rsidR="002704A3" w:rsidRDefault="009F0725" w:rsidP="00325E1E">
      <w:pPr>
        <w:spacing w:line="480" w:lineRule="exact"/>
        <w:jc w:val="both"/>
      </w:pPr>
      <w:r>
        <w:t>Thi</w:t>
      </w:r>
      <w:r w:rsidR="00F74AD6">
        <w:t xml:space="preserve">s study has demonstrated </w:t>
      </w:r>
      <w:r w:rsidR="00F74AD6" w:rsidRPr="002B059A">
        <w:t>that I</w:t>
      </w:r>
      <w:r w:rsidRPr="002B059A">
        <w:t>T</w:t>
      </w:r>
      <w:r w:rsidR="00F74AD6" w:rsidRPr="002B059A">
        <w:t>C</w:t>
      </w:r>
      <w:r w:rsidRPr="002B059A">
        <w:t>s</w:t>
      </w:r>
      <w:r w:rsidR="00870BDB" w:rsidRPr="002B059A">
        <w:t xml:space="preserve"> display </w:t>
      </w:r>
      <w:r w:rsidR="00870BDB">
        <w:t>trypanocidal activity</w:t>
      </w:r>
      <w:r>
        <w:t xml:space="preserve"> and kill bloodstream forms of </w:t>
      </w:r>
      <w:r w:rsidRPr="009F0725">
        <w:rPr>
          <w:i/>
          <w:iCs/>
        </w:rPr>
        <w:t>T. brucei</w:t>
      </w:r>
      <w:r>
        <w:t xml:space="preserve"> </w:t>
      </w:r>
      <w:r w:rsidR="00E96E5F" w:rsidRPr="00E96E5F">
        <w:rPr>
          <w:i/>
          <w:iCs/>
        </w:rPr>
        <w:t>in vitro</w:t>
      </w:r>
      <w:r w:rsidR="00E96E5F">
        <w:t xml:space="preserve"> </w:t>
      </w:r>
      <w:r>
        <w:t xml:space="preserve">within hours. </w:t>
      </w:r>
      <w:r w:rsidR="002704A3">
        <w:t xml:space="preserve"> The latter finding indicates that the ITCs’ mode of action of trypanocidal activity differs from that of cytotoxic activity. </w:t>
      </w:r>
      <w:r w:rsidR="00464C28">
        <w:t xml:space="preserve"> Whereas ITCs inhibits the proliferation</w:t>
      </w:r>
      <w:r w:rsidR="002704A3">
        <w:t xml:space="preserve"> of cancer cells through the induction of cell c</w:t>
      </w:r>
      <w:r w:rsidR="00D44925">
        <w:t>ycle arrest and/or apoptosis [16</w:t>
      </w:r>
      <w:r w:rsidR="002704A3">
        <w:t>], the mechanism of growth inhibition of trypanosomes remains to be determined.</w:t>
      </w:r>
      <w:r w:rsidR="00464C28">
        <w:t xml:space="preserve">  Future work has to show whether ITCs can be used as leads for the development of novel anti-trypanosomal drugs.</w:t>
      </w:r>
      <w:r w:rsidR="0050323F">
        <w:t xml:space="preserve">  Selectivity may be of concer</w:t>
      </w:r>
      <w:r w:rsidR="00D613D6">
        <w:t>n, however, compared with non-malignant</w:t>
      </w:r>
      <w:r w:rsidR="0050323F">
        <w:t xml:space="preserve"> cells, the cytotoxicity of ITCs determined for HL-60 cells</w:t>
      </w:r>
      <w:r w:rsidR="00D613D6">
        <w:t xml:space="preserve"> are likely to be overestimated as for example has been recently shown f</w:t>
      </w:r>
      <w:r w:rsidR="00D44925">
        <w:t>or the ionophore salinomycin [17</w:t>
      </w:r>
      <w:r w:rsidR="00D613D6">
        <w:t>].</w:t>
      </w:r>
    </w:p>
    <w:p w:rsidR="000C2F86" w:rsidRDefault="000C2F86" w:rsidP="000C2F86">
      <w:pPr>
        <w:spacing w:line="480" w:lineRule="exact"/>
        <w:jc w:val="both"/>
      </w:pPr>
    </w:p>
    <w:p w:rsidR="008607CE" w:rsidRPr="008607CE" w:rsidRDefault="008607CE" w:rsidP="00325E1E">
      <w:pPr>
        <w:spacing w:line="480" w:lineRule="exact"/>
        <w:jc w:val="both"/>
        <w:rPr>
          <w:rFonts w:ascii="Arial" w:hAnsi="Arial" w:cs="Arial"/>
          <w:b/>
        </w:rPr>
      </w:pPr>
      <w:r w:rsidRPr="008607CE">
        <w:rPr>
          <w:rFonts w:ascii="Arial" w:hAnsi="Arial" w:cs="Arial"/>
          <w:b/>
        </w:rPr>
        <w:t>Materials and Methods</w:t>
      </w:r>
    </w:p>
    <w:p w:rsidR="00E01EBF" w:rsidRPr="002B059A" w:rsidRDefault="008E2A82" w:rsidP="00325E1E">
      <w:pPr>
        <w:spacing w:line="480" w:lineRule="exact"/>
        <w:jc w:val="both"/>
      </w:pPr>
      <w:r w:rsidRPr="008E2A82">
        <w:rPr>
          <w:i/>
          <w:iCs/>
        </w:rPr>
        <w:t>Reagents:</w:t>
      </w:r>
      <w:r>
        <w:t xml:space="preserve"> </w:t>
      </w:r>
      <w:r w:rsidR="00BA52F0">
        <w:t xml:space="preserve"> </w:t>
      </w:r>
      <w:r>
        <w:t>AITC (purity 95</w:t>
      </w:r>
      <w:r w:rsidR="00BD1D3A" w:rsidRPr="002B059A">
        <w:t>%</w:t>
      </w:r>
      <w:r w:rsidR="00376B91" w:rsidRPr="002B059A">
        <w:t xml:space="preserve"> (GC)</w:t>
      </w:r>
      <w:r w:rsidR="00BD1D3A" w:rsidRPr="002B059A">
        <w:t xml:space="preserve">) </w:t>
      </w:r>
      <w:r w:rsidRPr="002B059A">
        <w:t>BITC</w:t>
      </w:r>
      <w:r w:rsidR="00BD1D3A" w:rsidRPr="002B059A">
        <w:t xml:space="preserve"> </w:t>
      </w:r>
      <w:r w:rsidR="00BD1D3A" w:rsidRPr="00313FD4">
        <w:t>(pu</w:t>
      </w:r>
      <w:r w:rsidR="00376B91">
        <w:t>rity 99</w:t>
      </w:r>
      <w:r w:rsidR="00BD1D3A" w:rsidRPr="00313FD4">
        <w:t>%</w:t>
      </w:r>
      <w:r w:rsidR="00376B91">
        <w:t xml:space="preserve"> </w:t>
      </w:r>
      <w:r w:rsidR="00376B91" w:rsidRPr="002B059A">
        <w:t>(GC)</w:t>
      </w:r>
      <w:r w:rsidR="002A06C3" w:rsidRPr="002B059A">
        <w:t>),</w:t>
      </w:r>
      <w:r w:rsidRPr="002B059A">
        <w:t xml:space="preserve"> PEITC (purity 99%</w:t>
      </w:r>
      <w:r w:rsidR="00376B91" w:rsidRPr="002B059A">
        <w:t xml:space="preserve"> (GC)</w:t>
      </w:r>
      <w:r w:rsidRPr="002B059A">
        <w:t xml:space="preserve">) </w:t>
      </w:r>
      <w:r w:rsidR="006068D9" w:rsidRPr="00313FD4">
        <w:t>were</w:t>
      </w:r>
      <w:r>
        <w:t xml:space="preserve"> purchased from Sigma-Aldrich</w:t>
      </w:r>
      <w:r w:rsidR="006E7F90">
        <w:t xml:space="preserve"> (Dorset, UK</w:t>
      </w:r>
      <w:r w:rsidR="006068D9" w:rsidRPr="00313FD4">
        <w:t>)</w:t>
      </w:r>
      <w:r w:rsidR="00BD1D3A" w:rsidRPr="00313FD4">
        <w:t xml:space="preserve">.  </w:t>
      </w:r>
      <w:r w:rsidR="006E7F90">
        <w:t xml:space="preserve">SFN (purity </w:t>
      </w:r>
      <w:r w:rsidR="00C43B14">
        <w:t>98</w:t>
      </w:r>
      <w:r w:rsidR="00C43B14" w:rsidRPr="002B059A">
        <w:t>%</w:t>
      </w:r>
      <w:r w:rsidR="00484B7D" w:rsidRPr="002B059A">
        <w:t xml:space="preserve"> (GC)</w:t>
      </w:r>
      <w:r w:rsidR="006E7F90" w:rsidRPr="002B059A">
        <w:t xml:space="preserve">), ERN </w:t>
      </w:r>
      <w:r w:rsidR="006E7F90">
        <w:t xml:space="preserve">(purity </w:t>
      </w:r>
      <w:r w:rsidR="006E7F90">
        <w:lastRenderedPageBreak/>
        <w:t>99</w:t>
      </w:r>
      <w:r w:rsidR="006E7F90" w:rsidRPr="002B059A">
        <w:t>%</w:t>
      </w:r>
      <w:r w:rsidR="00376B91" w:rsidRPr="002B059A">
        <w:t xml:space="preserve"> (GC)) and IBN (purity 99</w:t>
      </w:r>
      <w:r w:rsidR="006E7F90" w:rsidRPr="002B059A">
        <w:t>%</w:t>
      </w:r>
      <w:r w:rsidR="00376B91" w:rsidRPr="002B059A">
        <w:t xml:space="preserve"> (GC)</w:t>
      </w:r>
      <w:r w:rsidR="006E7F90" w:rsidRPr="002B059A">
        <w:t xml:space="preserve">) were </w:t>
      </w:r>
      <w:r w:rsidR="00C43B14" w:rsidRPr="002B059A">
        <w:t xml:space="preserve">bought </w:t>
      </w:r>
      <w:r w:rsidR="00C43B14">
        <w:t>from Enzo Life Sciences (Exeter, UK).</w:t>
      </w:r>
      <w:r w:rsidR="00F72273">
        <w:t xml:space="preserve">  Suramin</w:t>
      </w:r>
      <w:r w:rsidR="00BD1D3A" w:rsidRPr="00313FD4">
        <w:t xml:space="preserve"> </w:t>
      </w:r>
      <w:r w:rsidR="00F72273">
        <w:t>(purity 99</w:t>
      </w:r>
      <w:r w:rsidR="006068D9" w:rsidRPr="002B059A">
        <w:t>%</w:t>
      </w:r>
      <w:r w:rsidR="004618F7" w:rsidRPr="002B059A">
        <w:t xml:space="preserve"> (TLC)</w:t>
      </w:r>
      <w:r w:rsidR="006068D9" w:rsidRPr="002B059A">
        <w:t>)</w:t>
      </w:r>
      <w:r w:rsidR="00357055" w:rsidRPr="002B059A">
        <w:t xml:space="preserve"> and berenil</w:t>
      </w:r>
      <w:r w:rsidR="002A06C3" w:rsidRPr="002B059A">
        <w:t xml:space="preserve"> (purity ≥90</w:t>
      </w:r>
      <w:r w:rsidR="00793F72" w:rsidRPr="002B059A">
        <w:t>%</w:t>
      </w:r>
      <w:r w:rsidR="004618F7" w:rsidRPr="002B059A">
        <w:t xml:space="preserve"> (TLC)</w:t>
      </w:r>
      <w:r w:rsidR="00793F72" w:rsidRPr="002B059A">
        <w:t xml:space="preserve">) were </w:t>
      </w:r>
      <w:r w:rsidR="00793F72">
        <w:t>used as</w:t>
      </w:r>
      <w:r w:rsidR="00B32A4C" w:rsidRPr="00313FD4">
        <w:t xml:space="preserve"> </w:t>
      </w:r>
      <w:r w:rsidR="006068D9" w:rsidRPr="00313FD4">
        <w:t xml:space="preserve">trypanocidal reference </w:t>
      </w:r>
      <w:r w:rsidR="00B32A4C" w:rsidRPr="00313FD4">
        <w:t>drug</w:t>
      </w:r>
      <w:r w:rsidR="00793F72">
        <w:t>s</w:t>
      </w:r>
      <w:r w:rsidR="00B32A4C" w:rsidRPr="00313FD4">
        <w:t xml:space="preserve"> </w:t>
      </w:r>
      <w:r w:rsidR="006068D9" w:rsidRPr="00313FD4">
        <w:t xml:space="preserve">in cytotoxic assays </w:t>
      </w:r>
      <w:r w:rsidR="00793F72">
        <w:t>and animal studies</w:t>
      </w:r>
      <w:r w:rsidR="002A06C3">
        <w:t>, respectively,</w:t>
      </w:r>
      <w:r w:rsidR="00793F72">
        <w:t xml:space="preserve"> and were</w:t>
      </w:r>
      <w:r w:rsidR="00F72273">
        <w:t xml:space="preserve"> p</w:t>
      </w:r>
      <w:r w:rsidR="002A06C3">
        <w:t>urchased from Sigma-Aldrich (Dorset, UK</w:t>
      </w:r>
      <w:r w:rsidR="002A06C3" w:rsidRPr="002B059A">
        <w:t>)</w:t>
      </w:r>
      <w:r w:rsidR="006068D9" w:rsidRPr="002B059A">
        <w:t>.</w:t>
      </w:r>
      <w:r w:rsidR="00484B7D" w:rsidRPr="002B059A">
        <w:t xml:space="preserve">  The stated purities and analytic </w:t>
      </w:r>
      <w:r w:rsidR="006D29D1" w:rsidRPr="002B059A">
        <w:t>methods used are according the Certificate of A</w:t>
      </w:r>
      <w:r w:rsidR="00484B7D" w:rsidRPr="002B059A">
        <w:t>nalysis provided by the suppliers.</w:t>
      </w:r>
    </w:p>
    <w:p w:rsidR="008607CE" w:rsidRDefault="00BA52F0" w:rsidP="00325E1E">
      <w:pPr>
        <w:spacing w:line="480" w:lineRule="exact"/>
        <w:jc w:val="both"/>
      </w:pPr>
      <w:r w:rsidRPr="00BA52F0">
        <w:rPr>
          <w:i/>
          <w:iCs/>
        </w:rPr>
        <w:t>Cell culture:</w:t>
      </w:r>
      <w:r>
        <w:t xml:space="preserve">  </w:t>
      </w:r>
      <w:r w:rsidR="008607CE">
        <w:t xml:space="preserve">Bloodstream forms of </w:t>
      </w:r>
      <w:r w:rsidR="008607CE" w:rsidRPr="008607CE">
        <w:rPr>
          <w:i/>
        </w:rPr>
        <w:t>T. brucei</w:t>
      </w:r>
      <w:r w:rsidR="00CA7D4A">
        <w:t xml:space="preserve"> clone 4</w:t>
      </w:r>
      <w:r w:rsidR="00D44925">
        <w:t>27-221a [14</w:t>
      </w:r>
      <w:r w:rsidR="008607CE">
        <w:t>] and human m</w:t>
      </w:r>
      <w:r w:rsidR="00D44925">
        <w:t>yeloid leukaemia HL-60 cells [18] were grown in Baltz medium [19</w:t>
      </w:r>
      <w:r w:rsidR="008607CE">
        <w:t>] and RPMI 1640 medium</w:t>
      </w:r>
      <w:r w:rsidR="00D44925">
        <w:t xml:space="preserve"> [20</w:t>
      </w:r>
      <w:r>
        <w:t>]</w:t>
      </w:r>
      <w:r w:rsidR="008607CE">
        <w:t xml:space="preserve">, respectively.  Both media were supplemented with 16.7% heat-inactivated foetal calf serum.  Trypanosomes and HL-60 cells were </w:t>
      </w:r>
      <w:r w:rsidR="007C4BB4">
        <w:t>cultured at 37°C in a humidified atmosphere containing 5% CO</w:t>
      </w:r>
      <w:r w:rsidR="007C4BB4" w:rsidRPr="007C4BB4">
        <w:rPr>
          <w:vertAlign w:val="subscript"/>
        </w:rPr>
        <w:t>2</w:t>
      </w:r>
      <w:r w:rsidR="007C4BB4">
        <w:t>.</w:t>
      </w:r>
    </w:p>
    <w:p w:rsidR="007C4BB4" w:rsidRDefault="00BA52F0" w:rsidP="00BA52F0">
      <w:pPr>
        <w:tabs>
          <w:tab w:val="left" w:pos="480"/>
        </w:tabs>
        <w:spacing w:line="480" w:lineRule="exact"/>
        <w:jc w:val="both"/>
      </w:pPr>
      <w:r w:rsidRPr="00BA52F0">
        <w:rPr>
          <w:i/>
          <w:iCs/>
        </w:rPr>
        <w:t xml:space="preserve">In vitro </w:t>
      </w:r>
      <w:r w:rsidR="00330736" w:rsidRPr="00BA52F0">
        <w:rPr>
          <w:i/>
          <w:iCs/>
        </w:rPr>
        <w:t>t</w:t>
      </w:r>
      <w:r w:rsidR="007C4BB4" w:rsidRPr="00BA52F0">
        <w:rPr>
          <w:i/>
          <w:iCs/>
        </w:rPr>
        <w:t>oxicity assays</w:t>
      </w:r>
      <w:r w:rsidRPr="00BA52F0">
        <w:rPr>
          <w:i/>
          <w:iCs/>
        </w:rPr>
        <w:t>:</w:t>
      </w:r>
      <w:r>
        <w:t xml:space="preserve"> </w:t>
      </w:r>
      <w:r w:rsidR="00FB6C90">
        <w:t xml:space="preserve"> </w:t>
      </w:r>
      <w:r>
        <w:t xml:space="preserve">Cytotoxicity assays </w:t>
      </w:r>
      <w:r w:rsidR="00FB6C90">
        <w:t>were perfo</w:t>
      </w:r>
      <w:r w:rsidR="00A333FF">
        <w:t>rmed as previously described [</w:t>
      </w:r>
      <w:r w:rsidR="00D44925">
        <w:t>21</w:t>
      </w:r>
      <w:r w:rsidR="00330736">
        <w:t xml:space="preserve">]. </w:t>
      </w:r>
      <w:r w:rsidR="00BD1D3A">
        <w:t xml:space="preserve"> </w:t>
      </w:r>
      <w:r w:rsidR="00FB6C90">
        <w:t xml:space="preserve">In brief, </w:t>
      </w:r>
      <w:r w:rsidR="007C4BB4">
        <w:t xml:space="preserve">cells were seeded in 24-well </w:t>
      </w:r>
      <w:r w:rsidR="006A22AA">
        <w:t xml:space="preserve">plates in a final volume of 1 </w:t>
      </w:r>
      <w:r w:rsidR="006A22AA" w:rsidRPr="00313FD4">
        <w:t>mL</w:t>
      </w:r>
      <w:r w:rsidR="007C4BB4" w:rsidRPr="00313FD4">
        <w:t xml:space="preserve"> </w:t>
      </w:r>
      <w:r w:rsidR="00E96E5F">
        <w:t xml:space="preserve">with </w:t>
      </w:r>
      <w:r w:rsidR="007C4BB4" w:rsidRPr="00313FD4">
        <w:t>appropriate</w:t>
      </w:r>
      <w:r w:rsidR="007C4BB4">
        <w:t xml:space="preserve"> culture medium c</w:t>
      </w:r>
      <w:r w:rsidR="000C2CCD">
        <w:t>ontaining</w:t>
      </w:r>
      <w:r w:rsidR="006604F5" w:rsidRPr="00697B16">
        <w:t xml:space="preserve"> 10-fold serial dilution</w:t>
      </w:r>
      <w:r w:rsidR="000C2CCD" w:rsidRPr="00697B16">
        <w:t>s</w:t>
      </w:r>
      <w:r w:rsidR="007C4BB4" w:rsidRPr="00697B16">
        <w:t xml:space="preserve"> of </w:t>
      </w:r>
      <w:r>
        <w:t>ITCs</w:t>
      </w:r>
      <w:r w:rsidR="007C4BB4" w:rsidRPr="00697B16">
        <w:t xml:space="preserve"> </w:t>
      </w:r>
      <w:r w:rsidR="006604F5" w:rsidRPr="00697B16">
        <w:t>(10</w:t>
      </w:r>
      <w:r>
        <w:rPr>
          <w:vertAlign w:val="superscript"/>
        </w:rPr>
        <w:t>-4</w:t>
      </w:r>
      <w:r w:rsidR="006604F5" w:rsidRPr="00697B16">
        <w:t xml:space="preserve"> to 10</w:t>
      </w:r>
      <w:r w:rsidR="006604F5" w:rsidRPr="00697B16">
        <w:rPr>
          <w:vertAlign w:val="superscript"/>
        </w:rPr>
        <w:t>-9</w:t>
      </w:r>
      <w:r w:rsidR="006604F5" w:rsidRPr="00697B16">
        <w:t xml:space="preserve"> M) </w:t>
      </w:r>
      <w:r>
        <w:t>dissolved in 100% DMSO.  C</w:t>
      </w:r>
      <w:r w:rsidR="007C4BB4">
        <w:t>ontrols contained DMSO alone.  In all experiments, the final DMSO concentration was 1%.  The seeding densities were 10</w:t>
      </w:r>
      <w:r w:rsidR="007C4BB4">
        <w:rPr>
          <w:vertAlign w:val="superscript"/>
        </w:rPr>
        <w:t>4</w:t>
      </w:r>
      <w:r w:rsidR="006A22AA">
        <w:t>/</w:t>
      </w:r>
      <w:r w:rsidR="006A22AA" w:rsidRPr="00313FD4">
        <w:t>mL</w:t>
      </w:r>
      <w:r w:rsidR="007C4BB4">
        <w:t xml:space="preserve"> trypanosomes and 10</w:t>
      </w:r>
      <w:r w:rsidR="007C4BB4">
        <w:rPr>
          <w:vertAlign w:val="superscript"/>
        </w:rPr>
        <w:t>5</w:t>
      </w:r>
      <w:r w:rsidR="006A22AA">
        <w:t>/</w:t>
      </w:r>
      <w:r w:rsidR="006A22AA" w:rsidRPr="00313FD4">
        <w:t>mL</w:t>
      </w:r>
      <w:r w:rsidR="007C4BB4" w:rsidRPr="00313FD4">
        <w:t xml:space="preserve"> </w:t>
      </w:r>
      <w:r w:rsidR="007C4BB4">
        <w:t>HL-</w:t>
      </w:r>
      <w:r w:rsidR="0048442F">
        <w:t xml:space="preserve">60 </w:t>
      </w:r>
      <w:r w:rsidR="007C4BB4">
        <w:t>cells</w:t>
      </w:r>
      <w:r w:rsidR="006A22AA">
        <w:t xml:space="preserve">.  </w:t>
      </w:r>
      <w:r>
        <w:t>After 48 h of incubation, live cells were counted using an improved Neubauer haemocytometer.  The viability of HL-60 cells was determined by Trypan Blue exclusion.</w:t>
      </w:r>
      <w:r w:rsidR="00932DBE">
        <w:t xml:space="preserve">  </w:t>
      </w:r>
      <w:r w:rsidR="007C4BB4">
        <w:t>GI</w:t>
      </w:r>
      <w:r w:rsidR="007C4BB4">
        <w:rPr>
          <w:vertAlign w:val="subscript"/>
        </w:rPr>
        <w:t>50</w:t>
      </w:r>
      <w:r w:rsidR="00A333FF">
        <w:t xml:space="preserve"> values were</w:t>
      </w:r>
      <w:r w:rsidR="00AB7C62">
        <w:t xml:space="preserve"> estimated</w:t>
      </w:r>
      <w:r w:rsidR="007C4BB4">
        <w:t xml:space="preserve"> </w:t>
      </w:r>
      <w:r>
        <w:t>using the 4-parameter logistic model</w:t>
      </w:r>
      <w:r w:rsidR="0030662B">
        <w:t xml:space="preserve"> </w:t>
      </w:r>
      <w:r w:rsidR="00D44925">
        <w:t>[22</w:t>
      </w:r>
      <w:r w:rsidR="00932DBE">
        <w:t>].  MIC</w:t>
      </w:r>
      <w:r w:rsidR="00A333FF">
        <w:t xml:space="preserve"> values were</w:t>
      </w:r>
      <w:r w:rsidR="00932DBE">
        <w:t xml:space="preserve"> determined microscopically</w:t>
      </w:r>
      <w:r w:rsidR="00364AF4" w:rsidRPr="00697B16">
        <w:t xml:space="preserve"> </w:t>
      </w:r>
      <w:r w:rsidR="00932DBE" w:rsidRPr="00697B16">
        <w:t xml:space="preserve">by inspecting </w:t>
      </w:r>
      <w:r w:rsidR="00364AF4" w:rsidRPr="00697B16">
        <w:t xml:space="preserve">each well thoroughly for the presence of </w:t>
      </w:r>
      <w:r>
        <w:t xml:space="preserve">any </w:t>
      </w:r>
      <w:r w:rsidR="00364AF4" w:rsidRPr="00697B16">
        <w:t>motile trypanosomes or unlysed HL-60 cells.</w:t>
      </w:r>
    </w:p>
    <w:p w:rsidR="00BF59B5" w:rsidRDefault="0048442F" w:rsidP="00BA52F0">
      <w:pPr>
        <w:tabs>
          <w:tab w:val="left" w:pos="480"/>
        </w:tabs>
        <w:spacing w:line="480" w:lineRule="exact"/>
        <w:jc w:val="both"/>
      </w:pPr>
      <w:r>
        <w:t>For s</w:t>
      </w:r>
      <w:r w:rsidR="00BF59B5">
        <w:t>hort time cytotoxic effects</w:t>
      </w:r>
      <w:r>
        <w:t>, cells were incubated with 10 µM ITCs at a density of 5 × 10</w:t>
      </w:r>
      <w:r w:rsidRPr="0048442F">
        <w:rPr>
          <w:vertAlign w:val="superscript"/>
        </w:rPr>
        <w:t>6</w:t>
      </w:r>
      <w:r>
        <w:t>/mL (trypanosomes) and 3 × 10</w:t>
      </w:r>
      <w:r w:rsidRPr="0048442F">
        <w:rPr>
          <w:vertAlign w:val="superscript"/>
        </w:rPr>
        <w:t>5</w:t>
      </w:r>
      <w:r>
        <w:t>/mL (HL-60</w:t>
      </w:r>
      <w:r w:rsidR="000742B8">
        <w:t xml:space="preserve"> cells</w:t>
      </w:r>
      <w:r>
        <w:t>), respectively,</w:t>
      </w:r>
      <w:r w:rsidR="00997535">
        <w:t xml:space="preserve"> in 96-well plates</w:t>
      </w:r>
      <w:r>
        <w:t xml:space="preserve"> in appropriate medium in the presence of 44 µM resazurin as vital dye.  Ev</w:t>
      </w:r>
      <w:r w:rsidR="00803D79">
        <w:t>ery hour over a time period of seven</w:t>
      </w:r>
      <w:r>
        <w:t xml:space="preserve"> hours</w:t>
      </w:r>
      <w:r w:rsidR="00997535">
        <w:t>, the plates were read on a microplate reader using a test wavelength of 570 nm and a reference wavelength of 630 nm.</w:t>
      </w:r>
    </w:p>
    <w:p w:rsidR="00997535" w:rsidRDefault="000742B8" w:rsidP="00BA52F0">
      <w:pPr>
        <w:tabs>
          <w:tab w:val="left" w:pos="480"/>
        </w:tabs>
        <w:spacing w:line="480" w:lineRule="exact"/>
        <w:jc w:val="both"/>
      </w:pPr>
      <w:r w:rsidRPr="000742B8">
        <w:rPr>
          <w:i/>
          <w:iCs/>
        </w:rPr>
        <w:t xml:space="preserve">Treatment of </w:t>
      </w:r>
      <w:r w:rsidRPr="000742B8">
        <w:t>T. brucei</w:t>
      </w:r>
      <w:r w:rsidRPr="000742B8">
        <w:rPr>
          <w:i/>
          <w:iCs/>
        </w:rPr>
        <w:t>-infected mice:</w:t>
      </w:r>
      <w:r w:rsidR="00511FBA">
        <w:t xml:space="preserve">  Female NMRI mice were intraperitoneally infected with 1 × 10</w:t>
      </w:r>
      <w:r w:rsidR="00511FBA" w:rsidRPr="00511FBA">
        <w:rPr>
          <w:vertAlign w:val="superscript"/>
        </w:rPr>
        <w:t>4</w:t>
      </w:r>
      <w:r w:rsidR="00511FBA">
        <w:t xml:space="preserve"> bloodstream forms of </w:t>
      </w:r>
      <w:r w:rsidR="00511FBA" w:rsidRPr="00511FBA">
        <w:rPr>
          <w:i/>
          <w:iCs/>
        </w:rPr>
        <w:t>T. brucei</w:t>
      </w:r>
      <w:r w:rsidR="00511FBA">
        <w:t xml:space="preserve"> clone S427</w:t>
      </w:r>
      <w:r w:rsidR="00926CB3">
        <w:t xml:space="preserve"> [</w:t>
      </w:r>
      <w:r w:rsidR="00D44925">
        <w:t>14</w:t>
      </w:r>
      <w:r w:rsidR="00413AE5">
        <w:t>]</w:t>
      </w:r>
      <w:r w:rsidR="00BE5D23">
        <w:t>.  On day 3 p.i.</w:t>
      </w:r>
      <w:r w:rsidR="00511FBA">
        <w:t>, mice were treated orally or in</w:t>
      </w:r>
      <w:r w:rsidR="00BE5D23">
        <w:t>traperitonea</w:t>
      </w:r>
      <w:r w:rsidR="0011124A">
        <w:t>l</w:t>
      </w:r>
      <w:r w:rsidR="00BE5D23">
        <w:t>ly with SFN</w:t>
      </w:r>
      <w:r w:rsidR="00511FBA">
        <w:t xml:space="preserve"> at a dosage of 50 mg/kg once daily for 4 days.  </w:t>
      </w:r>
      <w:r w:rsidR="00997DB1">
        <w:t xml:space="preserve">The dose solution was prepared daily using 10% DMSO, 60% PEG400 and 30% MilliQ </w:t>
      </w:r>
      <w:r w:rsidR="00997DB1">
        <w:lastRenderedPageBreak/>
        <w:t xml:space="preserve">water as vehicle.  Infected mice treated with vehicle alone served as controls.  </w:t>
      </w:r>
      <w:r w:rsidR="00413AE5">
        <w:t xml:space="preserve">Parasitaemia was determined microscopically from day 3 p.i. onwards </w:t>
      </w:r>
      <w:r w:rsidR="007D4D53">
        <w:t>daily as described previously [2</w:t>
      </w:r>
      <w:r w:rsidR="00D44925">
        <w:t>3</w:t>
      </w:r>
      <w:r w:rsidR="00413AE5">
        <w:t>].  All animal procedures were carried out in accordance with the Animal (Scientific Procedures) Act 1986 and the Specified Animal Pathogen Order 1998.</w:t>
      </w:r>
      <w:r w:rsidR="00793F72">
        <w:t xml:space="preserve">  The efficacy protocol was reviewed by the Ethical Review Committee of the University of Dundee and run under the Home Office Licence No. PPP 60/4039, issued 22</w:t>
      </w:r>
      <w:r w:rsidR="00793F72" w:rsidRPr="00793F72">
        <w:rPr>
          <w:vertAlign w:val="superscript"/>
        </w:rPr>
        <w:t>nd</w:t>
      </w:r>
      <w:r w:rsidR="00793F72">
        <w:t xml:space="preserve"> of September 2009.</w:t>
      </w:r>
    </w:p>
    <w:p w:rsidR="00325E1E" w:rsidRDefault="00325E1E" w:rsidP="0057660E">
      <w:pPr>
        <w:spacing w:line="480" w:lineRule="exact"/>
        <w:jc w:val="both"/>
      </w:pPr>
    </w:p>
    <w:p w:rsidR="000E7377" w:rsidRPr="00313FD4" w:rsidRDefault="000E7377" w:rsidP="0057660E">
      <w:pPr>
        <w:spacing w:line="480" w:lineRule="exact"/>
        <w:jc w:val="both"/>
        <w:rPr>
          <w:rFonts w:ascii="Arial" w:hAnsi="Arial" w:cs="Arial"/>
          <w:b/>
        </w:rPr>
      </w:pPr>
      <w:r w:rsidRPr="00313FD4">
        <w:rPr>
          <w:rFonts w:ascii="Arial" w:hAnsi="Arial" w:cs="Arial"/>
          <w:b/>
        </w:rPr>
        <w:t>Conflict of Interest</w:t>
      </w:r>
    </w:p>
    <w:p w:rsidR="000E7377" w:rsidRPr="00313FD4" w:rsidRDefault="000E7377" w:rsidP="0057660E">
      <w:pPr>
        <w:spacing w:line="480" w:lineRule="exact"/>
        <w:jc w:val="both"/>
      </w:pPr>
      <w:r w:rsidRPr="00313FD4">
        <w:rPr>
          <w:iCs/>
        </w:rPr>
        <w:t>The authors report no conflicts of interest.</w:t>
      </w:r>
    </w:p>
    <w:p w:rsidR="000E7377" w:rsidRPr="00313FD4" w:rsidRDefault="000E7377" w:rsidP="0057660E">
      <w:pPr>
        <w:spacing w:line="480" w:lineRule="exact"/>
        <w:jc w:val="both"/>
      </w:pPr>
    </w:p>
    <w:p w:rsidR="00325E1E" w:rsidRPr="00325E1E" w:rsidRDefault="00325E1E" w:rsidP="0057660E">
      <w:pPr>
        <w:spacing w:line="480" w:lineRule="exact"/>
        <w:jc w:val="both"/>
        <w:rPr>
          <w:rFonts w:ascii="Arial" w:hAnsi="Arial" w:cs="Arial"/>
          <w:b/>
        </w:rPr>
      </w:pPr>
      <w:r w:rsidRPr="00325E1E">
        <w:rPr>
          <w:rFonts w:ascii="Arial" w:hAnsi="Arial" w:cs="Arial"/>
          <w:b/>
        </w:rPr>
        <w:t>References</w:t>
      </w:r>
    </w:p>
    <w:p w:rsidR="00973812" w:rsidRDefault="00973812" w:rsidP="00973812">
      <w:pPr>
        <w:tabs>
          <w:tab w:val="right" w:pos="284"/>
          <w:tab w:val="left" w:pos="567"/>
        </w:tabs>
        <w:spacing w:line="480" w:lineRule="exact"/>
        <w:ind w:left="567" w:hanging="567"/>
        <w:jc w:val="both"/>
      </w:pPr>
      <w:r>
        <w:tab/>
        <w:t>1</w:t>
      </w:r>
      <w:r>
        <w:tab/>
      </w:r>
      <w:r w:rsidRPr="00701729">
        <w:rPr>
          <w:i/>
        </w:rPr>
        <w:t>Steverding D</w:t>
      </w:r>
      <w:r>
        <w:t>. The history of African trypanosomiasis. Parasit Vectors 2008; 1: 3</w:t>
      </w:r>
    </w:p>
    <w:p w:rsidR="00AA4C68" w:rsidRPr="002B059A" w:rsidRDefault="00AA4C68" w:rsidP="00AA4C68">
      <w:pPr>
        <w:tabs>
          <w:tab w:val="right" w:pos="284"/>
          <w:tab w:val="left" w:pos="567"/>
        </w:tabs>
        <w:spacing w:line="480" w:lineRule="exact"/>
        <w:ind w:left="567" w:hanging="567"/>
        <w:jc w:val="both"/>
      </w:pPr>
      <w:r>
        <w:tab/>
        <w:t>2</w:t>
      </w:r>
      <w:r>
        <w:tab/>
      </w:r>
      <w:r w:rsidRPr="0057660E">
        <w:rPr>
          <w:i/>
        </w:rPr>
        <w:t>WHO</w:t>
      </w:r>
      <w:r>
        <w:t>. Trypanosomiasis, Human African (sleeping sickness). World Hea</w:t>
      </w:r>
      <w:r w:rsidR="006D29D1">
        <w:t>lth Organ Fact Sheet 2013</w:t>
      </w:r>
      <w:r w:rsidR="00143665">
        <w:t>; 259</w:t>
      </w:r>
      <w:r w:rsidR="00143665" w:rsidRPr="002B059A">
        <w:t xml:space="preserve">. Available at </w:t>
      </w:r>
      <w:r w:rsidRPr="002B059A">
        <w:t>http://www.who.int/mediacentre/factsheets/fs259/en/</w:t>
      </w:r>
      <w:r w:rsidR="006D29D1" w:rsidRPr="002B059A">
        <w:t>. Accessed October 10</w:t>
      </w:r>
      <w:r w:rsidR="00143665" w:rsidRPr="002B059A">
        <w:t>, 2013</w:t>
      </w:r>
    </w:p>
    <w:p w:rsidR="00973812" w:rsidRDefault="00AA4C68" w:rsidP="0057660E">
      <w:pPr>
        <w:tabs>
          <w:tab w:val="right" w:pos="284"/>
          <w:tab w:val="left" w:pos="567"/>
        </w:tabs>
        <w:spacing w:line="480" w:lineRule="exact"/>
        <w:ind w:left="567" w:hanging="567"/>
        <w:jc w:val="both"/>
      </w:pPr>
      <w:r>
        <w:tab/>
        <w:t>3</w:t>
      </w:r>
      <w:r>
        <w:tab/>
      </w:r>
      <w:r w:rsidRPr="00AA4C68">
        <w:rPr>
          <w:i/>
          <w:iCs/>
        </w:rPr>
        <w:t>Kristjanson PM, Swallow BM, Rowlands GJ, Kruska RL, de Leeuw PN</w:t>
      </w:r>
      <w:r>
        <w:t>.</w:t>
      </w:r>
      <w:r w:rsidRPr="00AA4C68">
        <w:t xml:space="preserve"> Measuring the costs of African animal trypanosomiasis, the potential benefits of control and returns to research. Agr Sys </w:t>
      </w:r>
      <w:r>
        <w:t>1999;</w:t>
      </w:r>
      <w:r w:rsidRPr="00AA4C68">
        <w:t xml:space="preserve"> 59:</w:t>
      </w:r>
      <w:r>
        <w:t xml:space="preserve"> </w:t>
      </w:r>
      <w:r w:rsidRPr="00AA4C68">
        <w:t>79-98</w:t>
      </w:r>
    </w:p>
    <w:p w:rsidR="001E4721" w:rsidRDefault="001E4721" w:rsidP="001E4721">
      <w:pPr>
        <w:tabs>
          <w:tab w:val="right" w:pos="284"/>
          <w:tab w:val="left" w:pos="567"/>
        </w:tabs>
        <w:spacing w:line="480" w:lineRule="exact"/>
        <w:ind w:left="567" w:hanging="567"/>
        <w:jc w:val="both"/>
      </w:pPr>
      <w:r>
        <w:tab/>
        <w:t>4</w:t>
      </w:r>
      <w:r>
        <w:tab/>
      </w:r>
      <w:r w:rsidRPr="008D5FD2">
        <w:rPr>
          <w:i/>
        </w:rPr>
        <w:t>Delespaux V, de Koning HP</w:t>
      </w:r>
      <w:r>
        <w:t>.</w:t>
      </w:r>
      <w:r w:rsidRPr="00146A4D">
        <w:t xml:space="preserve"> Drugs and drug resistance in African trypanosomiasis. </w:t>
      </w:r>
      <w:r>
        <w:t>Drug Resist</w:t>
      </w:r>
      <w:r w:rsidRPr="009E4442">
        <w:t xml:space="preserve"> Updat </w:t>
      </w:r>
      <w:r>
        <w:t>2007; 10: 30-50</w:t>
      </w:r>
    </w:p>
    <w:p w:rsidR="00B1353D" w:rsidRDefault="00B1353D" w:rsidP="00B1353D">
      <w:pPr>
        <w:tabs>
          <w:tab w:val="right" w:pos="284"/>
          <w:tab w:val="left" w:pos="567"/>
        </w:tabs>
        <w:spacing w:line="480" w:lineRule="exact"/>
        <w:ind w:left="567" w:hanging="567"/>
        <w:jc w:val="both"/>
      </w:pPr>
      <w:r w:rsidRPr="00A51FCA">
        <w:tab/>
        <w:t>5</w:t>
      </w:r>
      <w:r w:rsidRPr="00A51FCA">
        <w:tab/>
      </w:r>
      <w:r w:rsidRPr="00A51FCA">
        <w:rPr>
          <w:i/>
        </w:rPr>
        <w:t>Matovu E, Seebeck T, Enyaru JC, Kaminsky R</w:t>
      </w:r>
      <w:r w:rsidRPr="00A51FCA">
        <w:t xml:space="preserve">. Drug resistance in </w:t>
      </w:r>
      <w:r w:rsidRPr="00A51FCA">
        <w:rPr>
          <w:i/>
        </w:rPr>
        <w:t>Trypanosoma brucei</w:t>
      </w:r>
      <w:r w:rsidRPr="00A51FCA">
        <w:t xml:space="preserve"> spp., the causative agents of sleeping sickness in man and nagana in cattle. </w:t>
      </w:r>
      <w:r w:rsidRPr="009E4442">
        <w:t xml:space="preserve">Microbes Infect </w:t>
      </w:r>
      <w:r>
        <w:t>2001; 3:</w:t>
      </w:r>
      <w:r w:rsidRPr="009E4442">
        <w:t xml:space="preserve"> 763-770</w:t>
      </w:r>
    </w:p>
    <w:p w:rsidR="00FF1DAA" w:rsidRPr="002B059A" w:rsidRDefault="00FF1DAA" w:rsidP="00B1353D">
      <w:pPr>
        <w:tabs>
          <w:tab w:val="right" w:pos="284"/>
          <w:tab w:val="left" w:pos="567"/>
        </w:tabs>
        <w:spacing w:line="480" w:lineRule="exact"/>
        <w:ind w:left="567" w:hanging="567"/>
        <w:jc w:val="both"/>
      </w:pPr>
      <w:r w:rsidRPr="002B059A">
        <w:tab/>
        <w:t>6</w:t>
      </w:r>
      <w:r w:rsidRPr="002B059A">
        <w:tab/>
      </w:r>
      <w:r w:rsidR="00B96B58" w:rsidRPr="002B059A">
        <w:rPr>
          <w:i/>
          <w:iCs/>
        </w:rPr>
        <w:t>Hannaert V</w:t>
      </w:r>
      <w:r w:rsidR="00B96B58" w:rsidRPr="002B059A">
        <w:t>. Sleeping sickness pathogen (</w:t>
      </w:r>
      <w:r w:rsidR="00B96B58" w:rsidRPr="002B059A">
        <w:rPr>
          <w:i/>
          <w:iCs/>
        </w:rPr>
        <w:t>Trypa</w:t>
      </w:r>
      <w:r w:rsidR="00AA2F86" w:rsidRPr="002B059A">
        <w:rPr>
          <w:i/>
          <w:iCs/>
        </w:rPr>
        <w:t>nosoma brucei</w:t>
      </w:r>
      <w:r w:rsidR="00AA2F86" w:rsidRPr="002B059A">
        <w:t>) and natural products: therapeutic targets and screening systems. Planta Med 2011; 77: 586-597</w:t>
      </w:r>
    </w:p>
    <w:p w:rsidR="00973812" w:rsidRDefault="00FF1DAA" w:rsidP="0057660E">
      <w:pPr>
        <w:tabs>
          <w:tab w:val="right" w:pos="284"/>
          <w:tab w:val="left" w:pos="567"/>
        </w:tabs>
        <w:spacing w:line="480" w:lineRule="exact"/>
        <w:ind w:left="567" w:hanging="567"/>
        <w:jc w:val="both"/>
      </w:pPr>
      <w:r>
        <w:tab/>
        <w:t>7</w:t>
      </w:r>
      <w:r w:rsidR="003A526E">
        <w:tab/>
      </w:r>
      <w:r w:rsidR="00CB02A6" w:rsidRPr="007F6EA4">
        <w:rPr>
          <w:i/>
          <w:iCs/>
        </w:rPr>
        <w:t>Zhang Y, Yao S, Li J</w:t>
      </w:r>
      <w:r w:rsidR="00CB02A6">
        <w:t>. Vegetable-derived isothiocyanates: anti-proliferative activity and mechanism of action. Proc Nutr Soc 2006</w:t>
      </w:r>
      <w:r w:rsidR="007F6EA4">
        <w:t>; 65: 68-75</w:t>
      </w:r>
    </w:p>
    <w:p w:rsidR="007F6EA4" w:rsidRDefault="00FF1DAA" w:rsidP="0057660E">
      <w:pPr>
        <w:tabs>
          <w:tab w:val="right" w:pos="284"/>
          <w:tab w:val="left" w:pos="567"/>
        </w:tabs>
        <w:spacing w:line="480" w:lineRule="exact"/>
        <w:ind w:left="567" w:hanging="567"/>
        <w:jc w:val="both"/>
      </w:pPr>
      <w:r>
        <w:tab/>
        <w:t>8</w:t>
      </w:r>
      <w:r w:rsidR="007F6EA4">
        <w:tab/>
      </w:r>
      <w:r w:rsidR="007F6EA4" w:rsidRPr="007F6EA4">
        <w:rPr>
          <w:i/>
          <w:iCs/>
        </w:rPr>
        <w:t>Deterding A, Dungey FA, Thompson KA, Steverding D</w:t>
      </w:r>
      <w:r w:rsidR="007F6EA4">
        <w:t>. Anti-trypanosomal activities of DNA topois</w:t>
      </w:r>
      <w:r w:rsidR="00F74AD6">
        <w:t>omerase inhibitors</w:t>
      </w:r>
      <w:r w:rsidR="00F74AD6" w:rsidRPr="002B059A">
        <w:t>. Acta Trop</w:t>
      </w:r>
      <w:r w:rsidR="007F6EA4" w:rsidRPr="002B059A">
        <w:t xml:space="preserve"> 2005</w:t>
      </w:r>
      <w:r w:rsidR="007F6EA4">
        <w:t>; 93: 311-316</w:t>
      </w:r>
    </w:p>
    <w:p w:rsidR="007F6EA4" w:rsidRDefault="00FF1DAA" w:rsidP="0057660E">
      <w:pPr>
        <w:tabs>
          <w:tab w:val="right" w:pos="284"/>
          <w:tab w:val="left" w:pos="567"/>
        </w:tabs>
        <w:spacing w:line="480" w:lineRule="exact"/>
        <w:ind w:left="567" w:hanging="567"/>
        <w:jc w:val="both"/>
      </w:pPr>
      <w:r>
        <w:lastRenderedPageBreak/>
        <w:tab/>
        <w:t>9</w:t>
      </w:r>
      <w:r w:rsidR="007F6EA4">
        <w:tab/>
      </w:r>
      <w:r w:rsidR="007F6EA4" w:rsidRPr="007F6EA4">
        <w:rPr>
          <w:i/>
          <w:iCs/>
        </w:rPr>
        <w:t>Nkemgu-Njinkeng J, Rosenkranz V, Wink M, Steverding D</w:t>
      </w:r>
      <w:r w:rsidR="007F6EA4">
        <w:t>.</w:t>
      </w:r>
      <w:r w:rsidR="007F6EA4" w:rsidRPr="007F6EA4">
        <w:t xml:space="preserve"> Antitrypanosomal activities of proteasome inhibitors. Antimicrob Agents Chemother</w:t>
      </w:r>
      <w:r w:rsidR="007F6EA4">
        <w:t xml:space="preserve"> 2002;</w:t>
      </w:r>
      <w:r w:rsidR="007F6EA4" w:rsidRPr="007F6EA4">
        <w:t xml:space="preserve"> 46:</w:t>
      </w:r>
      <w:r w:rsidR="007F6EA4">
        <w:t xml:space="preserve"> </w:t>
      </w:r>
      <w:r w:rsidR="007F6EA4" w:rsidRPr="007F6EA4">
        <w:t>2038-</w:t>
      </w:r>
      <w:r w:rsidR="007F6EA4">
        <w:t>2040</w:t>
      </w:r>
    </w:p>
    <w:p w:rsidR="007F6EA4" w:rsidRDefault="00FF1DAA" w:rsidP="0057660E">
      <w:pPr>
        <w:tabs>
          <w:tab w:val="right" w:pos="284"/>
          <w:tab w:val="left" w:pos="567"/>
        </w:tabs>
        <w:spacing w:line="480" w:lineRule="exact"/>
        <w:ind w:left="567" w:hanging="567"/>
        <w:jc w:val="both"/>
      </w:pPr>
      <w:r>
        <w:tab/>
        <w:t>10</w:t>
      </w:r>
      <w:r w:rsidR="007F6EA4">
        <w:tab/>
      </w:r>
      <w:r w:rsidR="007F6EA4" w:rsidRPr="007F6EA4">
        <w:rPr>
          <w:i/>
          <w:iCs/>
        </w:rPr>
        <w:t>Steverding D, Wang X</w:t>
      </w:r>
      <w:r w:rsidR="007F6EA4">
        <w:t>. Trypanocidal activity of the proteasome inhibitor and anti-cance</w:t>
      </w:r>
      <w:r w:rsidR="007D4D53">
        <w:t>r drug bortezomib. Parasit</w:t>
      </w:r>
      <w:r w:rsidR="007F6EA4">
        <w:t xml:space="preserve"> Vectors 2009; 2: 29</w:t>
      </w:r>
    </w:p>
    <w:p w:rsidR="0075735D" w:rsidRDefault="00FF1DAA" w:rsidP="0057660E">
      <w:pPr>
        <w:tabs>
          <w:tab w:val="right" w:pos="284"/>
          <w:tab w:val="left" w:pos="567"/>
        </w:tabs>
        <w:spacing w:line="480" w:lineRule="exact"/>
        <w:ind w:left="567" w:hanging="567"/>
        <w:jc w:val="both"/>
      </w:pPr>
      <w:r>
        <w:tab/>
        <w:t>11</w:t>
      </w:r>
      <w:r w:rsidR="0075735D">
        <w:tab/>
      </w:r>
      <w:r w:rsidR="0075735D" w:rsidRPr="0075735D">
        <w:rPr>
          <w:i/>
          <w:iCs/>
        </w:rPr>
        <w:t>Jakubikova J, Bao Y, Sedlak J</w:t>
      </w:r>
      <w:r w:rsidR="0075735D">
        <w:t xml:space="preserve">. Isothiocyanates induce cell cycle arrest, apoptosis and mitochondrial potential depolarization in HL-60 and multidrug-resistant </w:t>
      </w:r>
      <w:r w:rsidR="00217660">
        <w:t>cell lines. Anticancer Res 2005;</w:t>
      </w:r>
      <w:r w:rsidR="0075735D">
        <w:t xml:space="preserve"> 25: 3375-3386</w:t>
      </w:r>
    </w:p>
    <w:p w:rsidR="00F1427F" w:rsidRPr="002B059A" w:rsidRDefault="00F1427F" w:rsidP="0057660E">
      <w:pPr>
        <w:tabs>
          <w:tab w:val="right" w:pos="284"/>
          <w:tab w:val="left" w:pos="567"/>
        </w:tabs>
        <w:spacing w:line="480" w:lineRule="exact"/>
        <w:ind w:left="567" w:hanging="567"/>
        <w:jc w:val="both"/>
      </w:pPr>
      <w:r w:rsidRPr="002B059A">
        <w:tab/>
        <w:t>12</w:t>
      </w:r>
      <w:r w:rsidRPr="002B059A">
        <w:tab/>
      </w:r>
      <w:r w:rsidRPr="002B059A">
        <w:rPr>
          <w:i/>
          <w:iCs/>
        </w:rPr>
        <w:t>Ohta Y, Takatani K, Kawakishi S.</w:t>
      </w:r>
      <w:r w:rsidRPr="002B059A">
        <w:t xml:space="preserve"> Decomposition rate </w:t>
      </w:r>
      <w:r w:rsidR="006D29D1" w:rsidRPr="002B059A">
        <w:t>of allyl isothiocyanate in aqueo</w:t>
      </w:r>
      <w:r w:rsidRPr="002B059A">
        <w:t>us solution. Biosci Biotech Biochem 1995; 59: 102-103</w:t>
      </w:r>
    </w:p>
    <w:p w:rsidR="008C11B8" w:rsidRDefault="00F1427F" w:rsidP="0057660E">
      <w:pPr>
        <w:tabs>
          <w:tab w:val="right" w:pos="284"/>
          <w:tab w:val="left" w:pos="567"/>
        </w:tabs>
        <w:spacing w:line="480" w:lineRule="exact"/>
        <w:ind w:left="567" w:hanging="567"/>
        <w:jc w:val="both"/>
      </w:pPr>
      <w:r w:rsidRPr="00F1427F">
        <w:tab/>
      </w:r>
      <w:r>
        <w:t>13</w:t>
      </w:r>
      <w:r w:rsidR="008C11B8">
        <w:tab/>
      </w:r>
      <w:r w:rsidR="008C11B8" w:rsidRPr="00217660">
        <w:rPr>
          <w:i/>
          <w:iCs/>
        </w:rPr>
        <w:t>Veeranki OL, Bhattacharya A, Marshall JR, Zhang Y</w:t>
      </w:r>
      <w:r w:rsidR="008C11B8">
        <w:t xml:space="preserve">. Organ-specific exposure and response </w:t>
      </w:r>
      <w:r w:rsidR="00D44925">
        <w:t>to sulforaphane, a key chemoprev</w:t>
      </w:r>
      <w:r w:rsidR="008C11B8">
        <w:t>entive ingredient in broccoli: implication for cancer prevention. Br J Nurt</w:t>
      </w:r>
      <w:r w:rsidR="00217660">
        <w:t xml:space="preserve"> 2013; 109: 25-32</w:t>
      </w:r>
    </w:p>
    <w:p w:rsidR="008F111D" w:rsidRDefault="00F1427F" w:rsidP="0057660E">
      <w:pPr>
        <w:tabs>
          <w:tab w:val="right" w:pos="284"/>
          <w:tab w:val="left" w:pos="567"/>
        </w:tabs>
        <w:spacing w:line="480" w:lineRule="exact"/>
        <w:ind w:left="567" w:hanging="567"/>
        <w:jc w:val="both"/>
      </w:pPr>
      <w:r>
        <w:tab/>
        <w:t>14</w:t>
      </w:r>
      <w:r w:rsidR="008F111D">
        <w:tab/>
      </w:r>
      <w:r w:rsidR="008F111D" w:rsidRPr="00CA7D4A">
        <w:rPr>
          <w:i/>
        </w:rPr>
        <w:t>Hirumi H, Hirumi K, Doyle JJ, Cross GAM</w:t>
      </w:r>
      <w:r w:rsidR="008F111D">
        <w:t xml:space="preserve">. </w:t>
      </w:r>
      <w:r w:rsidR="008F111D" w:rsidRPr="00CA7D4A">
        <w:rPr>
          <w:i/>
        </w:rPr>
        <w:t>In vitro</w:t>
      </w:r>
      <w:r w:rsidR="008F111D">
        <w:t xml:space="preserve"> cloning of animal-infective bloodstream forms of </w:t>
      </w:r>
      <w:r w:rsidR="008F111D" w:rsidRPr="00CA7D4A">
        <w:rPr>
          <w:i/>
        </w:rPr>
        <w:t>Trypanosoma brucei</w:t>
      </w:r>
      <w:r w:rsidR="008F111D">
        <w:t>. Parasitology 1980; 80: 371-382</w:t>
      </w:r>
    </w:p>
    <w:p w:rsidR="008F111D" w:rsidRDefault="00F1427F" w:rsidP="0057660E">
      <w:pPr>
        <w:tabs>
          <w:tab w:val="right" w:pos="284"/>
          <w:tab w:val="left" w:pos="567"/>
        </w:tabs>
        <w:spacing w:line="480" w:lineRule="exact"/>
        <w:ind w:left="567" w:hanging="567"/>
        <w:jc w:val="both"/>
      </w:pPr>
      <w:r>
        <w:tab/>
        <w:t>15</w:t>
      </w:r>
      <w:r w:rsidR="008F111D">
        <w:tab/>
      </w:r>
      <w:r w:rsidR="008F111D" w:rsidRPr="005037BD">
        <w:rPr>
          <w:i/>
          <w:iCs/>
        </w:rPr>
        <w:t>Saha S, Hollands W, Teucher B, Needs PW, Narbad A, Ortori CA, Barrett DA, Rossiter JT, Mithen RF, Kroon PA</w:t>
      </w:r>
      <w:r w:rsidR="005037BD">
        <w:t>. Isothiocyanate concentrations and interconversion of sulforaphane to erucin in human subjects after consumption of commercial frozen broccoli compared to fresh broccoli. Mol Nutr Food Res 2012; 56: 1906-1916</w:t>
      </w:r>
    </w:p>
    <w:p w:rsidR="002704A3" w:rsidRDefault="00F1427F" w:rsidP="0057660E">
      <w:pPr>
        <w:tabs>
          <w:tab w:val="right" w:pos="284"/>
          <w:tab w:val="left" w:pos="567"/>
        </w:tabs>
        <w:spacing w:line="480" w:lineRule="exact"/>
        <w:ind w:left="567" w:hanging="567"/>
        <w:jc w:val="both"/>
      </w:pPr>
      <w:r>
        <w:tab/>
        <w:t>16</w:t>
      </w:r>
      <w:r w:rsidR="002704A3">
        <w:tab/>
      </w:r>
      <w:r w:rsidR="002704A3" w:rsidRPr="00464C28">
        <w:rPr>
          <w:i/>
          <w:iCs/>
        </w:rPr>
        <w:t>Gamet-Pyrastre L.</w:t>
      </w:r>
      <w:r w:rsidR="00464C28">
        <w:t xml:space="preserve"> </w:t>
      </w:r>
      <w:r w:rsidR="002704A3">
        <w:t>Signaling pathways and intracellular targets of sulforaphane mediating cell cycle arrest and apo</w:t>
      </w:r>
      <w:r w:rsidR="00464C28">
        <w:t>ptosis. Curr Cancer Drug Targets</w:t>
      </w:r>
      <w:r w:rsidR="002704A3">
        <w:t xml:space="preserve"> 2006; 6: 135-145</w:t>
      </w:r>
    </w:p>
    <w:p w:rsidR="00D613D6" w:rsidRDefault="00F1427F" w:rsidP="0057660E">
      <w:pPr>
        <w:tabs>
          <w:tab w:val="right" w:pos="284"/>
          <w:tab w:val="left" w:pos="567"/>
        </w:tabs>
        <w:spacing w:line="480" w:lineRule="exact"/>
        <w:ind w:left="567" w:hanging="567"/>
        <w:jc w:val="both"/>
      </w:pPr>
      <w:r>
        <w:tab/>
        <w:t>17</w:t>
      </w:r>
      <w:r w:rsidR="00D613D6">
        <w:tab/>
      </w:r>
      <w:r w:rsidR="00D613D6" w:rsidRPr="00D613D6">
        <w:rPr>
          <w:i/>
          <w:iCs/>
        </w:rPr>
        <w:t>Steverding D, Sexton DW.</w:t>
      </w:r>
      <w:r w:rsidR="00D613D6">
        <w:t xml:space="preserve"> Trypanocidal activity of salinomycin is due to sodium influx followed by cell swelling. Parasit Vectors 2013; 6: 78</w:t>
      </w:r>
    </w:p>
    <w:p w:rsidR="00CA7D4A" w:rsidRDefault="00F1427F" w:rsidP="0057660E">
      <w:pPr>
        <w:tabs>
          <w:tab w:val="right" w:pos="284"/>
          <w:tab w:val="left" w:pos="567"/>
        </w:tabs>
        <w:spacing w:line="480" w:lineRule="exact"/>
        <w:ind w:left="567" w:hanging="567"/>
        <w:jc w:val="both"/>
      </w:pPr>
      <w:r>
        <w:tab/>
        <w:t>18</w:t>
      </w:r>
      <w:r w:rsidR="00CA7D4A">
        <w:tab/>
      </w:r>
      <w:r w:rsidR="00CA7D4A" w:rsidRPr="00074E05">
        <w:rPr>
          <w:i/>
        </w:rPr>
        <w:t>Collins SR, Gallo RC, Gallagher RE</w:t>
      </w:r>
      <w:r w:rsidR="00CA7D4A">
        <w:t>. Continuous growth and differentiation of human myeloid leukaemic cells in suspension cultures. Nature 1997; 270: 347-349</w:t>
      </w:r>
    </w:p>
    <w:p w:rsidR="00CA7D4A" w:rsidRDefault="00F1427F" w:rsidP="0057660E">
      <w:pPr>
        <w:tabs>
          <w:tab w:val="right" w:pos="284"/>
          <w:tab w:val="left" w:pos="567"/>
        </w:tabs>
        <w:spacing w:line="480" w:lineRule="exact"/>
        <w:ind w:left="567" w:hanging="567"/>
        <w:jc w:val="both"/>
      </w:pPr>
      <w:r>
        <w:tab/>
        <w:t>19</w:t>
      </w:r>
      <w:r w:rsidR="00CA7D4A">
        <w:tab/>
      </w:r>
      <w:r w:rsidR="001B02A5" w:rsidRPr="0030260D">
        <w:rPr>
          <w:i/>
        </w:rPr>
        <w:t>Baltz T, Baltz D, Giroud C, Crockett J</w:t>
      </w:r>
      <w:r w:rsidR="001B02A5">
        <w:t>. Cultivation</w:t>
      </w:r>
      <w:r w:rsidR="0030260D">
        <w:t xml:space="preserve"> in a semi-defined medium of animal infective forms of </w:t>
      </w:r>
      <w:r w:rsidR="0030260D" w:rsidRPr="0030260D">
        <w:rPr>
          <w:i/>
        </w:rPr>
        <w:t>Trypanosoma brucei</w:t>
      </w:r>
      <w:r w:rsidR="0030260D">
        <w:t xml:space="preserve">, </w:t>
      </w:r>
      <w:r w:rsidR="0030260D" w:rsidRPr="0030260D">
        <w:rPr>
          <w:i/>
        </w:rPr>
        <w:t>T. equiperdum</w:t>
      </w:r>
      <w:r w:rsidR="0030260D">
        <w:t xml:space="preserve">, </w:t>
      </w:r>
      <w:r w:rsidR="0030260D" w:rsidRPr="0030260D">
        <w:rPr>
          <w:i/>
        </w:rPr>
        <w:t>T. evansi</w:t>
      </w:r>
      <w:r w:rsidR="0030260D">
        <w:t xml:space="preserve">, </w:t>
      </w:r>
      <w:r w:rsidR="0030260D" w:rsidRPr="0030260D">
        <w:rPr>
          <w:i/>
        </w:rPr>
        <w:t>T. rhodesiense</w:t>
      </w:r>
      <w:r w:rsidR="0030260D">
        <w:t xml:space="preserve"> and </w:t>
      </w:r>
      <w:r w:rsidR="0030260D" w:rsidRPr="0030260D">
        <w:rPr>
          <w:i/>
        </w:rPr>
        <w:t>T. gambiense</w:t>
      </w:r>
      <w:r w:rsidR="0030260D">
        <w:t>. EMBO J 1985; 4: 1273-1277</w:t>
      </w:r>
    </w:p>
    <w:p w:rsidR="00926CB3" w:rsidRDefault="00926CB3" w:rsidP="0057660E">
      <w:pPr>
        <w:tabs>
          <w:tab w:val="right" w:pos="284"/>
          <w:tab w:val="left" w:pos="567"/>
        </w:tabs>
        <w:spacing w:line="480" w:lineRule="exact"/>
        <w:ind w:left="567" w:hanging="567"/>
        <w:jc w:val="both"/>
      </w:pPr>
      <w:r>
        <w:tab/>
      </w:r>
      <w:r w:rsidR="00F1427F" w:rsidRPr="00926712">
        <w:t>20</w:t>
      </w:r>
      <w:r w:rsidRPr="00926712">
        <w:tab/>
      </w:r>
      <w:r w:rsidRPr="00926712">
        <w:rPr>
          <w:i/>
          <w:iCs/>
        </w:rPr>
        <w:t>Moore GE, Gerner RE, Franklin HA</w:t>
      </w:r>
      <w:r w:rsidRPr="00926712">
        <w:t xml:space="preserve">. </w:t>
      </w:r>
      <w:r w:rsidRPr="00926CB3">
        <w:t>Culture of normal human leukocytes. J Am Med Assoc</w:t>
      </w:r>
      <w:r>
        <w:t xml:space="preserve"> 1967;</w:t>
      </w:r>
      <w:r w:rsidRPr="00926CB3">
        <w:t xml:space="preserve"> 199:</w:t>
      </w:r>
      <w:r>
        <w:t xml:space="preserve"> </w:t>
      </w:r>
      <w:r w:rsidRPr="00926CB3">
        <w:t>519-524</w:t>
      </w:r>
    </w:p>
    <w:p w:rsidR="00926CB3" w:rsidRDefault="00F1427F" w:rsidP="0057660E">
      <w:pPr>
        <w:tabs>
          <w:tab w:val="right" w:pos="284"/>
          <w:tab w:val="left" w:pos="567"/>
        </w:tabs>
        <w:spacing w:line="480" w:lineRule="exact"/>
        <w:ind w:left="567" w:hanging="567"/>
        <w:jc w:val="both"/>
      </w:pPr>
      <w:r>
        <w:lastRenderedPageBreak/>
        <w:tab/>
        <w:t>21</w:t>
      </w:r>
      <w:r w:rsidR="00926CB3">
        <w:tab/>
      </w:r>
      <w:r w:rsidR="007D4D53" w:rsidRPr="007D4D53">
        <w:rPr>
          <w:i/>
          <w:iCs/>
        </w:rPr>
        <w:t>Steverding D, Baldisserotto A, Wang X, Marastoni M</w:t>
      </w:r>
      <w:r w:rsidR="007D4D53">
        <w:t>. Trypanocidal activity of peptidyl vinyl ester derivatives selective for inhibition of mammalian proteasome trypsin-like activity. Exp Parasitol 2011; 128: 444-447</w:t>
      </w:r>
    </w:p>
    <w:p w:rsidR="00F04190" w:rsidRPr="00D613D6" w:rsidRDefault="00F1427F" w:rsidP="0057660E">
      <w:pPr>
        <w:tabs>
          <w:tab w:val="right" w:pos="284"/>
          <w:tab w:val="left" w:pos="567"/>
        </w:tabs>
        <w:spacing w:line="480" w:lineRule="exact"/>
        <w:ind w:left="567" w:hanging="567"/>
        <w:jc w:val="both"/>
        <w:rPr>
          <w:lang w:val="de-DE"/>
        </w:rPr>
      </w:pPr>
      <w:r>
        <w:tab/>
        <w:t>22</w:t>
      </w:r>
      <w:r w:rsidR="00F04190">
        <w:tab/>
      </w:r>
      <w:r w:rsidR="00F04190" w:rsidRPr="00F04190">
        <w:rPr>
          <w:i/>
          <w:iCs/>
        </w:rPr>
        <w:t>Sebaugh JL</w:t>
      </w:r>
      <w:r w:rsidR="00F04190">
        <w:t xml:space="preserve">. Guidelines for accurate EC50/IC50 estimation. </w:t>
      </w:r>
      <w:r w:rsidR="00F04190" w:rsidRPr="00D613D6">
        <w:rPr>
          <w:lang w:val="de-DE"/>
        </w:rPr>
        <w:t>Pharm Stat 2011; 10: 128-134</w:t>
      </w:r>
    </w:p>
    <w:p w:rsidR="007D4D53" w:rsidRDefault="00F1427F" w:rsidP="0057660E">
      <w:pPr>
        <w:tabs>
          <w:tab w:val="right" w:pos="284"/>
          <w:tab w:val="left" w:pos="567"/>
        </w:tabs>
        <w:spacing w:line="480" w:lineRule="exact"/>
        <w:ind w:left="567" w:hanging="567"/>
        <w:jc w:val="both"/>
      </w:pPr>
      <w:r>
        <w:rPr>
          <w:lang w:val="de-DE"/>
        </w:rPr>
        <w:tab/>
        <w:t>23</w:t>
      </w:r>
      <w:r w:rsidR="007D4D53" w:rsidRPr="00D613D6">
        <w:rPr>
          <w:lang w:val="de-DE"/>
        </w:rPr>
        <w:tab/>
      </w:r>
      <w:r w:rsidR="00AD4E05" w:rsidRPr="00D613D6">
        <w:rPr>
          <w:i/>
          <w:iCs/>
          <w:lang w:val="de-DE"/>
        </w:rPr>
        <w:t>Herbert WJ, Lumsden WHR</w:t>
      </w:r>
      <w:r w:rsidR="00AD4E05" w:rsidRPr="00D613D6">
        <w:rPr>
          <w:lang w:val="de-DE"/>
        </w:rPr>
        <w:t xml:space="preserve">. </w:t>
      </w:r>
      <w:r w:rsidR="00AD4E05" w:rsidRPr="009F4BDC">
        <w:rPr>
          <w:i/>
          <w:iCs/>
        </w:rPr>
        <w:t>Trypanosoma brucei</w:t>
      </w:r>
      <w:r w:rsidR="00AD4E05" w:rsidRPr="009F4BDC">
        <w:t>: a rapid “</w:t>
      </w:r>
      <w:r w:rsidR="00405D36" w:rsidRPr="009F4BDC">
        <w:t>matching</w:t>
      </w:r>
      <w:r w:rsidR="00AD4E05" w:rsidRPr="009F4BDC">
        <w:t>“</w:t>
      </w:r>
      <w:r w:rsidR="00405D36" w:rsidRPr="009F4BDC">
        <w:t xml:space="preserve"> </w:t>
      </w:r>
      <w:r w:rsidR="00AD4E05" w:rsidRPr="009F4BDC">
        <w:t xml:space="preserve">method for estimating the host’s parasitemia. </w:t>
      </w:r>
      <w:r w:rsidR="00AD4E05">
        <w:t xml:space="preserve">Exp Parasitol 1976; </w:t>
      </w:r>
      <w:r w:rsidR="00405D36">
        <w:t>40: 427-431</w:t>
      </w:r>
    </w:p>
    <w:p w:rsidR="0030662B" w:rsidRDefault="0030662B">
      <w:pPr>
        <w:spacing w:after="200" w:line="276" w:lineRule="auto"/>
      </w:pPr>
      <w:r>
        <w:br w:type="page"/>
      </w:r>
    </w:p>
    <w:p w:rsidR="00C03920" w:rsidRPr="00CA7D4A" w:rsidRDefault="00C03920" w:rsidP="00C03920">
      <w:pPr>
        <w:spacing w:line="480" w:lineRule="exact"/>
        <w:rPr>
          <w:rFonts w:ascii="Arial" w:hAnsi="Arial" w:cs="Arial"/>
          <w:b/>
        </w:rPr>
      </w:pPr>
      <w:r w:rsidRPr="00CA7D4A">
        <w:rPr>
          <w:rFonts w:ascii="Arial" w:hAnsi="Arial" w:cs="Arial"/>
          <w:b/>
        </w:rPr>
        <w:lastRenderedPageBreak/>
        <w:t>Figure Legends</w:t>
      </w:r>
    </w:p>
    <w:p w:rsidR="00C03920" w:rsidRDefault="00C03920" w:rsidP="00C03920">
      <w:pPr>
        <w:spacing w:line="480" w:lineRule="exact"/>
        <w:jc w:val="both"/>
        <w:rPr>
          <w:rFonts w:ascii="Arial" w:hAnsi="Arial" w:cs="Arial"/>
        </w:rPr>
      </w:pPr>
    </w:p>
    <w:p w:rsidR="00FA0663" w:rsidRPr="002B059A" w:rsidRDefault="00FA0663" w:rsidP="00C03920">
      <w:pPr>
        <w:spacing w:line="480" w:lineRule="exact"/>
        <w:jc w:val="both"/>
        <w:rPr>
          <w:rFonts w:ascii="Arial" w:hAnsi="Arial" w:cs="Arial"/>
        </w:rPr>
      </w:pPr>
      <w:r w:rsidRPr="002B059A">
        <w:rPr>
          <w:rFonts w:ascii="Arial" w:hAnsi="Arial" w:cs="Arial"/>
          <w:b/>
          <w:bCs/>
        </w:rPr>
        <w:t>Fig. 1</w:t>
      </w:r>
      <w:r w:rsidRPr="002B059A">
        <w:rPr>
          <w:rFonts w:ascii="Arial" w:hAnsi="Arial" w:cs="Arial"/>
        </w:rPr>
        <w:t xml:space="preserve">  Chemical structures of the six dietary ITCs investigated in this study.</w:t>
      </w:r>
    </w:p>
    <w:p w:rsidR="00FA0663" w:rsidRDefault="00FA0663" w:rsidP="00C03920">
      <w:pPr>
        <w:spacing w:line="480" w:lineRule="exact"/>
        <w:jc w:val="both"/>
        <w:rPr>
          <w:rFonts w:ascii="Arial" w:hAnsi="Arial" w:cs="Arial"/>
        </w:rPr>
      </w:pPr>
    </w:p>
    <w:p w:rsidR="00FA0663" w:rsidRPr="002B059A" w:rsidRDefault="00FA0663" w:rsidP="00C03920">
      <w:pPr>
        <w:spacing w:line="480" w:lineRule="exact"/>
        <w:jc w:val="both"/>
        <w:rPr>
          <w:rFonts w:ascii="Arial" w:hAnsi="Arial" w:cs="Arial"/>
        </w:rPr>
      </w:pPr>
      <w:r w:rsidRPr="002B059A">
        <w:rPr>
          <w:rFonts w:ascii="Arial" w:hAnsi="Arial" w:cs="Arial"/>
          <w:b/>
          <w:bCs/>
        </w:rPr>
        <w:t>Fig. 2</w:t>
      </w:r>
      <w:r w:rsidR="00787CE0" w:rsidRPr="002B059A">
        <w:rPr>
          <w:rFonts w:ascii="Arial" w:hAnsi="Arial" w:cs="Arial"/>
        </w:rPr>
        <w:t xml:space="preserve">  Effect of </w:t>
      </w:r>
      <w:r w:rsidR="00787CE0" w:rsidRPr="002B059A">
        <w:rPr>
          <w:rFonts w:ascii="Arial" w:hAnsi="Arial" w:cs="Arial"/>
          <w:iCs/>
        </w:rPr>
        <w:t xml:space="preserve">ITCs </w:t>
      </w:r>
      <w:r w:rsidR="00787CE0" w:rsidRPr="002B059A">
        <w:rPr>
          <w:rFonts w:ascii="Arial" w:hAnsi="Arial" w:cs="Arial"/>
        </w:rPr>
        <w:t xml:space="preserve">on the growth of bloodstream forms of </w:t>
      </w:r>
      <w:r w:rsidR="00787CE0" w:rsidRPr="002B059A">
        <w:rPr>
          <w:rFonts w:ascii="Arial" w:hAnsi="Arial" w:cs="Arial"/>
          <w:i/>
        </w:rPr>
        <w:t>T. brucei</w:t>
      </w:r>
      <w:r w:rsidR="00787CE0" w:rsidRPr="002B059A">
        <w:rPr>
          <w:rFonts w:ascii="Arial" w:hAnsi="Arial" w:cs="Arial"/>
        </w:rPr>
        <w:t xml:space="preserve"> and human myeloid leukaemia HL-60 cells.  Trypanosomes (A) and HL-60 cells (B) were incubated with varying concentrations of AITC (open squares), BITC (open triangles), PEITC (open circles), SFN (closed squares), ERN (closed triangles), IBN (closed circles).  </w:t>
      </w:r>
      <w:r w:rsidR="009F4BDC" w:rsidRPr="002B059A">
        <w:rPr>
          <w:rFonts w:ascii="Arial" w:hAnsi="Arial"/>
        </w:rPr>
        <w:t>After 48 h of culture, living cells were counted using a haemocytometer.  The experiment was repeated three times and mean values are shown.</w:t>
      </w:r>
    </w:p>
    <w:p w:rsidR="00FA0663" w:rsidRDefault="00FA0663" w:rsidP="00C03920">
      <w:pPr>
        <w:spacing w:line="480" w:lineRule="exact"/>
        <w:jc w:val="both"/>
        <w:rPr>
          <w:rFonts w:ascii="Arial" w:hAnsi="Arial" w:cs="Arial"/>
        </w:rPr>
      </w:pPr>
    </w:p>
    <w:p w:rsidR="00C03920" w:rsidRPr="002B059A" w:rsidRDefault="00CE3DA5" w:rsidP="00C03920">
      <w:pPr>
        <w:spacing w:line="480" w:lineRule="exact"/>
        <w:jc w:val="both"/>
        <w:rPr>
          <w:rFonts w:ascii="Arial" w:hAnsi="Arial" w:cs="Arial"/>
        </w:rPr>
      </w:pPr>
      <w:r>
        <w:rPr>
          <w:rFonts w:ascii="Arial" w:hAnsi="Arial" w:cs="Arial"/>
          <w:b/>
        </w:rPr>
        <w:t>Fig. 3</w:t>
      </w:r>
      <w:r w:rsidR="00E96392">
        <w:rPr>
          <w:rFonts w:ascii="Arial" w:hAnsi="Arial" w:cs="Arial"/>
        </w:rPr>
        <w:t xml:space="preserve">  S</w:t>
      </w:r>
      <w:r w:rsidR="00926712">
        <w:rPr>
          <w:rFonts w:ascii="Arial" w:hAnsi="Arial" w:cs="Arial"/>
        </w:rPr>
        <w:t>hort-time</w:t>
      </w:r>
      <w:r w:rsidR="00803D79">
        <w:rPr>
          <w:rFonts w:ascii="Arial" w:hAnsi="Arial" w:cs="Arial"/>
        </w:rPr>
        <w:t xml:space="preserve"> effects of ITCs</w:t>
      </w:r>
      <w:r w:rsidR="00926712">
        <w:rPr>
          <w:rFonts w:ascii="Arial" w:hAnsi="Arial" w:cs="Arial"/>
        </w:rPr>
        <w:t xml:space="preserve"> </w:t>
      </w:r>
      <w:r w:rsidR="00926712" w:rsidRPr="002B059A">
        <w:rPr>
          <w:rFonts w:ascii="Arial" w:hAnsi="Arial" w:cs="Arial"/>
        </w:rPr>
        <w:t xml:space="preserve">on the viability of bloodstream forms of </w:t>
      </w:r>
      <w:r w:rsidR="00926712" w:rsidRPr="002B059A">
        <w:rPr>
          <w:rFonts w:ascii="Arial" w:hAnsi="Arial" w:cs="Arial"/>
          <w:i/>
          <w:iCs/>
        </w:rPr>
        <w:t>T. brucei</w:t>
      </w:r>
      <w:r w:rsidR="00926712" w:rsidRPr="002B059A">
        <w:rPr>
          <w:rFonts w:ascii="Arial" w:hAnsi="Arial" w:cs="Arial"/>
        </w:rPr>
        <w:t xml:space="preserve"> and human myeloid leukaemia HL-60 cells</w:t>
      </w:r>
      <w:r w:rsidR="00C03920" w:rsidRPr="002B059A">
        <w:rPr>
          <w:rFonts w:ascii="Arial" w:hAnsi="Arial" w:cs="Arial"/>
        </w:rPr>
        <w:t>.</w:t>
      </w:r>
      <w:r w:rsidR="00926712" w:rsidRPr="002B059A">
        <w:rPr>
          <w:rFonts w:ascii="Arial" w:hAnsi="Arial" w:cs="Arial"/>
        </w:rPr>
        <w:t xml:space="preserve">  Trypanosomes</w:t>
      </w:r>
      <w:r w:rsidR="00803D79" w:rsidRPr="002B059A">
        <w:rPr>
          <w:rFonts w:ascii="Arial" w:hAnsi="Arial" w:cs="Arial"/>
        </w:rPr>
        <w:t xml:space="preserve"> </w:t>
      </w:r>
      <w:r w:rsidR="00926712" w:rsidRPr="002B059A">
        <w:rPr>
          <w:rFonts w:ascii="Arial" w:hAnsi="Arial" w:cs="Arial"/>
        </w:rPr>
        <w:t xml:space="preserve">(A) and HL-60 cells (B) </w:t>
      </w:r>
      <w:r w:rsidR="00803D79">
        <w:rPr>
          <w:rFonts w:ascii="Arial" w:hAnsi="Arial" w:cs="Arial"/>
        </w:rPr>
        <w:t xml:space="preserve">were incubated with 10 µM of AITC (open squares), BITC (open triangles), PEITC (open circles), SFN (closed squares), ERN (closed triangles), IBN (closed circles) or </w:t>
      </w:r>
      <w:r w:rsidR="00803D79" w:rsidRPr="002B059A">
        <w:rPr>
          <w:rFonts w:ascii="Arial" w:hAnsi="Arial" w:cs="Arial"/>
        </w:rPr>
        <w:t>DMSO alone (control, crosses) at a density of 5 × 10</w:t>
      </w:r>
      <w:r w:rsidR="00803D79" w:rsidRPr="002B059A">
        <w:rPr>
          <w:rFonts w:ascii="Arial" w:hAnsi="Arial" w:cs="Arial"/>
          <w:vertAlign w:val="superscript"/>
        </w:rPr>
        <w:t>6</w:t>
      </w:r>
      <w:r w:rsidR="00803D79" w:rsidRPr="002B059A">
        <w:rPr>
          <w:rFonts w:ascii="Arial" w:hAnsi="Arial" w:cs="Arial"/>
        </w:rPr>
        <w:t xml:space="preserve"> </w:t>
      </w:r>
      <w:r w:rsidR="002552C7" w:rsidRPr="002B059A">
        <w:rPr>
          <w:rFonts w:ascii="Arial" w:hAnsi="Arial" w:cs="Arial"/>
        </w:rPr>
        <w:t>and 3</w:t>
      </w:r>
      <w:r w:rsidR="00926712" w:rsidRPr="002B059A">
        <w:rPr>
          <w:rFonts w:ascii="Arial" w:hAnsi="Arial" w:cs="Arial"/>
        </w:rPr>
        <w:t xml:space="preserve"> × 10</w:t>
      </w:r>
      <w:r w:rsidR="00926712" w:rsidRPr="002B059A">
        <w:rPr>
          <w:rFonts w:ascii="Arial" w:hAnsi="Arial" w:cs="Arial"/>
          <w:vertAlign w:val="superscript"/>
        </w:rPr>
        <w:t>5</w:t>
      </w:r>
      <w:r w:rsidR="00926712" w:rsidRPr="002B059A">
        <w:rPr>
          <w:rFonts w:ascii="Arial" w:hAnsi="Arial" w:cs="Arial"/>
        </w:rPr>
        <w:t xml:space="preserve"> </w:t>
      </w:r>
      <w:r w:rsidR="00803D79" w:rsidRPr="002B059A">
        <w:rPr>
          <w:rFonts w:ascii="Arial" w:hAnsi="Arial" w:cs="Arial"/>
        </w:rPr>
        <w:t>cells/mL</w:t>
      </w:r>
      <w:r w:rsidR="00926712" w:rsidRPr="002B059A">
        <w:rPr>
          <w:rFonts w:ascii="Arial" w:hAnsi="Arial" w:cs="Arial"/>
        </w:rPr>
        <w:t>, respectively,</w:t>
      </w:r>
      <w:r w:rsidR="00803D79" w:rsidRPr="002B059A">
        <w:rPr>
          <w:rFonts w:ascii="Arial" w:hAnsi="Arial" w:cs="Arial"/>
        </w:rPr>
        <w:t xml:space="preserve"> in medium containing 44 µM of the vital dye resazurin.  Over a period of </w:t>
      </w:r>
      <w:r w:rsidR="00803D79">
        <w:rPr>
          <w:rFonts w:ascii="Arial" w:hAnsi="Arial" w:cs="Arial"/>
        </w:rPr>
        <w:t>seven hours</w:t>
      </w:r>
      <w:r w:rsidR="001B40F0">
        <w:rPr>
          <w:rFonts w:ascii="Arial" w:hAnsi="Arial" w:cs="Arial"/>
        </w:rPr>
        <w:t>, the</w:t>
      </w:r>
      <w:r w:rsidR="00803D79">
        <w:rPr>
          <w:rFonts w:ascii="Arial" w:hAnsi="Arial" w:cs="Arial"/>
        </w:rPr>
        <w:t xml:space="preserve"> absorbance </w:t>
      </w:r>
      <w:r w:rsidR="001B40F0">
        <w:rPr>
          <w:rFonts w:ascii="Arial" w:hAnsi="Arial" w:cs="Arial"/>
        </w:rPr>
        <w:t xml:space="preserve">at 570 nm </w:t>
      </w:r>
      <w:r w:rsidR="00F41632">
        <w:rPr>
          <w:rFonts w:ascii="Arial" w:hAnsi="Arial" w:cs="Arial"/>
        </w:rPr>
        <w:t>minus</w:t>
      </w:r>
      <w:r w:rsidR="00DD5703">
        <w:rPr>
          <w:rFonts w:ascii="Arial" w:hAnsi="Arial" w:cs="Arial"/>
        </w:rPr>
        <w:t xml:space="preserve"> 630 nm was</w:t>
      </w:r>
      <w:r w:rsidR="001B40F0">
        <w:rPr>
          <w:rFonts w:ascii="Arial" w:hAnsi="Arial" w:cs="Arial"/>
        </w:rPr>
        <w:t xml:space="preserve"> recorded</w:t>
      </w:r>
      <w:r w:rsidR="00DD5703">
        <w:rPr>
          <w:rFonts w:ascii="Arial" w:hAnsi="Arial" w:cs="Arial"/>
        </w:rPr>
        <w:t xml:space="preserve"> hourly</w:t>
      </w:r>
      <w:r w:rsidR="001B40F0">
        <w:rPr>
          <w:rFonts w:ascii="Arial" w:hAnsi="Arial" w:cs="Arial"/>
        </w:rPr>
        <w:t>.  Mean values of three experiments are shown and standar</w:t>
      </w:r>
      <w:r w:rsidR="00926712">
        <w:rPr>
          <w:rFonts w:ascii="Arial" w:hAnsi="Arial" w:cs="Arial"/>
        </w:rPr>
        <w:t>d deviations ranged between 1-</w:t>
      </w:r>
      <w:r w:rsidR="00926712" w:rsidRPr="002B059A">
        <w:rPr>
          <w:rFonts w:ascii="Arial" w:hAnsi="Arial" w:cs="Arial"/>
        </w:rPr>
        <w:t>47</w:t>
      </w:r>
      <w:r w:rsidR="001B40F0" w:rsidRPr="002B059A">
        <w:rPr>
          <w:rFonts w:ascii="Arial" w:hAnsi="Arial" w:cs="Arial"/>
        </w:rPr>
        <w:t>%.</w:t>
      </w:r>
    </w:p>
    <w:p w:rsidR="00C73196" w:rsidRDefault="00C73196" w:rsidP="002253CA">
      <w:pPr>
        <w:spacing w:line="480" w:lineRule="exact"/>
      </w:pPr>
    </w:p>
    <w:p w:rsidR="00C73196" w:rsidRDefault="00C73196" w:rsidP="002253CA">
      <w:pPr>
        <w:spacing w:line="480" w:lineRule="exact"/>
        <w:rPr>
          <w:rFonts w:ascii="Arial" w:hAnsi="Arial" w:cs="Arial"/>
          <w:b/>
        </w:rPr>
        <w:sectPr w:rsidR="00C73196" w:rsidSect="002B059A">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9" w:footer="709" w:gutter="0"/>
          <w:cols w:space="708"/>
          <w:docGrid w:linePitch="360"/>
        </w:sectPr>
      </w:pPr>
    </w:p>
    <w:p w:rsidR="00831DB3" w:rsidRPr="002B059A" w:rsidRDefault="00BB2296" w:rsidP="002253CA">
      <w:pPr>
        <w:spacing w:line="480" w:lineRule="exact"/>
        <w:rPr>
          <w:rFonts w:ascii="Arial" w:hAnsi="Arial" w:cs="Arial"/>
        </w:rPr>
      </w:pPr>
      <w:r w:rsidRPr="002B059A">
        <w:rPr>
          <w:rFonts w:ascii="Arial" w:hAnsi="Arial" w:cs="Arial"/>
          <w:b/>
        </w:rPr>
        <w:lastRenderedPageBreak/>
        <w:t>Table 1</w:t>
      </w:r>
      <w:r w:rsidRPr="002B059A">
        <w:rPr>
          <w:rFonts w:ascii="Arial" w:hAnsi="Arial" w:cs="Arial"/>
        </w:rPr>
        <w:t xml:space="preserve">  </w:t>
      </w:r>
      <w:r w:rsidR="00056A07" w:rsidRPr="002B059A">
        <w:rPr>
          <w:rFonts w:ascii="Arial" w:hAnsi="Arial" w:cs="Arial"/>
        </w:rPr>
        <w:t>Bioactivity</w:t>
      </w:r>
      <w:r w:rsidRPr="002B059A">
        <w:rPr>
          <w:rFonts w:ascii="Arial" w:hAnsi="Arial" w:cs="Arial"/>
        </w:rPr>
        <w:t xml:space="preserve"> of </w:t>
      </w:r>
      <w:r w:rsidR="00E96392" w:rsidRPr="002B059A">
        <w:rPr>
          <w:rFonts w:ascii="Arial" w:hAnsi="Arial" w:cs="Arial"/>
        </w:rPr>
        <w:t>ITCs and suramin</w:t>
      </w:r>
      <w:r w:rsidR="00056A07" w:rsidRPr="002B059A">
        <w:rPr>
          <w:rFonts w:ascii="Arial" w:hAnsi="Arial" w:cs="Arial"/>
        </w:rPr>
        <w:t xml:space="preserve"> against</w:t>
      </w:r>
      <w:r w:rsidRPr="002B059A">
        <w:rPr>
          <w:rFonts w:ascii="Arial" w:hAnsi="Arial" w:cs="Arial"/>
        </w:rPr>
        <w:t xml:space="preserve"> </w:t>
      </w:r>
      <w:r w:rsidRPr="002B059A">
        <w:rPr>
          <w:rFonts w:ascii="Arial" w:hAnsi="Arial" w:cs="Arial"/>
          <w:i/>
        </w:rPr>
        <w:t>T. brucei</w:t>
      </w:r>
      <w:r w:rsidRPr="002B059A">
        <w:rPr>
          <w:rFonts w:ascii="Arial" w:hAnsi="Arial" w:cs="Arial"/>
        </w:rPr>
        <w:t xml:space="preserve"> bloodstream forms and HL-60 cells.</w:t>
      </w:r>
    </w:p>
    <w:p w:rsidR="00831DB3" w:rsidRPr="00BB2296" w:rsidRDefault="00831DB3" w:rsidP="0057660E">
      <w:pPr>
        <w:tabs>
          <w:tab w:val="right" w:pos="284"/>
          <w:tab w:val="left" w:pos="567"/>
        </w:tabs>
        <w:spacing w:line="480" w:lineRule="exact"/>
        <w:ind w:left="567" w:hanging="567"/>
        <w:jc w:val="both"/>
        <w:rPr>
          <w:rFonts w:ascii="Arial" w:hAnsi="Arial" w:cs="Arial"/>
        </w:rPr>
      </w:pPr>
    </w:p>
    <w:tbl>
      <w:tblPr>
        <w:tblStyle w:val="LightList"/>
        <w:tblW w:w="0" w:type="auto"/>
        <w:tblLook w:val="04A0" w:firstRow="1" w:lastRow="0" w:firstColumn="1" w:lastColumn="0" w:noHBand="0" w:noVBand="1"/>
      </w:tblPr>
      <w:tblGrid>
        <w:gridCol w:w="1871"/>
        <w:gridCol w:w="1871"/>
        <w:gridCol w:w="1871"/>
        <w:gridCol w:w="1871"/>
        <w:gridCol w:w="1871"/>
        <w:gridCol w:w="1871"/>
        <w:gridCol w:w="1871"/>
      </w:tblGrid>
      <w:tr w:rsidR="00056A07" w:rsidTr="00523137">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871" w:type="dxa"/>
            <w:tcBorders>
              <w:top w:val="nil"/>
              <w:left w:val="nil"/>
              <w:bottom w:val="nil"/>
            </w:tcBorders>
            <w:shd w:val="clear" w:color="auto" w:fill="A6A6A6" w:themeFill="background1" w:themeFillShade="A6"/>
          </w:tcPr>
          <w:p w:rsidR="00056A07" w:rsidRPr="006E362E" w:rsidRDefault="00056A07" w:rsidP="00831DB3">
            <w:pPr>
              <w:spacing w:line="480" w:lineRule="exact"/>
              <w:jc w:val="both"/>
              <w:rPr>
                <w:rFonts w:ascii="Arial" w:hAnsi="Arial" w:cs="Arial"/>
                <w:color w:val="auto"/>
              </w:rPr>
            </w:pPr>
            <w:r w:rsidRPr="006E362E">
              <w:rPr>
                <w:rFonts w:ascii="Arial" w:hAnsi="Arial" w:cs="Arial"/>
                <w:color w:val="auto"/>
              </w:rPr>
              <w:t>Compound</w:t>
            </w:r>
          </w:p>
        </w:tc>
        <w:tc>
          <w:tcPr>
            <w:tcW w:w="1871" w:type="dxa"/>
            <w:tcBorders>
              <w:top w:val="nil"/>
              <w:bottom w:val="nil"/>
            </w:tcBorders>
            <w:shd w:val="clear" w:color="auto" w:fill="A6A6A6" w:themeFill="background1" w:themeFillShade="A6"/>
          </w:tcPr>
          <w:p w:rsidR="00056A07" w:rsidRPr="006E362E" w:rsidRDefault="00056A07" w:rsidP="00831DB3">
            <w:pPr>
              <w:spacing w:line="480" w:lineRule="exact"/>
              <w:jc w:val="both"/>
              <w:cnfStyle w:val="100000000000" w:firstRow="1" w:lastRow="0" w:firstColumn="0" w:lastColumn="0" w:oddVBand="0" w:evenVBand="0" w:oddHBand="0" w:evenHBand="0" w:firstRowFirstColumn="0" w:firstRowLastColumn="0" w:lastRowFirstColumn="0" w:lastRowLastColumn="0"/>
              <w:rPr>
                <w:rFonts w:ascii="Arial" w:hAnsi="Arial" w:cs="Arial"/>
                <w:i/>
                <w:color w:val="auto"/>
              </w:rPr>
            </w:pPr>
            <w:r w:rsidRPr="006E362E">
              <w:rPr>
                <w:rFonts w:ascii="Arial" w:hAnsi="Arial" w:cs="Arial"/>
                <w:i/>
                <w:color w:val="auto"/>
              </w:rPr>
              <w:t>T. brucei</w:t>
            </w:r>
          </w:p>
        </w:tc>
        <w:tc>
          <w:tcPr>
            <w:tcW w:w="1871" w:type="dxa"/>
            <w:tcBorders>
              <w:top w:val="nil"/>
              <w:bottom w:val="nil"/>
            </w:tcBorders>
            <w:shd w:val="clear" w:color="auto" w:fill="A6A6A6" w:themeFill="background1" w:themeFillShade="A6"/>
          </w:tcPr>
          <w:p w:rsidR="00056A07" w:rsidRPr="006E362E" w:rsidRDefault="00056A07" w:rsidP="00831DB3">
            <w:pPr>
              <w:spacing w:line="480" w:lineRule="exact"/>
              <w:jc w:val="both"/>
              <w:cnfStyle w:val="100000000000" w:firstRow="1" w:lastRow="0" w:firstColumn="0" w:lastColumn="0" w:oddVBand="0" w:evenVBand="0" w:oddHBand="0" w:evenHBand="0" w:firstRowFirstColumn="0" w:firstRowLastColumn="0" w:lastRowFirstColumn="0" w:lastRowLastColumn="0"/>
              <w:rPr>
                <w:rFonts w:ascii="Arial" w:hAnsi="Arial" w:cs="Arial"/>
                <w:color w:val="auto"/>
              </w:rPr>
            </w:pPr>
          </w:p>
        </w:tc>
        <w:tc>
          <w:tcPr>
            <w:tcW w:w="1871" w:type="dxa"/>
            <w:tcBorders>
              <w:top w:val="nil"/>
              <w:bottom w:val="nil"/>
            </w:tcBorders>
            <w:shd w:val="clear" w:color="auto" w:fill="A6A6A6" w:themeFill="background1" w:themeFillShade="A6"/>
          </w:tcPr>
          <w:p w:rsidR="00056A07" w:rsidRPr="006E362E" w:rsidRDefault="00056A07" w:rsidP="00831DB3">
            <w:pPr>
              <w:spacing w:line="480" w:lineRule="exact"/>
              <w:jc w:val="both"/>
              <w:cnfStyle w:val="100000000000" w:firstRow="1" w:lastRow="0" w:firstColumn="0" w:lastColumn="0" w:oddVBand="0" w:evenVBand="0" w:oddHBand="0" w:evenHBand="0" w:firstRowFirstColumn="0" w:firstRowLastColumn="0" w:lastRowFirstColumn="0" w:lastRowLastColumn="0"/>
              <w:rPr>
                <w:rFonts w:ascii="Arial" w:hAnsi="Arial" w:cs="Arial"/>
                <w:color w:val="auto"/>
              </w:rPr>
            </w:pPr>
            <w:r>
              <w:rPr>
                <w:rFonts w:ascii="Arial" w:hAnsi="Arial" w:cs="Arial"/>
                <w:color w:val="auto"/>
              </w:rPr>
              <w:t>HL-60</w:t>
            </w:r>
          </w:p>
        </w:tc>
        <w:tc>
          <w:tcPr>
            <w:tcW w:w="1871" w:type="dxa"/>
            <w:tcBorders>
              <w:top w:val="nil"/>
              <w:bottom w:val="nil"/>
              <w:right w:val="nil"/>
            </w:tcBorders>
            <w:shd w:val="clear" w:color="auto" w:fill="A6A6A6" w:themeFill="background1" w:themeFillShade="A6"/>
          </w:tcPr>
          <w:p w:rsidR="00056A07" w:rsidRPr="006E362E" w:rsidRDefault="00056A07" w:rsidP="00831DB3">
            <w:pPr>
              <w:spacing w:line="480" w:lineRule="exact"/>
              <w:jc w:val="both"/>
              <w:cnfStyle w:val="100000000000" w:firstRow="1" w:lastRow="0" w:firstColumn="0" w:lastColumn="0" w:oddVBand="0" w:evenVBand="0" w:oddHBand="0" w:evenHBand="0" w:firstRowFirstColumn="0" w:firstRowLastColumn="0" w:lastRowFirstColumn="0" w:lastRowLastColumn="0"/>
              <w:rPr>
                <w:rFonts w:ascii="Arial" w:hAnsi="Arial" w:cs="Arial"/>
                <w:color w:val="auto"/>
              </w:rPr>
            </w:pPr>
          </w:p>
        </w:tc>
        <w:tc>
          <w:tcPr>
            <w:tcW w:w="1871" w:type="dxa"/>
            <w:tcBorders>
              <w:top w:val="nil"/>
              <w:bottom w:val="nil"/>
              <w:right w:val="nil"/>
            </w:tcBorders>
            <w:shd w:val="clear" w:color="auto" w:fill="A6A6A6" w:themeFill="background1" w:themeFillShade="A6"/>
          </w:tcPr>
          <w:p w:rsidR="00056A07" w:rsidRPr="00056A07" w:rsidRDefault="00056A07" w:rsidP="00831DB3">
            <w:pPr>
              <w:spacing w:line="480" w:lineRule="exact"/>
              <w:jc w:val="both"/>
              <w:cnfStyle w:val="100000000000" w:firstRow="1" w:lastRow="0" w:firstColumn="0" w:lastColumn="0" w:oddVBand="0" w:evenVBand="0" w:oddHBand="0" w:evenHBand="0" w:firstRowFirstColumn="0" w:firstRowLastColumn="0" w:lastRowFirstColumn="0" w:lastRowLastColumn="0"/>
              <w:rPr>
                <w:rFonts w:ascii="Arial" w:hAnsi="Arial" w:cs="Arial"/>
                <w:color w:val="auto"/>
              </w:rPr>
            </w:pPr>
            <w:r>
              <w:rPr>
                <w:rFonts w:ascii="Arial" w:hAnsi="Arial" w:cs="Arial"/>
                <w:color w:val="auto"/>
              </w:rPr>
              <w:t>Selectivity</w:t>
            </w:r>
          </w:p>
        </w:tc>
        <w:tc>
          <w:tcPr>
            <w:tcW w:w="1871" w:type="dxa"/>
            <w:tcBorders>
              <w:top w:val="nil"/>
              <w:bottom w:val="nil"/>
              <w:right w:val="nil"/>
            </w:tcBorders>
            <w:shd w:val="clear" w:color="auto" w:fill="A6A6A6" w:themeFill="background1" w:themeFillShade="A6"/>
          </w:tcPr>
          <w:p w:rsidR="00056A07" w:rsidRPr="00056A07" w:rsidRDefault="00056A07" w:rsidP="00831DB3">
            <w:pPr>
              <w:spacing w:line="480" w:lineRule="exact"/>
              <w:jc w:val="both"/>
              <w:cnfStyle w:val="100000000000" w:firstRow="1" w:lastRow="0" w:firstColumn="0" w:lastColumn="0" w:oddVBand="0" w:evenVBand="0" w:oddHBand="0" w:evenHBand="0" w:firstRowFirstColumn="0" w:firstRowLastColumn="0" w:lastRowFirstColumn="0" w:lastRowLastColumn="0"/>
              <w:rPr>
                <w:rFonts w:ascii="Arial" w:hAnsi="Arial" w:cs="Arial"/>
                <w:color w:val="auto"/>
              </w:rPr>
            </w:pPr>
          </w:p>
        </w:tc>
      </w:tr>
      <w:tr w:rsidR="00056A07" w:rsidTr="00523137">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871" w:type="dxa"/>
            <w:tcBorders>
              <w:top w:val="nil"/>
              <w:left w:val="nil"/>
              <w:bottom w:val="nil"/>
            </w:tcBorders>
            <w:shd w:val="clear" w:color="auto" w:fill="A6A6A6" w:themeFill="background1" w:themeFillShade="A6"/>
          </w:tcPr>
          <w:p w:rsidR="00056A07" w:rsidRPr="006E362E" w:rsidRDefault="00056A07" w:rsidP="00831DB3">
            <w:pPr>
              <w:spacing w:line="480" w:lineRule="exact"/>
              <w:jc w:val="both"/>
              <w:rPr>
                <w:rFonts w:ascii="Arial" w:hAnsi="Arial" w:cs="Arial"/>
              </w:rPr>
            </w:pPr>
          </w:p>
        </w:tc>
        <w:tc>
          <w:tcPr>
            <w:tcW w:w="1871" w:type="dxa"/>
            <w:tcBorders>
              <w:top w:val="nil"/>
              <w:bottom w:val="nil"/>
            </w:tcBorders>
            <w:shd w:val="clear" w:color="auto" w:fill="A6A6A6" w:themeFill="background1" w:themeFillShade="A6"/>
          </w:tcPr>
          <w:p w:rsidR="00056A07" w:rsidRPr="006E362E" w:rsidRDefault="00056A07" w:rsidP="00831DB3">
            <w:pPr>
              <w:spacing w:line="480" w:lineRule="exact"/>
              <w:jc w:val="both"/>
              <w:cnfStyle w:val="000000100000" w:firstRow="0" w:lastRow="0" w:firstColumn="0" w:lastColumn="0" w:oddVBand="0" w:evenVBand="0" w:oddHBand="1" w:evenHBand="0" w:firstRowFirstColumn="0" w:firstRowLastColumn="0" w:lastRowFirstColumn="0" w:lastRowLastColumn="0"/>
              <w:rPr>
                <w:rFonts w:ascii="Arial" w:hAnsi="Arial" w:cs="Arial"/>
                <w:b/>
              </w:rPr>
            </w:pPr>
            <w:r w:rsidRPr="006E362E">
              <w:rPr>
                <w:rFonts w:ascii="Arial" w:hAnsi="Arial" w:cs="Arial"/>
                <w:b/>
              </w:rPr>
              <w:t xml:space="preserve">MIC </w:t>
            </w:r>
            <w:r>
              <w:rPr>
                <w:rFonts w:ascii="Arial" w:hAnsi="Arial" w:cs="Arial"/>
                <w:b/>
              </w:rPr>
              <w:t>(µM)</w:t>
            </w:r>
            <w:r w:rsidRPr="00056A07">
              <w:rPr>
                <w:rFonts w:ascii="Arial" w:hAnsi="Arial" w:cs="Arial"/>
                <w:b/>
                <w:vertAlign w:val="superscript"/>
              </w:rPr>
              <w:t>a</w:t>
            </w:r>
          </w:p>
        </w:tc>
        <w:tc>
          <w:tcPr>
            <w:tcW w:w="1871" w:type="dxa"/>
            <w:tcBorders>
              <w:top w:val="nil"/>
              <w:bottom w:val="nil"/>
            </w:tcBorders>
            <w:shd w:val="clear" w:color="auto" w:fill="A6A6A6" w:themeFill="background1" w:themeFillShade="A6"/>
          </w:tcPr>
          <w:p w:rsidR="00056A07" w:rsidRPr="006E362E" w:rsidRDefault="00056A07" w:rsidP="00831DB3">
            <w:pPr>
              <w:spacing w:line="480" w:lineRule="exact"/>
              <w:jc w:val="both"/>
              <w:cnfStyle w:val="000000100000" w:firstRow="0" w:lastRow="0" w:firstColumn="0" w:lastColumn="0" w:oddVBand="0" w:evenVBand="0" w:oddHBand="1" w:evenHBand="0" w:firstRowFirstColumn="0" w:firstRowLastColumn="0" w:lastRowFirstColumn="0" w:lastRowLastColumn="0"/>
              <w:rPr>
                <w:rFonts w:ascii="Arial" w:hAnsi="Arial" w:cs="Arial"/>
                <w:b/>
              </w:rPr>
            </w:pPr>
            <w:r w:rsidRPr="006E362E">
              <w:rPr>
                <w:rFonts w:ascii="Arial" w:hAnsi="Arial" w:cs="Arial"/>
                <w:b/>
              </w:rPr>
              <w:t>GI</w:t>
            </w:r>
            <w:r w:rsidRPr="006E362E">
              <w:rPr>
                <w:rFonts w:ascii="Arial" w:hAnsi="Arial" w:cs="Arial"/>
                <w:b/>
                <w:vertAlign w:val="subscript"/>
              </w:rPr>
              <w:t>50</w:t>
            </w:r>
            <w:r>
              <w:rPr>
                <w:rFonts w:ascii="Arial" w:hAnsi="Arial" w:cs="Arial"/>
                <w:b/>
              </w:rPr>
              <w:t xml:space="preserve"> (µ</w:t>
            </w:r>
            <w:r w:rsidRPr="006E362E">
              <w:rPr>
                <w:rFonts w:ascii="Arial" w:hAnsi="Arial" w:cs="Arial"/>
                <w:b/>
              </w:rPr>
              <w:t>M)</w:t>
            </w:r>
            <w:r>
              <w:rPr>
                <w:rFonts w:ascii="Arial" w:hAnsi="Arial" w:cs="Arial"/>
                <w:b/>
                <w:vertAlign w:val="superscript"/>
              </w:rPr>
              <w:t>b</w:t>
            </w:r>
          </w:p>
        </w:tc>
        <w:tc>
          <w:tcPr>
            <w:tcW w:w="1871" w:type="dxa"/>
            <w:tcBorders>
              <w:top w:val="nil"/>
              <w:bottom w:val="nil"/>
            </w:tcBorders>
            <w:shd w:val="clear" w:color="auto" w:fill="A6A6A6" w:themeFill="background1" w:themeFillShade="A6"/>
          </w:tcPr>
          <w:p w:rsidR="00056A07" w:rsidRPr="006E362E" w:rsidRDefault="00056A07" w:rsidP="00831DB3">
            <w:pPr>
              <w:spacing w:line="480" w:lineRule="exact"/>
              <w:jc w:val="both"/>
              <w:cnfStyle w:val="000000100000" w:firstRow="0" w:lastRow="0" w:firstColumn="0" w:lastColumn="0" w:oddVBand="0" w:evenVBand="0" w:oddHBand="1" w:evenHBand="0" w:firstRowFirstColumn="0" w:firstRowLastColumn="0" w:lastRowFirstColumn="0" w:lastRowLastColumn="0"/>
              <w:rPr>
                <w:rFonts w:ascii="Arial" w:hAnsi="Arial" w:cs="Arial"/>
                <w:b/>
              </w:rPr>
            </w:pPr>
            <w:r>
              <w:rPr>
                <w:rFonts w:ascii="Arial" w:hAnsi="Arial" w:cs="Arial"/>
                <w:b/>
              </w:rPr>
              <w:t>MIC (µ</w:t>
            </w:r>
            <w:r w:rsidRPr="006E362E">
              <w:rPr>
                <w:rFonts w:ascii="Arial" w:hAnsi="Arial" w:cs="Arial"/>
                <w:b/>
              </w:rPr>
              <w:t>M)</w:t>
            </w:r>
            <w:r w:rsidRPr="00056A07">
              <w:rPr>
                <w:rFonts w:ascii="Arial" w:hAnsi="Arial" w:cs="Arial"/>
                <w:b/>
                <w:vertAlign w:val="superscript"/>
              </w:rPr>
              <w:t>a</w:t>
            </w:r>
          </w:p>
        </w:tc>
        <w:tc>
          <w:tcPr>
            <w:tcW w:w="1871" w:type="dxa"/>
            <w:tcBorders>
              <w:top w:val="nil"/>
              <w:bottom w:val="nil"/>
              <w:right w:val="nil"/>
            </w:tcBorders>
            <w:shd w:val="clear" w:color="auto" w:fill="A6A6A6" w:themeFill="background1" w:themeFillShade="A6"/>
          </w:tcPr>
          <w:p w:rsidR="00056A07" w:rsidRPr="006E362E" w:rsidRDefault="00056A07" w:rsidP="00831DB3">
            <w:pPr>
              <w:spacing w:line="480" w:lineRule="exact"/>
              <w:jc w:val="both"/>
              <w:cnfStyle w:val="000000100000" w:firstRow="0" w:lastRow="0" w:firstColumn="0" w:lastColumn="0" w:oddVBand="0" w:evenVBand="0" w:oddHBand="1" w:evenHBand="0" w:firstRowFirstColumn="0" w:firstRowLastColumn="0" w:lastRowFirstColumn="0" w:lastRowLastColumn="0"/>
              <w:rPr>
                <w:rFonts w:ascii="Arial" w:hAnsi="Arial" w:cs="Arial"/>
                <w:b/>
              </w:rPr>
            </w:pPr>
            <w:r w:rsidRPr="006E362E">
              <w:rPr>
                <w:rFonts w:ascii="Arial" w:hAnsi="Arial" w:cs="Arial"/>
                <w:b/>
              </w:rPr>
              <w:t>GI</w:t>
            </w:r>
            <w:r w:rsidRPr="006E362E">
              <w:rPr>
                <w:rFonts w:ascii="Arial" w:hAnsi="Arial" w:cs="Arial"/>
                <w:b/>
                <w:vertAlign w:val="subscript"/>
              </w:rPr>
              <w:t>50</w:t>
            </w:r>
            <w:r>
              <w:rPr>
                <w:rFonts w:ascii="Arial" w:hAnsi="Arial" w:cs="Arial"/>
                <w:b/>
              </w:rPr>
              <w:t xml:space="preserve"> (µ</w:t>
            </w:r>
            <w:r w:rsidRPr="006E362E">
              <w:rPr>
                <w:rFonts w:ascii="Arial" w:hAnsi="Arial" w:cs="Arial"/>
                <w:b/>
              </w:rPr>
              <w:t>M)</w:t>
            </w:r>
            <w:r>
              <w:rPr>
                <w:rFonts w:ascii="Arial" w:hAnsi="Arial" w:cs="Arial"/>
                <w:b/>
                <w:vertAlign w:val="superscript"/>
              </w:rPr>
              <w:t>b</w:t>
            </w:r>
          </w:p>
        </w:tc>
        <w:tc>
          <w:tcPr>
            <w:tcW w:w="1871" w:type="dxa"/>
            <w:tcBorders>
              <w:top w:val="nil"/>
              <w:bottom w:val="nil"/>
              <w:right w:val="nil"/>
            </w:tcBorders>
            <w:shd w:val="clear" w:color="auto" w:fill="A6A6A6" w:themeFill="background1" w:themeFillShade="A6"/>
          </w:tcPr>
          <w:p w:rsidR="00056A07" w:rsidRPr="006E362E" w:rsidRDefault="00056A07" w:rsidP="00831DB3">
            <w:pPr>
              <w:spacing w:line="480" w:lineRule="exact"/>
              <w:jc w:val="both"/>
              <w:cnfStyle w:val="000000100000" w:firstRow="0" w:lastRow="0" w:firstColumn="0" w:lastColumn="0" w:oddVBand="0" w:evenVBand="0" w:oddHBand="1" w:evenHBand="0" w:firstRowFirstColumn="0" w:firstRowLastColumn="0" w:lastRowFirstColumn="0" w:lastRowLastColumn="0"/>
              <w:rPr>
                <w:rFonts w:ascii="Arial" w:hAnsi="Arial" w:cs="Arial"/>
                <w:b/>
              </w:rPr>
            </w:pPr>
            <w:r>
              <w:rPr>
                <w:rFonts w:ascii="Arial" w:hAnsi="Arial" w:cs="Arial"/>
                <w:b/>
              </w:rPr>
              <w:t>MIC ratio</w:t>
            </w:r>
            <w:r w:rsidRPr="00056A07">
              <w:rPr>
                <w:rFonts w:ascii="Arial" w:hAnsi="Arial" w:cs="Arial"/>
                <w:b/>
                <w:vertAlign w:val="superscript"/>
              </w:rPr>
              <w:t>c</w:t>
            </w:r>
          </w:p>
        </w:tc>
        <w:tc>
          <w:tcPr>
            <w:tcW w:w="1871" w:type="dxa"/>
            <w:tcBorders>
              <w:top w:val="nil"/>
              <w:bottom w:val="nil"/>
              <w:right w:val="nil"/>
            </w:tcBorders>
            <w:shd w:val="clear" w:color="auto" w:fill="A6A6A6" w:themeFill="background1" w:themeFillShade="A6"/>
          </w:tcPr>
          <w:p w:rsidR="00056A07" w:rsidRPr="006E362E" w:rsidRDefault="00056A07" w:rsidP="00831DB3">
            <w:pPr>
              <w:spacing w:line="480" w:lineRule="exact"/>
              <w:jc w:val="both"/>
              <w:cnfStyle w:val="000000100000" w:firstRow="0" w:lastRow="0" w:firstColumn="0" w:lastColumn="0" w:oddVBand="0" w:evenVBand="0" w:oddHBand="1" w:evenHBand="0" w:firstRowFirstColumn="0" w:firstRowLastColumn="0" w:lastRowFirstColumn="0" w:lastRowLastColumn="0"/>
              <w:rPr>
                <w:rFonts w:ascii="Arial" w:hAnsi="Arial" w:cs="Arial"/>
                <w:b/>
              </w:rPr>
            </w:pPr>
            <w:r>
              <w:rPr>
                <w:rFonts w:ascii="Arial" w:hAnsi="Arial" w:cs="Arial"/>
                <w:b/>
              </w:rPr>
              <w:t>GI</w:t>
            </w:r>
            <w:r w:rsidRPr="00056A07">
              <w:rPr>
                <w:rFonts w:ascii="Arial" w:hAnsi="Arial" w:cs="Arial"/>
                <w:b/>
                <w:vertAlign w:val="subscript"/>
              </w:rPr>
              <w:t>50</w:t>
            </w:r>
            <w:r>
              <w:rPr>
                <w:rFonts w:ascii="Arial" w:hAnsi="Arial" w:cs="Arial"/>
                <w:b/>
              </w:rPr>
              <w:t xml:space="preserve"> ratio</w:t>
            </w:r>
            <w:r w:rsidRPr="00056A07">
              <w:rPr>
                <w:rFonts w:ascii="Arial" w:hAnsi="Arial" w:cs="Arial"/>
                <w:b/>
                <w:vertAlign w:val="superscript"/>
              </w:rPr>
              <w:t>d</w:t>
            </w:r>
          </w:p>
        </w:tc>
      </w:tr>
      <w:tr w:rsidR="00056A07" w:rsidTr="00523137">
        <w:tc>
          <w:tcPr>
            <w:cnfStyle w:val="001000000000" w:firstRow="0" w:lastRow="0" w:firstColumn="1" w:lastColumn="0" w:oddVBand="0" w:evenVBand="0" w:oddHBand="0" w:evenHBand="0" w:firstRowFirstColumn="0" w:firstRowLastColumn="0" w:lastRowFirstColumn="0" w:lastRowLastColumn="0"/>
            <w:tcW w:w="1871" w:type="dxa"/>
            <w:tcBorders>
              <w:top w:val="nil"/>
              <w:left w:val="single" w:sz="4" w:space="0" w:color="FFFFFF" w:themeColor="background1"/>
              <w:bottom w:val="single" w:sz="4" w:space="0" w:color="FFFFFF" w:themeColor="background1"/>
            </w:tcBorders>
            <w:shd w:val="clear" w:color="auto" w:fill="D9D9D9" w:themeFill="background1" w:themeFillShade="D9"/>
          </w:tcPr>
          <w:p w:rsidR="00056A07" w:rsidRPr="0060545A" w:rsidRDefault="00056A07" w:rsidP="00831DB3">
            <w:pPr>
              <w:spacing w:line="480" w:lineRule="exact"/>
              <w:jc w:val="both"/>
              <w:rPr>
                <w:rFonts w:ascii="Arial" w:hAnsi="Arial" w:cs="Arial"/>
                <w:b w:val="0"/>
              </w:rPr>
            </w:pPr>
            <w:r>
              <w:rPr>
                <w:rFonts w:ascii="Arial" w:hAnsi="Arial" w:cs="Arial"/>
                <w:b w:val="0"/>
              </w:rPr>
              <w:t>AITC</w:t>
            </w:r>
          </w:p>
        </w:tc>
        <w:tc>
          <w:tcPr>
            <w:tcW w:w="1871" w:type="dxa"/>
            <w:tcBorders>
              <w:top w:val="nil"/>
              <w:bottom w:val="single" w:sz="4" w:space="0" w:color="FFFFFF" w:themeColor="background1"/>
            </w:tcBorders>
            <w:shd w:val="clear" w:color="auto" w:fill="D9D9D9" w:themeFill="background1" w:themeFillShade="D9"/>
          </w:tcPr>
          <w:p w:rsidR="00056A07" w:rsidRPr="006E362E" w:rsidRDefault="00056A07" w:rsidP="006E362E">
            <w:pPr>
              <w:spacing w:line="480" w:lineRule="exact"/>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100</w:t>
            </w:r>
          </w:p>
        </w:tc>
        <w:tc>
          <w:tcPr>
            <w:tcW w:w="1871" w:type="dxa"/>
            <w:tcBorders>
              <w:top w:val="nil"/>
              <w:bottom w:val="single" w:sz="4" w:space="0" w:color="FFFFFF" w:themeColor="background1"/>
            </w:tcBorders>
            <w:shd w:val="clear" w:color="auto" w:fill="D9D9D9" w:themeFill="background1" w:themeFillShade="D9"/>
          </w:tcPr>
          <w:p w:rsidR="00056A07" w:rsidRPr="00313FD4" w:rsidRDefault="00056A07" w:rsidP="00831DB3">
            <w:pPr>
              <w:spacing w:line="480" w:lineRule="exact"/>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313FD4">
              <w:rPr>
                <w:rFonts w:ascii="Arial" w:hAnsi="Arial" w:cs="Arial"/>
              </w:rPr>
              <w:t>11.0</w:t>
            </w:r>
            <w:r>
              <w:rPr>
                <w:rFonts w:ascii="Arial" w:hAnsi="Arial" w:cs="Arial"/>
              </w:rPr>
              <w:t>±2.7</w:t>
            </w:r>
          </w:p>
        </w:tc>
        <w:tc>
          <w:tcPr>
            <w:tcW w:w="1871" w:type="dxa"/>
            <w:tcBorders>
              <w:top w:val="nil"/>
              <w:bottom w:val="single" w:sz="4" w:space="0" w:color="FFFFFF" w:themeColor="background1"/>
            </w:tcBorders>
            <w:shd w:val="clear" w:color="auto" w:fill="D9D9D9" w:themeFill="background1" w:themeFillShade="D9"/>
          </w:tcPr>
          <w:p w:rsidR="00056A07" w:rsidRPr="006E362E" w:rsidRDefault="00056A07" w:rsidP="00831DB3">
            <w:pPr>
              <w:spacing w:line="480" w:lineRule="exact"/>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100</w:t>
            </w:r>
          </w:p>
        </w:tc>
        <w:tc>
          <w:tcPr>
            <w:tcW w:w="1871" w:type="dxa"/>
            <w:tcBorders>
              <w:top w:val="nil"/>
              <w:bottom w:val="single" w:sz="4" w:space="0" w:color="FFFFFF" w:themeColor="background1"/>
              <w:right w:val="single" w:sz="4" w:space="0" w:color="FFFFFF" w:themeColor="background1"/>
            </w:tcBorders>
            <w:shd w:val="clear" w:color="auto" w:fill="D9D9D9" w:themeFill="background1" w:themeFillShade="D9"/>
          </w:tcPr>
          <w:p w:rsidR="00056A07" w:rsidRPr="006E362E" w:rsidRDefault="00056A07" w:rsidP="00831DB3">
            <w:pPr>
              <w:spacing w:line="480" w:lineRule="exact"/>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3.93</w:t>
            </w:r>
            <w:r w:rsidRPr="00313FD4">
              <w:rPr>
                <w:rFonts w:ascii="Arial" w:hAnsi="Arial" w:cs="Arial"/>
              </w:rPr>
              <w:t>±</w:t>
            </w:r>
            <w:r>
              <w:rPr>
                <w:rFonts w:ascii="Arial" w:hAnsi="Arial" w:cs="Arial"/>
              </w:rPr>
              <w:t>1.40</w:t>
            </w:r>
          </w:p>
        </w:tc>
        <w:tc>
          <w:tcPr>
            <w:tcW w:w="1871" w:type="dxa"/>
            <w:tcBorders>
              <w:top w:val="nil"/>
              <w:bottom w:val="single" w:sz="4" w:space="0" w:color="FFFFFF" w:themeColor="background1"/>
              <w:right w:val="single" w:sz="4" w:space="0" w:color="FFFFFF" w:themeColor="background1"/>
            </w:tcBorders>
            <w:shd w:val="clear" w:color="auto" w:fill="D9D9D9" w:themeFill="background1" w:themeFillShade="D9"/>
          </w:tcPr>
          <w:p w:rsidR="00056A07" w:rsidRDefault="00056A07" w:rsidP="00831DB3">
            <w:pPr>
              <w:spacing w:line="480" w:lineRule="exact"/>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w:t>
            </w:r>
          </w:p>
        </w:tc>
        <w:tc>
          <w:tcPr>
            <w:tcW w:w="1871" w:type="dxa"/>
            <w:tcBorders>
              <w:top w:val="nil"/>
              <w:bottom w:val="single" w:sz="4" w:space="0" w:color="FFFFFF" w:themeColor="background1"/>
              <w:right w:val="single" w:sz="4" w:space="0" w:color="FFFFFF" w:themeColor="background1"/>
            </w:tcBorders>
            <w:shd w:val="clear" w:color="auto" w:fill="D9D9D9" w:themeFill="background1" w:themeFillShade="D9"/>
          </w:tcPr>
          <w:p w:rsidR="00056A07" w:rsidRDefault="00056A07" w:rsidP="00831DB3">
            <w:pPr>
              <w:spacing w:line="480" w:lineRule="exact"/>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0.4</w:t>
            </w:r>
          </w:p>
        </w:tc>
      </w:tr>
      <w:tr w:rsidR="00056A07" w:rsidTr="005231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1" w:type="dxa"/>
            <w:tcBorders>
              <w:top w:val="single" w:sz="4" w:space="0" w:color="FFFFFF" w:themeColor="background1"/>
              <w:left w:val="single" w:sz="4" w:space="0" w:color="FFFFFF" w:themeColor="background1"/>
              <w:bottom w:val="single" w:sz="4" w:space="0" w:color="FFFFFF" w:themeColor="background1"/>
            </w:tcBorders>
            <w:shd w:val="clear" w:color="auto" w:fill="D9D9D9" w:themeFill="background1" w:themeFillShade="D9"/>
          </w:tcPr>
          <w:p w:rsidR="00056A07" w:rsidRPr="0060545A" w:rsidRDefault="00056A07" w:rsidP="00831DB3">
            <w:pPr>
              <w:spacing w:line="480" w:lineRule="exact"/>
              <w:jc w:val="both"/>
              <w:rPr>
                <w:rFonts w:ascii="Arial" w:hAnsi="Arial" w:cs="Arial"/>
                <w:b w:val="0"/>
              </w:rPr>
            </w:pPr>
            <w:r>
              <w:rPr>
                <w:rFonts w:ascii="Arial" w:hAnsi="Arial" w:cs="Arial"/>
                <w:b w:val="0"/>
              </w:rPr>
              <w:t>BITC</w:t>
            </w:r>
          </w:p>
        </w:tc>
        <w:tc>
          <w:tcPr>
            <w:tcW w:w="1871" w:type="dxa"/>
            <w:tcBorders>
              <w:top w:val="single" w:sz="4" w:space="0" w:color="FFFFFF" w:themeColor="background1"/>
              <w:bottom w:val="single" w:sz="4" w:space="0" w:color="FFFFFF" w:themeColor="background1"/>
            </w:tcBorders>
            <w:shd w:val="clear" w:color="auto" w:fill="D9D9D9" w:themeFill="background1" w:themeFillShade="D9"/>
          </w:tcPr>
          <w:p w:rsidR="00056A07" w:rsidRPr="006E362E" w:rsidRDefault="00056A07" w:rsidP="006E362E">
            <w:pPr>
              <w:spacing w:line="480" w:lineRule="exact"/>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10</w:t>
            </w:r>
          </w:p>
        </w:tc>
        <w:tc>
          <w:tcPr>
            <w:tcW w:w="1871" w:type="dxa"/>
            <w:tcBorders>
              <w:top w:val="single" w:sz="4" w:space="0" w:color="FFFFFF" w:themeColor="background1"/>
              <w:bottom w:val="single" w:sz="4" w:space="0" w:color="FFFFFF" w:themeColor="background1"/>
            </w:tcBorders>
            <w:shd w:val="clear" w:color="auto" w:fill="D9D9D9" w:themeFill="background1" w:themeFillShade="D9"/>
          </w:tcPr>
          <w:p w:rsidR="00056A07" w:rsidRPr="00313FD4" w:rsidRDefault="00056A07" w:rsidP="00831DB3">
            <w:pPr>
              <w:spacing w:line="480" w:lineRule="exact"/>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1.41±0.23</w:t>
            </w:r>
          </w:p>
        </w:tc>
        <w:tc>
          <w:tcPr>
            <w:tcW w:w="1871" w:type="dxa"/>
            <w:tcBorders>
              <w:top w:val="single" w:sz="4" w:space="0" w:color="FFFFFF" w:themeColor="background1"/>
              <w:bottom w:val="single" w:sz="4" w:space="0" w:color="FFFFFF" w:themeColor="background1"/>
            </w:tcBorders>
            <w:shd w:val="clear" w:color="auto" w:fill="D9D9D9" w:themeFill="background1" w:themeFillShade="D9"/>
          </w:tcPr>
          <w:p w:rsidR="00056A07" w:rsidRPr="006E362E" w:rsidRDefault="00056A07" w:rsidP="00831DB3">
            <w:pPr>
              <w:spacing w:line="480" w:lineRule="exact"/>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10</w:t>
            </w:r>
          </w:p>
        </w:tc>
        <w:tc>
          <w:tcPr>
            <w:tcW w:w="1871" w:type="dxa"/>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tcPr>
          <w:p w:rsidR="00056A07" w:rsidRPr="00313FD4" w:rsidRDefault="00056A07" w:rsidP="00831DB3">
            <w:pPr>
              <w:spacing w:line="480" w:lineRule="exact"/>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0.99±0.17</w:t>
            </w:r>
          </w:p>
        </w:tc>
        <w:tc>
          <w:tcPr>
            <w:tcW w:w="1871" w:type="dxa"/>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tcPr>
          <w:p w:rsidR="00056A07" w:rsidRDefault="00056A07" w:rsidP="00831DB3">
            <w:pPr>
              <w:spacing w:line="480" w:lineRule="exact"/>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w:t>
            </w:r>
          </w:p>
        </w:tc>
        <w:tc>
          <w:tcPr>
            <w:tcW w:w="1871" w:type="dxa"/>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tcPr>
          <w:p w:rsidR="00056A07" w:rsidRDefault="00056A07" w:rsidP="00831DB3">
            <w:pPr>
              <w:spacing w:line="480" w:lineRule="exact"/>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0.7</w:t>
            </w:r>
          </w:p>
        </w:tc>
      </w:tr>
      <w:tr w:rsidR="00056A07" w:rsidTr="00523137">
        <w:tc>
          <w:tcPr>
            <w:cnfStyle w:val="001000000000" w:firstRow="0" w:lastRow="0" w:firstColumn="1" w:lastColumn="0" w:oddVBand="0" w:evenVBand="0" w:oddHBand="0" w:evenHBand="0" w:firstRowFirstColumn="0" w:firstRowLastColumn="0" w:lastRowFirstColumn="0" w:lastRowLastColumn="0"/>
            <w:tcW w:w="1871" w:type="dxa"/>
            <w:tcBorders>
              <w:top w:val="single" w:sz="4" w:space="0" w:color="FFFFFF" w:themeColor="background1"/>
              <w:left w:val="single" w:sz="4" w:space="0" w:color="FFFFFF" w:themeColor="background1"/>
              <w:bottom w:val="single" w:sz="4" w:space="0" w:color="FFFFFF" w:themeColor="background1"/>
            </w:tcBorders>
            <w:shd w:val="clear" w:color="auto" w:fill="D9D9D9" w:themeFill="background1" w:themeFillShade="D9"/>
          </w:tcPr>
          <w:p w:rsidR="00056A07" w:rsidRPr="0060545A" w:rsidRDefault="00056A07" w:rsidP="00831DB3">
            <w:pPr>
              <w:spacing w:line="480" w:lineRule="exact"/>
              <w:jc w:val="both"/>
              <w:rPr>
                <w:rFonts w:ascii="Arial" w:hAnsi="Arial" w:cs="Arial"/>
                <w:b w:val="0"/>
              </w:rPr>
            </w:pPr>
            <w:r>
              <w:rPr>
                <w:rFonts w:ascii="Arial" w:hAnsi="Arial" w:cs="Arial"/>
                <w:b w:val="0"/>
              </w:rPr>
              <w:t>PEITC</w:t>
            </w:r>
          </w:p>
        </w:tc>
        <w:tc>
          <w:tcPr>
            <w:tcW w:w="1871" w:type="dxa"/>
            <w:tcBorders>
              <w:top w:val="single" w:sz="4" w:space="0" w:color="FFFFFF" w:themeColor="background1"/>
              <w:bottom w:val="single" w:sz="4" w:space="0" w:color="FFFFFF" w:themeColor="background1"/>
            </w:tcBorders>
            <w:shd w:val="clear" w:color="auto" w:fill="D9D9D9" w:themeFill="background1" w:themeFillShade="D9"/>
          </w:tcPr>
          <w:p w:rsidR="00056A07" w:rsidRPr="006E362E" w:rsidRDefault="00056A07" w:rsidP="006E362E">
            <w:pPr>
              <w:spacing w:line="480" w:lineRule="exact"/>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10</w:t>
            </w:r>
          </w:p>
        </w:tc>
        <w:tc>
          <w:tcPr>
            <w:tcW w:w="1871" w:type="dxa"/>
            <w:tcBorders>
              <w:top w:val="single" w:sz="4" w:space="0" w:color="FFFFFF" w:themeColor="background1"/>
              <w:bottom w:val="single" w:sz="4" w:space="0" w:color="FFFFFF" w:themeColor="background1"/>
            </w:tcBorders>
            <w:shd w:val="clear" w:color="auto" w:fill="D9D9D9" w:themeFill="background1" w:themeFillShade="D9"/>
          </w:tcPr>
          <w:p w:rsidR="00056A07" w:rsidRPr="00313FD4" w:rsidRDefault="00056A07" w:rsidP="00831DB3">
            <w:pPr>
              <w:spacing w:line="480" w:lineRule="exact"/>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1.51±0.09</w:t>
            </w:r>
          </w:p>
        </w:tc>
        <w:tc>
          <w:tcPr>
            <w:tcW w:w="1871" w:type="dxa"/>
            <w:tcBorders>
              <w:top w:val="single" w:sz="4" w:space="0" w:color="FFFFFF" w:themeColor="background1"/>
              <w:bottom w:val="single" w:sz="4" w:space="0" w:color="FFFFFF" w:themeColor="background1"/>
            </w:tcBorders>
            <w:shd w:val="clear" w:color="auto" w:fill="D9D9D9" w:themeFill="background1" w:themeFillShade="D9"/>
          </w:tcPr>
          <w:p w:rsidR="00056A07" w:rsidRPr="006E362E" w:rsidRDefault="00056A07" w:rsidP="00831DB3">
            <w:pPr>
              <w:spacing w:line="480" w:lineRule="exact"/>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100</w:t>
            </w:r>
          </w:p>
        </w:tc>
        <w:tc>
          <w:tcPr>
            <w:tcW w:w="1871" w:type="dxa"/>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tcPr>
          <w:p w:rsidR="00056A07" w:rsidRPr="00313FD4" w:rsidRDefault="00056A07" w:rsidP="00831DB3">
            <w:pPr>
              <w:spacing w:line="480" w:lineRule="exact"/>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1.19±0.44</w:t>
            </w:r>
          </w:p>
        </w:tc>
        <w:tc>
          <w:tcPr>
            <w:tcW w:w="1871" w:type="dxa"/>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tcPr>
          <w:p w:rsidR="00056A07" w:rsidRDefault="00056A07" w:rsidP="00831DB3">
            <w:pPr>
              <w:spacing w:line="480" w:lineRule="exact"/>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10</w:t>
            </w:r>
          </w:p>
        </w:tc>
        <w:tc>
          <w:tcPr>
            <w:tcW w:w="1871" w:type="dxa"/>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tcPr>
          <w:p w:rsidR="00056A07" w:rsidRDefault="00056A07" w:rsidP="00831DB3">
            <w:pPr>
              <w:spacing w:line="480" w:lineRule="exact"/>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0.8</w:t>
            </w:r>
          </w:p>
        </w:tc>
      </w:tr>
      <w:tr w:rsidR="00056A07" w:rsidTr="005231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1" w:type="dxa"/>
            <w:tcBorders>
              <w:top w:val="single" w:sz="4" w:space="0" w:color="FFFFFF" w:themeColor="background1"/>
              <w:left w:val="single" w:sz="4" w:space="0" w:color="FFFFFF" w:themeColor="background1"/>
              <w:bottom w:val="single" w:sz="4" w:space="0" w:color="FFFFFF" w:themeColor="background1"/>
            </w:tcBorders>
            <w:shd w:val="clear" w:color="auto" w:fill="D9D9D9" w:themeFill="background1" w:themeFillShade="D9"/>
          </w:tcPr>
          <w:p w:rsidR="00056A07" w:rsidRPr="0060545A" w:rsidRDefault="00056A07" w:rsidP="00831DB3">
            <w:pPr>
              <w:spacing w:line="480" w:lineRule="exact"/>
              <w:jc w:val="both"/>
              <w:rPr>
                <w:rFonts w:ascii="Arial" w:hAnsi="Arial" w:cs="Arial"/>
                <w:b w:val="0"/>
              </w:rPr>
            </w:pPr>
            <w:r>
              <w:rPr>
                <w:rFonts w:ascii="Arial" w:hAnsi="Arial" w:cs="Arial"/>
                <w:b w:val="0"/>
              </w:rPr>
              <w:t>SFN</w:t>
            </w:r>
          </w:p>
        </w:tc>
        <w:tc>
          <w:tcPr>
            <w:tcW w:w="1871" w:type="dxa"/>
            <w:tcBorders>
              <w:top w:val="single" w:sz="4" w:space="0" w:color="FFFFFF" w:themeColor="background1"/>
              <w:bottom w:val="single" w:sz="4" w:space="0" w:color="FFFFFF" w:themeColor="background1"/>
            </w:tcBorders>
            <w:shd w:val="clear" w:color="auto" w:fill="D9D9D9" w:themeFill="background1" w:themeFillShade="D9"/>
          </w:tcPr>
          <w:p w:rsidR="00056A07" w:rsidRPr="006E362E" w:rsidRDefault="00056A07" w:rsidP="006E362E">
            <w:pPr>
              <w:spacing w:line="480" w:lineRule="exact"/>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10</w:t>
            </w:r>
          </w:p>
        </w:tc>
        <w:tc>
          <w:tcPr>
            <w:tcW w:w="1871" w:type="dxa"/>
            <w:tcBorders>
              <w:top w:val="single" w:sz="4" w:space="0" w:color="FFFFFF" w:themeColor="background1"/>
              <w:bottom w:val="single" w:sz="4" w:space="0" w:color="FFFFFF" w:themeColor="background1"/>
            </w:tcBorders>
            <w:shd w:val="clear" w:color="auto" w:fill="D9D9D9" w:themeFill="background1" w:themeFillShade="D9"/>
          </w:tcPr>
          <w:p w:rsidR="00056A07" w:rsidRPr="00313FD4" w:rsidRDefault="00056A07" w:rsidP="00831DB3">
            <w:pPr>
              <w:spacing w:line="480" w:lineRule="exact"/>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1.58</w:t>
            </w:r>
            <w:r w:rsidRPr="00313FD4">
              <w:rPr>
                <w:rFonts w:ascii="Arial" w:hAnsi="Arial" w:cs="Arial"/>
              </w:rPr>
              <w:t>±0.</w:t>
            </w:r>
            <w:r>
              <w:rPr>
                <w:rFonts w:ascii="Arial" w:hAnsi="Arial" w:cs="Arial"/>
              </w:rPr>
              <w:t>19</w:t>
            </w:r>
          </w:p>
        </w:tc>
        <w:tc>
          <w:tcPr>
            <w:tcW w:w="1871" w:type="dxa"/>
            <w:tcBorders>
              <w:top w:val="single" w:sz="4" w:space="0" w:color="FFFFFF" w:themeColor="background1"/>
              <w:bottom w:val="single" w:sz="4" w:space="0" w:color="FFFFFF" w:themeColor="background1"/>
            </w:tcBorders>
            <w:shd w:val="clear" w:color="auto" w:fill="D9D9D9" w:themeFill="background1" w:themeFillShade="D9"/>
          </w:tcPr>
          <w:p w:rsidR="00056A07" w:rsidRPr="006E362E" w:rsidRDefault="00056A07" w:rsidP="00831DB3">
            <w:pPr>
              <w:spacing w:line="480" w:lineRule="exact"/>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100</w:t>
            </w:r>
          </w:p>
        </w:tc>
        <w:tc>
          <w:tcPr>
            <w:tcW w:w="1871" w:type="dxa"/>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tcPr>
          <w:p w:rsidR="00056A07" w:rsidRPr="00313FD4" w:rsidRDefault="00056A07" w:rsidP="00831DB3">
            <w:pPr>
              <w:spacing w:line="480" w:lineRule="exact"/>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2.70±0.59</w:t>
            </w:r>
          </w:p>
        </w:tc>
        <w:tc>
          <w:tcPr>
            <w:tcW w:w="1871" w:type="dxa"/>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tcPr>
          <w:p w:rsidR="00056A07" w:rsidRDefault="00056A07" w:rsidP="00831DB3">
            <w:pPr>
              <w:spacing w:line="480" w:lineRule="exact"/>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10</w:t>
            </w:r>
          </w:p>
        </w:tc>
        <w:tc>
          <w:tcPr>
            <w:tcW w:w="1871" w:type="dxa"/>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tcPr>
          <w:p w:rsidR="00056A07" w:rsidRDefault="00056A07" w:rsidP="00831DB3">
            <w:pPr>
              <w:spacing w:line="480" w:lineRule="exact"/>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1.7</w:t>
            </w:r>
          </w:p>
        </w:tc>
      </w:tr>
      <w:tr w:rsidR="00056A07" w:rsidTr="00523137">
        <w:tc>
          <w:tcPr>
            <w:cnfStyle w:val="001000000000" w:firstRow="0" w:lastRow="0" w:firstColumn="1" w:lastColumn="0" w:oddVBand="0" w:evenVBand="0" w:oddHBand="0" w:evenHBand="0" w:firstRowFirstColumn="0" w:firstRowLastColumn="0" w:lastRowFirstColumn="0" w:lastRowLastColumn="0"/>
            <w:tcW w:w="1871" w:type="dxa"/>
            <w:tcBorders>
              <w:top w:val="single" w:sz="4" w:space="0" w:color="FFFFFF" w:themeColor="background1"/>
              <w:left w:val="single" w:sz="4" w:space="0" w:color="FFFFFF" w:themeColor="background1"/>
              <w:bottom w:val="single" w:sz="4" w:space="0" w:color="FFFFFF" w:themeColor="background1"/>
            </w:tcBorders>
            <w:shd w:val="clear" w:color="auto" w:fill="D9D9D9" w:themeFill="background1" w:themeFillShade="D9"/>
          </w:tcPr>
          <w:p w:rsidR="00056A07" w:rsidRPr="00313FD4" w:rsidRDefault="00056A07" w:rsidP="00831DB3">
            <w:pPr>
              <w:spacing w:line="480" w:lineRule="exact"/>
              <w:jc w:val="both"/>
              <w:rPr>
                <w:rFonts w:ascii="Arial" w:hAnsi="Arial" w:cs="Arial"/>
                <w:b w:val="0"/>
              </w:rPr>
            </w:pPr>
            <w:r>
              <w:rPr>
                <w:rFonts w:ascii="Arial" w:hAnsi="Arial" w:cs="Arial"/>
                <w:b w:val="0"/>
              </w:rPr>
              <w:t>IBN</w:t>
            </w:r>
          </w:p>
        </w:tc>
        <w:tc>
          <w:tcPr>
            <w:tcW w:w="1871" w:type="dxa"/>
            <w:tcBorders>
              <w:top w:val="single" w:sz="4" w:space="0" w:color="FFFFFF" w:themeColor="background1"/>
              <w:bottom w:val="single" w:sz="4" w:space="0" w:color="FFFFFF" w:themeColor="background1"/>
            </w:tcBorders>
            <w:shd w:val="clear" w:color="auto" w:fill="D9D9D9" w:themeFill="background1" w:themeFillShade="D9"/>
          </w:tcPr>
          <w:p w:rsidR="00056A07" w:rsidRPr="00313FD4" w:rsidRDefault="00056A07" w:rsidP="006E362E">
            <w:pPr>
              <w:spacing w:line="480" w:lineRule="exact"/>
              <w:cnfStyle w:val="000000000000" w:firstRow="0" w:lastRow="0" w:firstColumn="0" w:lastColumn="0" w:oddVBand="0" w:evenVBand="0" w:oddHBand="0" w:evenHBand="0" w:firstRowFirstColumn="0" w:firstRowLastColumn="0" w:lastRowFirstColumn="0" w:lastRowLastColumn="0"/>
              <w:rPr>
                <w:rFonts w:ascii="Arial" w:hAnsi="Arial" w:cs="Arial"/>
              </w:rPr>
            </w:pPr>
            <w:r w:rsidRPr="00313FD4">
              <w:rPr>
                <w:rFonts w:ascii="Arial" w:hAnsi="Arial" w:cs="Arial"/>
              </w:rPr>
              <w:t>10</w:t>
            </w:r>
          </w:p>
        </w:tc>
        <w:tc>
          <w:tcPr>
            <w:tcW w:w="1871" w:type="dxa"/>
            <w:tcBorders>
              <w:top w:val="single" w:sz="4" w:space="0" w:color="FFFFFF" w:themeColor="background1"/>
              <w:bottom w:val="single" w:sz="4" w:space="0" w:color="FFFFFF" w:themeColor="background1"/>
            </w:tcBorders>
            <w:shd w:val="clear" w:color="auto" w:fill="D9D9D9" w:themeFill="background1" w:themeFillShade="D9"/>
          </w:tcPr>
          <w:p w:rsidR="00056A07" w:rsidRPr="00313FD4" w:rsidRDefault="00056A07" w:rsidP="00831DB3">
            <w:pPr>
              <w:spacing w:line="480" w:lineRule="exact"/>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1.58</w:t>
            </w:r>
            <w:r w:rsidRPr="00313FD4">
              <w:rPr>
                <w:rFonts w:ascii="Arial" w:hAnsi="Arial" w:cs="Arial"/>
              </w:rPr>
              <w:t>±0.1</w:t>
            </w:r>
            <w:r>
              <w:rPr>
                <w:rFonts w:ascii="Arial" w:hAnsi="Arial" w:cs="Arial"/>
              </w:rPr>
              <w:t>0</w:t>
            </w:r>
          </w:p>
        </w:tc>
        <w:tc>
          <w:tcPr>
            <w:tcW w:w="1871" w:type="dxa"/>
            <w:tcBorders>
              <w:top w:val="single" w:sz="4" w:space="0" w:color="FFFFFF" w:themeColor="background1"/>
              <w:bottom w:val="single" w:sz="4" w:space="0" w:color="FFFFFF" w:themeColor="background1"/>
            </w:tcBorders>
            <w:shd w:val="clear" w:color="auto" w:fill="D9D9D9" w:themeFill="background1" w:themeFillShade="D9"/>
          </w:tcPr>
          <w:p w:rsidR="00056A07" w:rsidRPr="00313FD4" w:rsidRDefault="00056A07" w:rsidP="00831DB3">
            <w:pPr>
              <w:spacing w:line="480" w:lineRule="exact"/>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313FD4">
              <w:rPr>
                <w:rFonts w:ascii="Arial" w:hAnsi="Arial" w:cs="Arial"/>
              </w:rPr>
              <w:t>100</w:t>
            </w:r>
          </w:p>
        </w:tc>
        <w:tc>
          <w:tcPr>
            <w:tcW w:w="1871" w:type="dxa"/>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tcPr>
          <w:p w:rsidR="00056A07" w:rsidRPr="00313FD4" w:rsidRDefault="00056A07" w:rsidP="00831DB3">
            <w:pPr>
              <w:spacing w:line="480" w:lineRule="exact"/>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2.08±0.61</w:t>
            </w:r>
          </w:p>
        </w:tc>
        <w:tc>
          <w:tcPr>
            <w:tcW w:w="1871" w:type="dxa"/>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tcPr>
          <w:p w:rsidR="00056A07" w:rsidRDefault="00056A07" w:rsidP="00831DB3">
            <w:pPr>
              <w:spacing w:line="480" w:lineRule="exact"/>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10</w:t>
            </w:r>
          </w:p>
        </w:tc>
        <w:tc>
          <w:tcPr>
            <w:tcW w:w="1871" w:type="dxa"/>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tcPr>
          <w:p w:rsidR="00056A07" w:rsidRDefault="00056A07" w:rsidP="00831DB3">
            <w:pPr>
              <w:spacing w:line="480" w:lineRule="exact"/>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1.3</w:t>
            </w:r>
          </w:p>
        </w:tc>
      </w:tr>
      <w:tr w:rsidR="00056A07" w:rsidTr="005231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1" w:type="dxa"/>
            <w:tcBorders>
              <w:top w:val="single" w:sz="4" w:space="0" w:color="FFFFFF" w:themeColor="background1"/>
              <w:left w:val="single" w:sz="4" w:space="0" w:color="FFFFFF" w:themeColor="background1"/>
              <w:bottom w:val="single" w:sz="4" w:space="0" w:color="FFFFFF" w:themeColor="background1"/>
            </w:tcBorders>
            <w:shd w:val="clear" w:color="auto" w:fill="D9D9D9" w:themeFill="background1" w:themeFillShade="D9"/>
          </w:tcPr>
          <w:p w:rsidR="00056A07" w:rsidRPr="00313FD4" w:rsidRDefault="00056A07" w:rsidP="00831DB3">
            <w:pPr>
              <w:spacing w:line="480" w:lineRule="exact"/>
              <w:jc w:val="both"/>
              <w:rPr>
                <w:rFonts w:ascii="Arial" w:hAnsi="Arial" w:cs="Arial"/>
                <w:b w:val="0"/>
              </w:rPr>
            </w:pPr>
            <w:r>
              <w:rPr>
                <w:rFonts w:ascii="Arial" w:hAnsi="Arial" w:cs="Arial"/>
                <w:b w:val="0"/>
              </w:rPr>
              <w:t>ERN</w:t>
            </w:r>
          </w:p>
        </w:tc>
        <w:tc>
          <w:tcPr>
            <w:tcW w:w="1871" w:type="dxa"/>
            <w:tcBorders>
              <w:top w:val="single" w:sz="4" w:space="0" w:color="FFFFFF" w:themeColor="background1"/>
              <w:bottom w:val="single" w:sz="4" w:space="0" w:color="FFFFFF" w:themeColor="background1"/>
            </w:tcBorders>
            <w:shd w:val="clear" w:color="auto" w:fill="D9D9D9" w:themeFill="background1" w:themeFillShade="D9"/>
          </w:tcPr>
          <w:p w:rsidR="00056A07" w:rsidRPr="00313FD4" w:rsidRDefault="00056A07" w:rsidP="006E362E">
            <w:pPr>
              <w:spacing w:line="480" w:lineRule="exact"/>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10</w:t>
            </w:r>
          </w:p>
        </w:tc>
        <w:tc>
          <w:tcPr>
            <w:tcW w:w="1871" w:type="dxa"/>
            <w:tcBorders>
              <w:top w:val="single" w:sz="4" w:space="0" w:color="FFFFFF" w:themeColor="background1"/>
              <w:bottom w:val="single" w:sz="4" w:space="0" w:color="FFFFFF" w:themeColor="background1"/>
            </w:tcBorders>
            <w:shd w:val="clear" w:color="auto" w:fill="D9D9D9" w:themeFill="background1" w:themeFillShade="D9"/>
          </w:tcPr>
          <w:p w:rsidR="00056A07" w:rsidRPr="00313FD4" w:rsidRDefault="00056A07" w:rsidP="00831DB3">
            <w:pPr>
              <w:spacing w:line="480" w:lineRule="exact"/>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1.72</w:t>
            </w:r>
            <w:r w:rsidRPr="00313FD4">
              <w:rPr>
                <w:rFonts w:ascii="Arial" w:hAnsi="Arial" w:cs="Arial"/>
              </w:rPr>
              <w:t>±0.1</w:t>
            </w:r>
            <w:r>
              <w:rPr>
                <w:rFonts w:ascii="Arial" w:hAnsi="Arial" w:cs="Arial"/>
              </w:rPr>
              <w:t>3</w:t>
            </w:r>
          </w:p>
        </w:tc>
        <w:tc>
          <w:tcPr>
            <w:tcW w:w="1871" w:type="dxa"/>
            <w:tcBorders>
              <w:top w:val="single" w:sz="4" w:space="0" w:color="FFFFFF" w:themeColor="background1"/>
              <w:bottom w:val="single" w:sz="4" w:space="0" w:color="FFFFFF" w:themeColor="background1"/>
            </w:tcBorders>
            <w:shd w:val="clear" w:color="auto" w:fill="D9D9D9" w:themeFill="background1" w:themeFillShade="D9"/>
          </w:tcPr>
          <w:p w:rsidR="00056A07" w:rsidRPr="00313FD4" w:rsidRDefault="00056A07" w:rsidP="00831DB3">
            <w:pPr>
              <w:spacing w:line="480" w:lineRule="exact"/>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100</w:t>
            </w:r>
          </w:p>
        </w:tc>
        <w:tc>
          <w:tcPr>
            <w:tcW w:w="1871" w:type="dxa"/>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tcPr>
          <w:p w:rsidR="00056A07" w:rsidRPr="00313FD4" w:rsidRDefault="00056A07" w:rsidP="00831DB3">
            <w:pPr>
              <w:spacing w:line="480" w:lineRule="exact"/>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2.56±0.27</w:t>
            </w:r>
          </w:p>
        </w:tc>
        <w:tc>
          <w:tcPr>
            <w:tcW w:w="1871" w:type="dxa"/>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tcPr>
          <w:p w:rsidR="00056A07" w:rsidRDefault="00056A07" w:rsidP="00831DB3">
            <w:pPr>
              <w:spacing w:line="480" w:lineRule="exact"/>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10</w:t>
            </w:r>
          </w:p>
        </w:tc>
        <w:tc>
          <w:tcPr>
            <w:tcW w:w="1871" w:type="dxa"/>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tcPr>
          <w:p w:rsidR="00056A07" w:rsidRDefault="00056A07" w:rsidP="00831DB3">
            <w:pPr>
              <w:spacing w:line="480" w:lineRule="exact"/>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1.5</w:t>
            </w:r>
          </w:p>
        </w:tc>
      </w:tr>
      <w:tr w:rsidR="00056A07" w:rsidTr="00523137">
        <w:tc>
          <w:tcPr>
            <w:cnfStyle w:val="001000000000" w:firstRow="0" w:lastRow="0" w:firstColumn="1" w:lastColumn="0" w:oddVBand="0" w:evenVBand="0" w:oddHBand="0" w:evenHBand="0" w:firstRowFirstColumn="0" w:firstRowLastColumn="0" w:lastRowFirstColumn="0" w:lastRowLastColumn="0"/>
            <w:tcW w:w="1871" w:type="dxa"/>
            <w:tcBorders>
              <w:top w:val="single" w:sz="4" w:space="0" w:color="FFFFFF" w:themeColor="background1"/>
              <w:left w:val="single" w:sz="4" w:space="0" w:color="FFFFFF" w:themeColor="background1"/>
              <w:bottom w:val="single" w:sz="4" w:space="0" w:color="FFFFFF" w:themeColor="background1"/>
            </w:tcBorders>
            <w:shd w:val="clear" w:color="auto" w:fill="D9D9D9" w:themeFill="background1" w:themeFillShade="D9"/>
          </w:tcPr>
          <w:p w:rsidR="00056A07" w:rsidRDefault="00056A07" w:rsidP="00831DB3">
            <w:pPr>
              <w:spacing w:line="480" w:lineRule="exact"/>
              <w:jc w:val="both"/>
              <w:rPr>
                <w:rFonts w:ascii="Arial" w:hAnsi="Arial" w:cs="Arial"/>
                <w:b w:val="0"/>
              </w:rPr>
            </w:pPr>
            <w:r>
              <w:rPr>
                <w:rFonts w:ascii="Arial" w:hAnsi="Arial" w:cs="Arial"/>
                <w:b w:val="0"/>
              </w:rPr>
              <w:t>Suramin</w:t>
            </w:r>
            <w:r>
              <w:rPr>
                <w:rFonts w:ascii="Arial" w:hAnsi="Arial" w:cs="Arial"/>
                <w:b w:val="0"/>
                <w:vertAlign w:val="superscript"/>
              </w:rPr>
              <w:t>e</w:t>
            </w:r>
          </w:p>
        </w:tc>
        <w:tc>
          <w:tcPr>
            <w:tcW w:w="1871" w:type="dxa"/>
            <w:tcBorders>
              <w:top w:val="single" w:sz="4" w:space="0" w:color="FFFFFF" w:themeColor="background1"/>
              <w:bottom w:val="single" w:sz="4" w:space="0" w:color="FFFFFF" w:themeColor="background1"/>
            </w:tcBorders>
            <w:shd w:val="clear" w:color="auto" w:fill="D9D9D9" w:themeFill="background1" w:themeFillShade="D9"/>
          </w:tcPr>
          <w:p w:rsidR="00056A07" w:rsidRPr="00313FD4" w:rsidRDefault="00056A07" w:rsidP="006E362E">
            <w:pPr>
              <w:spacing w:line="480" w:lineRule="exact"/>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w:t>
            </w:r>
          </w:p>
        </w:tc>
        <w:tc>
          <w:tcPr>
            <w:tcW w:w="1871" w:type="dxa"/>
            <w:tcBorders>
              <w:top w:val="single" w:sz="4" w:space="0" w:color="FFFFFF" w:themeColor="background1"/>
              <w:bottom w:val="single" w:sz="4" w:space="0" w:color="FFFFFF" w:themeColor="background1"/>
            </w:tcBorders>
            <w:shd w:val="clear" w:color="auto" w:fill="D9D9D9" w:themeFill="background1" w:themeFillShade="D9"/>
          </w:tcPr>
          <w:p w:rsidR="00056A07" w:rsidRPr="00313FD4" w:rsidRDefault="00056A07" w:rsidP="00831DB3">
            <w:pPr>
              <w:spacing w:line="480" w:lineRule="exact"/>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0.032</w:t>
            </w:r>
            <w:r w:rsidRPr="00313FD4">
              <w:rPr>
                <w:rFonts w:ascii="Arial" w:hAnsi="Arial" w:cs="Arial"/>
              </w:rPr>
              <w:t>±</w:t>
            </w:r>
            <w:r>
              <w:rPr>
                <w:rFonts w:ascii="Arial" w:hAnsi="Arial" w:cs="Arial"/>
              </w:rPr>
              <w:t>0.005</w:t>
            </w:r>
          </w:p>
        </w:tc>
        <w:tc>
          <w:tcPr>
            <w:tcW w:w="1871" w:type="dxa"/>
            <w:tcBorders>
              <w:top w:val="single" w:sz="4" w:space="0" w:color="FFFFFF" w:themeColor="background1"/>
              <w:bottom w:val="single" w:sz="4" w:space="0" w:color="FFFFFF" w:themeColor="background1"/>
            </w:tcBorders>
            <w:shd w:val="clear" w:color="auto" w:fill="D9D9D9" w:themeFill="background1" w:themeFillShade="D9"/>
          </w:tcPr>
          <w:p w:rsidR="00056A07" w:rsidRPr="00313FD4" w:rsidRDefault="00056A07" w:rsidP="00831DB3">
            <w:pPr>
              <w:spacing w:line="480" w:lineRule="exact"/>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&gt;100</w:t>
            </w:r>
          </w:p>
        </w:tc>
        <w:tc>
          <w:tcPr>
            <w:tcW w:w="1871" w:type="dxa"/>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tcPr>
          <w:p w:rsidR="00056A07" w:rsidRPr="00313FD4" w:rsidRDefault="00056A07" w:rsidP="00831DB3">
            <w:pPr>
              <w:spacing w:line="480" w:lineRule="exact"/>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&gt;100</w:t>
            </w:r>
            <w:r>
              <w:rPr>
                <w:rFonts w:ascii="Arial" w:hAnsi="Arial" w:cs="Arial"/>
                <w:vertAlign w:val="superscript"/>
              </w:rPr>
              <w:t>f</w:t>
            </w:r>
          </w:p>
        </w:tc>
        <w:tc>
          <w:tcPr>
            <w:tcW w:w="1871" w:type="dxa"/>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tcPr>
          <w:p w:rsidR="00056A07" w:rsidRDefault="00056A07" w:rsidP="00831DB3">
            <w:pPr>
              <w:spacing w:line="480" w:lineRule="exact"/>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&gt;100</w:t>
            </w:r>
          </w:p>
        </w:tc>
        <w:tc>
          <w:tcPr>
            <w:tcW w:w="1871" w:type="dxa"/>
            <w:tcBorders>
              <w:top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tcPr>
          <w:p w:rsidR="00056A07" w:rsidRDefault="00056A07" w:rsidP="00831DB3">
            <w:pPr>
              <w:spacing w:line="480" w:lineRule="exact"/>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&gt;3124</w:t>
            </w:r>
          </w:p>
        </w:tc>
      </w:tr>
    </w:tbl>
    <w:p w:rsidR="002A74E1" w:rsidRPr="00313FD4" w:rsidRDefault="0060545A" w:rsidP="00056A07">
      <w:pPr>
        <w:spacing w:line="480" w:lineRule="exact"/>
        <w:rPr>
          <w:rFonts w:ascii="Arial" w:hAnsi="Arial" w:cs="Arial"/>
        </w:rPr>
      </w:pPr>
      <w:r w:rsidRPr="002B059A">
        <w:rPr>
          <w:rFonts w:ascii="Arial" w:hAnsi="Arial" w:cs="Arial"/>
          <w:vertAlign w:val="superscript"/>
        </w:rPr>
        <w:t>a</w:t>
      </w:r>
      <w:r w:rsidRPr="002B059A">
        <w:rPr>
          <w:rFonts w:ascii="Arial" w:hAnsi="Arial" w:cs="Arial"/>
        </w:rPr>
        <w:t xml:space="preserve"> </w:t>
      </w:r>
      <w:r w:rsidR="00BB2296" w:rsidRPr="002B059A">
        <w:rPr>
          <w:rFonts w:ascii="Arial" w:hAnsi="Arial" w:cs="Arial"/>
        </w:rPr>
        <w:t>Data</w:t>
      </w:r>
      <w:r w:rsidR="00AB7C62" w:rsidRPr="002B059A">
        <w:rPr>
          <w:rFonts w:ascii="Arial" w:hAnsi="Arial" w:cs="Arial"/>
        </w:rPr>
        <w:t xml:space="preserve"> shown are</w:t>
      </w:r>
      <w:r w:rsidR="00BB2296" w:rsidRPr="002B059A">
        <w:rPr>
          <w:rFonts w:ascii="Arial" w:hAnsi="Arial" w:cs="Arial"/>
        </w:rPr>
        <w:t xml:space="preserve"> mean</w:t>
      </w:r>
      <w:r w:rsidR="00AB7C62" w:rsidRPr="002B059A">
        <w:rPr>
          <w:rFonts w:ascii="Arial" w:hAnsi="Arial" w:cs="Arial"/>
        </w:rPr>
        <w:t xml:space="preserve"> values</w:t>
      </w:r>
      <w:r w:rsidR="00BB2296" w:rsidRPr="002B059A">
        <w:rPr>
          <w:rFonts w:ascii="Arial" w:hAnsi="Arial" w:cs="Arial"/>
        </w:rPr>
        <w:t xml:space="preserve"> of three independent experiments</w:t>
      </w:r>
      <w:r w:rsidRPr="002B059A">
        <w:rPr>
          <w:rFonts w:ascii="Arial" w:hAnsi="Arial" w:cs="Arial"/>
        </w:rPr>
        <w:t>;</w:t>
      </w:r>
      <w:r w:rsidR="00056A07" w:rsidRPr="002B059A">
        <w:rPr>
          <w:rFonts w:ascii="Arial" w:hAnsi="Arial" w:cs="Arial"/>
        </w:rPr>
        <w:t xml:space="preserve"> </w:t>
      </w:r>
      <w:r w:rsidR="00056A07" w:rsidRPr="002B059A">
        <w:rPr>
          <w:rFonts w:ascii="Arial" w:hAnsi="Arial" w:cs="Arial"/>
          <w:vertAlign w:val="superscript"/>
        </w:rPr>
        <w:t>b</w:t>
      </w:r>
      <w:r w:rsidR="00056A07" w:rsidRPr="002B059A">
        <w:rPr>
          <w:rFonts w:ascii="Arial" w:hAnsi="Arial" w:cs="Arial"/>
        </w:rPr>
        <w:t xml:space="preserve"> data </w:t>
      </w:r>
      <w:r w:rsidR="00056A07">
        <w:rPr>
          <w:rFonts w:ascii="Arial" w:hAnsi="Arial" w:cs="Arial"/>
        </w:rPr>
        <w:t xml:space="preserve">shown are mean values ± SD of three independent </w:t>
      </w:r>
      <w:r w:rsidR="00056A07" w:rsidRPr="002B059A">
        <w:rPr>
          <w:rFonts w:ascii="Arial" w:hAnsi="Arial" w:cs="Arial"/>
        </w:rPr>
        <w:t xml:space="preserve">experiments; </w:t>
      </w:r>
      <w:r w:rsidR="00056A07" w:rsidRPr="002B059A">
        <w:rPr>
          <w:rFonts w:ascii="Arial" w:hAnsi="Arial" w:cs="Arial"/>
          <w:vertAlign w:val="superscript"/>
        </w:rPr>
        <w:t>c</w:t>
      </w:r>
      <w:r w:rsidR="00056A07" w:rsidRPr="002B059A">
        <w:rPr>
          <w:rFonts w:ascii="Arial" w:hAnsi="Arial" w:cs="Arial"/>
        </w:rPr>
        <w:t xml:space="preserve"> defined as MIC</w:t>
      </w:r>
      <w:r w:rsidR="00056A07" w:rsidRPr="002B059A">
        <w:rPr>
          <w:rFonts w:ascii="Arial" w:hAnsi="Arial" w:cs="Arial"/>
          <w:vertAlign w:val="subscript"/>
        </w:rPr>
        <w:t>(HL-60)</w:t>
      </w:r>
      <w:r w:rsidR="00056A07" w:rsidRPr="002B059A">
        <w:rPr>
          <w:rFonts w:ascii="Arial" w:hAnsi="Arial" w:cs="Arial"/>
        </w:rPr>
        <w:t>/MIC</w:t>
      </w:r>
      <w:r w:rsidR="00056A07" w:rsidRPr="002B059A">
        <w:rPr>
          <w:rFonts w:ascii="Arial" w:hAnsi="Arial" w:cs="Arial"/>
          <w:vertAlign w:val="subscript"/>
        </w:rPr>
        <w:t>(</w:t>
      </w:r>
      <w:r w:rsidR="00056A07" w:rsidRPr="002B059A">
        <w:rPr>
          <w:rFonts w:ascii="Arial" w:hAnsi="Arial" w:cs="Arial"/>
          <w:i/>
          <w:iCs/>
          <w:vertAlign w:val="subscript"/>
        </w:rPr>
        <w:t>T. brucei</w:t>
      </w:r>
      <w:r w:rsidR="00056A07" w:rsidRPr="002B059A">
        <w:rPr>
          <w:rFonts w:ascii="Arial" w:hAnsi="Arial" w:cs="Arial"/>
          <w:vertAlign w:val="subscript"/>
        </w:rPr>
        <w:t>)</w:t>
      </w:r>
      <w:r w:rsidR="00056A07" w:rsidRPr="002B059A">
        <w:rPr>
          <w:rFonts w:ascii="Arial" w:hAnsi="Arial" w:cs="Arial"/>
        </w:rPr>
        <w:t>; d defined as GI</w:t>
      </w:r>
      <w:r w:rsidR="00056A07" w:rsidRPr="002B059A">
        <w:rPr>
          <w:rFonts w:ascii="Arial" w:hAnsi="Arial" w:cs="Arial"/>
          <w:vertAlign w:val="subscript"/>
        </w:rPr>
        <w:t>50(HL-60)</w:t>
      </w:r>
      <w:r w:rsidR="00056A07" w:rsidRPr="002B059A">
        <w:rPr>
          <w:rFonts w:ascii="Arial" w:hAnsi="Arial" w:cs="Arial"/>
        </w:rPr>
        <w:t>/GI</w:t>
      </w:r>
      <w:r w:rsidR="00056A07" w:rsidRPr="002B059A">
        <w:rPr>
          <w:rFonts w:ascii="Arial" w:hAnsi="Arial" w:cs="Arial"/>
          <w:vertAlign w:val="subscript"/>
        </w:rPr>
        <w:t>50(</w:t>
      </w:r>
      <w:r w:rsidR="00056A07" w:rsidRPr="002B059A">
        <w:rPr>
          <w:rFonts w:ascii="Arial" w:hAnsi="Arial" w:cs="Arial"/>
          <w:i/>
          <w:iCs/>
          <w:vertAlign w:val="subscript"/>
        </w:rPr>
        <w:t>T. brucei</w:t>
      </w:r>
      <w:r w:rsidR="00056A07" w:rsidRPr="002B059A">
        <w:rPr>
          <w:rFonts w:ascii="Arial" w:hAnsi="Arial" w:cs="Arial"/>
          <w:vertAlign w:val="subscript"/>
        </w:rPr>
        <w:t>)</w:t>
      </w:r>
      <w:r w:rsidR="00056A07" w:rsidRPr="002B059A">
        <w:rPr>
          <w:rFonts w:ascii="Arial" w:hAnsi="Arial" w:cs="Arial"/>
        </w:rPr>
        <w:t xml:space="preserve">; </w:t>
      </w:r>
      <w:r w:rsidR="00056A07" w:rsidRPr="002B059A">
        <w:rPr>
          <w:rFonts w:ascii="Arial" w:hAnsi="Arial" w:cs="Arial"/>
          <w:vertAlign w:val="superscript"/>
        </w:rPr>
        <w:t>e</w:t>
      </w:r>
      <w:r w:rsidR="00E96392" w:rsidRPr="002B059A">
        <w:rPr>
          <w:rFonts w:ascii="Arial" w:hAnsi="Arial" w:cs="Arial"/>
        </w:rPr>
        <w:t xml:space="preserve"> reference </w:t>
      </w:r>
      <w:r w:rsidR="00E96392">
        <w:rPr>
          <w:rFonts w:ascii="Arial" w:hAnsi="Arial" w:cs="Arial"/>
        </w:rPr>
        <w:t>control</w:t>
      </w:r>
      <w:r w:rsidR="002A74E1">
        <w:rPr>
          <w:rFonts w:ascii="Arial" w:hAnsi="Arial" w:cs="Arial"/>
        </w:rPr>
        <w:t xml:space="preserve">; </w:t>
      </w:r>
      <w:r w:rsidR="00056A07">
        <w:rPr>
          <w:rFonts w:ascii="Arial" w:hAnsi="Arial" w:cs="Arial"/>
          <w:vertAlign w:val="superscript"/>
        </w:rPr>
        <w:t>f</w:t>
      </w:r>
      <w:r w:rsidR="002A74E1">
        <w:rPr>
          <w:rFonts w:ascii="Arial" w:hAnsi="Arial" w:cs="Arial"/>
        </w:rPr>
        <w:t xml:space="preserve"> growth inhibition at 100 </w:t>
      </w:r>
      <w:r w:rsidR="002A74E1" w:rsidRPr="002A74E1">
        <w:rPr>
          <w:rFonts w:ascii="Arial" w:hAnsi="Arial" w:cs="Arial"/>
          <w:bCs/>
        </w:rPr>
        <w:t>µ</w:t>
      </w:r>
      <w:r w:rsidR="002A74E1">
        <w:rPr>
          <w:rFonts w:ascii="Arial" w:hAnsi="Arial" w:cs="Arial"/>
        </w:rPr>
        <w:t>M (the highest concentration tested) was 18.7±4.7%</w:t>
      </w:r>
    </w:p>
    <w:p w:rsidR="00056A07" w:rsidRDefault="00056A07">
      <w:pPr>
        <w:spacing w:after="200" w:line="276" w:lineRule="auto"/>
      </w:pPr>
    </w:p>
    <w:p w:rsidR="00056A07" w:rsidRDefault="00056A07">
      <w:pPr>
        <w:spacing w:after="200" w:line="276" w:lineRule="auto"/>
        <w:sectPr w:rsidR="00056A07" w:rsidSect="00036874">
          <w:pgSz w:w="16838" w:h="11906" w:orient="landscape"/>
          <w:pgMar w:top="1440" w:right="1440" w:bottom="1440" w:left="1440" w:header="709" w:footer="709" w:gutter="0"/>
          <w:cols w:space="708"/>
          <w:docGrid w:linePitch="360"/>
        </w:sectPr>
      </w:pPr>
    </w:p>
    <w:p w:rsidR="00CE3DA5" w:rsidRPr="002B059A" w:rsidRDefault="00FA0663" w:rsidP="00C03920">
      <w:pPr>
        <w:spacing w:line="480" w:lineRule="exact"/>
        <w:rPr>
          <w:rFonts w:ascii="Arial" w:hAnsi="Arial" w:cs="Arial"/>
          <w:b/>
        </w:rPr>
      </w:pPr>
      <w:r w:rsidRPr="002B059A">
        <w:rPr>
          <w:rFonts w:ascii="Arial" w:hAnsi="Arial" w:cs="Arial"/>
          <w:b/>
        </w:rPr>
        <w:lastRenderedPageBreak/>
        <w:t>Fig. 1</w:t>
      </w:r>
    </w:p>
    <w:p w:rsidR="00FA0663" w:rsidRDefault="00FA0663" w:rsidP="00C03920">
      <w:pPr>
        <w:spacing w:line="480" w:lineRule="exact"/>
        <w:rPr>
          <w:rFonts w:ascii="Arial" w:hAnsi="Arial" w:cs="Arial"/>
          <w:bCs/>
        </w:rPr>
      </w:pPr>
    </w:p>
    <w:p w:rsidR="00CE3DA5" w:rsidRDefault="00CE3DA5" w:rsidP="00CE3DA5">
      <w:pPr>
        <w:jc w:val="center"/>
        <w:rPr>
          <w:rFonts w:ascii="Arial" w:hAnsi="Arial" w:cs="Arial"/>
          <w:bCs/>
        </w:rPr>
      </w:pPr>
      <w:r>
        <w:rPr>
          <w:rFonts w:eastAsiaTheme="minorHAnsi"/>
          <w:lang w:eastAsia="en-US"/>
        </w:rPr>
        <w:object w:dxaOrig="2100" w:dyaOrig="7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39pt" o:ole="">
            <v:imagedata r:id="rId14" o:title=""/>
          </v:shape>
          <o:OLEObject Type="Embed" ProgID="MDLDrawOLE.MDLDrawObject.1" ShapeID="_x0000_i1025" DrawAspect="Content" ObjectID="_1483447397" r:id="rId15">
            <o:FieldCodes>\s</o:FieldCodes>
          </o:OLEObject>
        </w:object>
      </w:r>
    </w:p>
    <w:p w:rsidR="00CE3DA5" w:rsidRDefault="00CE3DA5" w:rsidP="00CE3DA5">
      <w:pPr>
        <w:jc w:val="center"/>
        <w:rPr>
          <w:rFonts w:ascii="Arial" w:hAnsi="Arial" w:cs="Arial"/>
          <w:bCs/>
        </w:rPr>
      </w:pPr>
      <w:r>
        <w:rPr>
          <w:rFonts w:ascii="Arial" w:hAnsi="Arial" w:cs="Arial"/>
          <w:bCs/>
        </w:rPr>
        <w:t>Allyl isothiocyanate (AITC)</w:t>
      </w:r>
    </w:p>
    <w:p w:rsidR="00CE3DA5" w:rsidRDefault="00CE3DA5" w:rsidP="00CE3DA5">
      <w:pPr>
        <w:rPr>
          <w:rFonts w:ascii="Arial" w:hAnsi="Arial" w:cs="Arial"/>
          <w:bCs/>
        </w:rPr>
      </w:pPr>
    </w:p>
    <w:p w:rsidR="00CE3DA5" w:rsidRDefault="00CE3DA5" w:rsidP="00CE3DA5">
      <w:pPr>
        <w:rPr>
          <w:rFonts w:ascii="Arial" w:hAnsi="Arial" w:cs="Arial"/>
          <w:bCs/>
        </w:rPr>
      </w:pPr>
    </w:p>
    <w:p w:rsidR="00CE3DA5" w:rsidRDefault="00762B4F" w:rsidP="00762B4F">
      <w:pPr>
        <w:jc w:val="center"/>
        <w:rPr>
          <w:rFonts w:ascii="Arial" w:hAnsi="Arial" w:cs="Arial"/>
          <w:bCs/>
        </w:rPr>
      </w:pPr>
      <w:r>
        <w:object w:dxaOrig="2416" w:dyaOrig="1380">
          <v:shape id="_x0000_i1026" type="#_x0000_t75" style="width:121pt;height:69pt" o:ole="">
            <v:imagedata r:id="rId16" o:title=""/>
          </v:shape>
          <o:OLEObject Type="Embed" ProgID="MDLDrawOLE.MDLDrawObject.1" ShapeID="_x0000_i1026" DrawAspect="Content" ObjectID="_1483447398" r:id="rId17">
            <o:FieldCodes>\s</o:FieldCodes>
          </o:OLEObject>
        </w:object>
      </w:r>
    </w:p>
    <w:p w:rsidR="00CE3DA5" w:rsidRDefault="00762B4F" w:rsidP="00762B4F">
      <w:pPr>
        <w:jc w:val="center"/>
        <w:rPr>
          <w:rFonts w:ascii="Arial" w:hAnsi="Arial" w:cs="Arial"/>
          <w:bCs/>
        </w:rPr>
      </w:pPr>
      <w:r>
        <w:rPr>
          <w:rFonts w:ascii="Arial" w:hAnsi="Arial" w:cs="Arial"/>
          <w:bCs/>
        </w:rPr>
        <w:t>Benzyl isothiocyanate (BITC)</w:t>
      </w:r>
    </w:p>
    <w:p w:rsidR="00CE3DA5" w:rsidRDefault="00CE3DA5" w:rsidP="00CE3DA5">
      <w:pPr>
        <w:rPr>
          <w:rFonts w:ascii="Arial" w:hAnsi="Arial" w:cs="Arial"/>
          <w:bCs/>
        </w:rPr>
      </w:pPr>
    </w:p>
    <w:p w:rsidR="00CE3DA5" w:rsidRDefault="00CE3DA5" w:rsidP="00CE3DA5">
      <w:pPr>
        <w:rPr>
          <w:rFonts w:ascii="Arial" w:hAnsi="Arial" w:cs="Arial"/>
          <w:bCs/>
        </w:rPr>
      </w:pPr>
    </w:p>
    <w:p w:rsidR="00CE3DA5" w:rsidRDefault="00FA0663" w:rsidP="00FA0663">
      <w:pPr>
        <w:jc w:val="center"/>
        <w:rPr>
          <w:rFonts w:ascii="Arial" w:hAnsi="Arial" w:cs="Arial"/>
          <w:bCs/>
        </w:rPr>
      </w:pPr>
      <w:r>
        <w:object w:dxaOrig="2760" w:dyaOrig="1155">
          <v:shape id="_x0000_i1027" type="#_x0000_t75" style="width:137.5pt;height:57.5pt" o:ole="">
            <v:imagedata r:id="rId18" o:title=""/>
          </v:shape>
          <o:OLEObject Type="Embed" ProgID="MDLDrawOLE.MDLDrawObject.1" ShapeID="_x0000_i1027" DrawAspect="Content" ObjectID="_1483447399" r:id="rId19">
            <o:FieldCodes>\s</o:FieldCodes>
          </o:OLEObject>
        </w:object>
      </w:r>
    </w:p>
    <w:p w:rsidR="00762B4F" w:rsidRDefault="00FA0663" w:rsidP="00FA0663">
      <w:pPr>
        <w:jc w:val="center"/>
        <w:rPr>
          <w:rFonts w:ascii="Arial" w:hAnsi="Arial" w:cs="Arial"/>
          <w:bCs/>
        </w:rPr>
      </w:pPr>
      <w:r>
        <w:rPr>
          <w:rFonts w:ascii="Arial" w:hAnsi="Arial" w:cs="Arial"/>
          <w:bCs/>
        </w:rPr>
        <w:t>Phenylethyl isothiocyanate (PEITC)</w:t>
      </w:r>
    </w:p>
    <w:p w:rsidR="00762B4F" w:rsidRDefault="00762B4F" w:rsidP="00CE3DA5">
      <w:pPr>
        <w:rPr>
          <w:rFonts w:ascii="Arial" w:hAnsi="Arial" w:cs="Arial"/>
          <w:bCs/>
        </w:rPr>
      </w:pPr>
    </w:p>
    <w:p w:rsidR="00762B4F" w:rsidRDefault="00762B4F" w:rsidP="00CE3DA5">
      <w:pPr>
        <w:rPr>
          <w:rFonts w:ascii="Arial" w:hAnsi="Arial" w:cs="Arial"/>
          <w:bCs/>
        </w:rPr>
      </w:pPr>
    </w:p>
    <w:p w:rsidR="00762B4F" w:rsidRDefault="00FA0663" w:rsidP="00FA0663">
      <w:pPr>
        <w:jc w:val="center"/>
        <w:rPr>
          <w:rFonts w:ascii="Arial" w:hAnsi="Arial" w:cs="Arial"/>
          <w:bCs/>
        </w:rPr>
      </w:pPr>
      <w:r>
        <w:object w:dxaOrig="2760" w:dyaOrig="1246">
          <v:shape id="_x0000_i1028" type="#_x0000_t75" style="width:137.5pt;height:62pt" o:ole="">
            <v:imagedata r:id="rId20" o:title=""/>
          </v:shape>
          <o:OLEObject Type="Embed" ProgID="MDLDrawOLE.MDLDrawObject.1" ShapeID="_x0000_i1028" DrawAspect="Content" ObjectID="_1483447400" r:id="rId21">
            <o:FieldCodes>\s</o:FieldCodes>
          </o:OLEObject>
        </w:object>
      </w:r>
    </w:p>
    <w:p w:rsidR="00762B4F" w:rsidRDefault="00FA0663" w:rsidP="00FA0663">
      <w:pPr>
        <w:jc w:val="center"/>
        <w:rPr>
          <w:rFonts w:ascii="Arial" w:hAnsi="Arial" w:cs="Arial"/>
          <w:bCs/>
        </w:rPr>
      </w:pPr>
      <w:r>
        <w:rPr>
          <w:rFonts w:ascii="Arial" w:hAnsi="Arial" w:cs="Arial"/>
          <w:bCs/>
        </w:rPr>
        <w:t>Iberin (IBN)</w:t>
      </w:r>
    </w:p>
    <w:p w:rsidR="00762B4F" w:rsidRDefault="00762B4F" w:rsidP="00CE3DA5">
      <w:pPr>
        <w:rPr>
          <w:rFonts w:ascii="Arial" w:hAnsi="Arial" w:cs="Arial"/>
          <w:bCs/>
        </w:rPr>
      </w:pPr>
    </w:p>
    <w:p w:rsidR="00762B4F" w:rsidRDefault="00762B4F" w:rsidP="00CE3DA5">
      <w:pPr>
        <w:rPr>
          <w:rFonts w:ascii="Arial" w:hAnsi="Arial" w:cs="Arial"/>
          <w:bCs/>
        </w:rPr>
      </w:pPr>
    </w:p>
    <w:p w:rsidR="00FA0663" w:rsidRDefault="00FA0663" w:rsidP="00FA0663">
      <w:pPr>
        <w:jc w:val="center"/>
        <w:rPr>
          <w:rFonts w:ascii="Arial" w:hAnsi="Arial" w:cs="Arial"/>
          <w:bCs/>
        </w:rPr>
      </w:pPr>
      <w:r>
        <w:object w:dxaOrig="3106" w:dyaOrig="1020">
          <v:shape id="_x0000_i1029" type="#_x0000_t75" style="width:155.5pt;height:50.5pt" o:ole="">
            <v:imagedata r:id="rId22" o:title=""/>
          </v:shape>
          <o:OLEObject Type="Embed" ProgID="MDLDrawOLE.MDLDrawObject.1" ShapeID="_x0000_i1029" DrawAspect="Content" ObjectID="_1483447401" r:id="rId23">
            <o:FieldCodes>\s</o:FieldCodes>
          </o:OLEObject>
        </w:object>
      </w:r>
    </w:p>
    <w:p w:rsidR="00FA0663" w:rsidRDefault="00FA0663" w:rsidP="00FA0663">
      <w:pPr>
        <w:jc w:val="center"/>
        <w:rPr>
          <w:rFonts w:ascii="Arial" w:hAnsi="Arial" w:cs="Arial"/>
          <w:bCs/>
        </w:rPr>
      </w:pPr>
      <w:r>
        <w:rPr>
          <w:rFonts w:ascii="Arial" w:hAnsi="Arial" w:cs="Arial"/>
          <w:bCs/>
        </w:rPr>
        <w:t>Sulforaphane (SFN)</w:t>
      </w:r>
    </w:p>
    <w:p w:rsidR="00FA0663" w:rsidRDefault="00FA0663" w:rsidP="00CE3DA5">
      <w:pPr>
        <w:rPr>
          <w:rFonts w:ascii="Arial" w:hAnsi="Arial" w:cs="Arial"/>
          <w:bCs/>
        </w:rPr>
      </w:pPr>
    </w:p>
    <w:p w:rsidR="00FA0663" w:rsidRDefault="00FA0663" w:rsidP="00CE3DA5">
      <w:pPr>
        <w:rPr>
          <w:rFonts w:ascii="Arial" w:hAnsi="Arial" w:cs="Arial"/>
          <w:bCs/>
        </w:rPr>
      </w:pPr>
    </w:p>
    <w:p w:rsidR="00FA0663" w:rsidRDefault="00FA0663" w:rsidP="00FA0663">
      <w:pPr>
        <w:jc w:val="center"/>
        <w:rPr>
          <w:rFonts w:ascii="Arial" w:hAnsi="Arial" w:cs="Arial"/>
          <w:bCs/>
        </w:rPr>
      </w:pPr>
      <w:r>
        <w:object w:dxaOrig="3106" w:dyaOrig="855">
          <v:shape id="_x0000_i1030" type="#_x0000_t75" style="width:155.5pt;height:42.5pt" o:ole="">
            <v:imagedata r:id="rId24" o:title=""/>
          </v:shape>
          <o:OLEObject Type="Embed" ProgID="MDLDrawOLE.MDLDrawObject.1" ShapeID="_x0000_i1030" DrawAspect="Content" ObjectID="_1483447402" r:id="rId25">
            <o:FieldCodes>\s</o:FieldCodes>
          </o:OLEObject>
        </w:object>
      </w:r>
    </w:p>
    <w:p w:rsidR="00FA0663" w:rsidRPr="00CE3DA5" w:rsidRDefault="00FA0663" w:rsidP="00FA0663">
      <w:pPr>
        <w:jc w:val="center"/>
        <w:rPr>
          <w:rFonts w:ascii="Arial" w:hAnsi="Arial" w:cs="Arial"/>
          <w:bCs/>
        </w:rPr>
      </w:pPr>
      <w:r>
        <w:rPr>
          <w:rFonts w:ascii="Arial" w:hAnsi="Arial" w:cs="Arial"/>
          <w:bCs/>
        </w:rPr>
        <w:t>Erucin (ERN)</w:t>
      </w:r>
    </w:p>
    <w:p w:rsidR="00CE3DA5" w:rsidRDefault="00CE3DA5">
      <w:pPr>
        <w:spacing w:after="200" w:line="276" w:lineRule="auto"/>
        <w:rPr>
          <w:rFonts w:ascii="Arial" w:hAnsi="Arial" w:cs="Arial"/>
          <w:b/>
        </w:rPr>
      </w:pPr>
      <w:r>
        <w:rPr>
          <w:rFonts w:ascii="Arial" w:hAnsi="Arial" w:cs="Arial"/>
          <w:b/>
        </w:rPr>
        <w:br w:type="page"/>
      </w:r>
    </w:p>
    <w:p w:rsidR="00CE3DA5" w:rsidRPr="002B059A" w:rsidRDefault="00AD5ECE" w:rsidP="00C03920">
      <w:pPr>
        <w:spacing w:line="480" w:lineRule="exact"/>
        <w:rPr>
          <w:rFonts w:ascii="Arial" w:hAnsi="Arial" w:cs="Arial"/>
          <w:b/>
        </w:rPr>
      </w:pPr>
      <w:r w:rsidRPr="002B059A">
        <w:rPr>
          <w:rFonts w:ascii="Arial" w:hAnsi="Arial" w:cs="Arial"/>
          <w:b/>
        </w:rPr>
        <w:lastRenderedPageBreak/>
        <w:t>Fig. 2</w:t>
      </w:r>
    </w:p>
    <w:p w:rsidR="00AD5ECE" w:rsidRDefault="00AD5ECE" w:rsidP="00AD5ECE">
      <w:pPr>
        <w:rPr>
          <w:rFonts w:ascii="Arial" w:hAnsi="Arial" w:cs="Arial"/>
          <w:bCs/>
        </w:rPr>
      </w:pPr>
    </w:p>
    <w:p w:rsidR="00AD5ECE" w:rsidRPr="00AD5ECE" w:rsidRDefault="00AD5ECE" w:rsidP="00AD5ECE">
      <w:pPr>
        <w:ind w:firstLine="851"/>
        <w:rPr>
          <w:rFonts w:ascii="Arial" w:hAnsi="Arial" w:cs="Arial"/>
          <w:b/>
        </w:rPr>
      </w:pPr>
      <w:r w:rsidRPr="00AD5ECE">
        <w:rPr>
          <w:rFonts w:ascii="Arial" w:hAnsi="Arial" w:cs="Arial"/>
          <w:b/>
        </w:rPr>
        <w:t>A</w:t>
      </w:r>
    </w:p>
    <w:p w:rsidR="00AD5ECE" w:rsidRDefault="00AD5ECE" w:rsidP="00AD5ECE">
      <w:pPr>
        <w:jc w:val="center"/>
        <w:rPr>
          <w:rFonts w:ascii="Arial" w:hAnsi="Arial" w:cs="Arial"/>
          <w:bCs/>
        </w:rPr>
      </w:pPr>
      <w:r>
        <w:rPr>
          <w:noProof/>
        </w:rPr>
        <w:drawing>
          <wp:inline distT="0" distB="0" distL="0" distR="0" wp14:anchorId="7547E6CE" wp14:editId="41514AB1">
            <wp:extent cx="4680000" cy="3240000"/>
            <wp:effectExtent l="0" t="0" r="25400" b="1778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AD5ECE" w:rsidRDefault="00AD5ECE" w:rsidP="00AD5ECE">
      <w:pPr>
        <w:rPr>
          <w:rFonts w:ascii="Arial" w:hAnsi="Arial" w:cs="Arial"/>
          <w:bCs/>
        </w:rPr>
      </w:pPr>
    </w:p>
    <w:p w:rsidR="00AD5ECE" w:rsidRDefault="00AD5ECE" w:rsidP="00AD5ECE">
      <w:pPr>
        <w:rPr>
          <w:rFonts w:ascii="Arial" w:hAnsi="Arial" w:cs="Arial"/>
          <w:bCs/>
        </w:rPr>
      </w:pPr>
    </w:p>
    <w:p w:rsidR="00AD5ECE" w:rsidRDefault="00AD5ECE" w:rsidP="00AD5ECE">
      <w:pPr>
        <w:rPr>
          <w:rFonts w:ascii="Arial" w:hAnsi="Arial" w:cs="Arial"/>
          <w:bCs/>
        </w:rPr>
      </w:pPr>
    </w:p>
    <w:p w:rsidR="008B3965" w:rsidRPr="008B3965" w:rsidRDefault="008B3965" w:rsidP="008B3965">
      <w:pPr>
        <w:ind w:firstLine="851"/>
        <w:rPr>
          <w:rFonts w:ascii="Arial" w:hAnsi="Arial" w:cs="Arial"/>
          <w:b/>
        </w:rPr>
      </w:pPr>
      <w:r w:rsidRPr="008B3965">
        <w:rPr>
          <w:rFonts w:ascii="Arial" w:hAnsi="Arial" w:cs="Arial"/>
          <w:b/>
        </w:rPr>
        <w:t>B</w:t>
      </w:r>
    </w:p>
    <w:p w:rsidR="00AD5ECE" w:rsidRDefault="008B3965" w:rsidP="008B3965">
      <w:pPr>
        <w:jc w:val="center"/>
        <w:rPr>
          <w:rFonts w:ascii="Arial" w:hAnsi="Arial" w:cs="Arial"/>
          <w:bCs/>
        </w:rPr>
      </w:pPr>
      <w:r>
        <w:rPr>
          <w:noProof/>
        </w:rPr>
        <w:drawing>
          <wp:inline distT="0" distB="0" distL="0" distR="0" wp14:anchorId="1521AC3B" wp14:editId="6FF2DBE3">
            <wp:extent cx="4680000" cy="3240000"/>
            <wp:effectExtent l="0" t="0" r="25400" b="1778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AD5ECE" w:rsidRPr="00C73196" w:rsidRDefault="00AD5ECE" w:rsidP="00AD5ECE">
      <w:pPr>
        <w:rPr>
          <w:rFonts w:ascii="Arial" w:hAnsi="Arial" w:cs="Arial"/>
          <w:bCs/>
        </w:rPr>
      </w:pPr>
    </w:p>
    <w:p w:rsidR="00AD5ECE" w:rsidRDefault="00AD5ECE">
      <w:pPr>
        <w:spacing w:after="200" w:line="276" w:lineRule="auto"/>
        <w:rPr>
          <w:rFonts w:ascii="Arial" w:hAnsi="Arial" w:cs="Arial"/>
          <w:bCs/>
        </w:rPr>
      </w:pPr>
      <w:r>
        <w:rPr>
          <w:rFonts w:ascii="Arial" w:hAnsi="Arial" w:cs="Arial"/>
          <w:bCs/>
        </w:rPr>
        <w:br w:type="page"/>
      </w:r>
    </w:p>
    <w:p w:rsidR="006D541C" w:rsidRPr="00C03920" w:rsidRDefault="00C03920" w:rsidP="00C03920">
      <w:pPr>
        <w:spacing w:line="480" w:lineRule="exact"/>
        <w:rPr>
          <w:rFonts w:ascii="Arial" w:hAnsi="Arial" w:cs="Arial"/>
          <w:b/>
        </w:rPr>
      </w:pPr>
      <w:r w:rsidRPr="00C03920">
        <w:rPr>
          <w:rFonts w:ascii="Arial" w:hAnsi="Arial" w:cs="Arial"/>
          <w:b/>
        </w:rPr>
        <w:lastRenderedPageBreak/>
        <w:t>Fig</w:t>
      </w:r>
      <w:r w:rsidR="00CE3DA5">
        <w:rPr>
          <w:rFonts w:ascii="Arial" w:hAnsi="Arial" w:cs="Arial"/>
          <w:b/>
        </w:rPr>
        <w:t>. 3</w:t>
      </w:r>
    </w:p>
    <w:p w:rsidR="00852FCC" w:rsidRPr="00CE3DA5" w:rsidRDefault="00CE3DA5" w:rsidP="00AD7297">
      <w:pPr>
        <w:ind w:firstLine="851"/>
        <w:rPr>
          <w:rFonts w:ascii="Arial" w:hAnsi="Arial" w:cs="Arial"/>
          <w:b/>
          <w:bCs/>
        </w:rPr>
      </w:pPr>
      <w:r w:rsidRPr="00CE3DA5">
        <w:rPr>
          <w:rFonts w:ascii="Arial" w:hAnsi="Arial" w:cs="Arial"/>
          <w:b/>
          <w:bCs/>
        </w:rPr>
        <w:t>A</w:t>
      </w:r>
    </w:p>
    <w:p w:rsidR="00E8532D" w:rsidRDefault="00AD7297" w:rsidP="00C03920">
      <w:pPr>
        <w:jc w:val="center"/>
      </w:pPr>
      <w:r>
        <w:rPr>
          <w:noProof/>
        </w:rPr>
        <w:drawing>
          <wp:inline distT="0" distB="0" distL="0" distR="0" wp14:anchorId="0BF5CD61" wp14:editId="5117BEF3">
            <wp:extent cx="4691112" cy="3240000"/>
            <wp:effectExtent l="0" t="0" r="14605" b="1778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852FCC" w:rsidRDefault="00852FCC" w:rsidP="00AD7297">
      <w:pPr>
        <w:jc w:val="both"/>
      </w:pPr>
    </w:p>
    <w:p w:rsidR="00AD7297" w:rsidRDefault="00AD7297" w:rsidP="00AD7297">
      <w:pPr>
        <w:jc w:val="both"/>
      </w:pPr>
    </w:p>
    <w:p w:rsidR="00AD7297" w:rsidRPr="002B059A" w:rsidRDefault="00AD7297" w:rsidP="00AD7297">
      <w:pPr>
        <w:ind w:firstLine="851"/>
        <w:jc w:val="both"/>
        <w:rPr>
          <w:rFonts w:asciiTheme="minorBidi" w:hAnsiTheme="minorBidi" w:cstheme="minorBidi"/>
          <w:b/>
          <w:bCs/>
        </w:rPr>
      </w:pPr>
      <w:r w:rsidRPr="002B059A">
        <w:rPr>
          <w:rFonts w:asciiTheme="minorBidi" w:hAnsiTheme="minorBidi" w:cstheme="minorBidi"/>
          <w:b/>
          <w:bCs/>
        </w:rPr>
        <w:t>B</w:t>
      </w:r>
    </w:p>
    <w:p w:rsidR="00AD7297" w:rsidRDefault="00AD7297" w:rsidP="00AD7297">
      <w:pPr>
        <w:jc w:val="center"/>
      </w:pPr>
      <w:r>
        <w:rPr>
          <w:noProof/>
        </w:rPr>
        <w:drawing>
          <wp:inline distT="0" distB="0" distL="0" distR="0" wp14:anchorId="65595EC5" wp14:editId="733A17CE">
            <wp:extent cx="4691112" cy="3240000"/>
            <wp:effectExtent l="0" t="0" r="14605" b="1778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AD7297" w:rsidRDefault="00AD7297" w:rsidP="00C03920">
      <w:pPr>
        <w:spacing w:line="480" w:lineRule="exact"/>
        <w:jc w:val="both"/>
      </w:pPr>
    </w:p>
    <w:sectPr w:rsidR="00AD7297" w:rsidSect="00036874">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04A3" w:rsidRDefault="002704A3" w:rsidP="001A3391">
      <w:r>
        <w:separator/>
      </w:r>
    </w:p>
  </w:endnote>
  <w:endnote w:type="continuationSeparator" w:id="0">
    <w:p w:rsidR="002704A3" w:rsidRDefault="002704A3" w:rsidP="001A33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4A3" w:rsidRDefault="002704A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07975932"/>
      <w:docPartObj>
        <w:docPartGallery w:val="Page Numbers (Bottom of Page)"/>
        <w:docPartUnique/>
      </w:docPartObj>
    </w:sdtPr>
    <w:sdtEndPr/>
    <w:sdtContent>
      <w:p w:rsidR="002704A3" w:rsidRDefault="002704A3">
        <w:pPr>
          <w:pStyle w:val="Footer"/>
          <w:jc w:val="center"/>
        </w:pPr>
        <w:r>
          <w:fldChar w:fldCharType="begin"/>
        </w:r>
        <w:r>
          <w:instrText xml:space="preserve"> PAGE   \* MERGEFORMAT </w:instrText>
        </w:r>
        <w:r>
          <w:fldChar w:fldCharType="separate"/>
        </w:r>
        <w:r w:rsidR="005940D9">
          <w:rPr>
            <w:noProof/>
          </w:rPr>
          <w:t>14</w:t>
        </w:r>
        <w:r>
          <w:rPr>
            <w:noProof/>
          </w:rPr>
          <w:fldChar w:fldCharType="end"/>
        </w:r>
      </w:p>
    </w:sdtContent>
  </w:sdt>
  <w:p w:rsidR="002704A3" w:rsidRDefault="002704A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4A3" w:rsidRDefault="002704A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04A3" w:rsidRDefault="002704A3" w:rsidP="001A3391">
      <w:r>
        <w:separator/>
      </w:r>
    </w:p>
  </w:footnote>
  <w:footnote w:type="continuationSeparator" w:id="0">
    <w:p w:rsidR="002704A3" w:rsidRDefault="002704A3" w:rsidP="001A33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4A3" w:rsidRDefault="002704A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4A3" w:rsidRDefault="002704A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4A3" w:rsidRDefault="002704A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BB52578"/>
    <w:multiLevelType w:val="hybridMultilevel"/>
    <w:tmpl w:val="C50253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0CA9"/>
    <w:rsid w:val="00000B11"/>
    <w:rsid w:val="0000645F"/>
    <w:rsid w:val="00013D50"/>
    <w:rsid w:val="0001451E"/>
    <w:rsid w:val="00020813"/>
    <w:rsid w:val="00022923"/>
    <w:rsid w:val="00036874"/>
    <w:rsid w:val="00040A10"/>
    <w:rsid w:val="00056A07"/>
    <w:rsid w:val="00060E0B"/>
    <w:rsid w:val="00064575"/>
    <w:rsid w:val="000724BA"/>
    <w:rsid w:val="000742B8"/>
    <w:rsid w:val="00074E05"/>
    <w:rsid w:val="00074FF5"/>
    <w:rsid w:val="000835F8"/>
    <w:rsid w:val="00085238"/>
    <w:rsid w:val="00093256"/>
    <w:rsid w:val="000A655D"/>
    <w:rsid w:val="000A69ED"/>
    <w:rsid w:val="000B1023"/>
    <w:rsid w:val="000B1103"/>
    <w:rsid w:val="000C0880"/>
    <w:rsid w:val="000C0A5E"/>
    <w:rsid w:val="000C2CCD"/>
    <w:rsid w:val="000C2F86"/>
    <w:rsid w:val="000C59D2"/>
    <w:rsid w:val="000D1403"/>
    <w:rsid w:val="000E153C"/>
    <w:rsid w:val="000E5AA1"/>
    <w:rsid w:val="000E7204"/>
    <w:rsid w:val="000E7377"/>
    <w:rsid w:val="000F0A99"/>
    <w:rsid w:val="000F2577"/>
    <w:rsid w:val="00104DDD"/>
    <w:rsid w:val="00110206"/>
    <w:rsid w:val="0011124A"/>
    <w:rsid w:val="00112E79"/>
    <w:rsid w:val="0011416A"/>
    <w:rsid w:val="00115431"/>
    <w:rsid w:val="00124802"/>
    <w:rsid w:val="00136284"/>
    <w:rsid w:val="0014211C"/>
    <w:rsid w:val="00143665"/>
    <w:rsid w:val="0015202C"/>
    <w:rsid w:val="00157D29"/>
    <w:rsid w:val="00160039"/>
    <w:rsid w:val="001607DA"/>
    <w:rsid w:val="00167AF8"/>
    <w:rsid w:val="00172CC9"/>
    <w:rsid w:val="00172FF7"/>
    <w:rsid w:val="00177F70"/>
    <w:rsid w:val="00185245"/>
    <w:rsid w:val="00187184"/>
    <w:rsid w:val="001952CD"/>
    <w:rsid w:val="0019640A"/>
    <w:rsid w:val="001A0DDA"/>
    <w:rsid w:val="001A1345"/>
    <w:rsid w:val="001A3391"/>
    <w:rsid w:val="001A517C"/>
    <w:rsid w:val="001A589C"/>
    <w:rsid w:val="001B02A5"/>
    <w:rsid w:val="001B3619"/>
    <w:rsid w:val="001B40F0"/>
    <w:rsid w:val="001C4007"/>
    <w:rsid w:val="001E4721"/>
    <w:rsid w:val="001F141E"/>
    <w:rsid w:val="001F645E"/>
    <w:rsid w:val="00206F58"/>
    <w:rsid w:val="00210540"/>
    <w:rsid w:val="00213DEF"/>
    <w:rsid w:val="00214699"/>
    <w:rsid w:val="00217660"/>
    <w:rsid w:val="002253CA"/>
    <w:rsid w:val="0023138C"/>
    <w:rsid w:val="00236523"/>
    <w:rsid w:val="00245D8C"/>
    <w:rsid w:val="002552C7"/>
    <w:rsid w:val="002605C4"/>
    <w:rsid w:val="002615D5"/>
    <w:rsid w:val="002704A3"/>
    <w:rsid w:val="0027198C"/>
    <w:rsid w:val="00283006"/>
    <w:rsid w:val="00297953"/>
    <w:rsid w:val="002A06C3"/>
    <w:rsid w:val="002A2A4C"/>
    <w:rsid w:val="002A73FE"/>
    <w:rsid w:val="002A74E1"/>
    <w:rsid w:val="002B059A"/>
    <w:rsid w:val="002D06C6"/>
    <w:rsid w:val="002D4571"/>
    <w:rsid w:val="002F7626"/>
    <w:rsid w:val="0030260D"/>
    <w:rsid w:val="0030662B"/>
    <w:rsid w:val="00313FD4"/>
    <w:rsid w:val="00316D0F"/>
    <w:rsid w:val="00325E1E"/>
    <w:rsid w:val="0032617E"/>
    <w:rsid w:val="00327371"/>
    <w:rsid w:val="00330736"/>
    <w:rsid w:val="00343CF8"/>
    <w:rsid w:val="00357055"/>
    <w:rsid w:val="00361EF0"/>
    <w:rsid w:val="00364AF4"/>
    <w:rsid w:val="00373278"/>
    <w:rsid w:val="00374618"/>
    <w:rsid w:val="00376B91"/>
    <w:rsid w:val="003818EE"/>
    <w:rsid w:val="00382845"/>
    <w:rsid w:val="0039673F"/>
    <w:rsid w:val="003A0F20"/>
    <w:rsid w:val="003A33B6"/>
    <w:rsid w:val="003A526E"/>
    <w:rsid w:val="003A611D"/>
    <w:rsid w:val="003C5E61"/>
    <w:rsid w:val="003D0E9F"/>
    <w:rsid w:val="003D1A9E"/>
    <w:rsid w:val="003E336D"/>
    <w:rsid w:val="003E58CD"/>
    <w:rsid w:val="003F0F3E"/>
    <w:rsid w:val="003F6B2E"/>
    <w:rsid w:val="003F73C4"/>
    <w:rsid w:val="00405D36"/>
    <w:rsid w:val="00413AE5"/>
    <w:rsid w:val="004154A6"/>
    <w:rsid w:val="0042081F"/>
    <w:rsid w:val="00426464"/>
    <w:rsid w:val="00430D06"/>
    <w:rsid w:val="004348B3"/>
    <w:rsid w:val="0044472A"/>
    <w:rsid w:val="004618F7"/>
    <w:rsid w:val="00464182"/>
    <w:rsid w:val="00464C28"/>
    <w:rsid w:val="00464E66"/>
    <w:rsid w:val="004654ED"/>
    <w:rsid w:val="00467BA3"/>
    <w:rsid w:val="00472595"/>
    <w:rsid w:val="00472D39"/>
    <w:rsid w:val="00475A11"/>
    <w:rsid w:val="0048442F"/>
    <w:rsid w:val="00484B7D"/>
    <w:rsid w:val="0049106D"/>
    <w:rsid w:val="00496B07"/>
    <w:rsid w:val="004A0E93"/>
    <w:rsid w:val="004A2046"/>
    <w:rsid w:val="004A5A0F"/>
    <w:rsid w:val="004B4020"/>
    <w:rsid w:val="004B43AA"/>
    <w:rsid w:val="004C0116"/>
    <w:rsid w:val="004C361E"/>
    <w:rsid w:val="004D097C"/>
    <w:rsid w:val="004D1947"/>
    <w:rsid w:val="004E4C4D"/>
    <w:rsid w:val="0050323F"/>
    <w:rsid w:val="005037BD"/>
    <w:rsid w:val="00506959"/>
    <w:rsid w:val="005071C2"/>
    <w:rsid w:val="00511FBA"/>
    <w:rsid w:val="00522941"/>
    <w:rsid w:val="00523098"/>
    <w:rsid w:val="00523137"/>
    <w:rsid w:val="005244A5"/>
    <w:rsid w:val="00545B04"/>
    <w:rsid w:val="0054743B"/>
    <w:rsid w:val="00574470"/>
    <w:rsid w:val="00575A56"/>
    <w:rsid w:val="0057660E"/>
    <w:rsid w:val="00577706"/>
    <w:rsid w:val="00581555"/>
    <w:rsid w:val="00591128"/>
    <w:rsid w:val="00591BDE"/>
    <w:rsid w:val="005940D9"/>
    <w:rsid w:val="00595273"/>
    <w:rsid w:val="00595983"/>
    <w:rsid w:val="005A7751"/>
    <w:rsid w:val="005B4F6F"/>
    <w:rsid w:val="005B5107"/>
    <w:rsid w:val="005C35BC"/>
    <w:rsid w:val="005E082C"/>
    <w:rsid w:val="005E35DA"/>
    <w:rsid w:val="005E608C"/>
    <w:rsid w:val="005F1F6F"/>
    <w:rsid w:val="00601A2F"/>
    <w:rsid w:val="0060545A"/>
    <w:rsid w:val="006068D9"/>
    <w:rsid w:val="006073DD"/>
    <w:rsid w:val="006102E1"/>
    <w:rsid w:val="006114D3"/>
    <w:rsid w:val="006119F5"/>
    <w:rsid w:val="00614CB8"/>
    <w:rsid w:val="00625341"/>
    <w:rsid w:val="006264FA"/>
    <w:rsid w:val="00633E58"/>
    <w:rsid w:val="00634739"/>
    <w:rsid w:val="006365DF"/>
    <w:rsid w:val="00641775"/>
    <w:rsid w:val="00645C47"/>
    <w:rsid w:val="00647ABD"/>
    <w:rsid w:val="00652DA5"/>
    <w:rsid w:val="006604F5"/>
    <w:rsid w:val="006612B4"/>
    <w:rsid w:val="0066362F"/>
    <w:rsid w:val="00664170"/>
    <w:rsid w:val="00665FDF"/>
    <w:rsid w:val="00687371"/>
    <w:rsid w:val="00691972"/>
    <w:rsid w:val="00697B16"/>
    <w:rsid w:val="006A22AA"/>
    <w:rsid w:val="006A31D6"/>
    <w:rsid w:val="006B2087"/>
    <w:rsid w:val="006C289A"/>
    <w:rsid w:val="006D0EF8"/>
    <w:rsid w:val="006D29D1"/>
    <w:rsid w:val="006D541C"/>
    <w:rsid w:val="006E2281"/>
    <w:rsid w:val="006E362E"/>
    <w:rsid w:val="006E7F90"/>
    <w:rsid w:val="006F1D4B"/>
    <w:rsid w:val="00701729"/>
    <w:rsid w:val="00714E6F"/>
    <w:rsid w:val="00720ACC"/>
    <w:rsid w:val="0072233D"/>
    <w:rsid w:val="00727455"/>
    <w:rsid w:val="00733C3D"/>
    <w:rsid w:val="00745600"/>
    <w:rsid w:val="00745CC0"/>
    <w:rsid w:val="00747BFC"/>
    <w:rsid w:val="00756691"/>
    <w:rsid w:val="0075735D"/>
    <w:rsid w:val="007576B8"/>
    <w:rsid w:val="00760D75"/>
    <w:rsid w:val="00762B4F"/>
    <w:rsid w:val="00777A2F"/>
    <w:rsid w:val="0078099B"/>
    <w:rsid w:val="00785123"/>
    <w:rsid w:val="007872BD"/>
    <w:rsid w:val="00787CE0"/>
    <w:rsid w:val="00793F72"/>
    <w:rsid w:val="00795B91"/>
    <w:rsid w:val="00796C55"/>
    <w:rsid w:val="007A11AF"/>
    <w:rsid w:val="007B2BEC"/>
    <w:rsid w:val="007C4BB4"/>
    <w:rsid w:val="007D233C"/>
    <w:rsid w:val="007D4D53"/>
    <w:rsid w:val="007D56B1"/>
    <w:rsid w:val="007D5A60"/>
    <w:rsid w:val="007F3B38"/>
    <w:rsid w:val="007F6EA4"/>
    <w:rsid w:val="00803D79"/>
    <w:rsid w:val="00812C34"/>
    <w:rsid w:val="0082535B"/>
    <w:rsid w:val="00831DB3"/>
    <w:rsid w:val="008462CE"/>
    <w:rsid w:val="00846FD3"/>
    <w:rsid w:val="00847044"/>
    <w:rsid w:val="00852FCC"/>
    <w:rsid w:val="008607CE"/>
    <w:rsid w:val="00866E0E"/>
    <w:rsid w:val="00866E82"/>
    <w:rsid w:val="00866F86"/>
    <w:rsid w:val="00870BDB"/>
    <w:rsid w:val="008744C3"/>
    <w:rsid w:val="00881F33"/>
    <w:rsid w:val="0088311E"/>
    <w:rsid w:val="00887F3E"/>
    <w:rsid w:val="00894060"/>
    <w:rsid w:val="00895F8F"/>
    <w:rsid w:val="008B1752"/>
    <w:rsid w:val="008B3965"/>
    <w:rsid w:val="008B5F6A"/>
    <w:rsid w:val="008C11B8"/>
    <w:rsid w:val="008C1A39"/>
    <w:rsid w:val="008C528F"/>
    <w:rsid w:val="008C5947"/>
    <w:rsid w:val="008D077C"/>
    <w:rsid w:val="008D5FD2"/>
    <w:rsid w:val="008E201C"/>
    <w:rsid w:val="008E2A82"/>
    <w:rsid w:val="008E645C"/>
    <w:rsid w:val="008E6647"/>
    <w:rsid w:val="008F07CA"/>
    <w:rsid w:val="008F111D"/>
    <w:rsid w:val="009004E4"/>
    <w:rsid w:val="00901BC2"/>
    <w:rsid w:val="00905499"/>
    <w:rsid w:val="00915462"/>
    <w:rsid w:val="00920E72"/>
    <w:rsid w:val="00926712"/>
    <w:rsid w:val="00926CB3"/>
    <w:rsid w:val="00932DBE"/>
    <w:rsid w:val="00936B3F"/>
    <w:rsid w:val="009429FC"/>
    <w:rsid w:val="00955C8A"/>
    <w:rsid w:val="00964353"/>
    <w:rsid w:val="00971EAA"/>
    <w:rsid w:val="00973812"/>
    <w:rsid w:val="0097783A"/>
    <w:rsid w:val="00984D64"/>
    <w:rsid w:val="009939A4"/>
    <w:rsid w:val="0099498A"/>
    <w:rsid w:val="00997535"/>
    <w:rsid w:val="00997DB1"/>
    <w:rsid w:val="009A7199"/>
    <w:rsid w:val="009A7DA2"/>
    <w:rsid w:val="009B48E4"/>
    <w:rsid w:val="009B7028"/>
    <w:rsid w:val="009C0FA1"/>
    <w:rsid w:val="009D6B98"/>
    <w:rsid w:val="009E1DA0"/>
    <w:rsid w:val="009F0725"/>
    <w:rsid w:val="009F4BDC"/>
    <w:rsid w:val="00A01C7C"/>
    <w:rsid w:val="00A07C2F"/>
    <w:rsid w:val="00A11D25"/>
    <w:rsid w:val="00A2034E"/>
    <w:rsid w:val="00A209F6"/>
    <w:rsid w:val="00A333FF"/>
    <w:rsid w:val="00A342C3"/>
    <w:rsid w:val="00A36758"/>
    <w:rsid w:val="00A43376"/>
    <w:rsid w:val="00A51FCA"/>
    <w:rsid w:val="00A5270D"/>
    <w:rsid w:val="00A652DE"/>
    <w:rsid w:val="00A81063"/>
    <w:rsid w:val="00A813FF"/>
    <w:rsid w:val="00A85415"/>
    <w:rsid w:val="00A94DE3"/>
    <w:rsid w:val="00AA287F"/>
    <w:rsid w:val="00AA2F86"/>
    <w:rsid w:val="00AA4C68"/>
    <w:rsid w:val="00AB7C62"/>
    <w:rsid w:val="00AC01F0"/>
    <w:rsid w:val="00AC0216"/>
    <w:rsid w:val="00AD0BD8"/>
    <w:rsid w:val="00AD2FE9"/>
    <w:rsid w:val="00AD4E05"/>
    <w:rsid w:val="00AD5ECE"/>
    <w:rsid w:val="00AD7297"/>
    <w:rsid w:val="00AF6F56"/>
    <w:rsid w:val="00B10DB6"/>
    <w:rsid w:val="00B1353D"/>
    <w:rsid w:val="00B13A3C"/>
    <w:rsid w:val="00B24E81"/>
    <w:rsid w:val="00B32A4C"/>
    <w:rsid w:val="00B34037"/>
    <w:rsid w:val="00B42E78"/>
    <w:rsid w:val="00B46B96"/>
    <w:rsid w:val="00B5133F"/>
    <w:rsid w:val="00B6113E"/>
    <w:rsid w:val="00B66038"/>
    <w:rsid w:val="00B732E8"/>
    <w:rsid w:val="00B77C20"/>
    <w:rsid w:val="00B8141F"/>
    <w:rsid w:val="00B82BA6"/>
    <w:rsid w:val="00B91A19"/>
    <w:rsid w:val="00B96B58"/>
    <w:rsid w:val="00BA52F0"/>
    <w:rsid w:val="00BA6452"/>
    <w:rsid w:val="00BB2296"/>
    <w:rsid w:val="00BB7BE1"/>
    <w:rsid w:val="00BC4801"/>
    <w:rsid w:val="00BD0C53"/>
    <w:rsid w:val="00BD1D3A"/>
    <w:rsid w:val="00BD7D03"/>
    <w:rsid w:val="00BE2B59"/>
    <w:rsid w:val="00BE5D23"/>
    <w:rsid w:val="00BF301D"/>
    <w:rsid w:val="00BF59B5"/>
    <w:rsid w:val="00C03920"/>
    <w:rsid w:val="00C03AE2"/>
    <w:rsid w:val="00C14D49"/>
    <w:rsid w:val="00C17EBC"/>
    <w:rsid w:val="00C3097C"/>
    <w:rsid w:val="00C43B14"/>
    <w:rsid w:val="00C474C1"/>
    <w:rsid w:val="00C518E5"/>
    <w:rsid w:val="00C7278E"/>
    <w:rsid w:val="00C73196"/>
    <w:rsid w:val="00C80E0D"/>
    <w:rsid w:val="00C813AA"/>
    <w:rsid w:val="00C86416"/>
    <w:rsid w:val="00C94CB9"/>
    <w:rsid w:val="00CA27F6"/>
    <w:rsid w:val="00CA333F"/>
    <w:rsid w:val="00CA7D4A"/>
    <w:rsid w:val="00CB02A6"/>
    <w:rsid w:val="00CB212F"/>
    <w:rsid w:val="00CB314B"/>
    <w:rsid w:val="00CB36EE"/>
    <w:rsid w:val="00CB6028"/>
    <w:rsid w:val="00CC5CCC"/>
    <w:rsid w:val="00CD5682"/>
    <w:rsid w:val="00CD5B13"/>
    <w:rsid w:val="00CE3DA5"/>
    <w:rsid w:val="00CE4110"/>
    <w:rsid w:val="00CF3109"/>
    <w:rsid w:val="00CF5067"/>
    <w:rsid w:val="00D016FF"/>
    <w:rsid w:val="00D0521C"/>
    <w:rsid w:val="00D11EE9"/>
    <w:rsid w:val="00D17540"/>
    <w:rsid w:val="00D17E37"/>
    <w:rsid w:val="00D2242C"/>
    <w:rsid w:val="00D32B2E"/>
    <w:rsid w:val="00D37C48"/>
    <w:rsid w:val="00D42631"/>
    <w:rsid w:val="00D436B6"/>
    <w:rsid w:val="00D44925"/>
    <w:rsid w:val="00D453A7"/>
    <w:rsid w:val="00D60CA9"/>
    <w:rsid w:val="00D613D6"/>
    <w:rsid w:val="00D633AE"/>
    <w:rsid w:val="00D65840"/>
    <w:rsid w:val="00D65841"/>
    <w:rsid w:val="00D71776"/>
    <w:rsid w:val="00D74CA0"/>
    <w:rsid w:val="00D818A9"/>
    <w:rsid w:val="00D96113"/>
    <w:rsid w:val="00DA008C"/>
    <w:rsid w:val="00DB03CF"/>
    <w:rsid w:val="00DC2AAA"/>
    <w:rsid w:val="00DC3E0D"/>
    <w:rsid w:val="00DC6D91"/>
    <w:rsid w:val="00DD14F4"/>
    <w:rsid w:val="00DD5703"/>
    <w:rsid w:val="00DD5FE8"/>
    <w:rsid w:val="00DD64BB"/>
    <w:rsid w:val="00DE74D9"/>
    <w:rsid w:val="00DF5A8E"/>
    <w:rsid w:val="00DF738F"/>
    <w:rsid w:val="00DF7758"/>
    <w:rsid w:val="00E017E5"/>
    <w:rsid w:val="00E01EBF"/>
    <w:rsid w:val="00E14925"/>
    <w:rsid w:val="00E233CF"/>
    <w:rsid w:val="00E253ED"/>
    <w:rsid w:val="00E25A8C"/>
    <w:rsid w:val="00E27F0A"/>
    <w:rsid w:val="00E331BF"/>
    <w:rsid w:val="00E37569"/>
    <w:rsid w:val="00E3770F"/>
    <w:rsid w:val="00E45623"/>
    <w:rsid w:val="00E60445"/>
    <w:rsid w:val="00E60C32"/>
    <w:rsid w:val="00E62628"/>
    <w:rsid w:val="00E81080"/>
    <w:rsid w:val="00E810DA"/>
    <w:rsid w:val="00E81188"/>
    <w:rsid w:val="00E844C9"/>
    <w:rsid w:val="00E84DE2"/>
    <w:rsid w:val="00E8532D"/>
    <w:rsid w:val="00E93621"/>
    <w:rsid w:val="00E93E9A"/>
    <w:rsid w:val="00E9402A"/>
    <w:rsid w:val="00E95458"/>
    <w:rsid w:val="00E96392"/>
    <w:rsid w:val="00E96E5F"/>
    <w:rsid w:val="00EA5621"/>
    <w:rsid w:val="00EA56B6"/>
    <w:rsid w:val="00EC14F5"/>
    <w:rsid w:val="00EC33C9"/>
    <w:rsid w:val="00EC3B58"/>
    <w:rsid w:val="00ED12F4"/>
    <w:rsid w:val="00EE518B"/>
    <w:rsid w:val="00EE53BD"/>
    <w:rsid w:val="00EF1DE0"/>
    <w:rsid w:val="00EF6C5F"/>
    <w:rsid w:val="00EF7D66"/>
    <w:rsid w:val="00F04190"/>
    <w:rsid w:val="00F12F3C"/>
    <w:rsid w:val="00F1427F"/>
    <w:rsid w:val="00F21CC6"/>
    <w:rsid w:val="00F26D02"/>
    <w:rsid w:val="00F36D39"/>
    <w:rsid w:val="00F41632"/>
    <w:rsid w:val="00F44186"/>
    <w:rsid w:val="00F55A35"/>
    <w:rsid w:val="00F56139"/>
    <w:rsid w:val="00F6081B"/>
    <w:rsid w:val="00F6190F"/>
    <w:rsid w:val="00F72273"/>
    <w:rsid w:val="00F74AD6"/>
    <w:rsid w:val="00F75122"/>
    <w:rsid w:val="00F76E96"/>
    <w:rsid w:val="00F82813"/>
    <w:rsid w:val="00F83F90"/>
    <w:rsid w:val="00F90480"/>
    <w:rsid w:val="00FA0663"/>
    <w:rsid w:val="00FA490E"/>
    <w:rsid w:val="00FA6E67"/>
    <w:rsid w:val="00FB6C90"/>
    <w:rsid w:val="00FD6867"/>
    <w:rsid w:val="00FF1DA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5:docId w15:val="{A74EB472-FEA3-40CC-9BE0-2F16C129A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0CA9"/>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link w:val="Heading1Char"/>
    <w:uiPriority w:val="9"/>
    <w:qFormat/>
    <w:rsid w:val="002704A3"/>
    <w:pPr>
      <w:spacing w:before="100" w:beforeAutospacing="1" w:after="100" w:afterAutospacing="1"/>
      <w:outlineLvl w:val="0"/>
    </w:pPr>
    <w:rPr>
      <w:b/>
      <w:bCs/>
      <w:kern w:val="36"/>
      <w:sz w:val="48"/>
      <w:szCs w:val="48"/>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D60CA9"/>
    <w:rPr>
      <w:color w:val="0000FF"/>
      <w:u w:val="single"/>
    </w:rPr>
  </w:style>
  <w:style w:type="paragraph" w:styleId="BalloonText">
    <w:name w:val="Balloon Text"/>
    <w:basedOn w:val="Normal"/>
    <w:link w:val="BalloonTextChar"/>
    <w:uiPriority w:val="99"/>
    <w:semiHidden/>
    <w:unhideWhenUsed/>
    <w:rsid w:val="00574470"/>
    <w:rPr>
      <w:rFonts w:ascii="Tahoma" w:hAnsi="Tahoma" w:cs="Tahoma"/>
      <w:sz w:val="16"/>
      <w:szCs w:val="16"/>
    </w:rPr>
  </w:style>
  <w:style w:type="character" w:customStyle="1" w:styleId="BalloonTextChar">
    <w:name w:val="Balloon Text Char"/>
    <w:basedOn w:val="DefaultParagraphFont"/>
    <w:link w:val="BalloonText"/>
    <w:uiPriority w:val="99"/>
    <w:semiHidden/>
    <w:rsid w:val="00574470"/>
    <w:rPr>
      <w:rFonts w:ascii="Tahoma" w:eastAsia="Times New Roman" w:hAnsi="Tahoma" w:cs="Tahoma"/>
      <w:sz w:val="16"/>
      <w:szCs w:val="16"/>
      <w:lang w:eastAsia="en-GB"/>
    </w:rPr>
  </w:style>
  <w:style w:type="table" w:styleId="TableGrid">
    <w:name w:val="Table Grid"/>
    <w:basedOn w:val="TableNormal"/>
    <w:uiPriority w:val="59"/>
    <w:rsid w:val="0057447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4348B3"/>
    <w:pPr>
      <w:ind w:left="720"/>
      <w:contextualSpacing/>
    </w:pPr>
  </w:style>
  <w:style w:type="paragraph" w:styleId="Header">
    <w:name w:val="header"/>
    <w:basedOn w:val="Normal"/>
    <w:link w:val="HeaderChar"/>
    <w:uiPriority w:val="99"/>
    <w:semiHidden/>
    <w:unhideWhenUsed/>
    <w:rsid w:val="001A3391"/>
    <w:pPr>
      <w:tabs>
        <w:tab w:val="center" w:pos="4513"/>
        <w:tab w:val="right" w:pos="9026"/>
      </w:tabs>
    </w:pPr>
  </w:style>
  <w:style w:type="character" w:customStyle="1" w:styleId="HeaderChar">
    <w:name w:val="Header Char"/>
    <w:basedOn w:val="DefaultParagraphFont"/>
    <w:link w:val="Header"/>
    <w:uiPriority w:val="99"/>
    <w:semiHidden/>
    <w:rsid w:val="001A3391"/>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1A3391"/>
    <w:pPr>
      <w:tabs>
        <w:tab w:val="center" w:pos="4513"/>
        <w:tab w:val="right" w:pos="9026"/>
      </w:tabs>
    </w:pPr>
  </w:style>
  <w:style w:type="character" w:customStyle="1" w:styleId="FooterChar">
    <w:name w:val="Footer Char"/>
    <w:basedOn w:val="DefaultParagraphFont"/>
    <w:link w:val="Footer"/>
    <w:uiPriority w:val="99"/>
    <w:rsid w:val="001A3391"/>
    <w:rPr>
      <w:rFonts w:ascii="Times New Roman" w:eastAsia="Times New Roman" w:hAnsi="Times New Roman" w:cs="Times New Roman"/>
      <w:sz w:val="24"/>
      <w:szCs w:val="24"/>
      <w:lang w:eastAsia="en-GB"/>
    </w:rPr>
  </w:style>
  <w:style w:type="character" w:styleId="LineNumber">
    <w:name w:val="line number"/>
    <w:basedOn w:val="DefaultParagraphFont"/>
    <w:uiPriority w:val="99"/>
    <w:semiHidden/>
    <w:unhideWhenUsed/>
    <w:rsid w:val="00E60C32"/>
  </w:style>
  <w:style w:type="table" w:styleId="LightList">
    <w:name w:val="Light List"/>
    <w:basedOn w:val="TableNormal"/>
    <w:uiPriority w:val="61"/>
    <w:rsid w:val="00831DB3"/>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CommentReference">
    <w:name w:val="annotation reference"/>
    <w:basedOn w:val="DefaultParagraphFont"/>
    <w:uiPriority w:val="99"/>
    <w:semiHidden/>
    <w:unhideWhenUsed/>
    <w:rsid w:val="00D42631"/>
    <w:rPr>
      <w:sz w:val="16"/>
      <w:szCs w:val="16"/>
    </w:rPr>
  </w:style>
  <w:style w:type="paragraph" w:styleId="CommentText">
    <w:name w:val="annotation text"/>
    <w:basedOn w:val="Normal"/>
    <w:link w:val="CommentTextChar"/>
    <w:uiPriority w:val="99"/>
    <w:semiHidden/>
    <w:unhideWhenUsed/>
    <w:rsid w:val="00D42631"/>
    <w:rPr>
      <w:sz w:val="20"/>
      <w:szCs w:val="20"/>
    </w:rPr>
  </w:style>
  <w:style w:type="character" w:customStyle="1" w:styleId="CommentTextChar">
    <w:name w:val="Comment Text Char"/>
    <w:basedOn w:val="DefaultParagraphFont"/>
    <w:link w:val="CommentText"/>
    <w:uiPriority w:val="99"/>
    <w:semiHidden/>
    <w:rsid w:val="00D42631"/>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D42631"/>
    <w:rPr>
      <w:b/>
      <w:bCs/>
    </w:rPr>
  </w:style>
  <w:style w:type="character" w:customStyle="1" w:styleId="CommentSubjectChar">
    <w:name w:val="Comment Subject Char"/>
    <w:basedOn w:val="CommentTextChar"/>
    <w:link w:val="CommentSubject"/>
    <w:uiPriority w:val="99"/>
    <w:semiHidden/>
    <w:rsid w:val="00D42631"/>
    <w:rPr>
      <w:rFonts w:ascii="Times New Roman" w:eastAsia="Times New Roman" w:hAnsi="Times New Roman" w:cs="Times New Roman"/>
      <w:b/>
      <w:bCs/>
      <w:sz w:val="20"/>
      <w:szCs w:val="20"/>
      <w:lang w:eastAsia="en-GB"/>
    </w:rPr>
  </w:style>
  <w:style w:type="character" w:customStyle="1" w:styleId="highlight">
    <w:name w:val="highlight"/>
    <w:basedOn w:val="DefaultParagraphFont"/>
    <w:rsid w:val="00847044"/>
  </w:style>
  <w:style w:type="character" w:customStyle="1" w:styleId="Heading1Char">
    <w:name w:val="Heading 1 Char"/>
    <w:basedOn w:val="DefaultParagraphFont"/>
    <w:link w:val="Heading1"/>
    <w:uiPriority w:val="9"/>
    <w:rsid w:val="002704A3"/>
    <w:rPr>
      <w:rFonts w:ascii="Times New Roman" w:eastAsia="Times New Roman" w:hAnsi="Times New Roman" w:cs="Times New Roman"/>
      <w:b/>
      <w:bCs/>
      <w:kern w:val="36"/>
      <w:sz w:val="48"/>
      <w:szCs w:val="48"/>
      <w:lang w:eastAsia="zh-CN"/>
    </w:rPr>
  </w:style>
  <w:style w:type="paragraph" w:customStyle="1" w:styleId="Title1">
    <w:name w:val="Title1"/>
    <w:basedOn w:val="Normal"/>
    <w:rsid w:val="00F04190"/>
    <w:pPr>
      <w:spacing w:before="100" w:beforeAutospacing="1" w:after="100" w:afterAutospacing="1"/>
    </w:pPr>
    <w:rPr>
      <w:lang w:eastAsia="zh-CN"/>
    </w:rPr>
  </w:style>
  <w:style w:type="paragraph" w:customStyle="1" w:styleId="desc">
    <w:name w:val="desc"/>
    <w:basedOn w:val="Normal"/>
    <w:rsid w:val="00F04190"/>
    <w:pPr>
      <w:spacing w:before="100" w:beforeAutospacing="1" w:after="100" w:afterAutospacing="1"/>
    </w:pPr>
    <w:rPr>
      <w:lang w:eastAsia="zh-CN"/>
    </w:rPr>
  </w:style>
  <w:style w:type="paragraph" w:customStyle="1" w:styleId="details">
    <w:name w:val="details"/>
    <w:basedOn w:val="Normal"/>
    <w:rsid w:val="00F04190"/>
    <w:pPr>
      <w:spacing w:before="100" w:beforeAutospacing="1" w:after="100" w:afterAutospacing="1"/>
    </w:pPr>
    <w:rPr>
      <w:lang w:eastAsia="zh-CN"/>
    </w:rPr>
  </w:style>
  <w:style w:type="character" w:customStyle="1" w:styleId="jrnl">
    <w:name w:val="jrnl"/>
    <w:basedOn w:val="DefaultParagraphFont"/>
    <w:rsid w:val="00F041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516217">
      <w:bodyDiv w:val="1"/>
      <w:marLeft w:val="0"/>
      <w:marRight w:val="0"/>
      <w:marTop w:val="0"/>
      <w:marBottom w:val="0"/>
      <w:divBdr>
        <w:top w:val="none" w:sz="0" w:space="0" w:color="auto"/>
        <w:left w:val="none" w:sz="0" w:space="0" w:color="auto"/>
        <w:bottom w:val="none" w:sz="0" w:space="0" w:color="auto"/>
        <w:right w:val="none" w:sz="0" w:space="0" w:color="auto"/>
      </w:divBdr>
    </w:div>
    <w:div w:id="766777250">
      <w:bodyDiv w:val="1"/>
      <w:marLeft w:val="0"/>
      <w:marRight w:val="0"/>
      <w:marTop w:val="0"/>
      <w:marBottom w:val="0"/>
      <w:divBdr>
        <w:top w:val="none" w:sz="0" w:space="0" w:color="auto"/>
        <w:left w:val="none" w:sz="0" w:space="0" w:color="auto"/>
        <w:bottom w:val="none" w:sz="0" w:space="0" w:color="auto"/>
        <w:right w:val="none" w:sz="0" w:space="0" w:color="auto"/>
      </w:divBdr>
      <w:divsChild>
        <w:div w:id="1873882667">
          <w:marLeft w:val="0"/>
          <w:marRight w:val="0"/>
          <w:marTop w:val="0"/>
          <w:marBottom w:val="0"/>
          <w:divBdr>
            <w:top w:val="none" w:sz="0" w:space="0" w:color="auto"/>
            <w:left w:val="none" w:sz="0" w:space="0" w:color="auto"/>
            <w:bottom w:val="none" w:sz="0" w:space="0" w:color="auto"/>
            <w:right w:val="none" w:sz="0" w:space="0" w:color="auto"/>
          </w:divBdr>
          <w:divsChild>
            <w:div w:id="1341008151">
              <w:marLeft w:val="0"/>
              <w:marRight w:val="0"/>
              <w:marTop w:val="0"/>
              <w:marBottom w:val="0"/>
              <w:divBdr>
                <w:top w:val="none" w:sz="0" w:space="0" w:color="auto"/>
                <w:left w:val="none" w:sz="0" w:space="0" w:color="auto"/>
                <w:bottom w:val="none" w:sz="0" w:space="0" w:color="auto"/>
                <w:right w:val="none" w:sz="0" w:space="0" w:color="auto"/>
              </w:divBdr>
              <w:divsChild>
                <w:div w:id="589001641">
                  <w:marLeft w:val="0"/>
                  <w:marRight w:val="0"/>
                  <w:marTop w:val="0"/>
                  <w:marBottom w:val="0"/>
                  <w:divBdr>
                    <w:top w:val="none" w:sz="0" w:space="0" w:color="auto"/>
                    <w:left w:val="none" w:sz="0" w:space="0" w:color="auto"/>
                    <w:bottom w:val="none" w:sz="0" w:space="0" w:color="auto"/>
                    <w:right w:val="none" w:sz="0" w:space="0" w:color="auto"/>
                  </w:divBdr>
                  <w:divsChild>
                    <w:div w:id="862866078">
                      <w:marLeft w:val="0"/>
                      <w:marRight w:val="0"/>
                      <w:marTop w:val="0"/>
                      <w:marBottom w:val="0"/>
                      <w:divBdr>
                        <w:top w:val="none" w:sz="0" w:space="0" w:color="auto"/>
                        <w:left w:val="none" w:sz="0" w:space="0" w:color="auto"/>
                        <w:bottom w:val="none" w:sz="0" w:space="0" w:color="auto"/>
                        <w:right w:val="none" w:sz="0" w:space="0" w:color="auto"/>
                      </w:divBdr>
                      <w:divsChild>
                        <w:div w:id="35129900">
                          <w:marLeft w:val="0"/>
                          <w:marRight w:val="0"/>
                          <w:marTop w:val="0"/>
                          <w:marBottom w:val="0"/>
                          <w:divBdr>
                            <w:top w:val="none" w:sz="0" w:space="0" w:color="auto"/>
                            <w:left w:val="none" w:sz="0" w:space="0" w:color="auto"/>
                            <w:bottom w:val="none" w:sz="0" w:space="0" w:color="auto"/>
                            <w:right w:val="none" w:sz="0" w:space="0" w:color="auto"/>
                          </w:divBdr>
                          <w:divsChild>
                            <w:div w:id="1254700236">
                              <w:marLeft w:val="0"/>
                              <w:marRight w:val="0"/>
                              <w:marTop w:val="0"/>
                              <w:marBottom w:val="0"/>
                              <w:divBdr>
                                <w:top w:val="none" w:sz="0" w:space="0" w:color="auto"/>
                                <w:left w:val="none" w:sz="0" w:space="0" w:color="auto"/>
                                <w:bottom w:val="none" w:sz="0" w:space="0" w:color="auto"/>
                                <w:right w:val="none" w:sz="0" w:space="0" w:color="auto"/>
                              </w:divBdr>
                              <w:divsChild>
                                <w:div w:id="467086955">
                                  <w:marLeft w:val="0"/>
                                  <w:marRight w:val="0"/>
                                  <w:marTop w:val="0"/>
                                  <w:marBottom w:val="0"/>
                                  <w:divBdr>
                                    <w:top w:val="none" w:sz="0" w:space="0" w:color="auto"/>
                                    <w:left w:val="none" w:sz="0" w:space="0" w:color="auto"/>
                                    <w:bottom w:val="none" w:sz="0" w:space="0" w:color="auto"/>
                                    <w:right w:val="none" w:sz="0" w:space="0" w:color="auto"/>
                                  </w:divBdr>
                                  <w:divsChild>
                                    <w:div w:id="1599481589">
                                      <w:marLeft w:val="0"/>
                                      <w:marRight w:val="0"/>
                                      <w:marTop w:val="0"/>
                                      <w:marBottom w:val="0"/>
                                      <w:divBdr>
                                        <w:top w:val="none" w:sz="0" w:space="0" w:color="auto"/>
                                        <w:left w:val="none" w:sz="0" w:space="0" w:color="auto"/>
                                        <w:bottom w:val="none" w:sz="0" w:space="0" w:color="auto"/>
                                        <w:right w:val="none" w:sz="0" w:space="0" w:color="auto"/>
                                      </w:divBdr>
                                    </w:div>
                                    <w:div w:id="47448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79301484">
      <w:bodyDiv w:val="1"/>
      <w:marLeft w:val="0"/>
      <w:marRight w:val="0"/>
      <w:marTop w:val="0"/>
      <w:marBottom w:val="0"/>
      <w:divBdr>
        <w:top w:val="none" w:sz="0" w:space="0" w:color="auto"/>
        <w:left w:val="none" w:sz="0" w:space="0" w:color="auto"/>
        <w:bottom w:val="none" w:sz="0" w:space="0" w:color="auto"/>
        <w:right w:val="none" w:sz="0" w:space="0" w:color="auto"/>
      </w:divBdr>
      <w:divsChild>
        <w:div w:id="1750149878">
          <w:marLeft w:val="0"/>
          <w:marRight w:val="0"/>
          <w:marTop w:val="0"/>
          <w:marBottom w:val="0"/>
          <w:divBdr>
            <w:top w:val="none" w:sz="0" w:space="0" w:color="auto"/>
            <w:left w:val="none" w:sz="0" w:space="0" w:color="auto"/>
            <w:bottom w:val="none" w:sz="0" w:space="0" w:color="auto"/>
            <w:right w:val="none" w:sz="0" w:space="0" w:color="auto"/>
          </w:divBdr>
          <w:divsChild>
            <w:div w:id="94523617">
              <w:marLeft w:val="0"/>
              <w:marRight w:val="0"/>
              <w:marTop w:val="0"/>
              <w:marBottom w:val="0"/>
              <w:divBdr>
                <w:top w:val="none" w:sz="0" w:space="0" w:color="auto"/>
                <w:left w:val="none" w:sz="0" w:space="0" w:color="auto"/>
                <w:bottom w:val="none" w:sz="0" w:space="0" w:color="auto"/>
                <w:right w:val="none" w:sz="0" w:space="0" w:color="auto"/>
              </w:divBdr>
              <w:divsChild>
                <w:div w:id="863978828">
                  <w:marLeft w:val="0"/>
                  <w:marRight w:val="0"/>
                  <w:marTop w:val="0"/>
                  <w:marBottom w:val="0"/>
                  <w:divBdr>
                    <w:top w:val="none" w:sz="0" w:space="0" w:color="auto"/>
                    <w:left w:val="none" w:sz="0" w:space="0" w:color="auto"/>
                    <w:bottom w:val="none" w:sz="0" w:space="0" w:color="auto"/>
                    <w:right w:val="none" w:sz="0" w:space="0" w:color="auto"/>
                  </w:divBdr>
                  <w:divsChild>
                    <w:div w:id="1572540658">
                      <w:marLeft w:val="0"/>
                      <w:marRight w:val="0"/>
                      <w:marTop w:val="0"/>
                      <w:marBottom w:val="0"/>
                      <w:divBdr>
                        <w:top w:val="none" w:sz="0" w:space="0" w:color="auto"/>
                        <w:left w:val="none" w:sz="0" w:space="0" w:color="auto"/>
                        <w:bottom w:val="none" w:sz="0" w:space="0" w:color="auto"/>
                        <w:right w:val="none" w:sz="0" w:space="0" w:color="auto"/>
                      </w:divBdr>
                      <w:divsChild>
                        <w:div w:id="1557012965">
                          <w:marLeft w:val="0"/>
                          <w:marRight w:val="0"/>
                          <w:marTop w:val="0"/>
                          <w:marBottom w:val="0"/>
                          <w:divBdr>
                            <w:top w:val="none" w:sz="0" w:space="0" w:color="auto"/>
                            <w:left w:val="none" w:sz="0" w:space="0" w:color="auto"/>
                            <w:bottom w:val="none" w:sz="0" w:space="0" w:color="auto"/>
                            <w:right w:val="none" w:sz="0" w:space="0" w:color="auto"/>
                          </w:divBdr>
                          <w:divsChild>
                            <w:div w:id="369186790">
                              <w:marLeft w:val="0"/>
                              <w:marRight w:val="0"/>
                              <w:marTop w:val="0"/>
                              <w:marBottom w:val="0"/>
                              <w:divBdr>
                                <w:top w:val="none" w:sz="0" w:space="0" w:color="auto"/>
                                <w:left w:val="none" w:sz="0" w:space="0" w:color="auto"/>
                                <w:bottom w:val="none" w:sz="0" w:space="0" w:color="auto"/>
                                <w:right w:val="none" w:sz="0" w:space="0" w:color="auto"/>
                              </w:divBdr>
                              <w:divsChild>
                                <w:div w:id="14623110">
                                  <w:marLeft w:val="0"/>
                                  <w:marRight w:val="0"/>
                                  <w:marTop w:val="0"/>
                                  <w:marBottom w:val="0"/>
                                  <w:divBdr>
                                    <w:top w:val="none" w:sz="0" w:space="0" w:color="auto"/>
                                    <w:left w:val="none" w:sz="0" w:space="0" w:color="auto"/>
                                    <w:bottom w:val="none" w:sz="0" w:space="0" w:color="auto"/>
                                    <w:right w:val="none" w:sz="0" w:space="0" w:color="auto"/>
                                  </w:divBdr>
                                </w:div>
                              </w:divsChild>
                            </w:div>
                            <w:div w:id="1144587744">
                              <w:marLeft w:val="0"/>
                              <w:marRight w:val="0"/>
                              <w:marTop w:val="0"/>
                              <w:marBottom w:val="0"/>
                              <w:divBdr>
                                <w:top w:val="none" w:sz="0" w:space="0" w:color="auto"/>
                                <w:left w:val="none" w:sz="0" w:space="0" w:color="auto"/>
                                <w:bottom w:val="none" w:sz="0" w:space="0" w:color="auto"/>
                                <w:right w:val="none" w:sz="0" w:space="0" w:color="auto"/>
                              </w:divBdr>
                              <w:divsChild>
                                <w:div w:id="1514953509">
                                  <w:marLeft w:val="0"/>
                                  <w:marRight w:val="0"/>
                                  <w:marTop w:val="0"/>
                                  <w:marBottom w:val="0"/>
                                  <w:divBdr>
                                    <w:top w:val="none" w:sz="0" w:space="0" w:color="auto"/>
                                    <w:left w:val="none" w:sz="0" w:space="0" w:color="auto"/>
                                    <w:bottom w:val="none" w:sz="0" w:space="0" w:color="auto"/>
                                    <w:right w:val="none" w:sz="0" w:space="0" w:color="auto"/>
                                  </w:divBdr>
                                  <w:divsChild>
                                    <w:div w:id="618344889">
                                      <w:marLeft w:val="0"/>
                                      <w:marRight w:val="0"/>
                                      <w:marTop w:val="0"/>
                                      <w:marBottom w:val="0"/>
                                      <w:divBdr>
                                        <w:top w:val="none" w:sz="0" w:space="0" w:color="auto"/>
                                        <w:left w:val="none" w:sz="0" w:space="0" w:color="auto"/>
                                        <w:bottom w:val="none" w:sz="0" w:space="0" w:color="auto"/>
                                        <w:right w:val="none" w:sz="0" w:space="0" w:color="auto"/>
                                      </w:divBdr>
                                    </w:div>
                                    <w:div w:id="44218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2670435">
      <w:bodyDiv w:val="1"/>
      <w:marLeft w:val="0"/>
      <w:marRight w:val="0"/>
      <w:marTop w:val="0"/>
      <w:marBottom w:val="0"/>
      <w:divBdr>
        <w:top w:val="none" w:sz="0" w:space="0" w:color="auto"/>
        <w:left w:val="none" w:sz="0" w:space="0" w:color="auto"/>
        <w:bottom w:val="none" w:sz="0" w:space="0" w:color="auto"/>
        <w:right w:val="none" w:sz="0" w:space="0" w:color="auto"/>
      </w:divBdr>
    </w:div>
    <w:div w:id="1953436513">
      <w:bodyDiv w:val="1"/>
      <w:marLeft w:val="0"/>
      <w:marRight w:val="0"/>
      <w:marTop w:val="0"/>
      <w:marBottom w:val="0"/>
      <w:divBdr>
        <w:top w:val="none" w:sz="0" w:space="0" w:color="auto"/>
        <w:left w:val="none" w:sz="0" w:space="0" w:color="auto"/>
        <w:bottom w:val="none" w:sz="0" w:space="0" w:color="auto"/>
        <w:right w:val="none" w:sz="0" w:space="0" w:color="auto"/>
      </w:divBdr>
    </w:div>
    <w:div w:id="1973363195">
      <w:bodyDiv w:val="1"/>
      <w:marLeft w:val="0"/>
      <w:marRight w:val="0"/>
      <w:marTop w:val="0"/>
      <w:marBottom w:val="0"/>
      <w:divBdr>
        <w:top w:val="none" w:sz="0" w:space="0" w:color="auto"/>
        <w:left w:val="none" w:sz="0" w:space="0" w:color="auto"/>
        <w:bottom w:val="none" w:sz="0" w:space="0" w:color="auto"/>
        <w:right w:val="none" w:sz="0" w:space="0" w:color="auto"/>
      </w:divBdr>
      <w:divsChild>
        <w:div w:id="776095602">
          <w:marLeft w:val="0"/>
          <w:marRight w:val="0"/>
          <w:marTop w:val="0"/>
          <w:marBottom w:val="0"/>
          <w:divBdr>
            <w:top w:val="none" w:sz="0" w:space="0" w:color="auto"/>
            <w:left w:val="none" w:sz="0" w:space="0" w:color="auto"/>
            <w:bottom w:val="none" w:sz="0" w:space="0" w:color="auto"/>
            <w:right w:val="none" w:sz="0" w:space="0" w:color="auto"/>
          </w:divBdr>
          <w:divsChild>
            <w:div w:id="1663003573">
              <w:marLeft w:val="0"/>
              <w:marRight w:val="0"/>
              <w:marTop w:val="0"/>
              <w:marBottom w:val="0"/>
              <w:divBdr>
                <w:top w:val="none" w:sz="0" w:space="0" w:color="auto"/>
                <w:left w:val="none" w:sz="0" w:space="0" w:color="auto"/>
                <w:bottom w:val="none" w:sz="0" w:space="0" w:color="auto"/>
                <w:right w:val="none" w:sz="0" w:space="0" w:color="auto"/>
              </w:divBdr>
              <w:divsChild>
                <w:div w:id="165024889">
                  <w:marLeft w:val="0"/>
                  <w:marRight w:val="0"/>
                  <w:marTop w:val="0"/>
                  <w:marBottom w:val="0"/>
                  <w:divBdr>
                    <w:top w:val="none" w:sz="0" w:space="0" w:color="auto"/>
                    <w:left w:val="none" w:sz="0" w:space="0" w:color="auto"/>
                    <w:bottom w:val="none" w:sz="0" w:space="0" w:color="auto"/>
                    <w:right w:val="none" w:sz="0" w:space="0" w:color="auto"/>
                  </w:divBdr>
                  <w:divsChild>
                    <w:div w:id="773521665">
                      <w:marLeft w:val="0"/>
                      <w:marRight w:val="0"/>
                      <w:marTop w:val="0"/>
                      <w:marBottom w:val="0"/>
                      <w:divBdr>
                        <w:top w:val="none" w:sz="0" w:space="0" w:color="auto"/>
                        <w:left w:val="none" w:sz="0" w:space="0" w:color="auto"/>
                        <w:bottom w:val="none" w:sz="0" w:space="0" w:color="auto"/>
                        <w:right w:val="none" w:sz="0" w:space="0" w:color="auto"/>
                      </w:divBdr>
                      <w:divsChild>
                        <w:div w:id="1744990494">
                          <w:marLeft w:val="0"/>
                          <w:marRight w:val="0"/>
                          <w:marTop w:val="0"/>
                          <w:marBottom w:val="0"/>
                          <w:divBdr>
                            <w:top w:val="none" w:sz="0" w:space="0" w:color="auto"/>
                            <w:left w:val="none" w:sz="0" w:space="0" w:color="auto"/>
                            <w:bottom w:val="none" w:sz="0" w:space="0" w:color="auto"/>
                            <w:right w:val="none" w:sz="0" w:space="0" w:color="auto"/>
                          </w:divBdr>
                          <w:divsChild>
                            <w:div w:id="1301302397">
                              <w:marLeft w:val="0"/>
                              <w:marRight w:val="0"/>
                              <w:marTop w:val="0"/>
                              <w:marBottom w:val="0"/>
                              <w:divBdr>
                                <w:top w:val="none" w:sz="0" w:space="0" w:color="auto"/>
                                <w:left w:val="none" w:sz="0" w:space="0" w:color="auto"/>
                                <w:bottom w:val="none" w:sz="0" w:space="0" w:color="auto"/>
                                <w:right w:val="none" w:sz="0" w:space="0" w:color="auto"/>
                              </w:divBdr>
                              <w:divsChild>
                                <w:div w:id="776410696">
                                  <w:marLeft w:val="0"/>
                                  <w:marRight w:val="0"/>
                                  <w:marTop w:val="0"/>
                                  <w:marBottom w:val="0"/>
                                  <w:divBdr>
                                    <w:top w:val="none" w:sz="0" w:space="0" w:color="auto"/>
                                    <w:left w:val="none" w:sz="0" w:space="0" w:color="auto"/>
                                    <w:bottom w:val="none" w:sz="0" w:space="0" w:color="auto"/>
                                    <w:right w:val="none" w:sz="0" w:space="0" w:color="auto"/>
                                  </w:divBdr>
                                  <w:divsChild>
                                    <w:div w:id="1867136362">
                                      <w:marLeft w:val="0"/>
                                      <w:marRight w:val="0"/>
                                      <w:marTop w:val="0"/>
                                      <w:marBottom w:val="0"/>
                                      <w:divBdr>
                                        <w:top w:val="none" w:sz="0" w:space="0" w:color="auto"/>
                                        <w:left w:val="none" w:sz="0" w:space="0" w:color="auto"/>
                                        <w:bottom w:val="none" w:sz="0" w:space="0" w:color="auto"/>
                                        <w:right w:val="none" w:sz="0" w:space="0" w:color="auto"/>
                                      </w:divBdr>
                                    </w:div>
                                    <w:div w:id="770859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05346900">
      <w:bodyDiv w:val="1"/>
      <w:marLeft w:val="0"/>
      <w:marRight w:val="0"/>
      <w:marTop w:val="0"/>
      <w:marBottom w:val="0"/>
      <w:divBdr>
        <w:top w:val="none" w:sz="0" w:space="0" w:color="auto"/>
        <w:left w:val="none" w:sz="0" w:space="0" w:color="auto"/>
        <w:bottom w:val="none" w:sz="0" w:space="0" w:color="auto"/>
        <w:right w:val="none" w:sz="0" w:space="0" w:color="auto"/>
      </w:divBdr>
      <w:divsChild>
        <w:div w:id="1080952852">
          <w:marLeft w:val="0"/>
          <w:marRight w:val="0"/>
          <w:marTop w:val="0"/>
          <w:marBottom w:val="0"/>
          <w:divBdr>
            <w:top w:val="none" w:sz="0" w:space="0" w:color="auto"/>
            <w:left w:val="none" w:sz="0" w:space="0" w:color="auto"/>
            <w:bottom w:val="none" w:sz="0" w:space="0" w:color="auto"/>
            <w:right w:val="none" w:sz="0" w:space="0" w:color="auto"/>
          </w:divBdr>
          <w:divsChild>
            <w:div w:id="111634518">
              <w:marLeft w:val="0"/>
              <w:marRight w:val="0"/>
              <w:marTop w:val="0"/>
              <w:marBottom w:val="0"/>
              <w:divBdr>
                <w:top w:val="none" w:sz="0" w:space="0" w:color="auto"/>
                <w:left w:val="none" w:sz="0" w:space="0" w:color="auto"/>
                <w:bottom w:val="none" w:sz="0" w:space="0" w:color="auto"/>
                <w:right w:val="none" w:sz="0" w:space="0" w:color="auto"/>
              </w:divBdr>
              <w:divsChild>
                <w:div w:id="2120177196">
                  <w:marLeft w:val="0"/>
                  <w:marRight w:val="0"/>
                  <w:marTop w:val="0"/>
                  <w:marBottom w:val="0"/>
                  <w:divBdr>
                    <w:top w:val="none" w:sz="0" w:space="0" w:color="auto"/>
                    <w:left w:val="none" w:sz="0" w:space="0" w:color="auto"/>
                    <w:bottom w:val="none" w:sz="0" w:space="0" w:color="auto"/>
                    <w:right w:val="none" w:sz="0" w:space="0" w:color="auto"/>
                  </w:divBdr>
                  <w:divsChild>
                    <w:div w:id="2056925961">
                      <w:marLeft w:val="0"/>
                      <w:marRight w:val="0"/>
                      <w:marTop w:val="0"/>
                      <w:marBottom w:val="0"/>
                      <w:divBdr>
                        <w:top w:val="none" w:sz="0" w:space="0" w:color="auto"/>
                        <w:left w:val="none" w:sz="0" w:space="0" w:color="auto"/>
                        <w:bottom w:val="none" w:sz="0" w:space="0" w:color="auto"/>
                        <w:right w:val="none" w:sz="0" w:space="0" w:color="auto"/>
                      </w:divBdr>
                      <w:divsChild>
                        <w:div w:id="1690989336">
                          <w:marLeft w:val="0"/>
                          <w:marRight w:val="0"/>
                          <w:marTop w:val="0"/>
                          <w:marBottom w:val="0"/>
                          <w:divBdr>
                            <w:top w:val="none" w:sz="0" w:space="0" w:color="auto"/>
                            <w:left w:val="none" w:sz="0" w:space="0" w:color="auto"/>
                            <w:bottom w:val="none" w:sz="0" w:space="0" w:color="auto"/>
                            <w:right w:val="none" w:sz="0" w:space="0" w:color="auto"/>
                          </w:divBdr>
                          <w:divsChild>
                            <w:div w:id="346101807">
                              <w:marLeft w:val="0"/>
                              <w:marRight w:val="0"/>
                              <w:marTop w:val="0"/>
                              <w:marBottom w:val="0"/>
                              <w:divBdr>
                                <w:top w:val="none" w:sz="0" w:space="0" w:color="auto"/>
                                <w:left w:val="none" w:sz="0" w:space="0" w:color="auto"/>
                                <w:bottom w:val="none" w:sz="0" w:space="0" w:color="auto"/>
                                <w:right w:val="none" w:sz="0" w:space="0" w:color="auto"/>
                              </w:divBdr>
                              <w:divsChild>
                                <w:div w:id="507405693">
                                  <w:marLeft w:val="0"/>
                                  <w:marRight w:val="0"/>
                                  <w:marTop w:val="0"/>
                                  <w:marBottom w:val="0"/>
                                  <w:divBdr>
                                    <w:top w:val="none" w:sz="0" w:space="0" w:color="auto"/>
                                    <w:left w:val="none" w:sz="0" w:space="0" w:color="auto"/>
                                    <w:bottom w:val="none" w:sz="0" w:space="0" w:color="auto"/>
                                    <w:right w:val="none" w:sz="0" w:space="0" w:color="auto"/>
                                  </w:divBdr>
                                  <w:divsChild>
                                    <w:div w:id="1471098032">
                                      <w:marLeft w:val="0"/>
                                      <w:marRight w:val="0"/>
                                      <w:marTop w:val="0"/>
                                      <w:marBottom w:val="0"/>
                                      <w:divBdr>
                                        <w:top w:val="none" w:sz="0" w:space="0" w:color="auto"/>
                                        <w:left w:val="none" w:sz="0" w:space="0" w:color="auto"/>
                                        <w:bottom w:val="none" w:sz="0" w:space="0" w:color="auto"/>
                                        <w:right w:val="none" w:sz="0" w:space="0" w:color="auto"/>
                                      </w:divBdr>
                                    </w:div>
                                    <w:div w:id="1442912642">
                                      <w:marLeft w:val="0"/>
                                      <w:marRight w:val="0"/>
                                      <w:marTop w:val="0"/>
                                      <w:marBottom w:val="0"/>
                                      <w:divBdr>
                                        <w:top w:val="none" w:sz="0" w:space="0" w:color="auto"/>
                                        <w:left w:val="none" w:sz="0" w:space="0" w:color="auto"/>
                                        <w:bottom w:val="none" w:sz="0" w:space="0" w:color="auto"/>
                                        <w:right w:val="none" w:sz="0" w:space="0" w:color="auto"/>
                                      </w:divBdr>
                                      <w:divsChild>
                                        <w:div w:id="199714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3.emf"/><Relationship Id="rId26" Type="http://schemas.openxmlformats.org/officeDocument/2006/relationships/chart" Target="charts/chart1.xml"/><Relationship Id="rId3" Type="http://schemas.openxmlformats.org/officeDocument/2006/relationships/settings" Target="settings.xml"/><Relationship Id="rId21" Type="http://schemas.openxmlformats.org/officeDocument/2006/relationships/oleObject" Target="embeddings/oleObject4.bin"/><Relationship Id="rId7" Type="http://schemas.openxmlformats.org/officeDocument/2006/relationships/hyperlink" Target="mailto:dsteverding@hotmail.com" TargetMode="External"/><Relationship Id="rId12" Type="http://schemas.openxmlformats.org/officeDocument/2006/relationships/header" Target="header3.xml"/><Relationship Id="rId17" Type="http://schemas.openxmlformats.org/officeDocument/2006/relationships/oleObject" Target="embeddings/oleObject2.bin"/><Relationship Id="rId25" Type="http://schemas.openxmlformats.org/officeDocument/2006/relationships/oleObject" Target="embeddings/oleObject6.bin"/><Relationship Id="rId2" Type="http://schemas.openxmlformats.org/officeDocument/2006/relationships/styles" Target="styles.xml"/><Relationship Id="rId16" Type="http://schemas.openxmlformats.org/officeDocument/2006/relationships/image" Target="media/image2.emf"/><Relationship Id="rId20" Type="http://schemas.openxmlformats.org/officeDocument/2006/relationships/image" Target="media/image4.emf"/><Relationship Id="rId29" Type="http://schemas.openxmlformats.org/officeDocument/2006/relationships/chart" Target="charts/chart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image" Target="media/image6.emf"/><Relationship Id="rId5" Type="http://schemas.openxmlformats.org/officeDocument/2006/relationships/footnotes" Target="footnotes.xml"/><Relationship Id="rId15" Type="http://schemas.openxmlformats.org/officeDocument/2006/relationships/oleObject" Target="embeddings/oleObject1.bin"/><Relationship Id="rId23" Type="http://schemas.openxmlformats.org/officeDocument/2006/relationships/oleObject" Target="embeddings/oleObject5.bin"/><Relationship Id="rId28" Type="http://schemas.openxmlformats.org/officeDocument/2006/relationships/chart" Target="charts/chart3.xml"/><Relationship Id="rId10" Type="http://schemas.openxmlformats.org/officeDocument/2006/relationships/footer" Target="footer1.xml"/><Relationship Id="rId19" Type="http://schemas.openxmlformats.org/officeDocument/2006/relationships/oleObject" Target="embeddings/oleObject3.bin"/><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1.emf"/><Relationship Id="rId22" Type="http://schemas.openxmlformats.org/officeDocument/2006/relationships/image" Target="media/image5.emf"/><Relationship Id="rId27" Type="http://schemas.openxmlformats.org/officeDocument/2006/relationships/chart" Target="charts/chart2.xml"/><Relationship Id="rId30"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ueahome5\resfmh6\wm026\data\Documents\ITC%20paper\Figure%202.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ueahome5\resfmh6\wm026\data\Documents\ITC%20paper\Figure%202.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ueahome5\resfmh6\wm026\data\Documents\ITC%20paper\Fig%20time%20course%20ITC.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ueahome5\resfmh6\wm026\data\Documents\ITC%20paper\Fig%20time%20course%20ITC.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lineMarker"/>
        <c:varyColors val="0"/>
        <c:ser>
          <c:idx val="0"/>
          <c:order val="0"/>
          <c:spPr>
            <a:ln w="25400">
              <a:solidFill>
                <a:schemeClr val="tx1"/>
              </a:solidFill>
            </a:ln>
          </c:spPr>
          <c:marker>
            <c:symbol val="square"/>
            <c:size val="7"/>
            <c:spPr>
              <a:noFill/>
              <a:ln w="19050"/>
            </c:spPr>
          </c:marker>
          <c:xVal>
            <c:numRef>
              <c:f>'[Figure 2.xlsx]Sheet1'!$A$1:$A$6</c:f>
              <c:numCache>
                <c:formatCode>General</c:formatCode>
                <c:ptCount val="6"/>
                <c:pt idx="0">
                  <c:v>100</c:v>
                </c:pt>
                <c:pt idx="1">
                  <c:v>10</c:v>
                </c:pt>
                <c:pt idx="2">
                  <c:v>1</c:v>
                </c:pt>
                <c:pt idx="3">
                  <c:v>0.1</c:v>
                </c:pt>
                <c:pt idx="4">
                  <c:v>0.01</c:v>
                </c:pt>
                <c:pt idx="5">
                  <c:v>1E-3</c:v>
                </c:pt>
              </c:numCache>
            </c:numRef>
          </c:xVal>
          <c:yVal>
            <c:numRef>
              <c:f>'[Figure 2.xlsx]Sheet1'!$B$1:$B$6</c:f>
              <c:numCache>
                <c:formatCode>General</c:formatCode>
                <c:ptCount val="6"/>
                <c:pt idx="0">
                  <c:v>0</c:v>
                </c:pt>
                <c:pt idx="1">
                  <c:v>44.7</c:v>
                </c:pt>
                <c:pt idx="2">
                  <c:v>92</c:v>
                </c:pt>
                <c:pt idx="3">
                  <c:v>89</c:v>
                </c:pt>
                <c:pt idx="4">
                  <c:v>90.3</c:v>
                </c:pt>
                <c:pt idx="5">
                  <c:v>91</c:v>
                </c:pt>
              </c:numCache>
            </c:numRef>
          </c:yVal>
          <c:smooth val="0"/>
        </c:ser>
        <c:ser>
          <c:idx val="1"/>
          <c:order val="1"/>
          <c:spPr>
            <a:ln w="25400">
              <a:solidFill>
                <a:schemeClr val="tx1"/>
              </a:solidFill>
            </a:ln>
          </c:spPr>
          <c:marker>
            <c:symbol val="triangle"/>
            <c:size val="7"/>
            <c:spPr>
              <a:noFill/>
              <a:ln w="19050">
                <a:solidFill>
                  <a:schemeClr val="tx1"/>
                </a:solidFill>
              </a:ln>
            </c:spPr>
          </c:marker>
          <c:xVal>
            <c:numRef>
              <c:f>'[Figure 2.xlsx]Sheet1'!$A$1:$A$6</c:f>
              <c:numCache>
                <c:formatCode>General</c:formatCode>
                <c:ptCount val="6"/>
                <c:pt idx="0">
                  <c:v>100</c:v>
                </c:pt>
                <c:pt idx="1">
                  <c:v>10</c:v>
                </c:pt>
                <c:pt idx="2">
                  <c:v>1</c:v>
                </c:pt>
                <c:pt idx="3">
                  <c:v>0.1</c:v>
                </c:pt>
                <c:pt idx="4">
                  <c:v>0.01</c:v>
                </c:pt>
                <c:pt idx="5">
                  <c:v>1E-3</c:v>
                </c:pt>
              </c:numCache>
            </c:numRef>
          </c:xVal>
          <c:yVal>
            <c:numRef>
              <c:f>'[Figure 2.xlsx]Sheet1'!$C$1:$C$6</c:f>
              <c:numCache>
                <c:formatCode>General</c:formatCode>
                <c:ptCount val="6"/>
                <c:pt idx="0">
                  <c:v>0</c:v>
                </c:pt>
                <c:pt idx="1">
                  <c:v>0</c:v>
                </c:pt>
                <c:pt idx="2">
                  <c:v>81.3</c:v>
                </c:pt>
                <c:pt idx="3">
                  <c:v>106</c:v>
                </c:pt>
                <c:pt idx="4">
                  <c:v>103.3</c:v>
                </c:pt>
                <c:pt idx="5">
                  <c:v>109</c:v>
                </c:pt>
              </c:numCache>
            </c:numRef>
          </c:yVal>
          <c:smooth val="0"/>
        </c:ser>
        <c:ser>
          <c:idx val="2"/>
          <c:order val="2"/>
          <c:spPr>
            <a:ln w="25400">
              <a:solidFill>
                <a:schemeClr val="tx1"/>
              </a:solidFill>
            </a:ln>
          </c:spPr>
          <c:marker>
            <c:symbol val="circle"/>
            <c:size val="7"/>
            <c:spPr>
              <a:noFill/>
              <a:ln w="19050">
                <a:solidFill>
                  <a:schemeClr val="tx1"/>
                </a:solidFill>
              </a:ln>
            </c:spPr>
          </c:marker>
          <c:xVal>
            <c:numRef>
              <c:f>'[Figure 2.xlsx]Sheet1'!$A$1:$A$6</c:f>
              <c:numCache>
                <c:formatCode>General</c:formatCode>
                <c:ptCount val="6"/>
                <c:pt idx="0">
                  <c:v>100</c:v>
                </c:pt>
                <c:pt idx="1">
                  <c:v>10</c:v>
                </c:pt>
                <c:pt idx="2">
                  <c:v>1</c:v>
                </c:pt>
                <c:pt idx="3">
                  <c:v>0.1</c:v>
                </c:pt>
                <c:pt idx="4">
                  <c:v>0.01</c:v>
                </c:pt>
                <c:pt idx="5">
                  <c:v>1E-3</c:v>
                </c:pt>
              </c:numCache>
            </c:numRef>
          </c:xVal>
          <c:yVal>
            <c:numRef>
              <c:f>'[Figure 2.xlsx]Sheet1'!$D$1:$D$6</c:f>
              <c:numCache>
                <c:formatCode>General</c:formatCode>
                <c:ptCount val="6"/>
                <c:pt idx="0">
                  <c:v>0</c:v>
                </c:pt>
                <c:pt idx="1">
                  <c:v>0</c:v>
                </c:pt>
                <c:pt idx="2">
                  <c:v>77</c:v>
                </c:pt>
                <c:pt idx="3">
                  <c:v>95.3</c:v>
                </c:pt>
                <c:pt idx="4">
                  <c:v>92.3</c:v>
                </c:pt>
                <c:pt idx="5">
                  <c:v>105</c:v>
                </c:pt>
              </c:numCache>
            </c:numRef>
          </c:yVal>
          <c:smooth val="0"/>
        </c:ser>
        <c:ser>
          <c:idx val="3"/>
          <c:order val="3"/>
          <c:spPr>
            <a:ln w="25400">
              <a:solidFill>
                <a:schemeClr val="tx1"/>
              </a:solidFill>
            </a:ln>
          </c:spPr>
          <c:marker>
            <c:symbol val="square"/>
            <c:size val="7"/>
            <c:spPr>
              <a:solidFill>
                <a:schemeClr val="tx1"/>
              </a:solidFill>
              <a:ln w="19050">
                <a:solidFill>
                  <a:schemeClr val="tx1"/>
                </a:solidFill>
              </a:ln>
            </c:spPr>
          </c:marker>
          <c:xVal>
            <c:numRef>
              <c:f>'[Figure 2.xlsx]Sheet1'!$A$1:$A$6</c:f>
              <c:numCache>
                <c:formatCode>General</c:formatCode>
                <c:ptCount val="6"/>
                <c:pt idx="0">
                  <c:v>100</c:v>
                </c:pt>
                <c:pt idx="1">
                  <c:v>10</c:v>
                </c:pt>
                <c:pt idx="2">
                  <c:v>1</c:v>
                </c:pt>
                <c:pt idx="3">
                  <c:v>0.1</c:v>
                </c:pt>
                <c:pt idx="4">
                  <c:v>0.01</c:v>
                </c:pt>
                <c:pt idx="5">
                  <c:v>1E-3</c:v>
                </c:pt>
              </c:numCache>
            </c:numRef>
          </c:xVal>
          <c:yVal>
            <c:numRef>
              <c:f>'[Figure 2.xlsx]Sheet1'!$E$1:$E$6</c:f>
              <c:numCache>
                <c:formatCode>General</c:formatCode>
                <c:ptCount val="6"/>
                <c:pt idx="0">
                  <c:v>0</c:v>
                </c:pt>
                <c:pt idx="1">
                  <c:v>0</c:v>
                </c:pt>
                <c:pt idx="2">
                  <c:v>79</c:v>
                </c:pt>
                <c:pt idx="3">
                  <c:v>97.3</c:v>
                </c:pt>
                <c:pt idx="4">
                  <c:v>89</c:v>
                </c:pt>
                <c:pt idx="5">
                  <c:v>107</c:v>
                </c:pt>
              </c:numCache>
            </c:numRef>
          </c:yVal>
          <c:smooth val="0"/>
        </c:ser>
        <c:ser>
          <c:idx val="4"/>
          <c:order val="4"/>
          <c:spPr>
            <a:ln w="25400">
              <a:solidFill>
                <a:schemeClr val="tx1"/>
              </a:solidFill>
            </a:ln>
          </c:spPr>
          <c:marker>
            <c:symbol val="triangle"/>
            <c:size val="7"/>
            <c:spPr>
              <a:solidFill>
                <a:schemeClr val="tx1"/>
              </a:solidFill>
              <a:ln w="19050">
                <a:solidFill>
                  <a:schemeClr val="tx1"/>
                </a:solidFill>
              </a:ln>
            </c:spPr>
          </c:marker>
          <c:xVal>
            <c:numRef>
              <c:f>'[Figure 2.xlsx]Sheet1'!$A$1:$A$6</c:f>
              <c:numCache>
                <c:formatCode>General</c:formatCode>
                <c:ptCount val="6"/>
                <c:pt idx="0">
                  <c:v>100</c:v>
                </c:pt>
                <c:pt idx="1">
                  <c:v>10</c:v>
                </c:pt>
                <c:pt idx="2">
                  <c:v>1</c:v>
                </c:pt>
                <c:pt idx="3">
                  <c:v>0.1</c:v>
                </c:pt>
                <c:pt idx="4">
                  <c:v>0.01</c:v>
                </c:pt>
                <c:pt idx="5">
                  <c:v>1E-3</c:v>
                </c:pt>
              </c:numCache>
            </c:numRef>
          </c:xVal>
          <c:yVal>
            <c:numRef>
              <c:f>'[Figure 2.xlsx]Sheet1'!$F$1:$F$6</c:f>
              <c:numCache>
                <c:formatCode>General</c:formatCode>
                <c:ptCount val="6"/>
                <c:pt idx="0">
                  <c:v>0</c:v>
                </c:pt>
                <c:pt idx="1">
                  <c:v>0</c:v>
                </c:pt>
                <c:pt idx="2">
                  <c:v>80.7</c:v>
                </c:pt>
                <c:pt idx="3">
                  <c:v>86.3</c:v>
                </c:pt>
                <c:pt idx="4">
                  <c:v>84.3</c:v>
                </c:pt>
                <c:pt idx="5">
                  <c:v>89.7</c:v>
                </c:pt>
              </c:numCache>
            </c:numRef>
          </c:yVal>
          <c:smooth val="0"/>
        </c:ser>
        <c:ser>
          <c:idx val="5"/>
          <c:order val="5"/>
          <c:spPr>
            <a:ln w="25400">
              <a:solidFill>
                <a:schemeClr val="tx1"/>
              </a:solidFill>
            </a:ln>
          </c:spPr>
          <c:marker>
            <c:symbol val="circle"/>
            <c:size val="7"/>
            <c:spPr>
              <a:solidFill>
                <a:schemeClr val="tx1"/>
              </a:solidFill>
              <a:ln w="19050">
                <a:solidFill>
                  <a:schemeClr val="tx1"/>
                </a:solidFill>
              </a:ln>
            </c:spPr>
          </c:marker>
          <c:xVal>
            <c:numRef>
              <c:f>'[Figure 2.xlsx]Sheet1'!$A$1:$A$6</c:f>
              <c:numCache>
                <c:formatCode>General</c:formatCode>
                <c:ptCount val="6"/>
                <c:pt idx="0">
                  <c:v>100</c:v>
                </c:pt>
                <c:pt idx="1">
                  <c:v>10</c:v>
                </c:pt>
                <c:pt idx="2">
                  <c:v>1</c:v>
                </c:pt>
                <c:pt idx="3">
                  <c:v>0.1</c:v>
                </c:pt>
                <c:pt idx="4">
                  <c:v>0.01</c:v>
                </c:pt>
                <c:pt idx="5">
                  <c:v>1E-3</c:v>
                </c:pt>
              </c:numCache>
            </c:numRef>
          </c:xVal>
          <c:yVal>
            <c:numRef>
              <c:f>'[Figure 2.xlsx]Sheet1'!$G$1:$G$6</c:f>
              <c:numCache>
                <c:formatCode>General</c:formatCode>
                <c:ptCount val="6"/>
                <c:pt idx="0">
                  <c:v>0</c:v>
                </c:pt>
                <c:pt idx="1">
                  <c:v>0</c:v>
                </c:pt>
                <c:pt idx="2">
                  <c:v>86</c:v>
                </c:pt>
                <c:pt idx="3">
                  <c:v>102.3</c:v>
                </c:pt>
                <c:pt idx="4">
                  <c:v>102.7</c:v>
                </c:pt>
                <c:pt idx="5">
                  <c:v>104.3</c:v>
                </c:pt>
              </c:numCache>
            </c:numRef>
          </c:yVal>
          <c:smooth val="0"/>
        </c:ser>
        <c:dLbls>
          <c:showLegendKey val="0"/>
          <c:showVal val="0"/>
          <c:showCatName val="0"/>
          <c:showSerName val="0"/>
          <c:showPercent val="0"/>
          <c:showBubbleSize val="0"/>
        </c:dLbls>
        <c:axId val="167722584"/>
        <c:axId val="167450008"/>
      </c:scatterChart>
      <c:valAx>
        <c:axId val="167722584"/>
        <c:scaling>
          <c:logBase val="10"/>
          <c:orientation val="minMax"/>
          <c:max val="100"/>
        </c:scaling>
        <c:delete val="0"/>
        <c:axPos val="b"/>
        <c:title>
          <c:tx>
            <c:rich>
              <a:bodyPr/>
              <a:lstStyle/>
              <a:p>
                <a:pPr>
                  <a:defRPr/>
                </a:pPr>
                <a:r>
                  <a:rPr lang="en-GB" sz="1200">
                    <a:latin typeface="Arial" pitchFamily="34" charset="0"/>
                    <a:cs typeface="Arial" pitchFamily="34" charset="0"/>
                  </a:rPr>
                  <a:t>Concentration</a:t>
                </a:r>
                <a:r>
                  <a:rPr lang="en-GB" sz="1200" baseline="0">
                    <a:latin typeface="Arial" pitchFamily="34" charset="0"/>
                    <a:cs typeface="Arial" pitchFamily="34" charset="0"/>
                  </a:rPr>
                  <a:t> (</a:t>
                </a:r>
                <a:r>
                  <a:rPr lang="el-GR" sz="1200" baseline="0">
                    <a:latin typeface="Arial" pitchFamily="34" charset="0"/>
                    <a:cs typeface="Arial" pitchFamily="34" charset="0"/>
                  </a:rPr>
                  <a:t>μ</a:t>
                </a:r>
                <a:r>
                  <a:rPr lang="en-GB" sz="1200" baseline="0">
                    <a:latin typeface="Arial" pitchFamily="34" charset="0"/>
                    <a:cs typeface="Arial" pitchFamily="34" charset="0"/>
                  </a:rPr>
                  <a:t>M)</a:t>
                </a:r>
                <a:endParaRPr lang="en-GB" sz="1200">
                  <a:latin typeface="Arial" pitchFamily="34" charset="0"/>
                  <a:cs typeface="Arial" pitchFamily="34" charset="0"/>
                </a:endParaRPr>
              </a:p>
            </c:rich>
          </c:tx>
          <c:layout/>
          <c:overlay val="0"/>
        </c:title>
        <c:numFmt formatCode="General" sourceLinked="1"/>
        <c:majorTickMark val="in"/>
        <c:minorTickMark val="in"/>
        <c:tickLblPos val="nextTo"/>
        <c:spPr>
          <a:ln w="12700">
            <a:solidFill>
              <a:schemeClr val="tx1"/>
            </a:solidFill>
          </a:ln>
        </c:spPr>
        <c:txPr>
          <a:bodyPr/>
          <a:lstStyle/>
          <a:p>
            <a:pPr>
              <a:defRPr>
                <a:latin typeface="Arial" pitchFamily="34" charset="0"/>
                <a:cs typeface="Arial" pitchFamily="34" charset="0"/>
              </a:defRPr>
            </a:pPr>
            <a:endParaRPr lang="en-US"/>
          </a:p>
        </c:txPr>
        <c:crossAx val="167450008"/>
        <c:crosses val="autoZero"/>
        <c:crossBetween val="midCat"/>
      </c:valAx>
      <c:valAx>
        <c:axId val="167450008"/>
        <c:scaling>
          <c:orientation val="minMax"/>
        </c:scaling>
        <c:delete val="0"/>
        <c:axPos val="l"/>
        <c:title>
          <c:tx>
            <c:rich>
              <a:bodyPr rot="-5400000" vert="horz"/>
              <a:lstStyle/>
              <a:p>
                <a:pPr>
                  <a:defRPr/>
                </a:pPr>
                <a:r>
                  <a:rPr lang="en-GB" sz="1200">
                    <a:latin typeface="Arial" pitchFamily="34" charset="0"/>
                    <a:cs typeface="Arial" pitchFamily="34" charset="0"/>
                  </a:rPr>
                  <a:t>Number</a:t>
                </a:r>
                <a:r>
                  <a:rPr lang="en-GB" sz="1200" baseline="0">
                    <a:latin typeface="Arial" pitchFamily="34" charset="0"/>
                    <a:cs typeface="Arial" pitchFamily="34" charset="0"/>
                  </a:rPr>
                  <a:t> of Cells (% of Control)</a:t>
                </a:r>
                <a:endParaRPr lang="en-GB" sz="1200">
                  <a:latin typeface="Arial" pitchFamily="34" charset="0"/>
                  <a:cs typeface="Arial" pitchFamily="34" charset="0"/>
                </a:endParaRPr>
              </a:p>
            </c:rich>
          </c:tx>
          <c:layout/>
          <c:overlay val="0"/>
        </c:title>
        <c:numFmt formatCode="General" sourceLinked="1"/>
        <c:majorTickMark val="in"/>
        <c:minorTickMark val="in"/>
        <c:tickLblPos val="nextTo"/>
        <c:spPr>
          <a:ln w="12700">
            <a:solidFill>
              <a:schemeClr val="tx1"/>
            </a:solidFill>
          </a:ln>
        </c:spPr>
        <c:txPr>
          <a:bodyPr/>
          <a:lstStyle/>
          <a:p>
            <a:pPr>
              <a:defRPr>
                <a:latin typeface="Arial" pitchFamily="34" charset="0"/>
                <a:cs typeface="Arial" pitchFamily="34" charset="0"/>
              </a:defRPr>
            </a:pPr>
            <a:endParaRPr lang="en-US"/>
          </a:p>
        </c:txPr>
        <c:crossAx val="167722584"/>
        <c:crossesAt val="1.0000000000000002E-3"/>
        <c:crossBetween val="midCat"/>
      </c:valAx>
      <c:spPr>
        <a:ln w="12700">
          <a:solidFill>
            <a:schemeClr val="tx1"/>
          </a:solidFill>
        </a:ln>
      </c:spPr>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lineMarker"/>
        <c:varyColors val="0"/>
        <c:ser>
          <c:idx val="0"/>
          <c:order val="0"/>
          <c:spPr>
            <a:ln w="25400">
              <a:solidFill>
                <a:schemeClr val="tx1"/>
              </a:solidFill>
            </a:ln>
          </c:spPr>
          <c:marker>
            <c:symbol val="square"/>
            <c:size val="7"/>
            <c:spPr>
              <a:noFill/>
              <a:ln w="19050">
                <a:solidFill>
                  <a:schemeClr val="tx1"/>
                </a:solidFill>
              </a:ln>
            </c:spPr>
          </c:marker>
          <c:xVal>
            <c:numRef>
              <c:f>'[Figure 2.xlsx]Sheet1'!$A$36:$A$41</c:f>
              <c:numCache>
                <c:formatCode>General</c:formatCode>
                <c:ptCount val="6"/>
                <c:pt idx="0">
                  <c:v>100</c:v>
                </c:pt>
                <c:pt idx="1">
                  <c:v>10</c:v>
                </c:pt>
                <c:pt idx="2">
                  <c:v>1</c:v>
                </c:pt>
                <c:pt idx="3">
                  <c:v>0.1</c:v>
                </c:pt>
                <c:pt idx="4">
                  <c:v>0.01</c:v>
                </c:pt>
                <c:pt idx="5">
                  <c:v>1E-3</c:v>
                </c:pt>
              </c:numCache>
            </c:numRef>
          </c:xVal>
          <c:yVal>
            <c:numRef>
              <c:f>'[Figure 2.xlsx]Sheet1'!$B$36:$B$41</c:f>
              <c:numCache>
                <c:formatCode>General</c:formatCode>
                <c:ptCount val="6"/>
                <c:pt idx="0">
                  <c:v>0</c:v>
                </c:pt>
                <c:pt idx="1">
                  <c:v>17</c:v>
                </c:pt>
                <c:pt idx="2">
                  <c:v>103.3</c:v>
                </c:pt>
                <c:pt idx="3">
                  <c:v>94.3</c:v>
                </c:pt>
                <c:pt idx="4">
                  <c:v>81</c:v>
                </c:pt>
                <c:pt idx="5">
                  <c:v>97.7</c:v>
                </c:pt>
              </c:numCache>
            </c:numRef>
          </c:yVal>
          <c:smooth val="0"/>
        </c:ser>
        <c:ser>
          <c:idx val="1"/>
          <c:order val="1"/>
          <c:spPr>
            <a:ln w="25400">
              <a:solidFill>
                <a:schemeClr val="tx1"/>
              </a:solidFill>
            </a:ln>
          </c:spPr>
          <c:marker>
            <c:symbol val="triangle"/>
            <c:size val="7"/>
            <c:spPr>
              <a:noFill/>
              <a:ln w="19050">
                <a:solidFill>
                  <a:schemeClr val="tx1"/>
                </a:solidFill>
              </a:ln>
            </c:spPr>
          </c:marker>
          <c:xVal>
            <c:numRef>
              <c:f>'[Figure 2.xlsx]Sheet1'!$A$36:$A$41</c:f>
              <c:numCache>
                <c:formatCode>General</c:formatCode>
                <c:ptCount val="6"/>
                <c:pt idx="0">
                  <c:v>100</c:v>
                </c:pt>
                <c:pt idx="1">
                  <c:v>10</c:v>
                </c:pt>
                <c:pt idx="2">
                  <c:v>1</c:v>
                </c:pt>
                <c:pt idx="3">
                  <c:v>0.1</c:v>
                </c:pt>
                <c:pt idx="4">
                  <c:v>0.01</c:v>
                </c:pt>
                <c:pt idx="5">
                  <c:v>1E-3</c:v>
                </c:pt>
              </c:numCache>
            </c:numRef>
          </c:xVal>
          <c:yVal>
            <c:numRef>
              <c:f>'[Figure 2.xlsx]Sheet1'!$C$36:$C$41</c:f>
              <c:numCache>
                <c:formatCode>General</c:formatCode>
                <c:ptCount val="6"/>
                <c:pt idx="0">
                  <c:v>0</c:v>
                </c:pt>
                <c:pt idx="1">
                  <c:v>0</c:v>
                </c:pt>
                <c:pt idx="2">
                  <c:v>59.7</c:v>
                </c:pt>
                <c:pt idx="3">
                  <c:v>109.5</c:v>
                </c:pt>
                <c:pt idx="4">
                  <c:v>93.7</c:v>
                </c:pt>
                <c:pt idx="5">
                  <c:v>108.7</c:v>
                </c:pt>
              </c:numCache>
            </c:numRef>
          </c:yVal>
          <c:smooth val="0"/>
        </c:ser>
        <c:ser>
          <c:idx val="2"/>
          <c:order val="2"/>
          <c:spPr>
            <a:ln w="25400">
              <a:solidFill>
                <a:schemeClr val="tx1"/>
              </a:solidFill>
            </a:ln>
          </c:spPr>
          <c:marker>
            <c:symbol val="circle"/>
            <c:size val="7"/>
            <c:spPr>
              <a:noFill/>
              <a:ln w="19050">
                <a:solidFill>
                  <a:schemeClr val="tx1"/>
                </a:solidFill>
              </a:ln>
            </c:spPr>
          </c:marker>
          <c:xVal>
            <c:numRef>
              <c:f>'[Figure 2.xlsx]Sheet1'!$A$36:$A$41</c:f>
              <c:numCache>
                <c:formatCode>General</c:formatCode>
                <c:ptCount val="6"/>
                <c:pt idx="0">
                  <c:v>100</c:v>
                </c:pt>
                <c:pt idx="1">
                  <c:v>10</c:v>
                </c:pt>
                <c:pt idx="2">
                  <c:v>1</c:v>
                </c:pt>
                <c:pt idx="3">
                  <c:v>0.1</c:v>
                </c:pt>
                <c:pt idx="4">
                  <c:v>0.01</c:v>
                </c:pt>
                <c:pt idx="5">
                  <c:v>1E-3</c:v>
                </c:pt>
              </c:numCache>
            </c:numRef>
          </c:xVal>
          <c:yVal>
            <c:numRef>
              <c:f>'[Figure 2.xlsx]Sheet1'!$D$36:$D$41</c:f>
              <c:numCache>
                <c:formatCode>General</c:formatCode>
                <c:ptCount val="6"/>
                <c:pt idx="0">
                  <c:v>0</c:v>
                </c:pt>
                <c:pt idx="1">
                  <c:v>2</c:v>
                </c:pt>
                <c:pt idx="2">
                  <c:v>66.3</c:v>
                </c:pt>
                <c:pt idx="3">
                  <c:v>105.7</c:v>
                </c:pt>
                <c:pt idx="4">
                  <c:v>107.3</c:v>
                </c:pt>
                <c:pt idx="5">
                  <c:v>103.5</c:v>
                </c:pt>
              </c:numCache>
            </c:numRef>
          </c:yVal>
          <c:smooth val="0"/>
        </c:ser>
        <c:ser>
          <c:idx val="3"/>
          <c:order val="3"/>
          <c:spPr>
            <a:ln w="25400">
              <a:solidFill>
                <a:schemeClr val="tx1"/>
              </a:solidFill>
            </a:ln>
          </c:spPr>
          <c:marker>
            <c:symbol val="square"/>
            <c:size val="7"/>
            <c:spPr>
              <a:solidFill>
                <a:schemeClr val="tx1"/>
              </a:solidFill>
              <a:ln w="19050">
                <a:solidFill>
                  <a:schemeClr val="tx1"/>
                </a:solidFill>
              </a:ln>
            </c:spPr>
          </c:marker>
          <c:xVal>
            <c:numRef>
              <c:f>'[Figure 2.xlsx]Sheet1'!$A$36:$A$41</c:f>
              <c:numCache>
                <c:formatCode>General</c:formatCode>
                <c:ptCount val="6"/>
                <c:pt idx="0">
                  <c:v>100</c:v>
                </c:pt>
                <c:pt idx="1">
                  <c:v>10</c:v>
                </c:pt>
                <c:pt idx="2">
                  <c:v>1</c:v>
                </c:pt>
                <c:pt idx="3">
                  <c:v>0.1</c:v>
                </c:pt>
                <c:pt idx="4">
                  <c:v>0.01</c:v>
                </c:pt>
                <c:pt idx="5">
                  <c:v>1E-3</c:v>
                </c:pt>
              </c:numCache>
            </c:numRef>
          </c:xVal>
          <c:yVal>
            <c:numRef>
              <c:f>'[Figure 2.xlsx]Sheet1'!$E$36:$E$41</c:f>
              <c:numCache>
                <c:formatCode>General</c:formatCode>
                <c:ptCount val="6"/>
                <c:pt idx="0">
                  <c:v>0</c:v>
                </c:pt>
                <c:pt idx="1">
                  <c:v>8</c:v>
                </c:pt>
                <c:pt idx="2">
                  <c:v>97.7</c:v>
                </c:pt>
                <c:pt idx="3">
                  <c:v>101</c:v>
                </c:pt>
                <c:pt idx="4">
                  <c:v>99.7</c:v>
                </c:pt>
                <c:pt idx="5">
                  <c:v>101.3</c:v>
                </c:pt>
              </c:numCache>
            </c:numRef>
          </c:yVal>
          <c:smooth val="0"/>
        </c:ser>
        <c:ser>
          <c:idx val="4"/>
          <c:order val="4"/>
          <c:spPr>
            <a:ln w="25400">
              <a:solidFill>
                <a:schemeClr val="tx1"/>
              </a:solidFill>
            </a:ln>
          </c:spPr>
          <c:marker>
            <c:symbol val="triangle"/>
            <c:size val="7"/>
            <c:spPr>
              <a:solidFill>
                <a:schemeClr val="tx1"/>
              </a:solidFill>
              <a:ln w="19050">
                <a:solidFill>
                  <a:schemeClr val="tx1"/>
                </a:solidFill>
              </a:ln>
            </c:spPr>
          </c:marker>
          <c:xVal>
            <c:numRef>
              <c:f>'[Figure 2.xlsx]Sheet1'!$A$36:$A$41</c:f>
              <c:numCache>
                <c:formatCode>General</c:formatCode>
                <c:ptCount val="6"/>
                <c:pt idx="0">
                  <c:v>100</c:v>
                </c:pt>
                <c:pt idx="1">
                  <c:v>10</c:v>
                </c:pt>
                <c:pt idx="2">
                  <c:v>1</c:v>
                </c:pt>
                <c:pt idx="3">
                  <c:v>0.1</c:v>
                </c:pt>
                <c:pt idx="4">
                  <c:v>0.01</c:v>
                </c:pt>
                <c:pt idx="5">
                  <c:v>1E-3</c:v>
                </c:pt>
              </c:numCache>
            </c:numRef>
          </c:xVal>
          <c:yVal>
            <c:numRef>
              <c:f>'[Figure 2.xlsx]Sheet1'!$F$36:$F$41</c:f>
              <c:numCache>
                <c:formatCode>General</c:formatCode>
                <c:ptCount val="6"/>
                <c:pt idx="0">
                  <c:v>0</c:v>
                </c:pt>
                <c:pt idx="1">
                  <c:v>2</c:v>
                </c:pt>
                <c:pt idx="2">
                  <c:v>75</c:v>
                </c:pt>
                <c:pt idx="3">
                  <c:v>83.7</c:v>
                </c:pt>
                <c:pt idx="4">
                  <c:v>81.3</c:v>
                </c:pt>
                <c:pt idx="5">
                  <c:v>103.7</c:v>
                </c:pt>
              </c:numCache>
            </c:numRef>
          </c:yVal>
          <c:smooth val="0"/>
        </c:ser>
        <c:ser>
          <c:idx val="5"/>
          <c:order val="5"/>
          <c:spPr>
            <a:ln w="25400">
              <a:solidFill>
                <a:schemeClr val="tx1"/>
              </a:solidFill>
            </a:ln>
          </c:spPr>
          <c:marker>
            <c:symbol val="circle"/>
            <c:size val="7"/>
            <c:spPr>
              <a:solidFill>
                <a:schemeClr val="tx1"/>
              </a:solidFill>
              <a:ln w="19050">
                <a:solidFill>
                  <a:schemeClr val="tx1"/>
                </a:solidFill>
              </a:ln>
            </c:spPr>
          </c:marker>
          <c:xVal>
            <c:numRef>
              <c:f>'[Figure 2.xlsx]Sheet1'!$A$36:$A$41</c:f>
              <c:numCache>
                <c:formatCode>General</c:formatCode>
                <c:ptCount val="6"/>
                <c:pt idx="0">
                  <c:v>100</c:v>
                </c:pt>
                <c:pt idx="1">
                  <c:v>10</c:v>
                </c:pt>
                <c:pt idx="2">
                  <c:v>1</c:v>
                </c:pt>
                <c:pt idx="3">
                  <c:v>0.1</c:v>
                </c:pt>
                <c:pt idx="4">
                  <c:v>0.01</c:v>
                </c:pt>
                <c:pt idx="5">
                  <c:v>1E-3</c:v>
                </c:pt>
              </c:numCache>
            </c:numRef>
          </c:xVal>
          <c:yVal>
            <c:numRef>
              <c:f>'[Figure 2.xlsx]Sheet1'!$G$36:$G$41</c:f>
              <c:numCache>
                <c:formatCode>General</c:formatCode>
                <c:ptCount val="6"/>
                <c:pt idx="0">
                  <c:v>0</c:v>
                </c:pt>
                <c:pt idx="1">
                  <c:v>4.3</c:v>
                </c:pt>
                <c:pt idx="2">
                  <c:v>85.7</c:v>
                </c:pt>
                <c:pt idx="3">
                  <c:v>84.3</c:v>
                </c:pt>
                <c:pt idx="4">
                  <c:v>90.3</c:v>
                </c:pt>
                <c:pt idx="5">
                  <c:v>109</c:v>
                </c:pt>
              </c:numCache>
            </c:numRef>
          </c:yVal>
          <c:smooth val="0"/>
        </c:ser>
        <c:dLbls>
          <c:showLegendKey val="0"/>
          <c:showVal val="0"/>
          <c:showCatName val="0"/>
          <c:showSerName val="0"/>
          <c:showPercent val="0"/>
          <c:showBubbleSize val="0"/>
        </c:dLbls>
        <c:axId val="126295024"/>
        <c:axId val="167519200"/>
      </c:scatterChart>
      <c:valAx>
        <c:axId val="126295024"/>
        <c:scaling>
          <c:logBase val="10"/>
          <c:orientation val="minMax"/>
          <c:max val="100"/>
        </c:scaling>
        <c:delete val="0"/>
        <c:axPos val="b"/>
        <c:title>
          <c:tx>
            <c:rich>
              <a:bodyPr/>
              <a:lstStyle/>
              <a:p>
                <a:pPr>
                  <a:defRPr/>
                </a:pPr>
                <a:r>
                  <a:rPr lang="en-GB" sz="1200">
                    <a:latin typeface="Arial" pitchFamily="34" charset="0"/>
                    <a:cs typeface="Arial" pitchFamily="34" charset="0"/>
                  </a:rPr>
                  <a:t>Concentration</a:t>
                </a:r>
                <a:r>
                  <a:rPr lang="en-GB" sz="1200" baseline="0">
                    <a:latin typeface="Arial" pitchFamily="34" charset="0"/>
                    <a:cs typeface="Arial" pitchFamily="34" charset="0"/>
                  </a:rPr>
                  <a:t> (</a:t>
                </a:r>
                <a:r>
                  <a:rPr lang="el-GR" sz="1200" baseline="0">
                    <a:latin typeface="Arial" pitchFamily="34" charset="0"/>
                    <a:cs typeface="Arial" pitchFamily="34" charset="0"/>
                  </a:rPr>
                  <a:t>μ</a:t>
                </a:r>
                <a:r>
                  <a:rPr lang="en-GB" sz="1200" baseline="0">
                    <a:latin typeface="Arial" pitchFamily="34" charset="0"/>
                    <a:cs typeface="Arial" pitchFamily="34" charset="0"/>
                  </a:rPr>
                  <a:t>M)</a:t>
                </a:r>
                <a:endParaRPr lang="en-GB" sz="1200">
                  <a:latin typeface="Arial" pitchFamily="34" charset="0"/>
                  <a:cs typeface="Arial" pitchFamily="34" charset="0"/>
                </a:endParaRPr>
              </a:p>
            </c:rich>
          </c:tx>
          <c:layout/>
          <c:overlay val="0"/>
        </c:title>
        <c:numFmt formatCode="General" sourceLinked="1"/>
        <c:majorTickMark val="in"/>
        <c:minorTickMark val="in"/>
        <c:tickLblPos val="nextTo"/>
        <c:spPr>
          <a:ln w="12700">
            <a:solidFill>
              <a:schemeClr val="tx1"/>
            </a:solidFill>
          </a:ln>
        </c:spPr>
        <c:txPr>
          <a:bodyPr/>
          <a:lstStyle/>
          <a:p>
            <a:pPr>
              <a:defRPr>
                <a:latin typeface="Arial" pitchFamily="34" charset="0"/>
                <a:cs typeface="Arial" pitchFamily="34" charset="0"/>
              </a:defRPr>
            </a:pPr>
            <a:endParaRPr lang="en-US"/>
          </a:p>
        </c:txPr>
        <c:crossAx val="167519200"/>
        <c:crosses val="autoZero"/>
        <c:crossBetween val="midCat"/>
      </c:valAx>
      <c:valAx>
        <c:axId val="167519200"/>
        <c:scaling>
          <c:orientation val="minMax"/>
        </c:scaling>
        <c:delete val="0"/>
        <c:axPos val="l"/>
        <c:title>
          <c:tx>
            <c:rich>
              <a:bodyPr rot="-5400000" vert="horz"/>
              <a:lstStyle/>
              <a:p>
                <a:pPr>
                  <a:defRPr/>
                </a:pPr>
                <a:r>
                  <a:rPr lang="en-GB" sz="1200">
                    <a:latin typeface="Arial" pitchFamily="34" charset="0"/>
                    <a:cs typeface="Arial" pitchFamily="34" charset="0"/>
                  </a:rPr>
                  <a:t>Number</a:t>
                </a:r>
                <a:r>
                  <a:rPr lang="en-GB" sz="1200" baseline="0">
                    <a:latin typeface="Arial" pitchFamily="34" charset="0"/>
                    <a:cs typeface="Arial" pitchFamily="34" charset="0"/>
                  </a:rPr>
                  <a:t> of Cells (% of Control)</a:t>
                </a:r>
                <a:endParaRPr lang="en-GB" sz="1200">
                  <a:latin typeface="Arial" pitchFamily="34" charset="0"/>
                  <a:cs typeface="Arial" pitchFamily="34" charset="0"/>
                </a:endParaRPr>
              </a:p>
            </c:rich>
          </c:tx>
          <c:layout/>
          <c:overlay val="0"/>
        </c:title>
        <c:numFmt formatCode="General" sourceLinked="1"/>
        <c:majorTickMark val="in"/>
        <c:minorTickMark val="in"/>
        <c:tickLblPos val="nextTo"/>
        <c:spPr>
          <a:ln w="12700">
            <a:solidFill>
              <a:schemeClr val="tx1"/>
            </a:solidFill>
          </a:ln>
        </c:spPr>
        <c:txPr>
          <a:bodyPr/>
          <a:lstStyle/>
          <a:p>
            <a:pPr>
              <a:defRPr>
                <a:latin typeface="Arial" pitchFamily="34" charset="0"/>
                <a:cs typeface="Arial" pitchFamily="34" charset="0"/>
              </a:defRPr>
            </a:pPr>
            <a:endParaRPr lang="en-US"/>
          </a:p>
        </c:txPr>
        <c:crossAx val="126295024"/>
        <c:crossesAt val="1.0000000000000002E-3"/>
        <c:crossBetween val="midCat"/>
      </c:valAx>
      <c:spPr>
        <a:ln w="12700">
          <a:solidFill>
            <a:schemeClr val="tx1"/>
          </a:solidFill>
        </a:ln>
      </c:spPr>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spPr>
            <a:ln w="25400">
              <a:solidFill>
                <a:schemeClr val="tx1"/>
              </a:solidFill>
            </a:ln>
          </c:spPr>
          <c:marker>
            <c:symbol val="x"/>
            <c:size val="7"/>
            <c:spPr>
              <a:ln w="19050">
                <a:solidFill>
                  <a:schemeClr val="tx1"/>
                </a:solidFill>
              </a:ln>
            </c:spPr>
          </c:marker>
          <c:xVal>
            <c:numRef>
              <c:f>'[Fig time course ITC.xlsx]Sheet1'!$A$1:$A$8</c:f>
              <c:numCache>
                <c:formatCode>General</c:formatCode>
                <c:ptCount val="8"/>
                <c:pt idx="0">
                  <c:v>0</c:v>
                </c:pt>
                <c:pt idx="1">
                  <c:v>1</c:v>
                </c:pt>
                <c:pt idx="2">
                  <c:v>2</c:v>
                </c:pt>
                <c:pt idx="3">
                  <c:v>3</c:v>
                </c:pt>
                <c:pt idx="4">
                  <c:v>4</c:v>
                </c:pt>
                <c:pt idx="5">
                  <c:v>5</c:v>
                </c:pt>
                <c:pt idx="6">
                  <c:v>6</c:v>
                </c:pt>
                <c:pt idx="7">
                  <c:v>7</c:v>
                </c:pt>
              </c:numCache>
            </c:numRef>
          </c:xVal>
          <c:yVal>
            <c:numRef>
              <c:f>'[Fig time course ITC.xlsx]Sheet1'!$B$1:$B$8</c:f>
              <c:numCache>
                <c:formatCode>General</c:formatCode>
                <c:ptCount val="8"/>
                <c:pt idx="0">
                  <c:v>0</c:v>
                </c:pt>
                <c:pt idx="1">
                  <c:v>0.06</c:v>
                </c:pt>
                <c:pt idx="2">
                  <c:v>0.14799999999999999</c:v>
                </c:pt>
                <c:pt idx="3">
                  <c:v>0.23100000000000001</c:v>
                </c:pt>
                <c:pt idx="4">
                  <c:v>0.30199999999999999</c:v>
                </c:pt>
                <c:pt idx="5">
                  <c:v>0.377</c:v>
                </c:pt>
                <c:pt idx="6">
                  <c:v>0.442</c:v>
                </c:pt>
                <c:pt idx="7">
                  <c:v>0.498</c:v>
                </c:pt>
              </c:numCache>
            </c:numRef>
          </c:yVal>
          <c:smooth val="0"/>
        </c:ser>
        <c:ser>
          <c:idx val="1"/>
          <c:order val="1"/>
          <c:spPr>
            <a:ln w="25400">
              <a:solidFill>
                <a:schemeClr val="tx1"/>
              </a:solidFill>
            </a:ln>
          </c:spPr>
          <c:marker>
            <c:symbol val="square"/>
            <c:size val="7"/>
            <c:spPr>
              <a:noFill/>
              <a:ln w="19050">
                <a:solidFill>
                  <a:schemeClr val="tx1"/>
                </a:solidFill>
              </a:ln>
            </c:spPr>
          </c:marker>
          <c:xVal>
            <c:numRef>
              <c:f>'[Fig time course ITC.xlsx]Sheet1'!$A$1:$A$8</c:f>
              <c:numCache>
                <c:formatCode>General</c:formatCode>
                <c:ptCount val="8"/>
                <c:pt idx="0">
                  <c:v>0</c:v>
                </c:pt>
                <c:pt idx="1">
                  <c:v>1</c:v>
                </c:pt>
                <c:pt idx="2">
                  <c:v>2</c:v>
                </c:pt>
                <c:pt idx="3">
                  <c:v>3</c:v>
                </c:pt>
                <c:pt idx="4">
                  <c:v>4</c:v>
                </c:pt>
                <c:pt idx="5">
                  <c:v>5</c:v>
                </c:pt>
                <c:pt idx="6">
                  <c:v>6</c:v>
                </c:pt>
                <c:pt idx="7">
                  <c:v>7</c:v>
                </c:pt>
              </c:numCache>
            </c:numRef>
          </c:xVal>
          <c:yVal>
            <c:numRef>
              <c:f>'[Fig time course ITC.xlsx]Sheet1'!$C$1:$C$8</c:f>
              <c:numCache>
                <c:formatCode>General</c:formatCode>
                <c:ptCount val="8"/>
                <c:pt idx="0">
                  <c:v>0</c:v>
                </c:pt>
                <c:pt idx="1">
                  <c:v>5.8000000000000003E-2</c:v>
                </c:pt>
                <c:pt idx="2">
                  <c:v>0.14000000000000001</c:v>
                </c:pt>
                <c:pt idx="3">
                  <c:v>0.21</c:v>
                </c:pt>
                <c:pt idx="4">
                  <c:v>0.27500000000000002</c:v>
                </c:pt>
                <c:pt idx="5">
                  <c:v>0.312</c:v>
                </c:pt>
                <c:pt idx="6">
                  <c:v>0.34899999999999998</c:v>
                </c:pt>
                <c:pt idx="7">
                  <c:v>0.373</c:v>
                </c:pt>
              </c:numCache>
            </c:numRef>
          </c:yVal>
          <c:smooth val="0"/>
        </c:ser>
        <c:ser>
          <c:idx val="2"/>
          <c:order val="2"/>
          <c:spPr>
            <a:ln w="25400">
              <a:solidFill>
                <a:schemeClr val="tx1"/>
              </a:solidFill>
            </a:ln>
          </c:spPr>
          <c:marker>
            <c:symbol val="triangle"/>
            <c:size val="7"/>
            <c:spPr>
              <a:noFill/>
              <a:ln w="19050">
                <a:solidFill>
                  <a:schemeClr val="tx1"/>
                </a:solidFill>
              </a:ln>
            </c:spPr>
          </c:marker>
          <c:xVal>
            <c:numRef>
              <c:f>'[Fig time course ITC.xlsx]Sheet1'!$A$1:$A$8</c:f>
              <c:numCache>
                <c:formatCode>General</c:formatCode>
                <c:ptCount val="8"/>
                <c:pt idx="0">
                  <c:v>0</c:v>
                </c:pt>
                <c:pt idx="1">
                  <c:v>1</c:v>
                </c:pt>
                <c:pt idx="2">
                  <c:v>2</c:v>
                </c:pt>
                <c:pt idx="3">
                  <c:v>3</c:v>
                </c:pt>
                <c:pt idx="4">
                  <c:v>4</c:v>
                </c:pt>
                <c:pt idx="5">
                  <c:v>5</c:v>
                </c:pt>
                <c:pt idx="6">
                  <c:v>6</c:v>
                </c:pt>
                <c:pt idx="7">
                  <c:v>7</c:v>
                </c:pt>
              </c:numCache>
            </c:numRef>
          </c:xVal>
          <c:yVal>
            <c:numRef>
              <c:f>'[Fig time course ITC.xlsx]Sheet1'!$D$1:$D$8</c:f>
              <c:numCache>
                <c:formatCode>General</c:formatCode>
                <c:ptCount val="8"/>
                <c:pt idx="0">
                  <c:v>0</c:v>
                </c:pt>
                <c:pt idx="1">
                  <c:v>2.9000000000000001E-2</c:v>
                </c:pt>
                <c:pt idx="2">
                  <c:v>4.3999999999999997E-2</c:v>
                </c:pt>
                <c:pt idx="3">
                  <c:v>5.1999999999999998E-2</c:v>
                </c:pt>
                <c:pt idx="4">
                  <c:v>0.06</c:v>
                </c:pt>
                <c:pt idx="5">
                  <c:v>6.6000000000000003E-2</c:v>
                </c:pt>
                <c:pt idx="6">
                  <c:v>7.2999999999999995E-2</c:v>
                </c:pt>
                <c:pt idx="7">
                  <c:v>7.9000000000000001E-2</c:v>
                </c:pt>
              </c:numCache>
            </c:numRef>
          </c:yVal>
          <c:smooth val="0"/>
        </c:ser>
        <c:ser>
          <c:idx val="3"/>
          <c:order val="3"/>
          <c:spPr>
            <a:ln w="25400">
              <a:solidFill>
                <a:schemeClr val="tx1"/>
              </a:solidFill>
            </a:ln>
          </c:spPr>
          <c:marker>
            <c:symbol val="circle"/>
            <c:size val="7"/>
            <c:spPr>
              <a:noFill/>
              <a:ln w="19050">
                <a:solidFill>
                  <a:schemeClr val="tx1"/>
                </a:solidFill>
              </a:ln>
            </c:spPr>
          </c:marker>
          <c:xVal>
            <c:numRef>
              <c:f>'[Fig time course ITC.xlsx]Sheet1'!$A$1:$A$8</c:f>
              <c:numCache>
                <c:formatCode>General</c:formatCode>
                <c:ptCount val="8"/>
                <c:pt idx="0">
                  <c:v>0</c:v>
                </c:pt>
                <c:pt idx="1">
                  <c:v>1</c:v>
                </c:pt>
                <c:pt idx="2">
                  <c:v>2</c:v>
                </c:pt>
                <c:pt idx="3">
                  <c:v>3</c:v>
                </c:pt>
                <c:pt idx="4">
                  <c:v>4</c:v>
                </c:pt>
                <c:pt idx="5">
                  <c:v>5</c:v>
                </c:pt>
                <c:pt idx="6">
                  <c:v>6</c:v>
                </c:pt>
                <c:pt idx="7">
                  <c:v>7</c:v>
                </c:pt>
              </c:numCache>
            </c:numRef>
          </c:xVal>
          <c:yVal>
            <c:numRef>
              <c:f>'[Fig time course ITC.xlsx]Sheet1'!$E$1:$E$8</c:f>
              <c:numCache>
                <c:formatCode>General</c:formatCode>
                <c:ptCount val="8"/>
                <c:pt idx="0">
                  <c:v>0</c:v>
                </c:pt>
                <c:pt idx="1">
                  <c:v>4.9000000000000002E-2</c:v>
                </c:pt>
                <c:pt idx="2">
                  <c:v>6.3E-2</c:v>
                </c:pt>
                <c:pt idx="3">
                  <c:v>6.8000000000000005E-2</c:v>
                </c:pt>
                <c:pt idx="4">
                  <c:v>7.2999999999999995E-2</c:v>
                </c:pt>
                <c:pt idx="5">
                  <c:v>7.8E-2</c:v>
                </c:pt>
                <c:pt idx="6">
                  <c:v>8.1000000000000003E-2</c:v>
                </c:pt>
                <c:pt idx="7">
                  <c:v>8.5000000000000006E-2</c:v>
                </c:pt>
              </c:numCache>
            </c:numRef>
          </c:yVal>
          <c:smooth val="0"/>
        </c:ser>
        <c:ser>
          <c:idx val="4"/>
          <c:order val="4"/>
          <c:spPr>
            <a:ln w="25400">
              <a:solidFill>
                <a:schemeClr val="tx1"/>
              </a:solidFill>
            </a:ln>
          </c:spPr>
          <c:marker>
            <c:symbol val="square"/>
            <c:size val="7"/>
            <c:spPr>
              <a:solidFill>
                <a:schemeClr val="tx1"/>
              </a:solidFill>
              <a:ln w="19050">
                <a:solidFill>
                  <a:schemeClr val="tx1"/>
                </a:solidFill>
              </a:ln>
            </c:spPr>
          </c:marker>
          <c:xVal>
            <c:numRef>
              <c:f>'[Fig time course ITC.xlsx]Sheet1'!$A$1:$A$8</c:f>
              <c:numCache>
                <c:formatCode>General</c:formatCode>
                <c:ptCount val="8"/>
                <c:pt idx="0">
                  <c:v>0</c:v>
                </c:pt>
                <c:pt idx="1">
                  <c:v>1</c:v>
                </c:pt>
                <c:pt idx="2">
                  <c:v>2</c:v>
                </c:pt>
                <c:pt idx="3">
                  <c:v>3</c:v>
                </c:pt>
                <c:pt idx="4">
                  <c:v>4</c:v>
                </c:pt>
                <c:pt idx="5">
                  <c:v>5</c:v>
                </c:pt>
                <c:pt idx="6">
                  <c:v>6</c:v>
                </c:pt>
                <c:pt idx="7">
                  <c:v>7</c:v>
                </c:pt>
              </c:numCache>
            </c:numRef>
          </c:xVal>
          <c:yVal>
            <c:numRef>
              <c:f>'[Fig time course ITC.xlsx]Sheet1'!$F$1:$F$8</c:f>
              <c:numCache>
                <c:formatCode>General</c:formatCode>
                <c:ptCount val="8"/>
                <c:pt idx="0">
                  <c:v>0</c:v>
                </c:pt>
                <c:pt idx="1">
                  <c:v>5.8999999999999997E-2</c:v>
                </c:pt>
                <c:pt idx="2">
                  <c:v>0.14699999999999999</c:v>
                </c:pt>
                <c:pt idx="3">
                  <c:v>0.20899999999999999</c:v>
                </c:pt>
                <c:pt idx="4">
                  <c:v>0.26100000000000001</c:v>
                </c:pt>
                <c:pt idx="5">
                  <c:v>0.27700000000000002</c:v>
                </c:pt>
                <c:pt idx="6">
                  <c:v>0.29299999999999998</c:v>
                </c:pt>
                <c:pt idx="7">
                  <c:v>0.29899999999999999</c:v>
                </c:pt>
              </c:numCache>
            </c:numRef>
          </c:yVal>
          <c:smooth val="0"/>
        </c:ser>
        <c:ser>
          <c:idx val="5"/>
          <c:order val="5"/>
          <c:spPr>
            <a:ln w="25400">
              <a:solidFill>
                <a:schemeClr val="tx1"/>
              </a:solidFill>
            </a:ln>
          </c:spPr>
          <c:marker>
            <c:symbol val="triangle"/>
            <c:size val="7"/>
            <c:spPr>
              <a:solidFill>
                <a:schemeClr val="tx1"/>
              </a:solidFill>
              <a:ln w="19050">
                <a:solidFill>
                  <a:schemeClr val="tx1"/>
                </a:solidFill>
              </a:ln>
            </c:spPr>
          </c:marker>
          <c:xVal>
            <c:numRef>
              <c:f>'[Fig time course ITC.xlsx]Sheet1'!$A$1:$A$8</c:f>
              <c:numCache>
                <c:formatCode>General</c:formatCode>
                <c:ptCount val="8"/>
                <c:pt idx="0">
                  <c:v>0</c:v>
                </c:pt>
                <c:pt idx="1">
                  <c:v>1</c:v>
                </c:pt>
                <c:pt idx="2">
                  <c:v>2</c:v>
                </c:pt>
                <c:pt idx="3">
                  <c:v>3</c:v>
                </c:pt>
                <c:pt idx="4">
                  <c:v>4</c:v>
                </c:pt>
                <c:pt idx="5">
                  <c:v>5</c:v>
                </c:pt>
                <c:pt idx="6">
                  <c:v>6</c:v>
                </c:pt>
                <c:pt idx="7">
                  <c:v>7</c:v>
                </c:pt>
              </c:numCache>
            </c:numRef>
          </c:xVal>
          <c:yVal>
            <c:numRef>
              <c:f>'[Fig time course ITC.xlsx]Sheet1'!$G$1:$G$8</c:f>
              <c:numCache>
                <c:formatCode>General</c:formatCode>
                <c:ptCount val="8"/>
                <c:pt idx="0">
                  <c:v>0</c:v>
                </c:pt>
                <c:pt idx="1">
                  <c:v>5.7000000000000002E-2</c:v>
                </c:pt>
                <c:pt idx="2">
                  <c:v>0.13600000000000001</c:v>
                </c:pt>
                <c:pt idx="3">
                  <c:v>0.17100000000000001</c:v>
                </c:pt>
                <c:pt idx="4">
                  <c:v>0.182</c:v>
                </c:pt>
                <c:pt idx="5">
                  <c:v>0.191</c:v>
                </c:pt>
                <c:pt idx="6">
                  <c:v>0.19800000000000001</c:v>
                </c:pt>
                <c:pt idx="7">
                  <c:v>0.20499999999999999</c:v>
                </c:pt>
              </c:numCache>
            </c:numRef>
          </c:yVal>
          <c:smooth val="0"/>
        </c:ser>
        <c:ser>
          <c:idx val="6"/>
          <c:order val="6"/>
          <c:spPr>
            <a:ln w="25400">
              <a:solidFill>
                <a:schemeClr val="tx1"/>
              </a:solidFill>
            </a:ln>
          </c:spPr>
          <c:marker>
            <c:symbol val="circle"/>
            <c:size val="7"/>
            <c:spPr>
              <a:solidFill>
                <a:schemeClr val="tx1"/>
              </a:solidFill>
              <a:ln w="19050">
                <a:solidFill>
                  <a:schemeClr val="tx1"/>
                </a:solidFill>
              </a:ln>
            </c:spPr>
          </c:marker>
          <c:xVal>
            <c:numRef>
              <c:f>'[Fig time course ITC.xlsx]Sheet1'!$A$1:$A$8</c:f>
              <c:numCache>
                <c:formatCode>General</c:formatCode>
                <c:ptCount val="8"/>
                <c:pt idx="0">
                  <c:v>0</c:v>
                </c:pt>
                <c:pt idx="1">
                  <c:v>1</c:v>
                </c:pt>
                <c:pt idx="2">
                  <c:v>2</c:v>
                </c:pt>
                <c:pt idx="3">
                  <c:v>3</c:v>
                </c:pt>
                <c:pt idx="4">
                  <c:v>4</c:v>
                </c:pt>
                <c:pt idx="5">
                  <c:v>5</c:v>
                </c:pt>
                <c:pt idx="6">
                  <c:v>6</c:v>
                </c:pt>
                <c:pt idx="7">
                  <c:v>7</c:v>
                </c:pt>
              </c:numCache>
            </c:numRef>
          </c:xVal>
          <c:yVal>
            <c:numRef>
              <c:f>'[Fig time course ITC.xlsx]Sheet1'!$H$1:$H$8</c:f>
              <c:numCache>
                <c:formatCode>General</c:formatCode>
                <c:ptCount val="8"/>
                <c:pt idx="0">
                  <c:v>0</c:v>
                </c:pt>
                <c:pt idx="1">
                  <c:v>5.5E-2</c:v>
                </c:pt>
                <c:pt idx="2">
                  <c:v>0.14799999999999999</c:v>
                </c:pt>
                <c:pt idx="3">
                  <c:v>0.22</c:v>
                </c:pt>
                <c:pt idx="4">
                  <c:v>0.253</c:v>
                </c:pt>
                <c:pt idx="5">
                  <c:v>0.26400000000000001</c:v>
                </c:pt>
                <c:pt idx="6">
                  <c:v>0.27600000000000002</c:v>
                </c:pt>
                <c:pt idx="7">
                  <c:v>0.28399999999999997</c:v>
                </c:pt>
              </c:numCache>
            </c:numRef>
          </c:yVal>
          <c:smooth val="0"/>
        </c:ser>
        <c:dLbls>
          <c:showLegendKey val="0"/>
          <c:showVal val="0"/>
          <c:showCatName val="0"/>
          <c:showSerName val="0"/>
          <c:showPercent val="0"/>
          <c:showBubbleSize val="0"/>
        </c:dLbls>
        <c:axId val="167722968"/>
        <c:axId val="167739736"/>
      </c:scatterChart>
      <c:valAx>
        <c:axId val="167722968"/>
        <c:scaling>
          <c:orientation val="minMax"/>
        </c:scaling>
        <c:delete val="0"/>
        <c:axPos val="b"/>
        <c:title>
          <c:tx>
            <c:rich>
              <a:bodyPr/>
              <a:lstStyle/>
              <a:p>
                <a:pPr>
                  <a:defRPr/>
                </a:pPr>
                <a:r>
                  <a:rPr lang="en-GB" sz="1200">
                    <a:latin typeface="Arial" pitchFamily="34" charset="0"/>
                    <a:cs typeface="Arial" pitchFamily="34" charset="0"/>
                  </a:rPr>
                  <a:t>Time</a:t>
                </a:r>
                <a:r>
                  <a:rPr lang="en-GB" sz="1200" baseline="0">
                    <a:latin typeface="Arial" pitchFamily="34" charset="0"/>
                    <a:cs typeface="Arial" pitchFamily="34" charset="0"/>
                  </a:rPr>
                  <a:t> (h)</a:t>
                </a:r>
                <a:endParaRPr lang="en-GB" sz="1200">
                  <a:latin typeface="Arial" pitchFamily="34" charset="0"/>
                  <a:cs typeface="Arial" pitchFamily="34" charset="0"/>
                </a:endParaRPr>
              </a:p>
            </c:rich>
          </c:tx>
          <c:layout/>
          <c:overlay val="0"/>
        </c:title>
        <c:numFmt formatCode="General" sourceLinked="1"/>
        <c:majorTickMark val="in"/>
        <c:minorTickMark val="none"/>
        <c:tickLblPos val="nextTo"/>
        <c:spPr>
          <a:ln w="12700">
            <a:solidFill>
              <a:schemeClr val="tx1"/>
            </a:solidFill>
          </a:ln>
        </c:spPr>
        <c:txPr>
          <a:bodyPr/>
          <a:lstStyle/>
          <a:p>
            <a:pPr>
              <a:defRPr sz="1000">
                <a:latin typeface="Arial" pitchFamily="34" charset="0"/>
                <a:cs typeface="Arial" pitchFamily="34" charset="0"/>
              </a:defRPr>
            </a:pPr>
            <a:endParaRPr lang="en-US"/>
          </a:p>
        </c:txPr>
        <c:crossAx val="167739736"/>
        <c:crosses val="autoZero"/>
        <c:crossBetween val="midCat"/>
      </c:valAx>
      <c:valAx>
        <c:axId val="167739736"/>
        <c:scaling>
          <c:orientation val="minMax"/>
          <c:max val="0.60000000000000009"/>
        </c:scaling>
        <c:delete val="0"/>
        <c:axPos val="l"/>
        <c:title>
          <c:tx>
            <c:rich>
              <a:bodyPr rot="-5400000" vert="horz"/>
              <a:lstStyle/>
              <a:p>
                <a:pPr>
                  <a:defRPr/>
                </a:pPr>
                <a:r>
                  <a:rPr lang="en-GB" sz="1200">
                    <a:latin typeface="Arial" pitchFamily="34" charset="0"/>
                    <a:cs typeface="Arial" pitchFamily="34" charset="0"/>
                  </a:rPr>
                  <a:t>Absorbance</a:t>
                </a:r>
                <a:r>
                  <a:rPr lang="en-GB" sz="1200" baseline="0">
                    <a:latin typeface="Arial" pitchFamily="34" charset="0"/>
                    <a:cs typeface="Arial" pitchFamily="34" charset="0"/>
                  </a:rPr>
                  <a:t> (570 nm - 630 nm)</a:t>
                </a:r>
                <a:endParaRPr lang="en-GB" sz="1200">
                  <a:latin typeface="Arial" pitchFamily="34" charset="0"/>
                  <a:cs typeface="Arial" pitchFamily="34" charset="0"/>
                </a:endParaRPr>
              </a:p>
            </c:rich>
          </c:tx>
          <c:layout/>
          <c:overlay val="0"/>
        </c:title>
        <c:numFmt formatCode="General" sourceLinked="1"/>
        <c:majorTickMark val="in"/>
        <c:minorTickMark val="none"/>
        <c:tickLblPos val="nextTo"/>
        <c:spPr>
          <a:ln w="12700">
            <a:solidFill>
              <a:schemeClr val="tx1"/>
            </a:solidFill>
          </a:ln>
        </c:spPr>
        <c:txPr>
          <a:bodyPr/>
          <a:lstStyle/>
          <a:p>
            <a:pPr>
              <a:defRPr sz="1000">
                <a:latin typeface="Arial" pitchFamily="34" charset="0"/>
                <a:cs typeface="Arial" pitchFamily="34" charset="0"/>
              </a:defRPr>
            </a:pPr>
            <a:endParaRPr lang="en-US"/>
          </a:p>
        </c:txPr>
        <c:crossAx val="167722968"/>
        <c:crosses val="autoZero"/>
        <c:crossBetween val="midCat"/>
      </c:valAx>
      <c:spPr>
        <a:ln w="19050">
          <a:solidFill>
            <a:schemeClr val="tx1"/>
          </a:solidFill>
        </a:ln>
      </c:spPr>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spPr>
            <a:ln w="25400">
              <a:solidFill>
                <a:schemeClr val="tx1"/>
              </a:solidFill>
            </a:ln>
          </c:spPr>
          <c:marker>
            <c:symbol val="x"/>
            <c:size val="7"/>
            <c:spPr>
              <a:ln w="19050">
                <a:solidFill>
                  <a:schemeClr val="tx1"/>
                </a:solidFill>
              </a:ln>
            </c:spPr>
          </c:marker>
          <c:xVal>
            <c:numRef>
              <c:f>'[Fig time course ITC.xlsx]Sheet1'!$A$31:$A$38</c:f>
              <c:numCache>
                <c:formatCode>General</c:formatCode>
                <c:ptCount val="8"/>
                <c:pt idx="0">
                  <c:v>0</c:v>
                </c:pt>
                <c:pt idx="1">
                  <c:v>1</c:v>
                </c:pt>
                <c:pt idx="2">
                  <c:v>2</c:v>
                </c:pt>
                <c:pt idx="3">
                  <c:v>3</c:v>
                </c:pt>
                <c:pt idx="4">
                  <c:v>4</c:v>
                </c:pt>
                <c:pt idx="5">
                  <c:v>5</c:v>
                </c:pt>
                <c:pt idx="6">
                  <c:v>6</c:v>
                </c:pt>
                <c:pt idx="7">
                  <c:v>7</c:v>
                </c:pt>
              </c:numCache>
            </c:numRef>
          </c:xVal>
          <c:yVal>
            <c:numRef>
              <c:f>'[Fig time course ITC.xlsx]Sheet1'!$B$31:$B$38</c:f>
              <c:numCache>
                <c:formatCode>General</c:formatCode>
                <c:ptCount val="8"/>
                <c:pt idx="0">
                  <c:v>0</c:v>
                </c:pt>
                <c:pt idx="1">
                  <c:v>4.8000000000000001E-2</c:v>
                </c:pt>
                <c:pt idx="2">
                  <c:v>0.104</c:v>
                </c:pt>
                <c:pt idx="3">
                  <c:v>0.154</c:v>
                </c:pt>
                <c:pt idx="4">
                  <c:v>0.20399999999999999</c:v>
                </c:pt>
                <c:pt idx="5">
                  <c:v>0.24099999999999999</c:v>
                </c:pt>
                <c:pt idx="6">
                  <c:v>0.26800000000000002</c:v>
                </c:pt>
                <c:pt idx="7">
                  <c:v>0.30199999999999999</c:v>
                </c:pt>
              </c:numCache>
            </c:numRef>
          </c:yVal>
          <c:smooth val="0"/>
        </c:ser>
        <c:ser>
          <c:idx val="1"/>
          <c:order val="1"/>
          <c:spPr>
            <a:ln w="25400">
              <a:solidFill>
                <a:schemeClr val="tx1"/>
              </a:solidFill>
            </a:ln>
          </c:spPr>
          <c:marker>
            <c:symbol val="square"/>
            <c:size val="7"/>
            <c:spPr>
              <a:noFill/>
              <a:ln w="19050">
                <a:solidFill>
                  <a:schemeClr val="tx1"/>
                </a:solidFill>
              </a:ln>
            </c:spPr>
          </c:marker>
          <c:xVal>
            <c:numRef>
              <c:f>'[Fig time course ITC.xlsx]Sheet1'!$A$31:$A$38</c:f>
              <c:numCache>
                <c:formatCode>General</c:formatCode>
                <c:ptCount val="8"/>
                <c:pt idx="0">
                  <c:v>0</c:v>
                </c:pt>
                <c:pt idx="1">
                  <c:v>1</c:v>
                </c:pt>
                <c:pt idx="2">
                  <c:v>2</c:v>
                </c:pt>
                <c:pt idx="3">
                  <c:v>3</c:v>
                </c:pt>
                <c:pt idx="4">
                  <c:v>4</c:v>
                </c:pt>
                <c:pt idx="5">
                  <c:v>5</c:v>
                </c:pt>
                <c:pt idx="6">
                  <c:v>6</c:v>
                </c:pt>
                <c:pt idx="7">
                  <c:v>7</c:v>
                </c:pt>
              </c:numCache>
            </c:numRef>
          </c:xVal>
          <c:yVal>
            <c:numRef>
              <c:f>'[Fig time course ITC.xlsx]Sheet1'!$C$31:$C$38</c:f>
              <c:numCache>
                <c:formatCode>General</c:formatCode>
                <c:ptCount val="8"/>
                <c:pt idx="0">
                  <c:v>0</c:v>
                </c:pt>
                <c:pt idx="1">
                  <c:v>3.5000000000000003E-2</c:v>
                </c:pt>
                <c:pt idx="2">
                  <c:v>8.4000000000000005E-2</c:v>
                </c:pt>
                <c:pt idx="3">
                  <c:v>0.129</c:v>
                </c:pt>
                <c:pt idx="4">
                  <c:v>0.17199999999999999</c:v>
                </c:pt>
                <c:pt idx="5">
                  <c:v>0.20200000000000001</c:v>
                </c:pt>
                <c:pt idx="6">
                  <c:v>0.23599999999999999</c:v>
                </c:pt>
                <c:pt idx="7">
                  <c:v>0.26100000000000001</c:v>
                </c:pt>
              </c:numCache>
            </c:numRef>
          </c:yVal>
          <c:smooth val="0"/>
        </c:ser>
        <c:ser>
          <c:idx val="2"/>
          <c:order val="2"/>
          <c:spPr>
            <a:ln w="25400">
              <a:solidFill>
                <a:schemeClr val="tx1"/>
              </a:solidFill>
            </a:ln>
          </c:spPr>
          <c:marker>
            <c:symbol val="triangle"/>
            <c:size val="7"/>
            <c:spPr>
              <a:noFill/>
              <a:ln w="19050">
                <a:solidFill>
                  <a:schemeClr val="tx1"/>
                </a:solidFill>
              </a:ln>
            </c:spPr>
          </c:marker>
          <c:xVal>
            <c:numRef>
              <c:f>'[Fig time course ITC.xlsx]Sheet1'!$A$31:$A$38</c:f>
              <c:numCache>
                <c:formatCode>General</c:formatCode>
                <c:ptCount val="8"/>
                <c:pt idx="0">
                  <c:v>0</c:v>
                </c:pt>
                <c:pt idx="1">
                  <c:v>1</c:v>
                </c:pt>
                <c:pt idx="2">
                  <c:v>2</c:v>
                </c:pt>
                <c:pt idx="3">
                  <c:v>3</c:v>
                </c:pt>
                <c:pt idx="4">
                  <c:v>4</c:v>
                </c:pt>
                <c:pt idx="5">
                  <c:v>5</c:v>
                </c:pt>
                <c:pt idx="6">
                  <c:v>6</c:v>
                </c:pt>
                <c:pt idx="7">
                  <c:v>7</c:v>
                </c:pt>
              </c:numCache>
            </c:numRef>
          </c:xVal>
          <c:yVal>
            <c:numRef>
              <c:f>'[Fig time course ITC.xlsx]Sheet1'!$D$31:$D$38</c:f>
              <c:numCache>
                <c:formatCode>General</c:formatCode>
                <c:ptCount val="8"/>
                <c:pt idx="0">
                  <c:v>0</c:v>
                </c:pt>
                <c:pt idx="1">
                  <c:v>4.2999999999999997E-2</c:v>
                </c:pt>
                <c:pt idx="2">
                  <c:v>9.4E-2</c:v>
                </c:pt>
                <c:pt idx="3">
                  <c:v>0.15</c:v>
                </c:pt>
                <c:pt idx="4">
                  <c:v>0.20399999999999999</c:v>
                </c:pt>
                <c:pt idx="5">
                  <c:v>0.247</c:v>
                </c:pt>
                <c:pt idx="6">
                  <c:v>0.26500000000000001</c:v>
                </c:pt>
                <c:pt idx="7">
                  <c:v>0.29699999999999999</c:v>
                </c:pt>
              </c:numCache>
            </c:numRef>
          </c:yVal>
          <c:smooth val="0"/>
        </c:ser>
        <c:ser>
          <c:idx val="3"/>
          <c:order val="3"/>
          <c:spPr>
            <a:ln w="25400">
              <a:solidFill>
                <a:schemeClr val="tx1"/>
              </a:solidFill>
            </a:ln>
          </c:spPr>
          <c:marker>
            <c:symbol val="circle"/>
            <c:size val="7"/>
            <c:spPr>
              <a:noFill/>
              <a:ln w="19050">
                <a:solidFill>
                  <a:schemeClr val="tx1"/>
                </a:solidFill>
              </a:ln>
            </c:spPr>
          </c:marker>
          <c:xVal>
            <c:numRef>
              <c:f>'[Fig time course ITC.xlsx]Sheet1'!$A$31:$A$38</c:f>
              <c:numCache>
                <c:formatCode>General</c:formatCode>
                <c:ptCount val="8"/>
                <c:pt idx="0">
                  <c:v>0</c:v>
                </c:pt>
                <c:pt idx="1">
                  <c:v>1</c:v>
                </c:pt>
                <c:pt idx="2">
                  <c:v>2</c:v>
                </c:pt>
                <c:pt idx="3">
                  <c:v>3</c:v>
                </c:pt>
                <c:pt idx="4">
                  <c:v>4</c:v>
                </c:pt>
                <c:pt idx="5">
                  <c:v>5</c:v>
                </c:pt>
                <c:pt idx="6">
                  <c:v>6</c:v>
                </c:pt>
                <c:pt idx="7">
                  <c:v>7</c:v>
                </c:pt>
              </c:numCache>
            </c:numRef>
          </c:xVal>
          <c:yVal>
            <c:numRef>
              <c:f>'[Fig time course ITC.xlsx]Sheet1'!$E$31:$E$38</c:f>
              <c:numCache>
                <c:formatCode>General</c:formatCode>
                <c:ptCount val="8"/>
                <c:pt idx="0">
                  <c:v>0</c:v>
                </c:pt>
                <c:pt idx="1">
                  <c:v>4.2999999999999997E-2</c:v>
                </c:pt>
                <c:pt idx="2">
                  <c:v>9.0999999999999998E-2</c:v>
                </c:pt>
                <c:pt idx="3">
                  <c:v>0.13700000000000001</c:v>
                </c:pt>
                <c:pt idx="4">
                  <c:v>0.189</c:v>
                </c:pt>
                <c:pt idx="5">
                  <c:v>0.21299999999999999</c:v>
                </c:pt>
                <c:pt idx="6">
                  <c:v>0.24299999999999999</c:v>
                </c:pt>
                <c:pt idx="7">
                  <c:v>0.28199999999999997</c:v>
                </c:pt>
              </c:numCache>
            </c:numRef>
          </c:yVal>
          <c:smooth val="0"/>
        </c:ser>
        <c:ser>
          <c:idx val="4"/>
          <c:order val="4"/>
          <c:spPr>
            <a:ln w="25400">
              <a:solidFill>
                <a:schemeClr val="tx1"/>
              </a:solidFill>
            </a:ln>
          </c:spPr>
          <c:marker>
            <c:symbol val="square"/>
            <c:size val="7"/>
            <c:spPr>
              <a:solidFill>
                <a:schemeClr val="tx1"/>
              </a:solidFill>
              <a:ln w="19050">
                <a:solidFill>
                  <a:schemeClr val="tx1"/>
                </a:solidFill>
              </a:ln>
            </c:spPr>
          </c:marker>
          <c:xVal>
            <c:numRef>
              <c:f>'[Fig time course ITC.xlsx]Sheet1'!$A$31:$A$38</c:f>
              <c:numCache>
                <c:formatCode>General</c:formatCode>
                <c:ptCount val="8"/>
                <c:pt idx="0">
                  <c:v>0</c:v>
                </c:pt>
                <c:pt idx="1">
                  <c:v>1</c:v>
                </c:pt>
                <c:pt idx="2">
                  <c:v>2</c:v>
                </c:pt>
                <c:pt idx="3">
                  <c:v>3</c:v>
                </c:pt>
                <c:pt idx="4">
                  <c:v>4</c:v>
                </c:pt>
                <c:pt idx="5">
                  <c:v>5</c:v>
                </c:pt>
                <c:pt idx="6">
                  <c:v>6</c:v>
                </c:pt>
                <c:pt idx="7">
                  <c:v>7</c:v>
                </c:pt>
              </c:numCache>
            </c:numRef>
          </c:xVal>
          <c:yVal>
            <c:numRef>
              <c:f>'[Fig time course ITC.xlsx]Sheet1'!$F$31:$F$38</c:f>
              <c:numCache>
                <c:formatCode>General</c:formatCode>
                <c:ptCount val="8"/>
                <c:pt idx="0">
                  <c:v>0</c:v>
                </c:pt>
                <c:pt idx="1">
                  <c:v>4.1000000000000002E-2</c:v>
                </c:pt>
                <c:pt idx="2">
                  <c:v>0.105</c:v>
                </c:pt>
                <c:pt idx="3">
                  <c:v>0.154</c:v>
                </c:pt>
                <c:pt idx="4">
                  <c:v>0.19500000000000001</c:v>
                </c:pt>
                <c:pt idx="5">
                  <c:v>0.23300000000000001</c:v>
                </c:pt>
                <c:pt idx="6">
                  <c:v>0.26700000000000002</c:v>
                </c:pt>
                <c:pt idx="7">
                  <c:v>0.30499999999999999</c:v>
                </c:pt>
              </c:numCache>
            </c:numRef>
          </c:yVal>
          <c:smooth val="0"/>
        </c:ser>
        <c:ser>
          <c:idx val="5"/>
          <c:order val="5"/>
          <c:spPr>
            <a:ln w="25400">
              <a:solidFill>
                <a:schemeClr val="tx1"/>
              </a:solidFill>
            </a:ln>
          </c:spPr>
          <c:marker>
            <c:symbol val="triangle"/>
            <c:size val="7"/>
            <c:spPr>
              <a:solidFill>
                <a:schemeClr val="tx1"/>
              </a:solidFill>
              <a:ln w="19050">
                <a:solidFill>
                  <a:schemeClr val="tx1"/>
                </a:solidFill>
              </a:ln>
            </c:spPr>
          </c:marker>
          <c:xVal>
            <c:numRef>
              <c:f>'[Fig time course ITC.xlsx]Sheet1'!$A$31:$A$38</c:f>
              <c:numCache>
                <c:formatCode>General</c:formatCode>
                <c:ptCount val="8"/>
                <c:pt idx="0">
                  <c:v>0</c:v>
                </c:pt>
                <c:pt idx="1">
                  <c:v>1</c:v>
                </c:pt>
                <c:pt idx="2">
                  <c:v>2</c:v>
                </c:pt>
                <c:pt idx="3">
                  <c:v>3</c:v>
                </c:pt>
                <c:pt idx="4">
                  <c:v>4</c:v>
                </c:pt>
                <c:pt idx="5">
                  <c:v>5</c:v>
                </c:pt>
                <c:pt idx="6">
                  <c:v>6</c:v>
                </c:pt>
                <c:pt idx="7">
                  <c:v>7</c:v>
                </c:pt>
              </c:numCache>
            </c:numRef>
          </c:xVal>
          <c:yVal>
            <c:numRef>
              <c:f>'[Fig time course ITC.xlsx]Sheet1'!$G$31:$G$38</c:f>
              <c:numCache>
                <c:formatCode>General</c:formatCode>
                <c:ptCount val="8"/>
                <c:pt idx="0">
                  <c:v>0</c:v>
                </c:pt>
                <c:pt idx="1">
                  <c:v>2.9000000000000001E-2</c:v>
                </c:pt>
                <c:pt idx="2">
                  <c:v>9.7000000000000003E-2</c:v>
                </c:pt>
                <c:pt idx="3">
                  <c:v>0.14699999999999999</c:v>
                </c:pt>
                <c:pt idx="4">
                  <c:v>0.19</c:v>
                </c:pt>
                <c:pt idx="5">
                  <c:v>0.218</c:v>
                </c:pt>
                <c:pt idx="6">
                  <c:v>0.25600000000000001</c:v>
                </c:pt>
                <c:pt idx="7">
                  <c:v>0.28100000000000003</c:v>
                </c:pt>
              </c:numCache>
            </c:numRef>
          </c:yVal>
          <c:smooth val="0"/>
        </c:ser>
        <c:ser>
          <c:idx val="6"/>
          <c:order val="6"/>
          <c:spPr>
            <a:ln w="25400">
              <a:solidFill>
                <a:schemeClr val="tx1"/>
              </a:solidFill>
            </a:ln>
          </c:spPr>
          <c:marker>
            <c:symbol val="circle"/>
            <c:size val="7"/>
            <c:spPr>
              <a:solidFill>
                <a:schemeClr val="tx1"/>
              </a:solidFill>
              <a:ln w="19050">
                <a:solidFill>
                  <a:schemeClr val="tx1"/>
                </a:solidFill>
              </a:ln>
            </c:spPr>
          </c:marker>
          <c:xVal>
            <c:numRef>
              <c:f>'[Fig time course ITC.xlsx]Sheet1'!$A$31:$A$38</c:f>
              <c:numCache>
                <c:formatCode>General</c:formatCode>
                <c:ptCount val="8"/>
                <c:pt idx="0">
                  <c:v>0</c:v>
                </c:pt>
                <c:pt idx="1">
                  <c:v>1</c:v>
                </c:pt>
                <c:pt idx="2">
                  <c:v>2</c:v>
                </c:pt>
                <c:pt idx="3">
                  <c:v>3</c:v>
                </c:pt>
                <c:pt idx="4">
                  <c:v>4</c:v>
                </c:pt>
                <c:pt idx="5">
                  <c:v>5</c:v>
                </c:pt>
                <c:pt idx="6">
                  <c:v>6</c:v>
                </c:pt>
                <c:pt idx="7">
                  <c:v>7</c:v>
                </c:pt>
              </c:numCache>
            </c:numRef>
          </c:xVal>
          <c:yVal>
            <c:numRef>
              <c:f>'[Fig time course ITC.xlsx]Sheet1'!$H$31:$H$38</c:f>
              <c:numCache>
                <c:formatCode>General</c:formatCode>
                <c:ptCount val="8"/>
                <c:pt idx="0">
                  <c:v>0</c:v>
                </c:pt>
                <c:pt idx="1">
                  <c:v>5.7000000000000002E-2</c:v>
                </c:pt>
                <c:pt idx="2">
                  <c:v>0.122</c:v>
                </c:pt>
                <c:pt idx="3">
                  <c:v>0.17</c:v>
                </c:pt>
                <c:pt idx="4">
                  <c:v>0.222</c:v>
                </c:pt>
                <c:pt idx="5">
                  <c:v>0.25600000000000001</c:v>
                </c:pt>
                <c:pt idx="6">
                  <c:v>0.28999999999999998</c:v>
                </c:pt>
                <c:pt idx="7">
                  <c:v>0.309</c:v>
                </c:pt>
              </c:numCache>
            </c:numRef>
          </c:yVal>
          <c:smooth val="0"/>
        </c:ser>
        <c:dLbls>
          <c:showLegendKey val="0"/>
          <c:showVal val="0"/>
          <c:showCatName val="0"/>
          <c:showSerName val="0"/>
          <c:showPercent val="0"/>
          <c:showBubbleSize val="0"/>
        </c:dLbls>
        <c:axId val="167611408"/>
        <c:axId val="167608616"/>
      </c:scatterChart>
      <c:valAx>
        <c:axId val="167611408"/>
        <c:scaling>
          <c:orientation val="minMax"/>
        </c:scaling>
        <c:delete val="0"/>
        <c:axPos val="b"/>
        <c:title>
          <c:tx>
            <c:rich>
              <a:bodyPr/>
              <a:lstStyle/>
              <a:p>
                <a:pPr>
                  <a:defRPr/>
                </a:pPr>
                <a:r>
                  <a:rPr lang="en-GB" sz="1200">
                    <a:latin typeface="Arial" pitchFamily="34" charset="0"/>
                    <a:cs typeface="Arial" pitchFamily="34" charset="0"/>
                  </a:rPr>
                  <a:t>Time</a:t>
                </a:r>
                <a:r>
                  <a:rPr lang="en-GB" sz="1200" baseline="0">
                    <a:latin typeface="Arial" pitchFamily="34" charset="0"/>
                    <a:cs typeface="Arial" pitchFamily="34" charset="0"/>
                  </a:rPr>
                  <a:t> (h)</a:t>
                </a:r>
                <a:endParaRPr lang="en-GB" sz="1200">
                  <a:latin typeface="Arial" pitchFamily="34" charset="0"/>
                  <a:cs typeface="Arial" pitchFamily="34" charset="0"/>
                </a:endParaRPr>
              </a:p>
            </c:rich>
          </c:tx>
          <c:layout/>
          <c:overlay val="0"/>
        </c:title>
        <c:numFmt formatCode="General" sourceLinked="1"/>
        <c:majorTickMark val="in"/>
        <c:minorTickMark val="none"/>
        <c:tickLblPos val="nextTo"/>
        <c:txPr>
          <a:bodyPr/>
          <a:lstStyle/>
          <a:p>
            <a:pPr>
              <a:defRPr sz="1000">
                <a:latin typeface="Arial" pitchFamily="34" charset="0"/>
                <a:cs typeface="Arial" pitchFamily="34" charset="0"/>
              </a:defRPr>
            </a:pPr>
            <a:endParaRPr lang="en-US"/>
          </a:p>
        </c:txPr>
        <c:crossAx val="167608616"/>
        <c:crosses val="autoZero"/>
        <c:crossBetween val="midCat"/>
      </c:valAx>
      <c:valAx>
        <c:axId val="167608616"/>
        <c:scaling>
          <c:orientation val="minMax"/>
          <c:max val="0.4"/>
        </c:scaling>
        <c:delete val="0"/>
        <c:axPos val="l"/>
        <c:title>
          <c:tx>
            <c:rich>
              <a:bodyPr rot="-5400000" vert="horz"/>
              <a:lstStyle/>
              <a:p>
                <a:pPr>
                  <a:defRPr/>
                </a:pPr>
                <a:r>
                  <a:rPr lang="en-GB" sz="1200">
                    <a:latin typeface="Arial" pitchFamily="34" charset="0"/>
                    <a:cs typeface="Arial" pitchFamily="34" charset="0"/>
                  </a:rPr>
                  <a:t>Absorbance</a:t>
                </a:r>
                <a:r>
                  <a:rPr lang="en-GB" sz="1200" baseline="0">
                    <a:latin typeface="Arial" pitchFamily="34" charset="0"/>
                    <a:cs typeface="Arial" pitchFamily="34" charset="0"/>
                  </a:rPr>
                  <a:t> (570 nm - 630 nm)</a:t>
                </a:r>
                <a:endParaRPr lang="en-GB" sz="1200">
                  <a:latin typeface="Arial" pitchFamily="34" charset="0"/>
                  <a:cs typeface="Arial" pitchFamily="34" charset="0"/>
                </a:endParaRPr>
              </a:p>
            </c:rich>
          </c:tx>
          <c:layout/>
          <c:overlay val="0"/>
        </c:title>
        <c:numFmt formatCode="General" sourceLinked="1"/>
        <c:majorTickMark val="in"/>
        <c:minorTickMark val="none"/>
        <c:tickLblPos val="nextTo"/>
        <c:txPr>
          <a:bodyPr/>
          <a:lstStyle/>
          <a:p>
            <a:pPr>
              <a:defRPr sz="1000">
                <a:latin typeface="Arial" pitchFamily="34" charset="0"/>
                <a:cs typeface="Arial" pitchFamily="34" charset="0"/>
              </a:defRPr>
            </a:pPr>
            <a:endParaRPr lang="en-US"/>
          </a:p>
        </c:txPr>
        <c:crossAx val="167611408"/>
        <c:crosses val="autoZero"/>
        <c:crossBetween val="midCat"/>
        <c:majorUnit val="0.1"/>
      </c:valAx>
      <c:spPr>
        <a:ln w="19050">
          <a:solidFill>
            <a:schemeClr val="tx1"/>
          </a:solidFill>
        </a:ln>
      </c:spPr>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AC724AF7</Template>
  <TotalTime>1</TotalTime>
  <Pages>14</Pages>
  <Words>2783</Words>
  <Characters>15864</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The University of East Anglia</Company>
  <LinksUpToDate>false</LinksUpToDate>
  <CharactersWithSpaces>18610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wm026</dc:creator>
  <cp:lastModifiedBy>Dietmar Steverding (MED)</cp:lastModifiedBy>
  <cp:revision>2</cp:revision>
  <cp:lastPrinted>2013-10-08T12:06:00Z</cp:lastPrinted>
  <dcterms:created xsi:type="dcterms:W3CDTF">2015-01-22T15:57:00Z</dcterms:created>
  <dcterms:modified xsi:type="dcterms:W3CDTF">2015-01-22T15:57:00Z</dcterms:modified>
</cp:coreProperties>
</file>