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BF8" w:rsidRPr="00416F0D" w:rsidRDefault="00097BF8" w:rsidP="00097BF8">
      <w:pPr>
        <w:pStyle w:val="Heading1"/>
        <w:rPr>
          <w:rFonts w:asciiTheme="minorHAnsi" w:hAnsiTheme="minorHAnsi"/>
          <w:sz w:val="24"/>
          <w:szCs w:val="24"/>
        </w:rPr>
      </w:pPr>
      <w:bookmarkStart w:id="0" w:name="_GoBack"/>
      <w:bookmarkEnd w:id="0"/>
      <w:r w:rsidRPr="00416F0D">
        <w:rPr>
          <w:rFonts w:asciiTheme="minorHAnsi" w:hAnsiTheme="minorHAnsi"/>
          <w:sz w:val="24"/>
          <w:szCs w:val="24"/>
        </w:rPr>
        <w:t>Physical rehabilitation approaches for the recovery of function and mobility following stroke.  A major update.</w:t>
      </w:r>
    </w:p>
    <w:p w:rsidR="00097BF8" w:rsidRPr="00416F0D" w:rsidRDefault="00097BF8" w:rsidP="00097BF8">
      <w:pPr>
        <w:shd w:val="clear" w:color="auto" w:fill="FFFFFF"/>
        <w:spacing w:after="120" w:line="240" w:lineRule="auto"/>
        <w:rPr>
          <w:b/>
          <w:sz w:val="24"/>
          <w:szCs w:val="24"/>
          <w:u w:val="single"/>
        </w:rPr>
      </w:pPr>
      <w:r w:rsidRPr="00416F0D">
        <w:rPr>
          <w:b/>
          <w:sz w:val="24"/>
          <w:szCs w:val="24"/>
          <w:u w:val="single"/>
        </w:rPr>
        <w:t>Authors</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b/>
          <w:sz w:val="24"/>
          <w:szCs w:val="24"/>
        </w:rPr>
        <w:t xml:space="preserve">Alex Pollock, PhD, </w:t>
      </w:r>
      <w:r w:rsidRPr="00416F0D">
        <w:rPr>
          <w:rFonts w:eastAsia="Times New Roman" w:cs="Arial"/>
          <w:color w:val="000000"/>
          <w:sz w:val="24"/>
          <w:szCs w:val="24"/>
          <w:lang w:eastAsia="en-GB"/>
        </w:rPr>
        <w:t>Nursing, Midwifery and Allied Health Professions Research Unit</w:t>
      </w:r>
      <w:r w:rsidR="00BE4E20">
        <w:rPr>
          <w:rFonts w:eastAsia="Times New Roman" w:cs="Arial"/>
          <w:color w:val="000000"/>
          <w:sz w:val="24"/>
          <w:szCs w:val="24"/>
          <w:lang w:eastAsia="en-GB"/>
        </w:rPr>
        <w:t xml:space="preserve"> (NMAHP RU)</w:t>
      </w:r>
      <w:r w:rsidRPr="00416F0D">
        <w:rPr>
          <w:rFonts w:eastAsia="Times New Roman" w:cs="Arial"/>
          <w:color w:val="000000"/>
          <w:sz w:val="24"/>
          <w:szCs w:val="24"/>
          <w:lang w:eastAsia="en-GB"/>
        </w:rPr>
        <w:t>, Glasgow Caledonian University, Glasgow, UK</w:t>
      </w:r>
    </w:p>
    <w:p w:rsidR="00097BF8" w:rsidRPr="00416F0D" w:rsidRDefault="00097BF8" w:rsidP="00097BF8">
      <w:pPr>
        <w:spacing w:after="120" w:line="240" w:lineRule="auto"/>
        <w:rPr>
          <w:b/>
          <w:sz w:val="24"/>
          <w:szCs w:val="24"/>
        </w:rPr>
      </w:pPr>
      <w:r w:rsidRPr="00416F0D">
        <w:rPr>
          <w:b/>
          <w:sz w:val="24"/>
          <w:szCs w:val="24"/>
        </w:rPr>
        <w:t xml:space="preserve">Gillian Baer, PhD, </w:t>
      </w:r>
      <w:r w:rsidRPr="00416F0D">
        <w:rPr>
          <w:rFonts w:eastAsia="Times New Roman" w:cs="Arial"/>
          <w:color w:val="000000"/>
          <w:sz w:val="24"/>
          <w:szCs w:val="24"/>
          <w:lang w:eastAsia="en-GB"/>
        </w:rPr>
        <w:t>Department of Physiotherapy, Queen Margaret University, Edinburgh, UK</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b/>
          <w:sz w:val="24"/>
          <w:szCs w:val="24"/>
        </w:rPr>
        <w:t xml:space="preserve">Pauline Campbell, PhD, </w:t>
      </w:r>
      <w:r w:rsidR="00BE4E20">
        <w:rPr>
          <w:rFonts w:eastAsia="Times New Roman" w:cs="Arial"/>
          <w:color w:val="000000"/>
          <w:sz w:val="24"/>
          <w:szCs w:val="24"/>
          <w:lang w:eastAsia="en-GB"/>
        </w:rPr>
        <w:t>NMAHP RU</w:t>
      </w:r>
      <w:r w:rsidRPr="00416F0D">
        <w:rPr>
          <w:rFonts w:eastAsia="Times New Roman" w:cs="Arial"/>
          <w:color w:val="000000"/>
          <w:sz w:val="24"/>
          <w:szCs w:val="24"/>
          <w:lang w:eastAsia="en-GB"/>
        </w:rPr>
        <w:t>, Glasgow Caledonian University, Glasgow, UK</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b/>
          <w:sz w:val="24"/>
          <w:szCs w:val="24"/>
        </w:rPr>
        <w:t xml:space="preserve">Pei Ling Choo, </w:t>
      </w:r>
      <w:proofErr w:type="gramStart"/>
      <w:r w:rsidRPr="00416F0D">
        <w:rPr>
          <w:b/>
          <w:sz w:val="24"/>
          <w:szCs w:val="24"/>
        </w:rPr>
        <w:t>BSc(</w:t>
      </w:r>
      <w:proofErr w:type="gramEnd"/>
      <w:r w:rsidRPr="00416F0D">
        <w:rPr>
          <w:b/>
          <w:sz w:val="24"/>
          <w:szCs w:val="24"/>
        </w:rPr>
        <w:t xml:space="preserve">Hons), </w:t>
      </w:r>
      <w:r w:rsidRPr="00416F0D">
        <w:rPr>
          <w:rFonts w:eastAsia="Times New Roman" w:cs="Arial"/>
          <w:color w:val="000000"/>
          <w:sz w:val="24"/>
          <w:szCs w:val="24"/>
          <w:lang w:eastAsia="en-GB"/>
        </w:rPr>
        <w:t>School of Health &amp; Life Sciences, Glasgow Caledonian University, Glasgow, UK</w:t>
      </w:r>
    </w:p>
    <w:p w:rsidR="00097BF8" w:rsidRPr="00416F0D" w:rsidRDefault="00097BF8" w:rsidP="00097BF8">
      <w:pPr>
        <w:spacing w:after="120" w:line="240" w:lineRule="auto"/>
        <w:rPr>
          <w:b/>
          <w:sz w:val="24"/>
          <w:szCs w:val="24"/>
        </w:rPr>
      </w:pPr>
      <w:r w:rsidRPr="00416F0D">
        <w:rPr>
          <w:b/>
          <w:sz w:val="24"/>
          <w:szCs w:val="24"/>
        </w:rPr>
        <w:t>Anne Forster, PhD,</w:t>
      </w:r>
      <w:r w:rsidRPr="00416F0D">
        <w:rPr>
          <w:rFonts w:eastAsia="Times New Roman" w:cs="Arial"/>
          <w:color w:val="000000"/>
          <w:sz w:val="24"/>
          <w:szCs w:val="24"/>
          <w:lang w:eastAsia="en-GB"/>
        </w:rPr>
        <w:t xml:space="preserve"> Academic Unit of Elderly Care and Rehabilitation, Bradford Institute for Health Research, Bradford Teaching Hospitals NHS Foundation Trust/University of Leeds, Bradford, UK</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b/>
          <w:sz w:val="24"/>
          <w:szCs w:val="24"/>
        </w:rPr>
        <w:t>Jacqui Morris, PhD,</w:t>
      </w:r>
      <w:r w:rsidRPr="00416F0D">
        <w:rPr>
          <w:rFonts w:eastAsia="Times New Roman" w:cs="Arial"/>
          <w:color w:val="000000"/>
          <w:sz w:val="24"/>
          <w:szCs w:val="24"/>
          <w:lang w:eastAsia="en-GB"/>
        </w:rPr>
        <w:t xml:space="preserve"> School of Nursing and Midwifery, University of Dundee, Dundee, UK</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b/>
          <w:sz w:val="24"/>
          <w:szCs w:val="24"/>
        </w:rPr>
        <w:t xml:space="preserve">Valerie M Pomeroy, PhD, </w:t>
      </w:r>
      <w:r w:rsidRPr="00416F0D">
        <w:rPr>
          <w:rFonts w:eastAsia="Times New Roman" w:cs="Arial"/>
          <w:color w:val="000000"/>
          <w:sz w:val="24"/>
          <w:szCs w:val="24"/>
          <w:lang w:eastAsia="en-GB"/>
        </w:rPr>
        <w:t>School of Rehabilitation Sciences, University of East Anglia, Norwich, UK</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b/>
          <w:sz w:val="24"/>
          <w:szCs w:val="24"/>
        </w:rPr>
        <w:t>Peter Langhorne, PhD,</w:t>
      </w:r>
      <w:r w:rsidRPr="00416F0D">
        <w:rPr>
          <w:rFonts w:eastAsia="Times New Roman" w:cs="Arial"/>
          <w:color w:val="000000"/>
          <w:sz w:val="24"/>
          <w:szCs w:val="24"/>
          <w:lang w:eastAsia="en-GB"/>
        </w:rPr>
        <w:t xml:space="preserve"> Academic Section of Geriatric Medicine University of Glasgow</w:t>
      </w:r>
      <w:proofErr w:type="gramStart"/>
      <w:r w:rsidRPr="00416F0D">
        <w:rPr>
          <w:rFonts w:eastAsia="Times New Roman" w:cs="Arial"/>
          <w:color w:val="000000"/>
          <w:sz w:val="24"/>
          <w:szCs w:val="24"/>
          <w:lang w:eastAsia="en-GB"/>
        </w:rPr>
        <w:t>,  Glasgow</w:t>
      </w:r>
      <w:proofErr w:type="gramEnd"/>
      <w:r w:rsidRPr="00416F0D">
        <w:rPr>
          <w:rFonts w:eastAsia="Times New Roman" w:cs="Arial"/>
          <w:color w:val="000000"/>
          <w:sz w:val="24"/>
          <w:szCs w:val="24"/>
          <w:lang w:eastAsia="en-GB"/>
        </w:rPr>
        <w:t>, UK</w:t>
      </w:r>
    </w:p>
    <w:p w:rsidR="00097BF8" w:rsidRPr="00416F0D" w:rsidRDefault="00097BF8" w:rsidP="00097BF8">
      <w:pPr>
        <w:spacing w:after="120" w:line="240" w:lineRule="auto"/>
        <w:rPr>
          <w:b/>
          <w:sz w:val="24"/>
          <w:szCs w:val="24"/>
        </w:rPr>
      </w:pPr>
    </w:p>
    <w:p w:rsidR="00097BF8" w:rsidRPr="00416F0D" w:rsidRDefault="00097BF8" w:rsidP="00097BF8">
      <w:pPr>
        <w:spacing w:after="120" w:line="240" w:lineRule="auto"/>
        <w:rPr>
          <w:b/>
          <w:sz w:val="24"/>
          <w:szCs w:val="24"/>
          <w:u w:val="single"/>
        </w:rPr>
      </w:pPr>
      <w:r w:rsidRPr="00416F0D">
        <w:rPr>
          <w:b/>
          <w:sz w:val="24"/>
          <w:szCs w:val="24"/>
          <w:u w:val="single"/>
        </w:rPr>
        <w:t>Corresponding author details</w:t>
      </w:r>
    </w:p>
    <w:p w:rsidR="00097BF8" w:rsidRPr="00416F0D" w:rsidRDefault="00097BF8" w:rsidP="00097BF8">
      <w:pPr>
        <w:spacing w:after="120" w:line="240" w:lineRule="auto"/>
        <w:rPr>
          <w:sz w:val="24"/>
          <w:szCs w:val="24"/>
        </w:rPr>
      </w:pPr>
      <w:r w:rsidRPr="00416F0D">
        <w:rPr>
          <w:sz w:val="24"/>
          <w:szCs w:val="24"/>
        </w:rPr>
        <w:t>Alex Pollock</w:t>
      </w:r>
    </w:p>
    <w:p w:rsidR="00097BF8" w:rsidRPr="00416F0D" w:rsidRDefault="00BE4E20" w:rsidP="00097BF8">
      <w:pPr>
        <w:shd w:val="clear" w:color="auto" w:fill="FFFFFF"/>
        <w:spacing w:after="120" w:line="240" w:lineRule="auto"/>
        <w:rPr>
          <w:rFonts w:eastAsia="Times New Roman" w:cs="Arial"/>
          <w:color w:val="000000"/>
          <w:sz w:val="24"/>
          <w:szCs w:val="24"/>
          <w:lang w:eastAsia="en-GB"/>
        </w:rPr>
      </w:pPr>
      <w:r>
        <w:rPr>
          <w:rFonts w:eastAsia="Times New Roman" w:cs="Arial"/>
          <w:color w:val="000000"/>
          <w:sz w:val="24"/>
          <w:szCs w:val="24"/>
          <w:lang w:eastAsia="en-GB"/>
        </w:rPr>
        <w:t>NMAHP RU</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rFonts w:eastAsia="Times New Roman" w:cs="Arial"/>
          <w:color w:val="000000"/>
          <w:sz w:val="24"/>
          <w:szCs w:val="24"/>
          <w:lang w:eastAsia="en-GB"/>
        </w:rPr>
        <w:t>Buchanan House</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rFonts w:eastAsia="Times New Roman" w:cs="Arial"/>
          <w:color w:val="000000"/>
          <w:sz w:val="24"/>
          <w:szCs w:val="24"/>
          <w:lang w:eastAsia="en-GB"/>
        </w:rPr>
        <w:t>Glasgow Caledonian University</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rFonts w:eastAsia="Times New Roman" w:cs="Arial"/>
          <w:color w:val="000000"/>
          <w:sz w:val="24"/>
          <w:szCs w:val="24"/>
          <w:lang w:eastAsia="en-GB"/>
        </w:rPr>
        <w:t>Glasgow</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rFonts w:eastAsia="Times New Roman" w:cs="Arial"/>
          <w:color w:val="000000"/>
          <w:sz w:val="24"/>
          <w:szCs w:val="24"/>
          <w:lang w:eastAsia="en-GB"/>
        </w:rPr>
        <w:t>G4 0BA</w:t>
      </w:r>
    </w:p>
    <w:p w:rsidR="00097BF8" w:rsidRPr="00416F0D" w:rsidRDefault="00097BF8" w:rsidP="00097BF8">
      <w:pPr>
        <w:shd w:val="clear" w:color="auto" w:fill="FFFFFF"/>
        <w:spacing w:after="120" w:line="240" w:lineRule="auto"/>
        <w:rPr>
          <w:rFonts w:eastAsia="Times New Roman" w:cs="Arial"/>
          <w:color w:val="000000"/>
          <w:sz w:val="24"/>
          <w:szCs w:val="24"/>
          <w:lang w:eastAsia="en-GB"/>
        </w:rPr>
      </w:pPr>
      <w:r w:rsidRPr="00416F0D">
        <w:rPr>
          <w:rFonts w:eastAsia="Times New Roman" w:cs="Arial"/>
          <w:color w:val="000000"/>
          <w:sz w:val="24"/>
          <w:szCs w:val="24"/>
          <w:lang w:eastAsia="en-GB"/>
        </w:rPr>
        <w:t>UK</w:t>
      </w:r>
    </w:p>
    <w:p w:rsidR="00097BF8" w:rsidRPr="00416F0D" w:rsidRDefault="00097BF8" w:rsidP="00097BF8">
      <w:pPr>
        <w:spacing w:after="120" w:line="240" w:lineRule="auto"/>
        <w:rPr>
          <w:b/>
          <w:sz w:val="24"/>
          <w:szCs w:val="24"/>
          <w:u w:val="single"/>
        </w:rPr>
      </w:pPr>
    </w:p>
    <w:p w:rsidR="00097BF8" w:rsidRPr="00416F0D" w:rsidRDefault="00097BF8" w:rsidP="00097BF8">
      <w:pPr>
        <w:spacing w:after="120" w:line="240" w:lineRule="auto"/>
        <w:rPr>
          <w:sz w:val="24"/>
          <w:szCs w:val="24"/>
        </w:rPr>
      </w:pPr>
      <w:r w:rsidRPr="00416F0D">
        <w:rPr>
          <w:sz w:val="24"/>
          <w:szCs w:val="24"/>
        </w:rPr>
        <w:t xml:space="preserve">Email:  </w:t>
      </w:r>
      <w:hyperlink r:id="rId4" w:history="1">
        <w:r w:rsidRPr="00416F0D">
          <w:rPr>
            <w:rStyle w:val="Hyperlink"/>
            <w:sz w:val="24"/>
            <w:szCs w:val="24"/>
          </w:rPr>
          <w:t>alex.pollock@gcu.ac.uk</w:t>
        </w:r>
      </w:hyperlink>
    </w:p>
    <w:p w:rsidR="00097BF8" w:rsidRPr="00416F0D" w:rsidRDefault="008F5233" w:rsidP="00097BF8">
      <w:pPr>
        <w:spacing w:after="120" w:line="240" w:lineRule="auto"/>
        <w:rPr>
          <w:sz w:val="24"/>
          <w:szCs w:val="24"/>
        </w:rPr>
      </w:pPr>
      <w:r>
        <w:rPr>
          <w:sz w:val="24"/>
          <w:szCs w:val="24"/>
        </w:rPr>
        <w:t>Telephone: (44)141-331-</w:t>
      </w:r>
      <w:r w:rsidR="00097BF8" w:rsidRPr="00416F0D">
        <w:rPr>
          <w:sz w:val="24"/>
          <w:szCs w:val="24"/>
        </w:rPr>
        <w:t>8100</w:t>
      </w:r>
    </w:p>
    <w:p w:rsidR="00097BF8" w:rsidRPr="00416F0D" w:rsidRDefault="00097BF8" w:rsidP="00097BF8">
      <w:pPr>
        <w:rPr>
          <w:sz w:val="24"/>
          <w:szCs w:val="24"/>
        </w:rPr>
      </w:pPr>
    </w:p>
    <w:p w:rsidR="00097BF8" w:rsidRPr="00416F0D" w:rsidRDefault="00097BF8" w:rsidP="00097BF8">
      <w:pPr>
        <w:rPr>
          <w:sz w:val="24"/>
          <w:szCs w:val="24"/>
        </w:rPr>
      </w:pPr>
      <w:r w:rsidRPr="00416F0D">
        <w:rPr>
          <w:b/>
          <w:sz w:val="24"/>
          <w:szCs w:val="24"/>
        </w:rPr>
        <w:t>Key words:</w:t>
      </w:r>
      <w:r w:rsidRPr="00416F0D">
        <w:rPr>
          <w:sz w:val="24"/>
          <w:szCs w:val="24"/>
        </w:rPr>
        <w:t xml:space="preserve">  rehabilitation, stroke, physical therapy, systematic review</w:t>
      </w:r>
      <w:r>
        <w:rPr>
          <w:sz w:val="24"/>
          <w:szCs w:val="24"/>
        </w:rPr>
        <w:br w:type="page"/>
      </w:r>
    </w:p>
    <w:p w:rsidR="000C2E03" w:rsidRPr="000C2E03" w:rsidRDefault="000C2E03" w:rsidP="00416F0D">
      <w:pPr>
        <w:spacing w:after="120" w:line="240" w:lineRule="auto"/>
        <w:outlineLvl w:val="1"/>
        <w:rPr>
          <w:rFonts w:eastAsia="Times New Roman" w:cs="Times New Roman"/>
          <w:b/>
          <w:bCs/>
          <w:sz w:val="24"/>
          <w:szCs w:val="24"/>
          <w:lang w:eastAsia="en-GB"/>
        </w:rPr>
      </w:pPr>
      <w:r w:rsidRPr="000C2E03">
        <w:rPr>
          <w:rFonts w:eastAsia="Times New Roman" w:cs="Times New Roman"/>
          <w:b/>
          <w:bCs/>
          <w:sz w:val="24"/>
          <w:szCs w:val="24"/>
          <w:lang w:eastAsia="en-GB"/>
        </w:rPr>
        <w:lastRenderedPageBreak/>
        <w:t>Background  </w:t>
      </w:r>
    </w:p>
    <w:p w:rsidR="000C2E03" w:rsidRPr="00670024" w:rsidRDefault="000C2E03" w:rsidP="00416F0D">
      <w:pPr>
        <w:spacing w:after="120" w:line="240" w:lineRule="auto"/>
        <w:rPr>
          <w:rFonts w:eastAsia="Times New Roman" w:cs="Times New Roman"/>
          <w:sz w:val="24"/>
          <w:szCs w:val="24"/>
          <w:lang w:eastAsia="en-GB"/>
        </w:rPr>
      </w:pPr>
      <w:r w:rsidRPr="000C2E03">
        <w:rPr>
          <w:rFonts w:eastAsia="Times New Roman" w:cs="Times New Roman"/>
          <w:sz w:val="24"/>
          <w:szCs w:val="24"/>
          <w:lang w:eastAsia="en-GB"/>
        </w:rPr>
        <w:t xml:space="preserve">Various </w:t>
      </w:r>
      <w:r w:rsidR="00087EE7" w:rsidRPr="00670024">
        <w:rPr>
          <w:rFonts w:eastAsia="Times New Roman" w:cs="Times New Roman"/>
          <w:sz w:val="24"/>
          <w:szCs w:val="24"/>
          <w:lang w:eastAsia="en-GB"/>
        </w:rPr>
        <w:t xml:space="preserve">physical rehabilitation </w:t>
      </w:r>
      <w:r w:rsidRPr="000C2E03">
        <w:rPr>
          <w:rFonts w:eastAsia="Times New Roman" w:cs="Times New Roman"/>
          <w:sz w:val="24"/>
          <w:szCs w:val="24"/>
          <w:lang w:eastAsia="en-GB"/>
        </w:rPr>
        <w:t xml:space="preserve">approaches may be used </w:t>
      </w:r>
      <w:r w:rsidR="00087EE7" w:rsidRPr="00670024">
        <w:rPr>
          <w:rFonts w:eastAsia="Times New Roman" w:cs="Times New Roman"/>
          <w:sz w:val="24"/>
          <w:szCs w:val="24"/>
          <w:lang w:eastAsia="en-GB"/>
        </w:rPr>
        <w:t xml:space="preserve">to promote recovery of function and mobility </w:t>
      </w:r>
      <w:r w:rsidRPr="000C2E03">
        <w:rPr>
          <w:rFonts w:eastAsia="Times New Roman" w:cs="Times New Roman"/>
          <w:sz w:val="24"/>
          <w:szCs w:val="24"/>
          <w:lang w:eastAsia="en-GB"/>
        </w:rPr>
        <w:t xml:space="preserve">after </w:t>
      </w:r>
      <w:r w:rsidR="00087EE7" w:rsidRPr="00670024">
        <w:rPr>
          <w:rFonts w:eastAsia="Times New Roman" w:cs="Times New Roman"/>
          <w:sz w:val="24"/>
          <w:szCs w:val="24"/>
          <w:lang w:eastAsia="en-GB"/>
        </w:rPr>
        <w:t>stroke.</w:t>
      </w:r>
      <w:r w:rsidR="00087EE7" w:rsidRPr="00670024">
        <w:rPr>
          <w:rFonts w:eastAsia="Times New Roman"/>
          <w:sz w:val="24"/>
          <w:szCs w:val="24"/>
        </w:rPr>
        <w:t xml:space="preserve"> Controversy and debate about the relative effectiveness of approaches persists.</w:t>
      </w:r>
    </w:p>
    <w:p w:rsidR="000C2E03" w:rsidRPr="000C2E03" w:rsidRDefault="000C2E03" w:rsidP="00416F0D">
      <w:pPr>
        <w:spacing w:after="120" w:line="240" w:lineRule="auto"/>
        <w:outlineLvl w:val="1"/>
        <w:rPr>
          <w:rFonts w:eastAsia="Times New Roman" w:cs="Times New Roman"/>
          <w:b/>
          <w:bCs/>
          <w:sz w:val="24"/>
          <w:szCs w:val="24"/>
          <w:lang w:eastAsia="en-GB"/>
        </w:rPr>
      </w:pPr>
      <w:r w:rsidRPr="000C2E03">
        <w:rPr>
          <w:rFonts w:eastAsia="Times New Roman" w:cs="Times New Roman"/>
          <w:b/>
          <w:bCs/>
          <w:sz w:val="24"/>
          <w:szCs w:val="24"/>
          <w:lang w:eastAsia="en-GB"/>
        </w:rPr>
        <w:t>Objectives  </w:t>
      </w:r>
    </w:p>
    <w:p w:rsidR="000C2E03" w:rsidRPr="00670024" w:rsidRDefault="003A7A12" w:rsidP="00416F0D">
      <w:pPr>
        <w:spacing w:after="120" w:line="240" w:lineRule="auto"/>
        <w:rPr>
          <w:rFonts w:eastAsia="Times New Roman" w:cs="Times New Roman"/>
          <w:sz w:val="24"/>
          <w:szCs w:val="24"/>
          <w:lang w:eastAsia="en-GB"/>
        </w:rPr>
      </w:pPr>
      <w:r w:rsidRPr="00670024">
        <w:rPr>
          <w:rFonts w:eastAsia="Times New Roman" w:cs="Times New Roman"/>
          <w:sz w:val="24"/>
          <w:szCs w:val="24"/>
          <w:lang w:eastAsia="en-GB"/>
        </w:rPr>
        <w:t>We aimed t</w:t>
      </w:r>
      <w:r w:rsidR="000C2E03" w:rsidRPr="000C2E03">
        <w:rPr>
          <w:rFonts w:eastAsia="Times New Roman" w:cs="Times New Roman"/>
          <w:sz w:val="24"/>
          <w:szCs w:val="24"/>
          <w:lang w:eastAsia="en-GB"/>
        </w:rPr>
        <w:t>o determine whether physical rehabilitation approaches are effective in recovery of function and mobility in people with stroke, and to assess if any one physical rehabilitation approach is more effective than any other approach.</w:t>
      </w:r>
    </w:p>
    <w:p w:rsidR="000C2E03" w:rsidRPr="000C2E03" w:rsidRDefault="003A7A12" w:rsidP="00416F0D">
      <w:pPr>
        <w:spacing w:after="120" w:line="240" w:lineRule="auto"/>
        <w:outlineLvl w:val="1"/>
        <w:rPr>
          <w:rFonts w:eastAsia="Times New Roman" w:cs="Times New Roman"/>
          <w:b/>
          <w:bCs/>
          <w:sz w:val="24"/>
          <w:szCs w:val="24"/>
          <w:lang w:eastAsia="en-GB"/>
        </w:rPr>
      </w:pPr>
      <w:r w:rsidRPr="00670024">
        <w:rPr>
          <w:rFonts w:eastAsia="Times New Roman" w:cs="Times New Roman"/>
          <w:b/>
          <w:bCs/>
          <w:sz w:val="24"/>
          <w:szCs w:val="24"/>
          <w:lang w:eastAsia="en-GB"/>
        </w:rPr>
        <w:t>M</w:t>
      </w:r>
      <w:r w:rsidR="000C2E03" w:rsidRPr="000C2E03">
        <w:rPr>
          <w:rFonts w:eastAsia="Times New Roman" w:cs="Times New Roman"/>
          <w:b/>
          <w:bCs/>
          <w:sz w:val="24"/>
          <w:szCs w:val="24"/>
          <w:lang w:eastAsia="en-GB"/>
        </w:rPr>
        <w:t>ethods  </w:t>
      </w:r>
    </w:p>
    <w:p w:rsidR="00025B99" w:rsidRPr="00670024" w:rsidRDefault="00025B99" w:rsidP="00416F0D">
      <w:pPr>
        <w:spacing w:after="120" w:line="240" w:lineRule="auto"/>
        <w:rPr>
          <w:rFonts w:cs="Arial"/>
          <w:sz w:val="24"/>
          <w:szCs w:val="24"/>
        </w:rPr>
      </w:pPr>
      <w:r w:rsidRPr="00670024">
        <w:rPr>
          <w:rFonts w:eastAsia="Times New Roman" w:cs="Times New Roman"/>
          <w:sz w:val="24"/>
          <w:szCs w:val="24"/>
          <w:lang w:eastAsia="en-GB"/>
        </w:rPr>
        <w:t xml:space="preserve">A stakeholder group, comprising </w:t>
      </w:r>
      <w:r w:rsidRPr="00670024">
        <w:rPr>
          <w:rFonts w:cs="Arial"/>
          <w:sz w:val="24"/>
          <w:szCs w:val="24"/>
        </w:rPr>
        <w:t>stroke survivors, caregivers and physiotherapists, made decisions using consensus-making techniques relating to the scope and focus of this updated review</w:t>
      </w:r>
      <w:r w:rsidR="00416F0D" w:rsidRPr="00416F0D">
        <w:rPr>
          <w:rFonts w:cs="Arial"/>
          <w:sz w:val="24"/>
          <w:szCs w:val="24"/>
          <w:vertAlign w:val="superscript"/>
        </w:rPr>
        <w:t>1</w:t>
      </w:r>
      <w:r w:rsidRPr="00670024">
        <w:rPr>
          <w:rFonts w:cs="Arial"/>
          <w:sz w:val="24"/>
          <w:szCs w:val="24"/>
        </w:rPr>
        <w:t xml:space="preserve">.   </w:t>
      </w:r>
    </w:p>
    <w:p w:rsidR="003C2039" w:rsidRPr="00670024" w:rsidRDefault="000C2E03" w:rsidP="00BE4E20">
      <w:pPr>
        <w:spacing w:after="120" w:line="240" w:lineRule="auto"/>
        <w:rPr>
          <w:sz w:val="24"/>
          <w:szCs w:val="24"/>
        </w:rPr>
      </w:pPr>
      <w:r w:rsidRPr="000C2E03">
        <w:rPr>
          <w:rFonts w:eastAsia="Times New Roman" w:cs="Times New Roman"/>
          <w:sz w:val="24"/>
          <w:szCs w:val="24"/>
          <w:lang w:eastAsia="en-GB"/>
        </w:rPr>
        <w:t xml:space="preserve">We </w:t>
      </w:r>
      <w:r w:rsidR="00BE4E20">
        <w:rPr>
          <w:rFonts w:eastAsia="Times New Roman" w:cs="Times New Roman"/>
          <w:sz w:val="24"/>
          <w:szCs w:val="24"/>
          <w:lang w:eastAsia="en-GB"/>
        </w:rPr>
        <w:t>carried out a comprehensive search (to December 2012)</w:t>
      </w:r>
      <w:r w:rsidR="00BE4E20" w:rsidRPr="00416F0D">
        <w:rPr>
          <w:rFonts w:cs="Arial"/>
          <w:sz w:val="24"/>
          <w:szCs w:val="24"/>
          <w:vertAlign w:val="superscript"/>
        </w:rPr>
        <w:t>1</w:t>
      </w:r>
      <w:r w:rsidR="00BE4E20">
        <w:rPr>
          <w:rFonts w:eastAsia="Times New Roman" w:cs="Times New Roman"/>
          <w:sz w:val="24"/>
          <w:szCs w:val="24"/>
          <w:lang w:eastAsia="en-GB"/>
        </w:rPr>
        <w:t xml:space="preserve">, including </w:t>
      </w:r>
      <w:r w:rsidR="003C2039" w:rsidRPr="00670024">
        <w:rPr>
          <w:sz w:val="24"/>
          <w:szCs w:val="24"/>
        </w:rPr>
        <w:t xml:space="preserve">randomised controlled trials (RCTs) of physical </w:t>
      </w:r>
      <w:r w:rsidR="00087EE7" w:rsidRPr="00670024">
        <w:rPr>
          <w:sz w:val="24"/>
          <w:szCs w:val="24"/>
        </w:rPr>
        <w:t>rehabilitation approaches</w:t>
      </w:r>
      <w:r w:rsidR="003C2039" w:rsidRPr="00670024">
        <w:rPr>
          <w:sz w:val="24"/>
          <w:szCs w:val="24"/>
        </w:rPr>
        <w:t xml:space="preserve"> in adult stroke survivors.  Interventions comprised a range of philosophically different approaches to promote recovery of function or mobility. RCTs of single specific treatments were excluded.   Outcomes analysed were independence in activities of daily living (ADL), motor function, balance, gait and length of stay.  Two reviewers independently applied selection criteria, assessed risk of bias and extracted data.  We calculated standardised mean differences (SMD) using a random effects model.</w:t>
      </w:r>
    </w:p>
    <w:p w:rsidR="000C2E03" w:rsidRPr="000C2E03" w:rsidRDefault="000C2E03" w:rsidP="00416F0D">
      <w:pPr>
        <w:spacing w:after="120" w:line="240" w:lineRule="auto"/>
        <w:outlineLvl w:val="1"/>
        <w:rPr>
          <w:rFonts w:eastAsia="Times New Roman" w:cs="Times New Roman"/>
          <w:b/>
          <w:bCs/>
          <w:sz w:val="24"/>
          <w:szCs w:val="24"/>
          <w:lang w:eastAsia="en-GB"/>
        </w:rPr>
      </w:pPr>
      <w:r w:rsidRPr="000C2E03">
        <w:rPr>
          <w:rFonts w:eastAsia="Times New Roman" w:cs="Times New Roman"/>
          <w:b/>
          <w:bCs/>
          <w:sz w:val="24"/>
          <w:szCs w:val="24"/>
          <w:lang w:eastAsia="en-GB"/>
        </w:rPr>
        <w:t>Main results  </w:t>
      </w:r>
    </w:p>
    <w:p w:rsidR="000C2E03" w:rsidRPr="000C2E03" w:rsidRDefault="000C2E03" w:rsidP="00416F0D">
      <w:pPr>
        <w:spacing w:after="120" w:line="240" w:lineRule="auto"/>
        <w:rPr>
          <w:rFonts w:eastAsia="Times New Roman" w:cs="Times New Roman"/>
          <w:sz w:val="24"/>
          <w:szCs w:val="24"/>
          <w:lang w:eastAsia="en-GB"/>
        </w:rPr>
      </w:pPr>
      <w:r w:rsidRPr="000C2E03">
        <w:rPr>
          <w:rFonts w:eastAsia="Times New Roman" w:cs="Times New Roman"/>
          <w:sz w:val="24"/>
          <w:szCs w:val="24"/>
          <w:lang w:eastAsia="en-GB"/>
        </w:rPr>
        <w:t xml:space="preserve">96 studies (10,401 participants) </w:t>
      </w:r>
      <w:r w:rsidR="003C2039" w:rsidRPr="00670024">
        <w:rPr>
          <w:rFonts w:eastAsia="Times New Roman" w:cs="Times New Roman"/>
          <w:sz w:val="24"/>
          <w:szCs w:val="24"/>
          <w:lang w:eastAsia="en-GB"/>
        </w:rPr>
        <w:t>were included</w:t>
      </w:r>
      <w:r w:rsidRPr="000C2E03">
        <w:rPr>
          <w:rFonts w:eastAsia="Times New Roman" w:cs="Times New Roman"/>
          <w:sz w:val="24"/>
          <w:szCs w:val="24"/>
          <w:lang w:eastAsia="en-GB"/>
        </w:rPr>
        <w:t>. More than half of the studies (50/96) were carried out in China. Generally the studies were heterogeneous, and many were poorly reported.</w:t>
      </w:r>
    </w:p>
    <w:p w:rsidR="000C2E03" w:rsidRPr="000C2E03" w:rsidRDefault="000C2E03" w:rsidP="00416F0D">
      <w:pPr>
        <w:spacing w:after="120" w:line="240" w:lineRule="auto"/>
        <w:rPr>
          <w:rFonts w:eastAsia="Times New Roman" w:cs="Times New Roman"/>
          <w:sz w:val="24"/>
          <w:szCs w:val="24"/>
          <w:lang w:eastAsia="en-GB"/>
        </w:rPr>
      </w:pPr>
      <w:r w:rsidRPr="000C2E03">
        <w:rPr>
          <w:rFonts w:eastAsia="Times New Roman" w:cs="Times New Roman"/>
          <w:sz w:val="24"/>
          <w:szCs w:val="24"/>
          <w:lang w:eastAsia="en-GB"/>
        </w:rPr>
        <w:t xml:space="preserve">Physical rehabilitation was beneficial, as compared with no treatment, on functional recovery after stroke (27 studies, 3423 participants; standardised mean difference (SMD) 0.78, 95% confidence interval (CI) 0.58 to 0.97, for ADL scales), and this effect was noted to persist beyond the length of the intervention period (nine studies, 540 participants; SMD 0.58, 95% CI 0.11 to 1.04). This evidence principally arises from studies carried out in China. </w:t>
      </w:r>
    </w:p>
    <w:p w:rsidR="000C2E03" w:rsidRPr="000C2E03" w:rsidRDefault="003C2039" w:rsidP="00416F0D">
      <w:pPr>
        <w:spacing w:after="120" w:line="240" w:lineRule="auto"/>
        <w:rPr>
          <w:rFonts w:eastAsia="Times New Roman" w:cs="Times New Roman"/>
          <w:sz w:val="24"/>
          <w:szCs w:val="24"/>
          <w:lang w:eastAsia="en-GB"/>
        </w:rPr>
      </w:pPr>
      <w:r w:rsidRPr="00670024">
        <w:rPr>
          <w:rFonts w:eastAsia="Times New Roman" w:cs="Times New Roman"/>
          <w:sz w:val="24"/>
          <w:szCs w:val="24"/>
          <w:lang w:eastAsia="en-GB"/>
        </w:rPr>
        <w:t>P</w:t>
      </w:r>
      <w:r w:rsidR="000C2E03" w:rsidRPr="000C2E03">
        <w:rPr>
          <w:rFonts w:eastAsia="Times New Roman" w:cs="Times New Roman"/>
          <w:sz w:val="24"/>
          <w:szCs w:val="24"/>
          <w:lang w:eastAsia="en-GB"/>
        </w:rPr>
        <w:t xml:space="preserve">hysical rehabilitation </w:t>
      </w:r>
      <w:r w:rsidRPr="00670024">
        <w:rPr>
          <w:rFonts w:eastAsia="Times New Roman" w:cs="Times New Roman"/>
          <w:sz w:val="24"/>
          <w:szCs w:val="24"/>
          <w:lang w:eastAsia="en-GB"/>
        </w:rPr>
        <w:t>was</w:t>
      </w:r>
      <w:r w:rsidR="000C2E03" w:rsidRPr="000C2E03">
        <w:rPr>
          <w:rFonts w:eastAsia="Times New Roman" w:cs="Times New Roman"/>
          <w:sz w:val="24"/>
          <w:szCs w:val="24"/>
          <w:lang w:eastAsia="en-GB"/>
        </w:rPr>
        <w:t xml:space="preserve"> more effective than usual care or attention control in improving motor function (12 studies, 887 participants; SMD 0.37, 95% CI 0.20 to 0.55), balance (five studies, 246 participants; SMD 0.31, 95% CI 0.05 to 0.56) and gait velocity (14 studies, 1126 participants; SMD 0.46, 95% CI 0.32 to 0.60). </w:t>
      </w:r>
    </w:p>
    <w:p w:rsidR="000C2E03" w:rsidRPr="000C2E03" w:rsidRDefault="000C2E03" w:rsidP="00416F0D">
      <w:pPr>
        <w:spacing w:after="120" w:line="240" w:lineRule="auto"/>
        <w:rPr>
          <w:rFonts w:eastAsia="Times New Roman" w:cs="Times New Roman"/>
          <w:sz w:val="24"/>
          <w:szCs w:val="24"/>
          <w:lang w:eastAsia="en-GB"/>
        </w:rPr>
      </w:pPr>
      <w:r w:rsidRPr="000C2E03">
        <w:rPr>
          <w:rFonts w:eastAsia="Times New Roman" w:cs="Times New Roman"/>
          <w:sz w:val="24"/>
          <w:szCs w:val="24"/>
          <w:lang w:eastAsia="en-GB"/>
        </w:rPr>
        <w:t>No one physical rehabilitation approach was more (or less) effective than any other approach in improving independence in ADL (eight studies, 491 participants; t</w:t>
      </w:r>
      <w:r w:rsidR="008F5233">
        <w:rPr>
          <w:rFonts w:eastAsia="Times New Roman" w:cs="Times New Roman"/>
          <w:sz w:val="24"/>
          <w:szCs w:val="24"/>
          <w:lang w:eastAsia="en-GB"/>
        </w:rPr>
        <w:t>est for subgroup differences: P-value=</w:t>
      </w:r>
      <w:r w:rsidRPr="000C2E03">
        <w:rPr>
          <w:rFonts w:eastAsia="Times New Roman" w:cs="Times New Roman"/>
          <w:sz w:val="24"/>
          <w:szCs w:val="24"/>
          <w:lang w:eastAsia="en-GB"/>
        </w:rPr>
        <w:t>0.71) or motor function (nine studies, 546 participants; t</w:t>
      </w:r>
      <w:r w:rsidR="008F5233">
        <w:rPr>
          <w:rFonts w:eastAsia="Times New Roman" w:cs="Times New Roman"/>
          <w:sz w:val="24"/>
          <w:szCs w:val="24"/>
          <w:lang w:eastAsia="en-GB"/>
        </w:rPr>
        <w:t>est for subgroup differences: P-value=</w:t>
      </w:r>
      <w:r w:rsidRPr="000C2E03">
        <w:rPr>
          <w:rFonts w:eastAsia="Times New Roman" w:cs="Times New Roman"/>
          <w:sz w:val="24"/>
          <w:szCs w:val="24"/>
          <w:lang w:eastAsia="en-GB"/>
        </w:rPr>
        <w:t xml:space="preserve">0.41). </w:t>
      </w:r>
    </w:p>
    <w:p w:rsidR="000C2E03" w:rsidRPr="000C2E03" w:rsidRDefault="00087EE7" w:rsidP="00416F0D">
      <w:pPr>
        <w:spacing w:after="120" w:line="240" w:lineRule="auto"/>
        <w:outlineLvl w:val="1"/>
        <w:rPr>
          <w:rFonts w:eastAsia="Times New Roman" w:cs="Times New Roman"/>
          <w:b/>
          <w:bCs/>
          <w:sz w:val="24"/>
          <w:szCs w:val="24"/>
          <w:lang w:eastAsia="en-GB"/>
        </w:rPr>
      </w:pPr>
      <w:r w:rsidRPr="00670024">
        <w:rPr>
          <w:rFonts w:eastAsia="Times New Roman" w:cs="Times New Roman"/>
          <w:b/>
          <w:bCs/>
          <w:sz w:val="24"/>
          <w:szCs w:val="24"/>
          <w:lang w:eastAsia="en-GB"/>
        </w:rPr>
        <w:t>C</w:t>
      </w:r>
      <w:r w:rsidR="000C2E03" w:rsidRPr="000C2E03">
        <w:rPr>
          <w:rFonts w:eastAsia="Times New Roman" w:cs="Times New Roman"/>
          <w:b/>
          <w:bCs/>
          <w:sz w:val="24"/>
          <w:szCs w:val="24"/>
          <w:lang w:eastAsia="en-GB"/>
        </w:rPr>
        <w:t>onclusions  </w:t>
      </w:r>
    </w:p>
    <w:p w:rsidR="00087EE7" w:rsidRPr="00670024" w:rsidRDefault="000C2E03" w:rsidP="00416F0D">
      <w:pPr>
        <w:spacing w:after="120" w:line="240" w:lineRule="auto"/>
        <w:rPr>
          <w:rFonts w:eastAsia="Times New Roman" w:cs="Times New Roman"/>
          <w:sz w:val="24"/>
          <w:szCs w:val="24"/>
          <w:lang w:eastAsia="en-GB"/>
        </w:rPr>
      </w:pPr>
      <w:r w:rsidRPr="000C2E03">
        <w:rPr>
          <w:rFonts w:eastAsia="Times New Roman" w:cs="Times New Roman"/>
          <w:sz w:val="24"/>
          <w:szCs w:val="24"/>
          <w:lang w:eastAsia="en-GB"/>
        </w:rPr>
        <w:t xml:space="preserve">Physical rehabilitation, comprising a selection of components from different approaches, is effective for recovery of function and mobility after stroke. No one approach to physical rehabilitation is any more (or less) effective in promoting recovery of function and mobility after stroke. </w:t>
      </w:r>
    </w:p>
    <w:p w:rsidR="009B0196" w:rsidRPr="00352E07" w:rsidRDefault="009B0196" w:rsidP="00416F0D">
      <w:pPr>
        <w:spacing w:after="120" w:line="240" w:lineRule="auto"/>
        <w:rPr>
          <w:b/>
          <w:sz w:val="24"/>
          <w:szCs w:val="24"/>
        </w:rPr>
      </w:pPr>
      <w:r w:rsidRPr="00352E07">
        <w:rPr>
          <w:b/>
          <w:sz w:val="24"/>
          <w:szCs w:val="24"/>
        </w:rPr>
        <w:lastRenderedPageBreak/>
        <w:t>Disclosures</w:t>
      </w:r>
    </w:p>
    <w:p w:rsidR="009B0196" w:rsidRPr="00352E07" w:rsidRDefault="009B0196" w:rsidP="00416F0D">
      <w:pPr>
        <w:pStyle w:val="NormalWeb"/>
        <w:spacing w:before="0" w:beforeAutospacing="0" w:after="120" w:afterAutospacing="0"/>
        <w:rPr>
          <w:rFonts w:asciiTheme="minorHAnsi" w:hAnsiTheme="minorHAnsi"/>
        </w:rPr>
      </w:pPr>
      <w:r w:rsidRPr="00352E07">
        <w:rPr>
          <w:rFonts w:asciiTheme="minorHAnsi" w:hAnsiTheme="minorHAnsi"/>
        </w:rPr>
        <w:t>Authors Pollock and Baer carried out trials included in this review (Baer 2007, Pollock 1998).  No other disclosures.</w:t>
      </w:r>
    </w:p>
    <w:p w:rsidR="009B0196" w:rsidRPr="00352E07" w:rsidRDefault="009B0196" w:rsidP="00416F0D">
      <w:pPr>
        <w:pStyle w:val="NormalWeb"/>
        <w:spacing w:before="0" w:beforeAutospacing="0" w:after="120" w:afterAutospacing="0"/>
        <w:rPr>
          <w:rFonts w:asciiTheme="minorHAnsi" w:hAnsiTheme="minorHAnsi"/>
          <w:b/>
        </w:rPr>
      </w:pPr>
      <w:r w:rsidRPr="00352E07">
        <w:rPr>
          <w:rFonts w:asciiTheme="minorHAnsi" w:hAnsiTheme="minorHAnsi"/>
          <w:b/>
        </w:rPr>
        <w:t>Funding sources</w:t>
      </w:r>
    </w:p>
    <w:p w:rsidR="009B0196" w:rsidRPr="00352E07" w:rsidRDefault="00352E07" w:rsidP="00416F0D">
      <w:pPr>
        <w:pStyle w:val="NormalWeb"/>
        <w:spacing w:before="0" w:beforeAutospacing="0" w:after="120" w:afterAutospacing="0"/>
        <w:rPr>
          <w:rFonts w:asciiTheme="minorHAnsi" w:hAnsiTheme="minorHAnsi"/>
        </w:rPr>
      </w:pPr>
      <w:r w:rsidRPr="00352E07">
        <w:rPr>
          <w:rFonts w:asciiTheme="minorHAnsi" w:hAnsiTheme="minorHAnsi"/>
        </w:rPr>
        <w:t>This review update was supported by a project grant from the Scottish Government’s Chief Scientist Office (CSO).</w:t>
      </w:r>
    </w:p>
    <w:p w:rsidR="00351935" w:rsidRPr="00352E07" w:rsidRDefault="009B0196" w:rsidP="00416F0D">
      <w:pPr>
        <w:spacing w:after="120" w:line="240" w:lineRule="auto"/>
        <w:rPr>
          <w:b/>
          <w:sz w:val="24"/>
          <w:szCs w:val="24"/>
        </w:rPr>
      </w:pPr>
      <w:r w:rsidRPr="00352E07">
        <w:rPr>
          <w:b/>
          <w:sz w:val="24"/>
          <w:szCs w:val="24"/>
        </w:rPr>
        <w:t>Acknowledgements</w:t>
      </w:r>
    </w:p>
    <w:p w:rsidR="009B0196" w:rsidRPr="00352E07" w:rsidRDefault="009B0196" w:rsidP="00416F0D">
      <w:pPr>
        <w:spacing w:after="120" w:line="240" w:lineRule="auto"/>
        <w:rPr>
          <w:sz w:val="24"/>
          <w:szCs w:val="24"/>
        </w:rPr>
      </w:pPr>
      <w:r w:rsidRPr="00352E07">
        <w:rPr>
          <w:sz w:val="24"/>
          <w:szCs w:val="24"/>
        </w:rPr>
        <w:t>This paper is based on a Cochrane Review published in The Cochrane Library 201</w:t>
      </w:r>
      <w:r w:rsidR="00BA2A43">
        <w:rPr>
          <w:sz w:val="24"/>
          <w:szCs w:val="24"/>
        </w:rPr>
        <w:t>4, Issue 4</w:t>
      </w:r>
      <w:r w:rsidRPr="00352E07">
        <w:rPr>
          <w:sz w:val="24"/>
          <w:szCs w:val="24"/>
        </w:rPr>
        <w:t xml:space="preserve"> (see </w:t>
      </w:r>
      <w:hyperlink r:id="rId5" w:tgtFrame="_blank" w:history="1">
        <w:r w:rsidRPr="00352E07">
          <w:rPr>
            <w:rStyle w:val="Hyperlink"/>
            <w:color w:val="auto"/>
            <w:sz w:val="24"/>
            <w:szCs w:val="24"/>
          </w:rPr>
          <w:t>www.thecochranelibrary.com</w:t>
        </w:r>
      </w:hyperlink>
      <w:r w:rsidRPr="00352E07">
        <w:rPr>
          <w:sz w:val="24"/>
          <w:szCs w:val="24"/>
        </w:rPr>
        <w:t xml:space="preserve"> for information). Cochrane Reviews are regularly updated as new evidence emerges and in response to feedback, and The Cochrane Library should be consulted for the most recent version of the review.</w:t>
      </w:r>
    </w:p>
    <w:p w:rsidR="009B0196" w:rsidRPr="00352E07" w:rsidRDefault="009B0196" w:rsidP="00416F0D">
      <w:pPr>
        <w:spacing w:after="120" w:line="240" w:lineRule="auto"/>
        <w:rPr>
          <w:b/>
          <w:sz w:val="24"/>
          <w:szCs w:val="24"/>
        </w:rPr>
      </w:pPr>
      <w:r w:rsidRPr="00352E07">
        <w:rPr>
          <w:b/>
          <w:sz w:val="24"/>
          <w:szCs w:val="24"/>
        </w:rPr>
        <w:t>Reference</w:t>
      </w:r>
    </w:p>
    <w:p w:rsidR="009B0196" w:rsidRPr="00352E07" w:rsidRDefault="00416F0D" w:rsidP="00416F0D">
      <w:pPr>
        <w:spacing w:after="120" w:line="240" w:lineRule="auto"/>
        <w:rPr>
          <w:sz w:val="24"/>
          <w:szCs w:val="24"/>
        </w:rPr>
      </w:pPr>
      <w:r>
        <w:rPr>
          <w:rFonts w:cs="Arial"/>
          <w:sz w:val="24"/>
          <w:szCs w:val="24"/>
        </w:rPr>
        <w:t xml:space="preserve">1.  </w:t>
      </w:r>
      <w:r w:rsidR="009B0196" w:rsidRPr="00352E07">
        <w:rPr>
          <w:rFonts w:cs="Arial"/>
          <w:sz w:val="24"/>
          <w:szCs w:val="24"/>
        </w:rPr>
        <w:t xml:space="preserve">Pollock A, Baer G, Campbell P, Choo PL, Forster A, Morris J, </w:t>
      </w:r>
      <w:r w:rsidR="001F5CE5">
        <w:rPr>
          <w:rFonts w:cs="Arial"/>
          <w:sz w:val="24"/>
          <w:szCs w:val="24"/>
        </w:rPr>
        <w:t>et al</w:t>
      </w:r>
      <w:r w:rsidR="009B0196" w:rsidRPr="00352E07">
        <w:rPr>
          <w:rFonts w:cs="Arial"/>
          <w:sz w:val="24"/>
          <w:szCs w:val="24"/>
        </w:rPr>
        <w:t xml:space="preserve">. Physical rehabilitation approaches for the recovery of function and mobility following stroke. Cochrane Database of Systematic Reviews 2014, Issue 4. Art. No.: CD001920. DOI: 10.1002/14651858.CD001920.   </w:t>
      </w:r>
      <w:hyperlink r:id="rId6" w:history="1">
        <w:r w:rsidR="009B0196" w:rsidRPr="00352E07">
          <w:rPr>
            <w:rStyle w:val="Hyperlink"/>
            <w:color w:val="auto"/>
            <w:sz w:val="24"/>
            <w:szCs w:val="24"/>
          </w:rPr>
          <w:t>http://dx.doi.org/10.1002/14651858.CD001920</w:t>
        </w:r>
      </w:hyperlink>
    </w:p>
    <w:p w:rsidR="009B0196" w:rsidRPr="00670024" w:rsidRDefault="009B0196">
      <w:pPr>
        <w:rPr>
          <w:sz w:val="24"/>
          <w:szCs w:val="24"/>
        </w:rPr>
      </w:pPr>
    </w:p>
    <w:sectPr w:rsidR="009B0196" w:rsidRPr="00670024" w:rsidSect="00351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E03"/>
    <w:rsid w:val="00025B99"/>
    <w:rsid w:val="00072657"/>
    <w:rsid w:val="00087EE7"/>
    <w:rsid w:val="00097BF8"/>
    <w:rsid w:val="000C2E03"/>
    <w:rsid w:val="001F5CE5"/>
    <w:rsid w:val="00212BF8"/>
    <w:rsid w:val="00263066"/>
    <w:rsid w:val="00351935"/>
    <w:rsid w:val="00352E07"/>
    <w:rsid w:val="003A7A12"/>
    <w:rsid w:val="003C2039"/>
    <w:rsid w:val="00416F0D"/>
    <w:rsid w:val="0049269F"/>
    <w:rsid w:val="00593F16"/>
    <w:rsid w:val="005C52D2"/>
    <w:rsid w:val="006635EC"/>
    <w:rsid w:val="00670024"/>
    <w:rsid w:val="006D6385"/>
    <w:rsid w:val="008F5233"/>
    <w:rsid w:val="00986CEE"/>
    <w:rsid w:val="009B0196"/>
    <w:rsid w:val="00B97DC2"/>
    <w:rsid w:val="00BA2A43"/>
    <w:rsid w:val="00BE4E20"/>
    <w:rsid w:val="00E3327A"/>
    <w:rsid w:val="00F24260"/>
    <w:rsid w:val="00F25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15B1E3-2255-49FE-A6F8-2E80B6B0F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1935"/>
  </w:style>
  <w:style w:type="paragraph" w:styleId="Heading1">
    <w:name w:val="heading 1"/>
    <w:basedOn w:val="Normal"/>
    <w:link w:val="Heading1Char"/>
    <w:uiPriority w:val="9"/>
    <w:qFormat/>
    <w:rsid w:val="000C2E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0C2E0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E0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C2E03"/>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0C2E0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B0196"/>
    <w:rPr>
      <w:color w:val="0000FF"/>
      <w:u w:val="single"/>
    </w:rPr>
  </w:style>
  <w:style w:type="character" w:styleId="FollowedHyperlink">
    <w:name w:val="FollowedHyperlink"/>
    <w:basedOn w:val="DefaultParagraphFont"/>
    <w:uiPriority w:val="99"/>
    <w:semiHidden/>
    <w:unhideWhenUsed/>
    <w:rsid w:val="009B019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069890">
      <w:bodyDiv w:val="1"/>
      <w:marLeft w:val="0"/>
      <w:marRight w:val="0"/>
      <w:marTop w:val="0"/>
      <w:marBottom w:val="0"/>
      <w:divBdr>
        <w:top w:val="none" w:sz="0" w:space="0" w:color="auto"/>
        <w:left w:val="none" w:sz="0" w:space="0" w:color="auto"/>
        <w:bottom w:val="none" w:sz="0" w:space="0" w:color="auto"/>
        <w:right w:val="none" w:sz="0" w:space="0" w:color="auto"/>
      </w:divBdr>
    </w:div>
    <w:div w:id="436602156">
      <w:bodyDiv w:val="1"/>
      <w:marLeft w:val="0"/>
      <w:marRight w:val="0"/>
      <w:marTop w:val="0"/>
      <w:marBottom w:val="0"/>
      <w:divBdr>
        <w:top w:val="none" w:sz="0" w:space="0" w:color="auto"/>
        <w:left w:val="none" w:sz="0" w:space="0" w:color="auto"/>
        <w:bottom w:val="none" w:sz="0" w:space="0" w:color="auto"/>
        <w:right w:val="none" w:sz="0" w:space="0" w:color="auto"/>
      </w:divBdr>
      <w:divsChild>
        <w:div w:id="1562404268">
          <w:marLeft w:val="0"/>
          <w:marRight w:val="0"/>
          <w:marTop w:val="0"/>
          <w:marBottom w:val="0"/>
          <w:divBdr>
            <w:top w:val="none" w:sz="0" w:space="0" w:color="auto"/>
            <w:left w:val="none" w:sz="0" w:space="0" w:color="auto"/>
            <w:bottom w:val="none" w:sz="0" w:space="0" w:color="auto"/>
            <w:right w:val="none" w:sz="0" w:space="0" w:color="auto"/>
          </w:divBdr>
          <w:divsChild>
            <w:div w:id="1856113530">
              <w:marLeft w:val="0"/>
              <w:marRight w:val="0"/>
              <w:marTop w:val="0"/>
              <w:marBottom w:val="0"/>
              <w:divBdr>
                <w:top w:val="none" w:sz="0" w:space="0" w:color="auto"/>
                <w:left w:val="none" w:sz="0" w:space="0" w:color="auto"/>
                <w:bottom w:val="none" w:sz="0" w:space="0" w:color="auto"/>
                <w:right w:val="none" w:sz="0" w:space="0" w:color="auto"/>
              </w:divBdr>
              <w:divsChild>
                <w:div w:id="1248802495">
                  <w:marLeft w:val="0"/>
                  <w:marRight w:val="0"/>
                  <w:marTop w:val="0"/>
                  <w:marBottom w:val="0"/>
                  <w:divBdr>
                    <w:top w:val="none" w:sz="0" w:space="0" w:color="auto"/>
                    <w:left w:val="none" w:sz="0" w:space="0" w:color="auto"/>
                    <w:bottom w:val="none" w:sz="0" w:space="0" w:color="auto"/>
                    <w:right w:val="none" w:sz="0" w:space="0" w:color="auto"/>
                  </w:divBdr>
                  <w:divsChild>
                    <w:div w:id="373307635">
                      <w:marLeft w:val="0"/>
                      <w:marRight w:val="0"/>
                      <w:marTop w:val="0"/>
                      <w:marBottom w:val="0"/>
                      <w:divBdr>
                        <w:top w:val="none" w:sz="0" w:space="0" w:color="auto"/>
                        <w:left w:val="none" w:sz="0" w:space="0" w:color="auto"/>
                        <w:bottom w:val="none" w:sz="0" w:space="0" w:color="auto"/>
                        <w:right w:val="none" w:sz="0" w:space="0" w:color="auto"/>
                      </w:divBdr>
                    </w:div>
                  </w:divsChild>
                </w:div>
                <w:div w:id="58405386">
                  <w:marLeft w:val="0"/>
                  <w:marRight w:val="0"/>
                  <w:marTop w:val="0"/>
                  <w:marBottom w:val="0"/>
                  <w:divBdr>
                    <w:top w:val="none" w:sz="0" w:space="0" w:color="auto"/>
                    <w:left w:val="none" w:sz="0" w:space="0" w:color="auto"/>
                    <w:bottom w:val="none" w:sz="0" w:space="0" w:color="auto"/>
                    <w:right w:val="none" w:sz="0" w:space="0" w:color="auto"/>
                  </w:divBdr>
                  <w:divsChild>
                    <w:div w:id="1693266751">
                      <w:marLeft w:val="0"/>
                      <w:marRight w:val="0"/>
                      <w:marTop w:val="0"/>
                      <w:marBottom w:val="0"/>
                      <w:divBdr>
                        <w:top w:val="none" w:sz="0" w:space="0" w:color="auto"/>
                        <w:left w:val="none" w:sz="0" w:space="0" w:color="auto"/>
                        <w:bottom w:val="none" w:sz="0" w:space="0" w:color="auto"/>
                        <w:right w:val="none" w:sz="0" w:space="0" w:color="auto"/>
                      </w:divBdr>
                    </w:div>
                  </w:divsChild>
                </w:div>
                <w:div w:id="1662460572">
                  <w:marLeft w:val="0"/>
                  <w:marRight w:val="0"/>
                  <w:marTop w:val="0"/>
                  <w:marBottom w:val="0"/>
                  <w:divBdr>
                    <w:top w:val="none" w:sz="0" w:space="0" w:color="auto"/>
                    <w:left w:val="none" w:sz="0" w:space="0" w:color="auto"/>
                    <w:bottom w:val="none" w:sz="0" w:space="0" w:color="auto"/>
                    <w:right w:val="none" w:sz="0" w:space="0" w:color="auto"/>
                  </w:divBdr>
                  <w:divsChild>
                    <w:div w:id="1295672460">
                      <w:marLeft w:val="0"/>
                      <w:marRight w:val="0"/>
                      <w:marTop w:val="0"/>
                      <w:marBottom w:val="0"/>
                      <w:divBdr>
                        <w:top w:val="none" w:sz="0" w:space="0" w:color="auto"/>
                        <w:left w:val="none" w:sz="0" w:space="0" w:color="auto"/>
                        <w:bottom w:val="none" w:sz="0" w:space="0" w:color="auto"/>
                        <w:right w:val="none" w:sz="0" w:space="0" w:color="auto"/>
                      </w:divBdr>
                    </w:div>
                  </w:divsChild>
                </w:div>
                <w:div w:id="947469335">
                  <w:marLeft w:val="0"/>
                  <w:marRight w:val="0"/>
                  <w:marTop w:val="0"/>
                  <w:marBottom w:val="0"/>
                  <w:divBdr>
                    <w:top w:val="none" w:sz="0" w:space="0" w:color="auto"/>
                    <w:left w:val="none" w:sz="0" w:space="0" w:color="auto"/>
                    <w:bottom w:val="none" w:sz="0" w:space="0" w:color="auto"/>
                    <w:right w:val="none" w:sz="0" w:space="0" w:color="auto"/>
                  </w:divBdr>
                  <w:divsChild>
                    <w:div w:id="1416785649">
                      <w:marLeft w:val="0"/>
                      <w:marRight w:val="0"/>
                      <w:marTop w:val="0"/>
                      <w:marBottom w:val="0"/>
                      <w:divBdr>
                        <w:top w:val="none" w:sz="0" w:space="0" w:color="auto"/>
                        <w:left w:val="none" w:sz="0" w:space="0" w:color="auto"/>
                        <w:bottom w:val="none" w:sz="0" w:space="0" w:color="auto"/>
                        <w:right w:val="none" w:sz="0" w:space="0" w:color="auto"/>
                      </w:divBdr>
                    </w:div>
                  </w:divsChild>
                </w:div>
                <w:div w:id="106855335">
                  <w:marLeft w:val="0"/>
                  <w:marRight w:val="0"/>
                  <w:marTop w:val="0"/>
                  <w:marBottom w:val="0"/>
                  <w:divBdr>
                    <w:top w:val="none" w:sz="0" w:space="0" w:color="auto"/>
                    <w:left w:val="none" w:sz="0" w:space="0" w:color="auto"/>
                    <w:bottom w:val="none" w:sz="0" w:space="0" w:color="auto"/>
                    <w:right w:val="none" w:sz="0" w:space="0" w:color="auto"/>
                  </w:divBdr>
                  <w:divsChild>
                    <w:div w:id="1429152444">
                      <w:marLeft w:val="0"/>
                      <w:marRight w:val="0"/>
                      <w:marTop w:val="0"/>
                      <w:marBottom w:val="0"/>
                      <w:divBdr>
                        <w:top w:val="none" w:sz="0" w:space="0" w:color="auto"/>
                        <w:left w:val="none" w:sz="0" w:space="0" w:color="auto"/>
                        <w:bottom w:val="none" w:sz="0" w:space="0" w:color="auto"/>
                        <w:right w:val="none" w:sz="0" w:space="0" w:color="auto"/>
                      </w:divBdr>
                    </w:div>
                  </w:divsChild>
                </w:div>
                <w:div w:id="2057313609">
                  <w:marLeft w:val="0"/>
                  <w:marRight w:val="0"/>
                  <w:marTop w:val="0"/>
                  <w:marBottom w:val="0"/>
                  <w:divBdr>
                    <w:top w:val="none" w:sz="0" w:space="0" w:color="auto"/>
                    <w:left w:val="none" w:sz="0" w:space="0" w:color="auto"/>
                    <w:bottom w:val="none" w:sz="0" w:space="0" w:color="auto"/>
                    <w:right w:val="none" w:sz="0" w:space="0" w:color="auto"/>
                  </w:divBdr>
                  <w:divsChild>
                    <w:div w:id="1777212795">
                      <w:marLeft w:val="0"/>
                      <w:marRight w:val="0"/>
                      <w:marTop w:val="0"/>
                      <w:marBottom w:val="0"/>
                      <w:divBdr>
                        <w:top w:val="none" w:sz="0" w:space="0" w:color="auto"/>
                        <w:left w:val="none" w:sz="0" w:space="0" w:color="auto"/>
                        <w:bottom w:val="none" w:sz="0" w:space="0" w:color="auto"/>
                        <w:right w:val="none" w:sz="0" w:space="0" w:color="auto"/>
                      </w:divBdr>
                    </w:div>
                  </w:divsChild>
                </w:div>
                <w:div w:id="1483891151">
                  <w:marLeft w:val="0"/>
                  <w:marRight w:val="0"/>
                  <w:marTop w:val="0"/>
                  <w:marBottom w:val="0"/>
                  <w:divBdr>
                    <w:top w:val="none" w:sz="0" w:space="0" w:color="auto"/>
                    <w:left w:val="none" w:sz="0" w:space="0" w:color="auto"/>
                    <w:bottom w:val="none" w:sz="0" w:space="0" w:color="auto"/>
                    <w:right w:val="none" w:sz="0" w:space="0" w:color="auto"/>
                  </w:divBdr>
                  <w:divsChild>
                    <w:div w:id="43938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6822689">
      <w:bodyDiv w:val="1"/>
      <w:marLeft w:val="0"/>
      <w:marRight w:val="0"/>
      <w:marTop w:val="0"/>
      <w:marBottom w:val="0"/>
      <w:divBdr>
        <w:top w:val="none" w:sz="0" w:space="0" w:color="auto"/>
        <w:left w:val="none" w:sz="0" w:space="0" w:color="auto"/>
        <w:bottom w:val="none" w:sz="0" w:space="0" w:color="auto"/>
        <w:right w:val="none" w:sz="0" w:space="0" w:color="auto"/>
      </w:divBdr>
      <w:divsChild>
        <w:div w:id="108159157">
          <w:marLeft w:val="0"/>
          <w:marRight w:val="0"/>
          <w:marTop w:val="0"/>
          <w:marBottom w:val="0"/>
          <w:divBdr>
            <w:top w:val="none" w:sz="0" w:space="0" w:color="auto"/>
            <w:left w:val="none" w:sz="0" w:space="0" w:color="auto"/>
            <w:bottom w:val="none" w:sz="0" w:space="0" w:color="auto"/>
            <w:right w:val="none" w:sz="0" w:space="0" w:color="auto"/>
          </w:divBdr>
          <w:divsChild>
            <w:div w:id="776604483">
              <w:marLeft w:val="0"/>
              <w:marRight w:val="0"/>
              <w:marTop w:val="0"/>
              <w:marBottom w:val="0"/>
              <w:divBdr>
                <w:top w:val="none" w:sz="0" w:space="0" w:color="auto"/>
                <w:left w:val="none" w:sz="0" w:space="0" w:color="auto"/>
                <w:bottom w:val="none" w:sz="0" w:space="0" w:color="auto"/>
                <w:right w:val="none" w:sz="0" w:space="0" w:color="auto"/>
              </w:divBdr>
              <w:divsChild>
                <w:div w:id="81684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x.doi.org/10.1002/14651858.CD001920" TargetMode="External"/><Relationship Id="rId5" Type="http://schemas.openxmlformats.org/officeDocument/2006/relationships/hyperlink" Target="https://mail.gcal.ac.uk/owa/UrlBlockedError.aspx" TargetMode="External"/><Relationship Id="rId4" Type="http://schemas.openxmlformats.org/officeDocument/2006/relationships/hyperlink" Target="mailto:alex.pollock@gcu.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4A5AAEEC</Template>
  <TotalTime>1</TotalTime>
  <Pages>3</Pages>
  <Words>783</Words>
  <Characters>4469</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Pollock</dc:creator>
  <cp:lastModifiedBy>Pel Fordham (HSC)</cp:lastModifiedBy>
  <cp:revision>2</cp:revision>
  <dcterms:created xsi:type="dcterms:W3CDTF">2016-02-01T12:18:00Z</dcterms:created>
  <dcterms:modified xsi:type="dcterms:W3CDTF">2016-02-01T12:18:00Z</dcterms:modified>
</cp:coreProperties>
</file>