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0264" w:rsidRPr="00B9614C" w:rsidRDefault="00AD0264" w:rsidP="00473D55">
      <w:pPr>
        <w:spacing w:line="360" w:lineRule="auto"/>
        <w:jc w:val="both"/>
        <w:rPr>
          <w:rFonts w:asciiTheme="majorBidi" w:hAnsiTheme="majorBidi" w:cstheme="majorBidi"/>
          <w:b/>
          <w:bCs/>
        </w:rPr>
      </w:pPr>
      <w:r w:rsidRPr="00B9614C">
        <w:rPr>
          <w:rFonts w:asciiTheme="majorBidi" w:hAnsiTheme="majorBidi" w:cstheme="majorBidi"/>
          <w:b/>
          <w:bCs/>
        </w:rPr>
        <w:t>Title</w:t>
      </w:r>
    </w:p>
    <w:p w:rsidR="00697CC0" w:rsidRPr="00B9614C" w:rsidRDefault="00A763B0" w:rsidP="00473D55">
      <w:pPr>
        <w:spacing w:line="360" w:lineRule="auto"/>
        <w:jc w:val="both"/>
        <w:rPr>
          <w:rFonts w:asciiTheme="majorBidi" w:hAnsiTheme="majorBidi" w:cstheme="majorBidi"/>
          <w:b/>
          <w:bCs/>
        </w:rPr>
      </w:pPr>
      <w:r>
        <w:rPr>
          <w:rFonts w:asciiTheme="majorBidi" w:hAnsiTheme="majorBidi" w:cstheme="majorBidi"/>
          <w:b/>
          <w:bCs/>
        </w:rPr>
        <w:t>Abandoned acid?</w:t>
      </w:r>
      <w:r w:rsidR="005A31FE">
        <w:rPr>
          <w:rFonts w:asciiTheme="majorBidi" w:hAnsiTheme="majorBidi" w:cstheme="majorBidi"/>
          <w:b/>
          <w:bCs/>
        </w:rPr>
        <w:t xml:space="preserve"> Understanding</w:t>
      </w:r>
      <w:r w:rsidR="00323462" w:rsidRPr="00B9614C">
        <w:rPr>
          <w:rFonts w:asciiTheme="majorBidi" w:hAnsiTheme="majorBidi" w:cstheme="majorBidi"/>
          <w:b/>
          <w:bCs/>
        </w:rPr>
        <w:t xml:space="preserve"> adherence to </w:t>
      </w:r>
      <w:r w:rsidR="00920552" w:rsidRPr="00B9614C">
        <w:rPr>
          <w:rFonts w:asciiTheme="majorBidi" w:hAnsiTheme="majorBidi" w:cstheme="majorBidi"/>
          <w:b/>
          <w:bCs/>
        </w:rPr>
        <w:t>bisphosphonate medication</w:t>
      </w:r>
      <w:r w:rsidR="005A31FE">
        <w:rPr>
          <w:rFonts w:asciiTheme="majorBidi" w:hAnsiTheme="majorBidi" w:cstheme="majorBidi"/>
          <w:b/>
          <w:bCs/>
        </w:rPr>
        <w:t>s</w:t>
      </w:r>
      <w:r w:rsidR="00920552" w:rsidRPr="00B9614C">
        <w:rPr>
          <w:rFonts w:asciiTheme="majorBidi" w:hAnsiTheme="majorBidi" w:cstheme="majorBidi"/>
          <w:b/>
          <w:bCs/>
        </w:rPr>
        <w:t xml:space="preserve"> for the </w:t>
      </w:r>
      <w:r w:rsidR="00323462" w:rsidRPr="00B9614C">
        <w:rPr>
          <w:rFonts w:asciiTheme="majorBidi" w:hAnsiTheme="majorBidi" w:cstheme="majorBidi"/>
          <w:b/>
          <w:bCs/>
        </w:rPr>
        <w:t>preventi</w:t>
      </w:r>
      <w:r w:rsidR="00810E69">
        <w:rPr>
          <w:rFonts w:asciiTheme="majorBidi" w:hAnsiTheme="majorBidi" w:cstheme="majorBidi"/>
          <w:b/>
          <w:bCs/>
        </w:rPr>
        <w:t xml:space="preserve">on </w:t>
      </w:r>
      <w:r w:rsidR="005A31FE">
        <w:rPr>
          <w:rFonts w:asciiTheme="majorBidi" w:hAnsiTheme="majorBidi" w:cstheme="majorBidi"/>
          <w:b/>
          <w:bCs/>
        </w:rPr>
        <w:t>of</w:t>
      </w:r>
      <w:r w:rsidR="00323462" w:rsidRPr="00B9614C">
        <w:rPr>
          <w:rFonts w:asciiTheme="majorBidi" w:hAnsiTheme="majorBidi" w:cstheme="majorBidi"/>
          <w:b/>
          <w:bCs/>
        </w:rPr>
        <w:t xml:space="preserve"> osteoporosis </w:t>
      </w:r>
      <w:r w:rsidR="005A31FE">
        <w:rPr>
          <w:rFonts w:asciiTheme="majorBidi" w:hAnsiTheme="majorBidi" w:cstheme="majorBidi"/>
          <w:b/>
          <w:bCs/>
        </w:rPr>
        <w:t>among older women</w:t>
      </w:r>
      <w:r w:rsidR="00A4644E" w:rsidRPr="00B9614C">
        <w:rPr>
          <w:rFonts w:asciiTheme="majorBidi" w:hAnsiTheme="majorBidi" w:cstheme="majorBidi"/>
          <w:b/>
          <w:bCs/>
        </w:rPr>
        <w:t xml:space="preserve">: A qualitative </w:t>
      </w:r>
      <w:r w:rsidR="005A31FE">
        <w:rPr>
          <w:rFonts w:asciiTheme="majorBidi" w:hAnsiTheme="majorBidi" w:cstheme="majorBidi"/>
          <w:b/>
          <w:bCs/>
        </w:rPr>
        <w:t>longitudinal study</w:t>
      </w:r>
    </w:p>
    <w:p w:rsidR="00AD0264" w:rsidRPr="00B9614C" w:rsidRDefault="00AD0264" w:rsidP="00473D55">
      <w:pPr>
        <w:spacing w:line="360" w:lineRule="auto"/>
        <w:jc w:val="both"/>
        <w:rPr>
          <w:rFonts w:asciiTheme="majorBidi" w:hAnsiTheme="majorBidi" w:cstheme="majorBidi"/>
          <w:b/>
          <w:bCs/>
        </w:rPr>
      </w:pPr>
    </w:p>
    <w:p w:rsidR="00AD0264" w:rsidRPr="00B9614C" w:rsidRDefault="00AD0264" w:rsidP="00473D55">
      <w:pPr>
        <w:spacing w:line="360" w:lineRule="auto"/>
        <w:jc w:val="both"/>
        <w:rPr>
          <w:rFonts w:asciiTheme="majorBidi" w:hAnsiTheme="majorBidi" w:cstheme="majorBidi"/>
          <w:b/>
          <w:bCs/>
        </w:rPr>
      </w:pPr>
      <w:r w:rsidRPr="00B9614C">
        <w:rPr>
          <w:rFonts w:asciiTheme="majorBidi" w:hAnsiTheme="majorBidi" w:cstheme="majorBidi"/>
          <w:b/>
          <w:bCs/>
        </w:rPr>
        <w:t>Authors</w:t>
      </w:r>
    </w:p>
    <w:p w:rsidR="00A621C2" w:rsidRDefault="00A621C2" w:rsidP="00A621C2">
      <w:pPr>
        <w:spacing w:line="360" w:lineRule="auto"/>
        <w:jc w:val="both"/>
        <w:rPr>
          <w:rFonts w:asciiTheme="majorBidi" w:hAnsiTheme="majorBidi" w:cstheme="majorBidi"/>
          <w:b/>
          <w:bCs/>
        </w:rPr>
      </w:pPr>
      <w:r w:rsidRPr="00B9614C">
        <w:rPr>
          <w:rFonts w:asciiTheme="majorBidi" w:hAnsiTheme="majorBidi" w:cstheme="majorBidi"/>
          <w:b/>
          <w:bCs/>
        </w:rPr>
        <w:t>Charlotte Salter 1</w:t>
      </w:r>
    </w:p>
    <w:p w:rsidR="00AD0264" w:rsidRPr="00B9614C" w:rsidRDefault="00AD0264" w:rsidP="00473D55">
      <w:pPr>
        <w:spacing w:line="360" w:lineRule="auto"/>
        <w:jc w:val="both"/>
        <w:rPr>
          <w:rFonts w:asciiTheme="majorBidi" w:hAnsiTheme="majorBidi" w:cstheme="majorBidi"/>
          <w:b/>
          <w:bCs/>
        </w:rPr>
      </w:pPr>
      <w:r w:rsidRPr="00B9614C">
        <w:rPr>
          <w:rFonts w:asciiTheme="majorBidi" w:hAnsiTheme="majorBidi" w:cstheme="majorBidi"/>
          <w:b/>
          <w:bCs/>
        </w:rPr>
        <w:t>Lisa McDaid 2</w:t>
      </w:r>
    </w:p>
    <w:p w:rsidR="00AD0264" w:rsidRPr="00B9614C" w:rsidRDefault="00AD0264" w:rsidP="00473D55">
      <w:pPr>
        <w:spacing w:line="360" w:lineRule="auto"/>
        <w:jc w:val="both"/>
        <w:rPr>
          <w:rFonts w:asciiTheme="majorBidi" w:hAnsiTheme="majorBidi" w:cstheme="majorBidi"/>
          <w:b/>
          <w:bCs/>
        </w:rPr>
      </w:pPr>
      <w:r w:rsidRPr="00B9614C">
        <w:rPr>
          <w:rFonts w:asciiTheme="majorBidi" w:hAnsiTheme="majorBidi" w:cstheme="majorBidi"/>
          <w:b/>
          <w:bCs/>
        </w:rPr>
        <w:t>Debi Bhattacharya 3</w:t>
      </w:r>
    </w:p>
    <w:p w:rsidR="00AD0264" w:rsidRPr="00B9614C" w:rsidRDefault="00AD0264" w:rsidP="00473D55">
      <w:pPr>
        <w:spacing w:line="360" w:lineRule="auto"/>
        <w:jc w:val="both"/>
        <w:rPr>
          <w:rFonts w:asciiTheme="majorBidi" w:hAnsiTheme="majorBidi" w:cstheme="majorBidi"/>
          <w:b/>
          <w:bCs/>
        </w:rPr>
      </w:pPr>
      <w:r w:rsidRPr="00B9614C">
        <w:rPr>
          <w:rFonts w:asciiTheme="majorBidi" w:hAnsiTheme="majorBidi" w:cstheme="majorBidi"/>
          <w:b/>
          <w:bCs/>
        </w:rPr>
        <w:t>Richard Holland 1</w:t>
      </w:r>
    </w:p>
    <w:p w:rsidR="00AD0264" w:rsidRPr="00B9614C" w:rsidRDefault="00AD0264" w:rsidP="00473D55">
      <w:pPr>
        <w:spacing w:line="360" w:lineRule="auto"/>
        <w:jc w:val="both"/>
        <w:rPr>
          <w:rFonts w:asciiTheme="majorBidi" w:hAnsiTheme="majorBidi" w:cstheme="majorBidi"/>
          <w:b/>
          <w:bCs/>
        </w:rPr>
      </w:pPr>
      <w:r w:rsidRPr="00B9614C">
        <w:rPr>
          <w:rFonts w:asciiTheme="majorBidi" w:hAnsiTheme="majorBidi" w:cstheme="majorBidi"/>
          <w:b/>
          <w:bCs/>
        </w:rPr>
        <w:t>Tarnya Marshall 4</w:t>
      </w:r>
    </w:p>
    <w:p w:rsidR="00A621C2" w:rsidRPr="00B9614C" w:rsidRDefault="00A621C2" w:rsidP="00A621C2">
      <w:pPr>
        <w:spacing w:line="360" w:lineRule="auto"/>
        <w:jc w:val="both"/>
        <w:rPr>
          <w:rFonts w:asciiTheme="majorBidi" w:hAnsiTheme="majorBidi" w:cstheme="majorBidi"/>
          <w:b/>
          <w:bCs/>
        </w:rPr>
      </w:pPr>
      <w:r w:rsidRPr="00B9614C">
        <w:rPr>
          <w:rFonts w:asciiTheme="majorBidi" w:hAnsiTheme="majorBidi" w:cstheme="majorBidi"/>
          <w:b/>
          <w:bCs/>
        </w:rPr>
        <w:t>Amanda Howe 1</w:t>
      </w:r>
    </w:p>
    <w:p w:rsidR="00A621C2" w:rsidRPr="00B9614C" w:rsidRDefault="00A621C2" w:rsidP="00473D55">
      <w:pPr>
        <w:spacing w:line="360" w:lineRule="auto"/>
        <w:jc w:val="both"/>
        <w:rPr>
          <w:rFonts w:asciiTheme="majorBidi" w:hAnsiTheme="majorBidi" w:cstheme="majorBidi"/>
          <w:b/>
          <w:bCs/>
        </w:rPr>
      </w:pPr>
    </w:p>
    <w:p w:rsidR="00AD0264" w:rsidRPr="00B9614C" w:rsidRDefault="00AD0264" w:rsidP="00473D55">
      <w:pPr>
        <w:spacing w:line="360" w:lineRule="auto"/>
        <w:jc w:val="both"/>
        <w:rPr>
          <w:rFonts w:asciiTheme="majorBidi" w:hAnsiTheme="majorBidi" w:cstheme="majorBidi"/>
          <w:b/>
          <w:bCs/>
        </w:rPr>
      </w:pPr>
    </w:p>
    <w:p w:rsidR="00AD0264" w:rsidRPr="00B9614C" w:rsidRDefault="00AD0264" w:rsidP="00473D55">
      <w:pPr>
        <w:spacing w:line="360" w:lineRule="auto"/>
        <w:jc w:val="both"/>
        <w:rPr>
          <w:rFonts w:asciiTheme="majorBidi" w:hAnsiTheme="majorBidi" w:cstheme="majorBidi"/>
          <w:b/>
          <w:bCs/>
        </w:rPr>
      </w:pPr>
      <w:r w:rsidRPr="00B9614C">
        <w:rPr>
          <w:rFonts w:asciiTheme="majorBidi" w:hAnsiTheme="majorBidi" w:cstheme="majorBidi"/>
          <w:b/>
          <w:bCs/>
        </w:rPr>
        <w:t>Affiliations</w:t>
      </w:r>
    </w:p>
    <w:p w:rsidR="00AD0264" w:rsidRPr="00B9614C" w:rsidRDefault="00AD0264" w:rsidP="00473D55">
      <w:pPr>
        <w:spacing w:line="360" w:lineRule="auto"/>
        <w:jc w:val="both"/>
        <w:rPr>
          <w:rFonts w:asciiTheme="majorBidi" w:hAnsiTheme="majorBidi" w:cstheme="majorBidi"/>
          <w:b/>
          <w:bCs/>
        </w:rPr>
      </w:pPr>
      <w:r w:rsidRPr="00B9614C">
        <w:rPr>
          <w:rFonts w:asciiTheme="majorBidi" w:hAnsiTheme="majorBidi" w:cstheme="majorBidi"/>
          <w:b/>
          <w:bCs/>
        </w:rPr>
        <w:t>1 Norwich Medical School, Faculty of Medicine &amp; Health Science. University of East Anglia. Norwich</w:t>
      </w:r>
    </w:p>
    <w:p w:rsidR="00AD0264" w:rsidRPr="00B9614C" w:rsidRDefault="00AD0264" w:rsidP="00473D55">
      <w:pPr>
        <w:spacing w:line="360" w:lineRule="auto"/>
        <w:jc w:val="both"/>
        <w:rPr>
          <w:rFonts w:asciiTheme="majorBidi" w:hAnsiTheme="majorBidi" w:cstheme="majorBidi"/>
          <w:b/>
          <w:bCs/>
        </w:rPr>
      </w:pPr>
      <w:r w:rsidRPr="00B9614C">
        <w:rPr>
          <w:rFonts w:asciiTheme="majorBidi" w:hAnsiTheme="majorBidi" w:cstheme="majorBidi"/>
          <w:b/>
          <w:bCs/>
        </w:rPr>
        <w:t>2 School of Rehabilitation Science, Faculty of Medicine &amp; Health Science. University of East Anglia. Norwich</w:t>
      </w:r>
    </w:p>
    <w:p w:rsidR="00AD0264" w:rsidRPr="00B9614C" w:rsidRDefault="00AD0264" w:rsidP="00473D55">
      <w:pPr>
        <w:spacing w:line="360" w:lineRule="auto"/>
        <w:jc w:val="both"/>
        <w:rPr>
          <w:rFonts w:asciiTheme="majorBidi" w:hAnsiTheme="majorBidi" w:cstheme="majorBidi"/>
          <w:b/>
          <w:bCs/>
        </w:rPr>
      </w:pPr>
      <w:r w:rsidRPr="00B9614C">
        <w:rPr>
          <w:rFonts w:asciiTheme="majorBidi" w:hAnsiTheme="majorBidi" w:cstheme="majorBidi"/>
          <w:b/>
          <w:bCs/>
        </w:rPr>
        <w:t>3 School of Chemistry and Pharmacy, University of East Anglia. Norwich</w:t>
      </w:r>
    </w:p>
    <w:p w:rsidR="00AD0264" w:rsidRPr="00B9614C" w:rsidRDefault="00AD0264" w:rsidP="00473D55">
      <w:pPr>
        <w:spacing w:line="360" w:lineRule="auto"/>
        <w:jc w:val="both"/>
        <w:rPr>
          <w:rFonts w:asciiTheme="majorBidi" w:hAnsiTheme="majorBidi" w:cstheme="majorBidi"/>
          <w:b/>
          <w:bCs/>
        </w:rPr>
      </w:pPr>
      <w:r w:rsidRPr="00B9614C">
        <w:rPr>
          <w:rFonts w:asciiTheme="majorBidi" w:hAnsiTheme="majorBidi" w:cstheme="majorBidi"/>
          <w:b/>
          <w:bCs/>
        </w:rPr>
        <w:t xml:space="preserve">4 Norfolk &amp; Norwich University Foundation Trust Hospital. Norwich </w:t>
      </w:r>
    </w:p>
    <w:p w:rsidR="00AD0264" w:rsidRPr="00B9614C" w:rsidRDefault="00AD0264" w:rsidP="00473D55">
      <w:pPr>
        <w:spacing w:line="360" w:lineRule="auto"/>
        <w:jc w:val="both"/>
        <w:rPr>
          <w:rFonts w:asciiTheme="majorBidi" w:hAnsiTheme="majorBidi" w:cstheme="majorBidi"/>
          <w:b/>
          <w:bCs/>
        </w:rPr>
      </w:pPr>
    </w:p>
    <w:p w:rsidR="00AD0264" w:rsidRPr="00B9614C" w:rsidRDefault="00AD0264" w:rsidP="00473D55">
      <w:pPr>
        <w:spacing w:line="360" w:lineRule="auto"/>
        <w:jc w:val="both"/>
        <w:rPr>
          <w:rFonts w:asciiTheme="majorBidi" w:hAnsiTheme="majorBidi" w:cstheme="majorBidi"/>
          <w:b/>
          <w:bCs/>
        </w:rPr>
      </w:pPr>
    </w:p>
    <w:p w:rsidR="00AD0264" w:rsidRPr="00B9614C" w:rsidRDefault="00AD0264" w:rsidP="00473D55">
      <w:pPr>
        <w:spacing w:line="360" w:lineRule="auto"/>
        <w:jc w:val="both"/>
        <w:rPr>
          <w:rFonts w:asciiTheme="majorBidi" w:hAnsiTheme="majorBidi" w:cstheme="majorBidi"/>
        </w:rPr>
      </w:pPr>
    </w:p>
    <w:p w:rsidR="003C5F8E" w:rsidRPr="00B9614C" w:rsidRDefault="003C5F8E" w:rsidP="00473D55">
      <w:pPr>
        <w:spacing w:line="360" w:lineRule="auto"/>
        <w:jc w:val="both"/>
        <w:rPr>
          <w:rFonts w:asciiTheme="majorBidi" w:hAnsiTheme="majorBidi" w:cstheme="majorBidi"/>
          <w:b/>
          <w:bCs/>
        </w:rPr>
      </w:pPr>
    </w:p>
    <w:p w:rsidR="00AD0264" w:rsidRPr="00B9614C" w:rsidRDefault="00AD0264" w:rsidP="00473D55">
      <w:pPr>
        <w:jc w:val="both"/>
        <w:rPr>
          <w:rFonts w:asciiTheme="majorBidi" w:hAnsiTheme="majorBidi" w:cstheme="majorBidi"/>
          <w:b/>
          <w:bCs/>
        </w:rPr>
      </w:pPr>
      <w:r w:rsidRPr="00B9614C">
        <w:rPr>
          <w:rFonts w:asciiTheme="majorBidi" w:hAnsiTheme="majorBidi" w:cstheme="majorBidi"/>
          <w:b/>
          <w:bCs/>
        </w:rPr>
        <w:br w:type="page"/>
      </w:r>
    </w:p>
    <w:p w:rsidR="00FA25DB" w:rsidRPr="00FA25DB" w:rsidRDefault="00FA25DB" w:rsidP="00FA25DB">
      <w:pPr>
        <w:spacing w:line="360" w:lineRule="auto"/>
        <w:jc w:val="both"/>
        <w:rPr>
          <w:rFonts w:asciiTheme="majorBidi" w:hAnsiTheme="majorBidi" w:cstheme="majorBidi"/>
          <w:b/>
          <w:bCs/>
        </w:rPr>
      </w:pPr>
      <w:r w:rsidRPr="00FA25DB">
        <w:rPr>
          <w:rFonts w:asciiTheme="majorBidi" w:hAnsiTheme="majorBidi" w:cstheme="majorBidi"/>
          <w:b/>
          <w:bCs/>
        </w:rPr>
        <w:lastRenderedPageBreak/>
        <w:t>Abstract</w:t>
      </w:r>
    </w:p>
    <w:p w:rsidR="00FA25DB" w:rsidRPr="00FA25DB" w:rsidRDefault="00FA25DB" w:rsidP="00FA25DB">
      <w:pPr>
        <w:spacing w:line="360" w:lineRule="auto"/>
        <w:jc w:val="both"/>
        <w:rPr>
          <w:rFonts w:asciiTheme="majorBidi" w:hAnsiTheme="majorBidi" w:cstheme="majorBidi"/>
          <w:b/>
          <w:bCs/>
        </w:rPr>
      </w:pPr>
      <w:r w:rsidRPr="00FA25DB">
        <w:rPr>
          <w:rFonts w:asciiTheme="majorBidi" w:hAnsiTheme="majorBidi" w:cstheme="majorBidi"/>
          <w:b/>
          <w:bCs/>
        </w:rPr>
        <w:t>Background</w:t>
      </w:r>
    </w:p>
    <w:p w:rsidR="00FA25DB" w:rsidRPr="00FA25DB" w:rsidRDefault="00FA25DB" w:rsidP="00FA25DB">
      <w:pPr>
        <w:spacing w:line="360" w:lineRule="auto"/>
        <w:jc w:val="both"/>
        <w:rPr>
          <w:rFonts w:asciiTheme="majorBidi" w:hAnsiTheme="majorBidi" w:cstheme="majorBidi"/>
        </w:rPr>
      </w:pPr>
      <w:r w:rsidRPr="00FA25DB">
        <w:rPr>
          <w:rFonts w:asciiTheme="majorBidi" w:hAnsiTheme="majorBidi" w:cstheme="majorBidi"/>
        </w:rPr>
        <w:t xml:space="preserve">There is significant morbidity and mortality caused by the complications of osteoporosis, for which ageing is the greatest epidemiological risk factor. Preventive medications to delay osteoporosis are available, but little is known about motivators to adhere to these in the context of a symptomless condition with evidence based on screening results.  </w:t>
      </w:r>
    </w:p>
    <w:p w:rsidR="00FA25DB" w:rsidRPr="00FA25DB" w:rsidRDefault="00FA25DB" w:rsidP="00FA25DB">
      <w:pPr>
        <w:spacing w:line="360" w:lineRule="auto"/>
        <w:jc w:val="both"/>
        <w:rPr>
          <w:rFonts w:asciiTheme="majorBidi" w:hAnsiTheme="majorBidi" w:cstheme="majorBidi"/>
        </w:rPr>
      </w:pPr>
    </w:p>
    <w:p w:rsidR="00FA25DB" w:rsidRPr="00FA25DB" w:rsidRDefault="00FA25DB" w:rsidP="00FA25DB">
      <w:pPr>
        <w:spacing w:line="360" w:lineRule="auto"/>
        <w:jc w:val="both"/>
        <w:rPr>
          <w:rFonts w:asciiTheme="majorBidi" w:hAnsiTheme="majorBidi" w:cstheme="majorBidi"/>
          <w:b/>
          <w:bCs/>
        </w:rPr>
      </w:pPr>
      <w:r w:rsidRPr="00FA25DB">
        <w:rPr>
          <w:rFonts w:asciiTheme="majorBidi" w:hAnsiTheme="majorBidi" w:cstheme="majorBidi"/>
          <w:b/>
          <w:bCs/>
        </w:rPr>
        <w:t>Aim</w:t>
      </w:r>
    </w:p>
    <w:p w:rsidR="00FA25DB" w:rsidRPr="00FA25DB" w:rsidRDefault="00FA25DB" w:rsidP="00FA25DB">
      <w:pPr>
        <w:spacing w:line="360" w:lineRule="auto"/>
        <w:jc w:val="both"/>
        <w:rPr>
          <w:rFonts w:asciiTheme="majorBidi" w:hAnsiTheme="majorBidi" w:cstheme="majorBidi"/>
        </w:rPr>
      </w:pPr>
      <w:r w:rsidRPr="00FA25DB">
        <w:rPr>
          <w:rFonts w:asciiTheme="majorBidi" w:hAnsiTheme="majorBidi" w:cstheme="majorBidi"/>
        </w:rPr>
        <w:t>To describe key perceptions that influence older women’s adherence and persistence with prescribed medication when identified to be at a higher than average risk of fracture.</w:t>
      </w:r>
    </w:p>
    <w:p w:rsidR="00FA25DB" w:rsidRPr="00FA25DB" w:rsidRDefault="00FA25DB" w:rsidP="00FA25DB">
      <w:pPr>
        <w:spacing w:line="360" w:lineRule="auto"/>
        <w:jc w:val="both"/>
        <w:rPr>
          <w:rFonts w:asciiTheme="majorBidi" w:hAnsiTheme="majorBidi" w:cstheme="majorBidi"/>
          <w:b/>
          <w:bCs/>
        </w:rPr>
      </w:pPr>
    </w:p>
    <w:p w:rsidR="00FA25DB" w:rsidRPr="00FA25DB" w:rsidRDefault="00FA25DB" w:rsidP="00FA25DB">
      <w:pPr>
        <w:spacing w:line="360" w:lineRule="auto"/>
        <w:jc w:val="both"/>
        <w:rPr>
          <w:rFonts w:asciiTheme="majorBidi" w:hAnsiTheme="majorBidi" w:cstheme="majorBidi"/>
          <w:b/>
          <w:bCs/>
        </w:rPr>
      </w:pPr>
      <w:r w:rsidRPr="00FA25DB">
        <w:rPr>
          <w:rFonts w:asciiTheme="majorBidi" w:hAnsiTheme="majorBidi" w:cstheme="majorBidi"/>
          <w:b/>
          <w:bCs/>
        </w:rPr>
        <w:t>Design of study</w:t>
      </w:r>
    </w:p>
    <w:p w:rsidR="00FA25DB" w:rsidRPr="00FA25DB" w:rsidRDefault="00FA25DB" w:rsidP="00FA25DB">
      <w:pPr>
        <w:spacing w:line="360" w:lineRule="auto"/>
        <w:jc w:val="both"/>
        <w:rPr>
          <w:rFonts w:asciiTheme="majorBidi" w:hAnsiTheme="majorBidi" w:cstheme="majorBidi"/>
        </w:rPr>
      </w:pPr>
      <w:r w:rsidRPr="00FA25DB">
        <w:rPr>
          <w:rFonts w:asciiTheme="majorBidi" w:hAnsiTheme="majorBidi" w:cstheme="majorBidi"/>
        </w:rPr>
        <w:t xml:space="preserve">A longitudinal qualitative study embedded within a multi-centre trial exploring the effectiveness of screening for prevention of fractures.  </w:t>
      </w:r>
    </w:p>
    <w:p w:rsidR="00FA25DB" w:rsidRPr="00FA25DB" w:rsidRDefault="00FA25DB" w:rsidP="00FA25DB">
      <w:pPr>
        <w:spacing w:line="360" w:lineRule="auto"/>
        <w:jc w:val="both"/>
        <w:rPr>
          <w:rFonts w:asciiTheme="majorBidi" w:hAnsiTheme="majorBidi" w:cstheme="majorBidi"/>
        </w:rPr>
      </w:pPr>
    </w:p>
    <w:p w:rsidR="00FA25DB" w:rsidRPr="00FA25DB" w:rsidRDefault="00FA25DB" w:rsidP="00FA25DB">
      <w:pPr>
        <w:spacing w:line="360" w:lineRule="auto"/>
        <w:jc w:val="both"/>
        <w:rPr>
          <w:rFonts w:asciiTheme="majorBidi" w:hAnsiTheme="majorBidi" w:cstheme="majorBidi"/>
          <w:b/>
          <w:bCs/>
        </w:rPr>
      </w:pPr>
      <w:r w:rsidRPr="00FA25DB">
        <w:rPr>
          <w:rFonts w:asciiTheme="majorBidi" w:hAnsiTheme="majorBidi" w:cstheme="majorBidi"/>
          <w:b/>
          <w:bCs/>
        </w:rPr>
        <w:t>Setting</w:t>
      </w:r>
      <w:r w:rsidRPr="00FA25DB">
        <w:rPr>
          <w:rFonts w:asciiTheme="majorBidi" w:hAnsiTheme="majorBidi" w:cstheme="majorBidi"/>
        </w:rPr>
        <w:t xml:space="preserve"> </w:t>
      </w:r>
    </w:p>
    <w:p w:rsidR="00FA25DB" w:rsidRPr="00FA25DB" w:rsidRDefault="00FA25DB" w:rsidP="00FA25DB">
      <w:pPr>
        <w:spacing w:line="360" w:lineRule="auto"/>
        <w:jc w:val="both"/>
        <w:rPr>
          <w:rFonts w:asciiTheme="majorBidi" w:hAnsiTheme="majorBidi" w:cstheme="majorBidi"/>
        </w:rPr>
      </w:pPr>
      <w:r w:rsidRPr="00FA25DB">
        <w:rPr>
          <w:rFonts w:asciiTheme="majorBidi" w:hAnsiTheme="majorBidi" w:cstheme="majorBidi"/>
        </w:rPr>
        <w:t>Primary care, Norfolk. United Kingdom</w:t>
      </w:r>
    </w:p>
    <w:p w:rsidR="00FA25DB" w:rsidRPr="00FA25DB" w:rsidRDefault="00FA25DB" w:rsidP="00FA25DB">
      <w:pPr>
        <w:spacing w:line="360" w:lineRule="auto"/>
        <w:jc w:val="both"/>
        <w:rPr>
          <w:rFonts w:asciiTheme="majorBidi" w:hAnsiTheme="majorBidi" w:cstheme="majorBidi"/>
        </w:rPr>
      </w:pPr>
    </w:p>
    <w:p w:rsidR="00FA25DB" w:rsidRPr="00FA25DB" w:rsidRDefault="00FA25DB" w:rsidP="00FA25DB">
      <w:pPr>
        <w:spacing w:line="360" w:lineRule="auto"/>
        <w:jc w:val="both"/>
        <w:rPr>
          <w:rFonts w:asciiTheme="majorBidi" w:hAnsiTheme="majorBidi" w:cstheme="majorBidi"/>
          <w:b/>
          <w:bCs/>
        </w:rPr>
      </w:pPr>
      <w:r w:rsidRPr="00FA25DB">
        <w:rPr>
          <w:rFonts w:asciiTheme="majorBidi" w:hAnsiTheme="majorBidi" w:cstheme="majorBidi"/>
          <w:b/>
          <w:bCs/>
        </w:rPr>
        <w:t>Method</w:t>
      </w:r>
    </w:p>
    <w:p w:rsidR="00FA25DB" w:rsidRPr="00FA25DB" w:rsidRDefault="00FA25DB" w:rsidP="00FA25DB">
      <w:pPr>
        <w:spacing w:line="360" w:lineRule="auto"/>
        <w:jc w:val="both"/>
        <w:rPr>
          <w:rFonts w:asciiTheme="majorBidi" w:hAnsiTheme="majorBidi" w:cstheme="majorBidi"/>
        </w:rPr>
      </w:pPr>
      <w:r w:rsidRPr="00FA25DB">
        <w:rPr>
          <w:rFonts w:asciiTheme="majorBidi" w:hAnsiTheme="majorBidi" w:cstheme="majorBidi"/>
        </w:rPr>
        <w:t>Thirty older women aged 70-85 years of age who were offered preventive medication for osteoporosis and agreed to undertake two interviews at 6 and 24 months post-first prescription.</w:t>
      </w:r>
    </w:p>
    <w:p w:rsidR="00FA25DB" w:rsidRPr="00FA25DB" w:rsidRDefault="00FA25DB" w:rsidP="00FA25DB">
      <w:pPr>
        <w:spacing w:line="360" w:lineRule="auto"/>
        <w:jc w:val="both"/>
        <w:rPr>
          <w:rFonts w:asciiTheme="majorBidi" w:hAnsiTheme="majorBidi" w:cstheme="majorBidi"/>
          <w:b/>
          <w:bCs/>
        </w:rPr>
      </w:pPr>
    </w:p>
    <w:p w:rsidR="00FA25DB" w:rsidRPr="00FA25DB" w:rsidRDefault="00FA25DB" w:rsidP="00FA25DB">
      <w:pPr>
        <w:spacing w:line="360" w:lineRule="auto"/>
        <w:jc w:val="both"/>
        <w:rPr>
          <w:rFonts w:asciiTheme="majorBidi" w:hAnsiTheme="majorBidi" w:cstheme="majorBidi"/>
        </w:rPr>
      </w:pPr>
      <w:r w:rsidRPr="00FA25DB">
        <w:rPr>
          <w:rFonts w:asciiTheme="majorBidi" w:hAnsiTheme="majorBidi" w:cstheme="majorBidi"/>
          <w:b/>
          <w:bCs/>
        </w:rPr>
        <w:t>Results</w:t>
      </w:r>
      <w:r w:rsidRPr="00FA25DB">
        <w:rPr>
          <w:rFonts w:asciiTheme="majorBidi" w:hAnsiTheme="majorBidi" w:cstheme="majorBidi"/>
          <w:bCs/>
        </w:rPr>
        <w:t xml:space="preserve"> </w:t>
      </w:r>
    </w:p>
    <w:p w:rsidR="00FA25DB" w:rsidRPr="00FA25DB" w:rsidRDefault="00FA25DB" w:rsidP="00FA25DB">
      <w:pPr>
        <w:spacing w:line="360" w:lineRule="auto"/>
        <w:rPr>
          <w:rFonts w:asciiTheme="majorBidi" w:hAnsiTheme="majorBidi" w:cstheme="majorBidi"/>
        </w:rPr>
      </w:pPr>
      <w:r w:rsidRPr="00FA25DB">
        <w:rPr>
          <w:rFonts w:asciiTheme="majorBidi" w:hAnsiTheme="majorBidi" w:cstheme="majorBidi"/>
          <w:noProof/>
        </w:rPr>
        <w:t>There were no overall predictors of adherence which</w:t>
      </w:r>
      <w:r w:rsidRPr="00FA25DB">
        <w:rPr>
          <w:rFonts w:asciiTheme="majorBidi" w:hAnsiTheme="majorBidi" w:cstheme="majorBidi"/>
        </w:rPr>
        <w:t xml:space="preserve"> varied markedly over time. Participants’ perceptions and motivations to persist with medication were influenced by six core themes: understanding adherence and non-adherence, motivations and self-care, appraising and prioritising risk, anticipating and managing side effects, problems of understanding, and decision making around medication. Those engaged with supportive professionals could better tolerate and overcome barriers such as side-effects.</w:t>
      </w:r>
    </w:p>
    <w:p w:rsidR="00FA25DB" w:rsidRPr="00FA25DB" w:rsidRDefault="00FA25DB" w:rsidP="00FA25DB">
      <w:pPr>
        <w:spacing w:line="360" w:lineRule="auto"/>
        <w:jc w:val="both"/>
        <w:rPr>
          <w:rFonts w:asciiTheme="majorBidi" w:hAnsiTheme="majorBidi" w:cstheme="majorBidi"/>
        </w:rPr>
      </w:pPr>
    </w:p>
    <w:p w:rsidR="00FA25DB" w:rsidRPr="00FA25DB" w:rsidRDefault="00FA25DB" w:rsidP="00FA25DB">
      <w:pPr>
        <w:spacing w:line="360" w:lineRule="auto"/>
        <w:jc w:val="both"/>
        <w:rPr>
          <w:rFonts w:asciiTheme="majorBidi" w:hAnsiTheme="majorBidi" w:cstheme="majorBidi"/>
          <w:b/>
          <w:bCs/>
        </w:rPr>
      </w:pPr>
    </w:p>
    <w:p w:rsidR="00FA25DB" w:rsidRPr="00FA25DB" w:rsidRDefault="00FA25DB" w:rsidP="00FA25DB">
      <w:pPr>
        <w:spacing w:line="360" w:lineRule="auto"/>
        <w:jc w:val="both"/>
        <w:rPr>
          <w:rFonts w:asciiTheme="majorBidi" w:hAnsiTheme="majorBidi" w:cstheme="majorBidi"/>
          <w:b/>
          <w:bCs/>
        </w:rPr>
      </w:pPr>
      <w:r w:rsidRPr="00FA25DB">
        <w:rPr>
          <w:rFonts w:asciiTheme="majorBidi" w:hAnsiTheme="majorBidi" w:cstheme="majorBidi"/>
          <w:b/>
          <w:bCs/>
        </w:rPr>
        <w:t xml:space="preserve">Conclusions </w:t>
      </w:r>
    </w:p>
    <w:p w:rsidR="00FA25DB" w:rsidRPr="00FA25DB" w:rsidRDefault="00FA25DB" w:rsidP="00FA25DB">
      <w:pPr>
        <w:spacing w:line="360" w:lineRule="auto"/>
        <w:rPr>
          <w:rFonts w:asciiTheme="majorBidi" w:hAnsiTheme="majorBidi" w:cstheme="majorBidi"/>
          <w:bCs/>
        </w:rPr>
      </w:pPr>
      <w:r w:rsidRPr="00FA25DB">
        <w:rPr>
          <w:rFonts w:asciiTheme="majorBidi" w:hAnsiTheme="majorBidi" w:cstheme="majorBidi"/>
          <w:bCs/>
        </w:rPr>
        <w:t xml:space="preserve">Many issues are raised following screening in a cohort of women who have not previously sought advice about their bone health. Adherence to preventive medication for osteoporosis is complex and multifaceted. Individual participant </w:t>
      </w:r>
      <w:r w:rsidRPr="00FA25DB">
        <w:rPr>
          <w:rFonts w:asciiTheme="majorBidi" w:hAnsiTheme="majorBidi" w:cstheme="majorBidi"/>
        </w:rPr>
        <w:t xml:space="preserve">understanding, choice, risk and perceived need all interact to produce unpredictable patterns of usage and acceptability.  </w:t>
      </w:r>
      <w:r w:rsidRPr="00FA25DB">
        <w:rPr>
          <w:rFonts w:asciiTheme="majorBidi" w:hAnsiTheme="majorBidi" w:cstheme="majorBidi"/>
          <w:bCs/>
        </w:rPr>
        <w:t>There are clear implications for practice and</w:t>
      </w:r>
      <w:r w:rsidRPr="00FA25DB">
        <w:rPr>
          <w:rFonts w:asciiTheme="majorBidi" w:hAnsiTheme="majorBidi" w:cstheme="majorBidi"/>
          <w:iCs/>
        </w:rPr>
        <w:t xml:space="preserve"> health professionals should not assume adherence in any older women prescribed medication for the prevention of osteoporosis.  </w:t>
      </w:r>
      <w:r w:rsidRPr="00FA25DB">
        <w:rPr>
          <w:rFonts w:asciiTheme="majorBidi" w:hAnsiTheme="majorBidi" w:cstheme="majorBidi"/>
          <w:bCs/>
        </w:rPr>
        <w:t xml:space="preserve">The </w:t>
      </w:r>
      <w:r w:rsidRPr="00FA25DB">
        <w:rPr>
          <w:rFonts w:asciiTheme="majorBidi" w:hAnsiTheme="majorBidi" w:cstheme="majorBidi"/>
          <w:noProof/>
        </w:rPr>
        <w:t xml:space="preserve">beliefs and motivations of </w:t>
      </w:r>
      <w:bookmarkStart w:id="0" w:name="_GoBack"/>
      <w:bookmarkEnd w:id="0"/>
      <w:r w:rsidRPr="00FA25DB">
        <w:rPr>
          <w:rFonts w:asciiTheme="majorBidi" w:hAnsiTheme="majorBidi" w:cstheme="majorBidi"/>
          <w:noProof/>
        </w:rPr>
        <w:t>participants and their healthcare providers regarding the need to establish acceptable medication regimes is key to promoting and sustaining adherence</w:t>
      </w:r>
      <w:r w:rsidRPr="00FA25DB">
        <w:rPr>
          <w:rFonts w:asciiTheme="majorBidi" w:hAnsiTheme="majorBidi" w:cstheme="majorBidi"/>
          <w:bCs/>
        </w:rPr>
        <w:t xml:space="preserve">.  </w:t>
      </w:r>
    </w:p>
    <w:p w:rsidR="00FF695C" w:rsidRPr="00B9614C" w:rsidRDefault="00FF695C" w:rsidP="00627673">
      <w:pPr>
        <w:spacing w:line="360" w:lineRule="auto"/>
        <w:jc w:val="both"/>
        <w:rPr>
          <w:rFonts w:asciiTheme="majorBidi" w:hAnsiTheme="majorBidi" w:cstheme="majorBidi"/>
        </w:rPr>
      </w:pPr>
    </w:p>
    <w:p w:rsidR="00FF695C" w:rsidRPr="00B9614C" w:rsidRDefault="00FF695C" w:rsidP="00473D55">
      <w:pPr>
        <w:jc w:val="both"/>
      </w:pPr>
    </w:p>
    <w:p w:rsidR="00AD0264" w:rsidRPr="00B9614C" w:rsidRDefault="00AD0264" w:rsidP="00473D55">
      <w:pPr>
        <w:spacing w:line="360" w:lineRule="auto"/>
        <w:jc w:val="both"/>
        <w:rPr>
          <w:rFonts w:asciiTheme="majorBidi" w:hAnsiTheme="majorBidi" w:cstheme="majorBidi"/>
          <w:b/>
          <w:bCs/>
        </w:rPr>
      </w:pPr>
      <w:r w:rsidRPr="00B9614C">
        <w:rPr>
          <w:rFonts w:asciiTheme="majorBidi" w:hAnsiTheme="majorBidi" w:cstheme="majorBidi"/>
          <w:b/>
          <w:bCs/>
        </w:rPr>
        <w:br/>
      </w:r>
    </w:p>
    <w:p w:rsidR="00AD0264" w:rsidRPr="00B9614C" w:rsidRDefault="00AD0264" w:rsidP="00473D55">
      <w:pPr>
        <w:jc w:val="both"/>
        <w:rPr>
          <w:rFonts w:asciiTheme="majorBidi" w:hAnsiTheme="majorBidi" w:cstheme="majorBidi"/>
          <w:b/>
          <w:bCs/>
        </w:rPr>
      </w:pPr>
      <w:r w:rsidRPr="00B9614C">
        <w:rPr>
          <w:rFonts w:asciiTheme="majorBidi" w:hAnsiTheme="majorBidi" w:cstheme="majorBidi"/>
          <w:b/>
          <w:bCs/>
        </w:rPr>
        <w:br w:type="page"/>
      </w:r>
    </w:p>
    <w:p w:rsidR="00637976" w:rsidRPr="00B9614C" w:rsidRDefault="00637976" w:rsidP="00473D55">
      <w:pPr>
        <w:spacing w:line="360" w:lineRule="auto"/>
        <w:jc w:val="both"/>
        <w:rPr>
          <w:rFonts w:asciiTheme="majorBidi" w:hAnsiTheme="majorBidi" w:cstheme="majorBidi"/>
          <w:b/>
          <w:bCs/>
        </w:rPr>
      </w:pPr>
      <w:r w:rsidRPr="00B9614C">
        <w:rPr>
          <w:rFonts w:asciiTheme="majorBidi" w:hAnsiTheme="majorBidi" w:cstheme="majorBidi"/>
          <w:b/>
          <w:bCs/>
        </w:rPr>
        <w:lastRenderedPageBreak/>
        <w:t>Introduction</w:t>
      </w:r>
    </w:p>
    <w:p w:rsidR="00637976" w:rsidRPr="00B9614C" w:rsidRDefault="00637976" w:rsidP="00473D55">
      <w:pPr>
        <w:spacing w:line="360" w:lineRule="auto"/>
        <w:jc w:val="both"/>
        <w:rPr>
          <w:rFonts w:asciiTheme="majorBidi" w:hAnsiTheme="majorBidi" w:cstheme="majorBidi"/>
        </w:rPr>
      </w:pPr>
    </w:p>
    <w:p w:rsidR="00CE09C1" w:rsidRPr="00B9614C" w:rsidRDefault="00697CC0" w:rsidP="00A6020C">
      <w:pPr>
        <w:spacing w:line="360" w:lineRule="auto"/>
        <w:jc w:val="both"/>
        <w:rPr>
          <w:rFonts w:asciiTheme="majorBidi" w:hAnsiTheme="majorBidi" w:cstheme="majorBidi"/>
        </w:rPr>
      </w:pPr>
      <w:r w:rsidRPr="00B9614C">
        <w:rPr>
          <w:rFonts w:asciiTheme="majorBidi" w:hAnsiTheme="majorBidi" w:cstheme="majorBidi"/>
        </w:rPr>
        <w:t>There is significant morbidity and mortality caused by the complications of osteoporosis</w:t>
      </w:r>
      <w:r w:rsidR="00CE09C1" w:rsidRPr="00B9614C">
        <w:rPr>
          <w:rFonts w:asciiTheme="majorBidi" w:hAnsiTheme="majorBidi" w:cstheme="majorBidi"/>
        </w:rPr>
        <w:t>,</w:t>
      </w:r>
      <w:r w:rsidRPr="00B9614C">
        <w:rPr>
          <w:rFonts w:asciiTheme="majorBidi" w:hAnsiTheme="majorBidi" w:cstheme="majorBidi"/>
        </w:rPr>
        <w:t xml:space="preserve"> for which ageing is the greatest epidemiological </w:t>
      </w:r>
      <w:r w:rsidR="00473D55" w:rsidRPr="00B9614C">
        <w:rPr>
          <w:rFonts w:asciiTheme="majorBidi" w:hAnsiTheme="majorBidi" w:cstheme="majorBidi"/>
        </w:rPr>
        <w:t xml:space="preserve">risk factor. </w:t>
      </w:r>
      <w:r w:rsidRPr="00B9614C">
        <w:rPr>
          <w:rFonts w:asciiTheme="majorBidi" w:hAnsiTheme="majorBidi" w:cstheme="majorBidi"/>
        </w:rPr>
        <w:t xml:space="preserve">While other risks such as immobility, persistent low body weight, early menopause and </w:t>
      </w:r>
      <w:r w:rsidR="00920552" w:rsidRPr="00B9614C">
        <w:rPr>
          <w:rFonts w:asciiTheme="majorBidi" w:hAnsiTheme="majorBidi" w:cstheme="majorBidi"/>
        </w:rPr>
        <w:t>cortico</w:t>
      </w:r>
      <w:r w:rsidRPr="00B9614C">
        <w:rPr>
          <w:rFonts w:asciiTheme="majorBidi" w:hAnsiTheme="majorBidi" w:cstheme="majorBidi"/>
        </w:rPr>
        <w:t>steroid use may lead to early onset of osteoporosis, around 40% of women aged 70 will have osteoporosis, and as many as 90% will have a significantly increased risk of fracturing a bone in a fall or accident</w:t>
      </w:r>
      <w:r w:rsidR="007F273F" w:rsidRPr="00B9614C">
        <w:rPr>
          <w:rFonts w:asciiTheme="majorBidi" w:hAnsiTheme="majorBidi" w:cstheme="majorBidi"/>
        </w:rPr>
        <w:t xml:space="preserve"> </w:t>
      </w:r>
      <w:r w:rsidR="00686834" w:rsidRPr="00B9614C">
        <w:rPr>
          <w:rFonts w:asciiTheme="majorBidi" w:hAnsiTheme="majorBidi" w:cstheme="majorBidi"/>
        </w:rPr>
        <w:fldChar w:fldCharType="begin"/>
      </w:r>
      <w:r w:rsidR="007349A4">
        <w:rPr>
          <w:rFonts w:asciiTheme="majorBidi" w:hAnsiTheme="majorBidi" w:cstheme="majorBidi"/>
        </w:rPr>
        <w:instrText xml:space="preserve"> ADDIN EN.CITE &lt;EndNote&gt;&lt;Cite&gt;&lt;Author&gt;Kanis&lt;/Author&gt;&lt;Year&gt;2002&lt;/Year&gt;&lt;RecNum&gt;1&lt;/RecNum&gt;&lt;DisplayText&gt;[1]&lt;/DisplayText&gt;&lt;record&gt;&lt;rec-number&gt;1&lt;/rec-number&gt;&lt;foreign-keys&gt;&lt;key app="EN" db-id="frw0wf09qsav0qer2zlx2v2ff9srazx5x2ae"&gt;1&lt;/key&gt;&lt;/foreign-keys&gt;&lt;ref-type name="Journal Article"&gt;17&lt;/ref-type&gt;&lt;contributors&gt;&lt;authors&gt;&lt;author&gt;Kanis, John A.&lt;/author&gt;&lt;/authors&gt;&lt;/contributors&gt;&lt;titles&gt;&lt;title&gt;Diagnosis of osteoporosis and assessment of fracture risk.&lt;/title&gt;&lt;secondary-title&gt;Lancet&lt;/secondary-title&gt;&lt;/titles&gt;&lt;periodical&gt;&lt;full-title&gt;Lancet&lt;/full-title&gt;&lt;/periodical&gt;&lt;pages&gt;1929-36&lt;/pages&gt;&lt;volume&gt;359&lt;/volume&gt;&lt;number&gt;9321&lt;/number&gt;&lt;dates&gt;&lt;year&gt;2002&lt;/year&gt;&lt;/dates&gt;&lt;urls&gt;&lt;/urls&gt;&lt;electronic-resource-num&gt;doi:10.1016/S0140-6736(02)08761-5&lt;/electronic-resource-num&gt;&lt;/record&gt;&lt;/Cite&gt;&lt;/EndNote&gt;</w:instrText>
      </w:r>
      <w:r w:rsidR="00686834" w:rsidRPr="00B9614C">
        <w:rPr>
          <w:rFonts w:asciiTheme="majorBidi" w:hAnsiTheme="majorBidi" w:cstheme="majorBidi"/>
        </w:rPr>
        <w:fldChar w:fldCharType="separate"/>
      </w:r>
      <w:r w:rsidR="007F273F" w:rsidRPr="00B9614C">
        <w:rPr>
          <w:rFonts w:asciiTheme="majorBidi" w:hAnsiTheme="majorBidi" w:cstheme="majorBidi"/>
          <w:noProof/>
        </w:rPr>
        <w:t>[</w:t>
      </w:r>
      <w:hyperlink w:anchor="_ENREF_1" w:tooltip="Kanis, 2002 #1" w:history="1">
        <w:r w:rsidR="00A6020C" w:rsidRPr="00B9614C">
          <w:rPr>
            <w:rFonts w:asciiTheme="majorBidi" w:hAnsiTheme="majorBidi" w:cstheme="majorBidi"/>
            <w:noProof/>
          </w:rPr>
          <w:t>1</w:t>
        </w:r>
      </w:hyperlink>
      <w:r w:rsidR="007F273F" w:rsidRPr="00B9614C">
        <w:rPr>
          <w:rFonts w:asciiTheme="majorBidi" w:hAnsiTheme="majorBidi" w:cstheme="majorBidi"/>
          <w:noProof/>
        </w:rPr>
        <w:t>]</w:t>
      </w:r>
      <w:r w:rsidR="00686834" w:rsidRPr="00B9614C">
        <w:rPr>
          <w:rFonts w:asciiTheme="majorBidi" w:hAnsiTheme="majorBidi" w:cstheme="majorBidi"/>
        </w:rPr>
        <w:fldChar w:fldCharType="end"/>
      </w:r>
      <w:r w:rsidR="007F273F" w:rsidRPr="00B9614C">
        <w:rPr>
          <w:rFonts w:asciiTheme="majorBidi" w:hAnsiTheme="majorBidi" w:cstheme="majorBidi"/>
        </w:rPr>
        <w:t xml:space="preserve">, </w:t>
      </w:r>
      <w:r w:rsidR="00686834" w:rsidRPr="00B9614C">
        <w:rPr>
          <w:rFonts w:asciiTheme="majorBidi" w:hAnsiTheme="majorBidi" w:cstheme="majorBidi"/>
        </w:rPr>
        <w:fldChar w:fldCharType="begin"/>
      </w:r>
      <w:r w:rsidR="007349A4">
        <w:rPr>
          <w:rFonts w:asciiTheme="majorBidi" w:hAnsiTheme="majorBidi" w:cstheme="majorBidi"/>
        </w:rPr>
        <w:instrText xml:space="preserve"> ADDIN EN.CITE &lt;EndNote&gt;&lt;Cite&gt;&lt;Author&gt;WHO&lt;/Author&gt;&lt;Year&gt;2003&lt;/Year&gt;&lt;RecNum&gt;2&lt;/RecNum&gt;&lt;DisplayText&gt;[2]&lt;/DisplayText&gt;&lt;record&gt;&lt;rec-number&gt;2&lt;/rec-number&gt;&lt;foreign-keys&gt;&lt;key app="EN" db-id="frw0wf09qsav0qer2zlx2v2ff9srazx5x2ae"&gt;2&lt;/key&gt;&lt;/foreign-keys&gt;&lt;ref-type name="Report"&gt;27&lt;/ref-type&gt;&lt;contributors&gt;&lt;authors&gt;&lt;author&gt;WHO&lt;/author&gt;&lt;/authors&gt;&lt;/contributors&gt;&lt;titles&gt;&lt;title&gt;Prevention and Management of osteoporosis&lt;/title&gt;&lt;secondary-title&gt;Report of a WHO Scientific Group&lt;/secondary-title&gt;&lt;/titles&gt;&lt;volume&gt;921&lt;/volume&gt;&lt;num-vols&gt;Technical Report Series&lt;/num-vols&gt;&lt;dates&gt;&lt;year&gt;2003&lt;/year&gt;&lt;/dates&gt;&lt;pub-location&gt;Geneva&lt;/pub-location&gt;&lt;publisher&gt;WHO&lt;/publisher&gt;&lt;urls&gt;&lt;/urls&gt;&lt;/record&gt;&lt;/Cite&gt;&lt;/EndNote&gt;</w:instrText>
      </w:r>
      <w:r w:rsidR="00686834" w:rsidRPr="00B9614C">
        <w:rPr>
          <w:rFonts w:asciiTheme="majorBidi" w:hAnsiTheme="majorBidi" w:cstheme="majorBidi"/>
        </w:rPr>
        <w:fldChar w:fldCharType="separate"/>
      </w:r>
      <w:r w:rsidR="007F273F" w:rsidRPr="00B9614C">
        <w:rPr>
          <w:rFonts w:asciiTheme="majorBidi" w:hAnsiTheme="majorBidi" w:cstheme="majorBidi"/>
          <w:noProof/>
        </w:rPr>
        <w:t>[</w:t>
      </w:r>
      <w:hyperlink w:anchor="_ENREF_2" w:tooltip="WHO, 2003 #2" w:history="1">
        <w:r w:rsidR="00A6020C" w:rsidRPr="00B9614C">
          <w:rPr>
            <w:rFonts w:asciiTheme="majorBidi" w:hAnsiTheme="majorBidi" w:cstheme="majorBidi"/>
            <w:noProof/>
          </w:rPr>
          <w:t>2</w:t>
        </w:r>
      </w:hyperlink>
      <w:r w:rsidR="007F273F" w:rsidRPr="00B9614C">
        <w:rPr>
          <w:rFonts w:asciiTheme="majorBidi" w:hAnsiTheme="majorBidi" w:cstheme="majorBidi"/>
          <w:noProof/>
        </w:rPr>
        <w:t>]</w:t>
      </w:r>
      <w:r w:rsidR="00686834" w:rsidRPr="00B9614C">
        <w:rPr>
          <w:rFonts w:asciiTheme="majorBidi" w:hAnsiTheme="majorBidi" w:cstheme="majorBidi"/>
        </w:rPr>
        <w:fldChar w:fldCharType="end"/>
      </w:r>
      <w:r w:rsidR="007F273F" w:rsidRPr="00B9614C">
        <w:rPr>
          <w:rFonts w:asciiTheme="majorBidi" w:hAnsiTheme="majorBidi" w:cstheme="majorBidi"/>
        </w:rPr>
        <w:t xml:space="preserve">. </w:t>
      </w:r>
      <w:r w:rsidRPr="00B9614C">
        <w:rPr>
          <w:rFonts w:asciiTheme="majorBidi" w:hAnsiTheme="majorBidi" w:cstheme="majorBidi"/>
        </w:rPr>
        <w:t xml:space="preserve">This has led to a major research focus on the prevention of osteoporosis which has established that osteoporotic fractures can be significantly reduced by a combination of pharmacological </w:t>
      </w:r>
      <w:r w:rsidR="00273393" w:rsidRPr="00B9614C">
        <w:rPr>
          <w:rFonts w:asciiTheme="majorBidi" w:hAnsiTheme="majorBidi" w:cstheme="majorBidi"/>
        </w:rPr>
        <w:t xml:space="preserve">(bisphosphonates with calcium and vitamin D supplements) </w:t>
      </w:r>
      <w:r w:rsidRPr="00B9614C">
        <w:rPr>
          <w:rFonts w:asciiTheme="majorBidi" w:hAnsiTheme="majorBidi" w:cstheme="majorBidi"/>
        </w:rPr>
        <w:t>and behavioural interventions</w:t>
      </w:r>
      <w:r w:rsidR="00273393" w:rsidRPr="00B9614C">
        <w:rPr>
          <w:rFonts w:asciiTheme="majorBidi" w:hAnsiTheme="majorBidi" w:cstheme="majorBidi"/>
        </w:rPr>
        <w:t xml:space="preserve"> (dietary intake, smoking cessation, and weight bearing exercise).</w:t>
      </w:r>
    </w:p>
    <w:p w:rsidR="003B36AB" w:rsidRPr="00B9614C" w:rsidRDefault="003B36AB" w:rsidP="00473D55">
      <w:pPr>
        <w:spacing w:line="360" w:lineRule="auto"/>
        <w:jc w:val="both"/>
        <w:rPr>
          <w:rFonts w:asciiTheme="majorBidi" w:hAnsiTheme="majorBidi" w:cstheme="majorBidi"/>
        </w:rPr>
      </w:pPr>
    </w:p>
    <w:p w:rsidR="00697CC0" w:rsidRPr="00B9614C" w:rsidRDefault="00697CC0" w:rsidP="00A6020C">
      <w:pPr>
        <w:spacing w:line="360" w:lineRule="auto"/>
        <w:jc w:val="both"/>
        <w:rPr>
          <w:rFonts w:asciiTheme="majorBidi" w:hAnsiTheme="majorBidi" w:cstheme="majorBidi"/>
        </w:rPr>
      </w:pPr>
      <w:r w:rsidRPr="00B9614C">
        <w:rPr>
          <w:rFonts w:asciiTheme="majorBidi" w:hAnsiTheme="majorBidi" w:cstheme="majorBidi"/>
        </w:rPr>
        <w:t xml:space="preserve">More recent initiatives include the development of treatment algorithms and encouragement for primary care practitioners to identify patients who may be at </w:t>
      </w:r>
      <w:r w:rsidR="003B36AB" w:rsidRPr="00B9614C">
        <w:rPr>
          <w:rFonts w:asciiTheme="majorBidi" w:hAnsiTheme="majorBidi" w:cstheme="majorBidi"/>
        </w:rPr>
        <w:t>‘</w:t>
      </w:r>
      <w:r w:rsidRPr="00B9614C">
        <w:rPr>
          <w:rFonts w:asciiTheme="majorBidi" w:hAnsiTheme="majorBidi" w:cstheme="majorBidi"/>
        </w:rPr>
        <w:t>risk</w:t>
      </w:r>
      <w:r w:rsidR="003B36AB" w:rsidRPr="00B9614C">
        <w:rPr>
          <w:rFonts w:asciiTheme="majorBidi" w:hAnsiTheme="majorBidi" w:cstheme="majorBidi"/>
        </w:rPr>
        <w:t>’</w:t>
      </w:r>
      <w:r w:rsidRPr="00B9614C">
        <w:rPr>
          <w:rFonts w:asciiTheme="majorBidi" w:hAnsiTheme="majorBidi" w:cstheme="majorBidi"/>
        </w:rPr>
        <w:t xml:space="preserve"> </w:t>
      </w:r>
      <w:r w:rsidR="003B36AB" w:rsidRPr="00B9614C">
        <w:rPr>
          <w:rFonts w:asciiTheme="majorBidi" w:hAnsiTheme="majorBidi" w:cstheme="majorBidi"/>
        </w:rPr>
        <w:t xml:space="preserve">of fracturing </w:t>
      </w:r>
      <w:r w:rsidRPr="00B9614C">
        <w:rPr>
          <w:rFonts w:asciiTheme="majorBidi" w:hAnsiTheme="majorBidi" w:cstheme="majorBidi"/>
        </w:rPr>
        <w:t>and may benefit from preventive options</w:t>
      </w:r>
      <w:r w:rsidR="007F273F" w:rsidRPr="00B9614C">
        <w:rPr>
          <w:rFonts w:asciiTheme="majorBidi" w:hAnsiTheme="majorBidi" w:cstheme="majorBidi"/>
        </w:rPr>
        <w:t xml:space="preserve"> </w:t>
      </w:r>
      <w:r w:rsidR="00686834" w:rsidRPr="00B9614C">
        <w:rPr>
          <w:rFonts w:asciiTheme="majorBidi" w:hAnsiTheme="majorBidi" w:cstheme="majorBidi"/>
        </w:rPr>
        <w:fldChar w:fldCharType="begin"/>
      </w:r>
      <w:r w:rsidR="007349A4">
        <w:rPr>
          <w:rFonts w:asciiTheme="majorBidi" w:hAnsiTheme="majorBidi" w:cstheme="majorBidi"/>
        </w:rPr>
        <w:instrText xml:space="preserve"> ADDIN EN.CITE &lt;EndNote&gt;&lt;Cite&gt;&lt;Author&gt;Verdijk&lt;/Author&gt;&lt;Year&gt;2009&lt;/Year&gt;&lt;RecNum&gt;49&lt;/RecNum&gt;&lt;DisplayText&gt;[3]&lt;/DisplayText&gt;&lt;record&gt;&lt;rec-number&gt;49&lt;/rec-number&gt;&lt;foreign-keys&gt;&lt;key app="EN" db-id="frw0wf09qsav0qer2zlx2v2ff9srazx5x2ae"&gt;49&lt;/key&gt;&lt;/foreign-keys&gt;&lt;ref-type name="Journal Article"&gt;17&lt;/ref-type&gt;&lt;contributors&gt;&lt;authors&gt;&lt;author&gt;Verdijk, N.A.&lt;/author&gt;&lt;author&gt;Romeijnders, A.C.&lt;/author&gt;&lt;author&gt;Ruskus, J.J.&lt;/author&gt;&lt;author&gt;Van Der Sluijs, C.&lt;/author&gt;&lt;author&gt;Pop, V.J.&lt;/author&gt;&lt;/authors&gt;&lt;/contributors&gt;&lt;titles&gt;&lt;title&gt;Validation of the Dutch guidelines for dual X-ray absorptiometry measurement&lt;/title&gt;&lt;secondary-title&gt;The British Journal of General Practice&lt;/secondary-title&gt;&lt;/titles&gt;&lt;periodical&gt;&lt;full-title&gt;The British Journal of General Practice&lt;/full-title&gt;&lt;/periodical&gt;&lt;pages&gt;256-60&lt;/pages&gt;&lt;volume&gt;59&lt;/volume&gt;&lt;number&gt;561&lt;/number&gt;&lt;dates&gt;&lt;year&gt;2009&lt;/year&gt;&lt;/dates&gt;&lt;urls&gt;&lt;/urls&gt;&lt;electronic-resource-num&gt;10.3399/bjgp09X420338 &lt;/electronic-resource-num&gt;&lt;/record&gt;&lt;/Cite&gt;&lt;/EndNote&gt;</w:instrText>
      </w:r>
      <w:r w:rsidR="00686834" w:rsidRPr="00B9614C">
        <w:rPr>
          <w:rFonts w:asciiTheme="majorBidi" w:hAnsiTheme="majorBidi" w:cstheme="majorBidi"/>
        </w:rPr>
        <w:fldChar w:fldCharType="separate"/>
      </w:r>
      <w:r w:rsidR="007F273F" w:rsidRPr="00B9614C">
        <w:rPr>
          <w:rFonts w:asciiTheme="majorBidi" w:hAnsiTheme="majorBidi" w:cstheme="majorBidi"/>
          <w:noProof/>
        </w:rPr>
        <w:t>[</w:t>
      </w:r>
      <w:hyperlink w:anchor="_ENREF_3" w:tooltip="Verdijk, 2009 #49" w:history="1">
        <w:r w:rsidR="00A6020C" w:rsidRPr="00B9614C">
          <w:rPr>
            <w:rFonts w:asciiTheme="majorBidi" w:hAnsiTheme="majorBidi" w:cstheme="majorBidi"/>
            <w:noProof/>
          </w:rPr>
          <w:t>3</w:t>
        </w:r>
      </w:hyperlink>
      <w:r w:rsidR="007F273F" w:rsidRPr="00B9614C">
        <w:rPr>
          <w:rFonts w:asciiTheme="majorBidi" w:hAnsiTheme="majorBidi" w:cstheme="majorBidi"/>
          <w:noProof/>
        </w:rPr>
        <w:t>]</w:t>
      </w:r>
      <w:r w:rsidR="00686834" w:rsidRPr="00B9614C">
        <w:rPr>
          <w:rFonts w:asciiTheme="majorBidi" w:hAnsiTheme="majorBidi" w:cstheme="majorBidi"/>
        </w:rPr>
        <w:fldChar w:fldCharType="end"/>
      </w:r>
      <w:r w:rsidR="007F273F" w:rsidRPr="00B9614C">
        <w:rPr>
          <w:rFonts w:asciiTheme="majorBidi" w:hAnsiTheme="majorBidi" w:cstheme="majorBidi"/>
        </w:rPr>
        <w:t>,</w:t>
      </w:r>
      <w:r w:rsidR="00686834" w:rsidRPr="00B9614C">
        <w:rPr>
          <w:rFonts w:asciiTheme="majorBidi" w:hAnsiTheme="majorBidi" w:cstheme="majorBidi"/>
        </w:rPr>
        <w:fldChar w:fldCharType="begin"/>
      </w:r>
      <w:r w:rsidR="007349A4">
        <w:rPr>
          <w:rFonts w:asciiTheme="majorBidi" w:hAnsiTheme="majorBidi" w:cstheme="majorBidi"/>
        </w:rPr>
        <w:instrText xml:space="preserve"> ADDIN EN.CITE &lt;EndNote&gt;&lt;Cite&gt;&lt;Author&gt;(SIGN)&lt;/Author&gt;&lt;Year&gt;2003&lt;/Year&gt;&lt;RecNum&gt;4&lt;/RecNum&gt;&lt;DisplayText&gt;[4]&lt;/DisplayText&gt;&lt;record&gt;&lt;rec-number&gt;4&lt;/rec-number&gt;&lt;foreign-keys&gt;&lt;key app="EN" db-id="frw0wf09qsav0qer2zlx2v2ff9srazx5x2ae"&gt;4&lt;/key&gt;&lt;/foreign-keys&gt;&lt;ref-type name="Report"&gt;27&lt;/ref-type&gt;&lt;contributors&gt;&lt;authors&gt;&lt;author&gt;Scottish Intercollegiate Guidelines Network (SIGN)&lt;/author&gt;&lt;/authors&gt;&lt;/contributors&gt;&lt;titles&gt;&lt;title&gt;Management of osteoporosis risk&lt;/title&gt;&lt;secondary-title&gt;SIGN guideline&lt;/secondary-title&gt;&lt;/titles&gt;&lt;number&gt;71&lt;/number&gt;&lt;dates&gt;&lt;year&gt;2003&lt;/year&gt;&lt;/dates&gt;&lt;urls&gt;&lt;related-urls&gt;&lt;url&gt; http://www.sign.ac.uk/guidelines/fulltext/71/section2.html &lt;/url&gt;&lt;/related-urls&gt;&lt;/urls&gt;&lt;access-date&gt;accessed 14 Sept 2012&lt;/access-date&gt;&lt;/record&gt;&lt;/Cite&gt;&lt;/EndNote&gt;</w:instrText>
      </w:r>
      <w:r w:rsidR="00686834" w:rsidRPr="00B9614C">
        <w:rPr>
          <w:rFonts w:asciiTheme="majorBidi" w:hAnsiTheme="majorBidi" w:cstheme="majorBidi"/>
        </w:rPr>
        <w:fldChar w:fldCharType="separate"/>
      </w:r>
      <w:r w:rsidR="007F273F" w:rsidRPr="00B9614C">
        <w:rPr>
          <w:rFonts w:asciiTheme="majorBidi" w:hAnsiTheme="majorBidi" w:cstheme="majorBidi"/>
          <w:noProof/>
        </w:rPr>
        <w:t>[</w:t>
      </w:r>
      <w:hyperlink w:anchor="_ENREF_4" w:tooltip="(SIGN), 2003 #4" w:history="1">
        <w:r w:rsidR="00A6020C" w:rsidRPr="00B9614C">
          <w:rPr>
            <w:rFonts w:asciiTheme="majorBidi" w:hAnsiTheme="majorBidi" w:cstheme="majorBidi"/>
            <w:noProof/>
          </w:rPr>
          <w:t>4</w:t>
        </w:r>
      </w:hyperlink>
      <w:r w:rsidR="007F273F" w:rsidRPr="00B9614C">
        <w:rPr>
          <w:rFonts w:asciiTheme="majorBidi" w:hAnsiTheme="majorBidi" w:cstheme="majorBidi"/>
          <w:noProof/>
        </w:rPr>
        <w:t>]</w:t>
      </w:r>
      <w:r w:rsidR="00686834" w:rsidRPr="00B9614C">
        <w:rPr>
          <w:rFonts w:asciiTheme="majorBidi" w:hAnsiTheme="majorBidi" w:cstheme="majorBidi"/>
        </w:rPr>
        <w:fldChar w:fldCharType="end"/>
      </w:r>
      <w:r w:rsidR="00746EA9" w:rsidRPr="00B9614C">
        <w:rPr>
          <w:rFonts w:asciiTheme="majorBidi" w:hAnsiTheme="majorBidi" w:cstheme="majorBidi"/>
        </w:rPr>
        <w:t>.</w:t>
      </w:r>
      <w:r w:rsidR="00BC0AC7" w:rsidRPr="00B9614C">
        <w:rPr>
          <w:rFonts w:asciiTheme="majorBidi" w:hAnsiTheme="majorBidi" w:cstheme="majorBidi"/>
        </w:rPr>
        <w:t xml:space="preserve"> </w:t>
      </w:r>
      <w:r w:rsidR="003B36AB" w:rsidRPr="00B9614C">
        <w:rPr>
          <w:rFonts w:asciiTheme="majorBidi" w:hAnsiTheme="majorBidi" w:cstheme="majorBidi"/>
        </w:rPr>
        <w:t xml:space="preserve"> </w:t>
      </w:r>
      <w:r w:rsidRPr="00B9614C">
        <w:rPr>
          <w:rFonts w:asciiTheme="majorBidi" w:hAnsiTheme="majorBidi" w:cstheme="majorBidi"/>
        </w:rPr>
        <w:t xml:space="preserve">However, as </w:t>
      </w:r>
      <w:r w:rsidR="00DE43A2" w:rsidRPr="00B9614C">
        <w:rPr>
          <w:rFonts w:asciiTheme="majorBidi" w:hAnsiTheme="majorBidi" w:cstheme="majorBidi"/>
        </w:rPr>
        <w:t>the National Institute for Clinical Excellence (</w:t>
      </w:r>
      <w:r w:rsidRPr="00B9614C">
        <w:rPr>
          <w:rFonts w:asciiTheme="majorBidi" w:hAnsiTheme="majorBidi" w:cstheme="majorBidi"/>
        </w:rPr>
        <w:t>NICE</w:t>
      </w:r>
      <w:r w:rsidR="00DE43A2" w:rsidRPr="00B9614C">
        <w:rPr>
          <w:rFonts w:asciiTheme="majorBidi" w:hAnsiTheme="majorBidi" w:cstheme="majorBidi"/>
        </w:rPr>
        <w:t>)</w:t>
      </w:r>
      <w:r w:rsidRPr="00B9614C">
        <w:rPr>
          <w:rFonts w:asciiTheme="majorBidi" w:hAnsiTheme="majorBidi" w:cstheme="majorBidi"/>
        </w:rPr>
        <w:t xml:space="preserve"> acknowledge, </w:t>
      </w:r>
      <w:r w:rsidRPr="00B9614C">
        <w:rPr>
          <w:rFonts w:asciiTheme="majorBidi" w:hAnsiTheme="majorBidi" w:cstheme="majorBidi"/>
          <w:i/>
        </w:rPr>
        <w:t>“identifying who will benefit from preventative treatment is imprecise</w:t>
      </w:r>
      <w:r w:rsidR="008F3692" w:rsidRPr="00B9614C">
        <w:rPr>
          <w:rFonts w:asciiTheme="majorBidi" w:hAnsiTheme="majorBidi" w:cstheme="majorBidi"/>
          <w:i/>
        </w:rPr>
        <w:t>”</w:t>
      </w:r>
      <w:r w:rsidRPr="00B9614C">
        <w:rPr>
          <w:rFonts w:asciiTheme="majorBidi" w:hAnsiTheme="majorBidi" w:cstheme="majorBidi"/>
          <w:i/>
        </w:rPr>
        <w:t xml:space="preserve"> </w:t>
      </w:r>
      <w:r w:rsidR="00686834" w:rsidRPr="00B9614C">
        <w:rPr>
          <w:rFonts w:asciiTheme="majorBidi" w:hAnsiTheme="majorBidi" w:cstheme="majorBidi"/>
        </w:rPr>
        <w:fldChar w:fldCharType="begin"/>
      </w:r>
      <w:r w:rsidR="007349A4">
        <w:rPr>
          <w:rFonts w:asciiTheme="majorBidi" w:hAnsiTheme="majorBidi" w:cstheme="majorBidi"/>
        </w:rPr>
        <w:instrText xml:space="preserve"> ADDIN EN.CITE &lt;EndNote&gt;&lt;Cite&gt;&lt;Author&gt;NICE&lt;/Author&gt;&lt;Year&gt;2012&lt;/Year&gt;&lt;RecNum&gt;5&lt;/RecNum&gt;&lt;DisplayText&gt;[5]&lt;/DisplayText&gt;&lt;record&gt;&lt;rec-number&gt;5&lt;/rec-number&gt;&lt;foreign-keys&gt;&lt;key app="EN" db-id="frw0wf09qsav0qer2zlx2v2ff9srazx5x2ae"&gt;5&lt;/key&gt;&lt;/foreign-keys&gt;&lt;ref-type name="Report"&gt;27&lt;/ref-type&gt;&lt;contributors&gt;&lt;authors&gt;&lt;author&gt;NICE&lt;/author&gt;&lt;/authors&gt;&lt;/contributors&gt;&lt;titles&gt;&lt;title&gt;Osteoporosis: Assessing the risk of fragility fracture&amp;#xD;&lt;/title&gt;&lt;secondary-title&gt;Guidelines Development Group.&lt;/secondary-title&gt;&lt;/titles&gt;&lt;number&gt;CG146&lt;/number&gt;&lt;dates&gt;&lt;year&gt;2012&lt;/year&gt;&lt;/dates&gt;&lt;pub-location&gt;London&lt;/pub-location&gt;&lt;publisher&gt;NICE&lt;/publisher&gt;&lt;urls&gt;&lt;related-urls&gt;&lt;url&gt;http://publications.nice.org.uk/osteoporosis-assessing-the-risk-of-fragility-fracture-cg146/guidance &lt;/url&gt;&lt;/related-urls&gt;&lt;/urls&gt;&lt;access-date&gt;accessed 14 Sept 2012&lt;/access-date&gt;&lt;/record&gt;&lt;/Cite&gt;&lt;/EndNote&gt;</w:instrText>
      </w:r>
      <w:r w:rsidR="00686834" w:rsidRPr="00B9614C">
        <w:rPr>
          <w:rFonts w:asciiTheme="majorBidi" w:hAnsiTheme="majorBidi" w:cstheme="majorBidi"/>
        </w:rPr>
        <w:fldChar w:fldCharType="separate"/>
      </w:r>
      <w:r w:rsidR="007F273F" w:rsidRPr="00B9614C">
        <w:rPr>
          <w:rFonts w:asciiTheme="majorBidi" w:hAnsiTheme="majorBidi" w:cstheme="majorBidi"/>
          <w:noProof/>
        </w:rPr>
        <w:t>[</w:t>
      </w:r>
      <w:hyperlink w:anchor="_ENREF_5" w:tooltip="NICE, 2012 #5" w:history="1">
        <w:r w:rsidR="00A6020C" w:rsidRPr="00B9614C">
          <w:rPr>
            <w:rFonts w:asciiTheme="majorBidi" w:hAnsiTheme="majorBidi" w:cstheme="majorBidi"/>
            <w:noProof/>
          </w:rPr>
          <w:t>5</w:t>
        </w:r>
      </w:hyperlink>
      <w:r w:rsidR="007F273F" w:rsidRPr="00B9614C">
        <w:rPr>
          <w:rFonts w:asciiTheme="majorBidi" w:hAnsiTheme="majorBidi" w:cstheme="majorBidi"/>
          <w:noProof/>
        </w:rPr>
        <w:t>]</w:t>
      </w:r>
      <w:r w:rsidR="00686834" w:rsidRPr="00B9614C">
        <w:rPr>
          <w:rFonts w:asciiTheme="majorBidi" w:hAnsiTheme="majorBidi" w:cstheme="majorBidi"/>
        </w:rPr>
        <w:fldChar w:fldCharType="end"/>
      </w:r>
      <w:r w:rsidR="007F273F" w:rsidRPr="00B9614C">
        <w:rPr>
          <w:rFonts w:asciiTheme="majorBidi" w:hAnsiTheme="majorBidi" w:cstheme="majorBidi"/>
        </w:rPr>
        <w:t>.</w:t>
      </w:r>
      <w:r w:rsidRPr="00B9614C">
        <w:rPr>
          <w:rFonts w:asciiTheme="majorBidi" w:hAnsiTheme="majorBidi" w:cstheme="majorBidi"/>
          <w:i/>
        </w:rPr>
        <w:t xml:space="preserve"> </w:t>
      </w:r>
      <w:r w:rsidRPr="00B9614C">
        <w:rPr>
          <w:rFonts w:asciiTheme="majorBidi" w:hAnsiTheme="majorBidi" w:cstheme="majorBidi"/>
        </w:rPr>
        <w:t>No population screening programme currently exists for osteoporosis risk, and individuals are identified clinically on a case by case basis. Predictive risk of fracture compared to the norm for age and sex can now be calculated using clinical risk factors in conjunction with bone mineral densit</w:t>
      </w:r>
      <w:r w:rsidR="00DE43A2" w:rsidRPr="00B9614C">
        <w:rPr>
          <w:rFonts w:asciiTheme="majorBidi" w:hAnsiTheme="majorBidi" w:cstheme="majorBidi"/>
        </w:rPr>
        <w:t xml:space="preserve">y (BMD) measurements using </w:t>
      </w:r>
      <w:r w:rsidRPr="00B9614C">
        <w:rPr>
          <w:rFonts w:asciiTheme="majorBidi" w:hAnsiTheme="majorBidi" w:cstheme="majorBidi"/>
        </w:rPr>
        <w:t xml:space="preserve">Dual energy X-ray </w:t>
      </w:r>
      <w:r w:rsidR="00BC0AC7" w:rsidRPr="00B9614C">
        <w:rPr>
          <w:rFonts w:asciiTheme="majorBidi" w:hAnsiTheme="majorBidi" w:cstheme="majorBidi"/>
        </w:rPr>
        <w:t>Absorbtiometry</w:t>
      </w:r>
      <w:r w:rsidR="00DE43A2" w:rsidRPr="00B9614C">
        <w:rPr>
          <w:rFonts w:asciiTheme="majorBidi" w:hAnsiTheme="majorBidi" w:cstheme="majorBidi"/>
        </w:rPr>
        <w:t xml:space="preserve"> (DXA)</w:t>
      </w:r>
      <w:r w:rsidR="00746EA9" w:rsidRPr="00B9614C">
        <w:rPr>
          <w:rFonts w:asciiTheme="majorBidi" w:hAnsiTheme="majorBidi" w:cstheme="majorBidi"/>
        </w:rPr>
        <w:t xml:space="preserve"> scans</w:t>
      </w:r>
      <w:r w:rsidR="007F273F" w:rsidRPr="00B9614C">
        <w:rPr>
          <w:rFonts w:asciiTheme="majorBidi" w:hAnsiTheme="majorBidi" w:cstheme="majorBidi"/>
        </w:rPr>
        <w:t xml:space="preserve"> </w:t>
      </w:r>
      <w:r w:rsidR="00686834" w:rsidRPr="00B9614C">
        <w:rPr>
          <w:rFonts w:asciiTheme="majorBidi" w:hAnsiTheme="majorBidi" w:cstheme="majorBidi"/>
        </w:rPr>
        <w:fldChar w:fldCharType="begin"/>
      </w:r>
      <w:r w:rsidR="007349A4">
        <w:rPr>
          <w:rFonts w:asciiTheme="majorBidi" w:hAnsiTheme="majorBidi" w:cstheme="majorBidi"/>
        </w:rPr>
        <w:instrText xml:space="preserve"> ADDIN EN.CITE &lt;EndNote&gt;&lt;Cite&gt;&lt;Author&gt;WHO&lt;/Author&gt;&lt;RecNum&gt;6&lt;/RecNum&gt;&lt;DisplayText&gt;[6]&lt;/DisplayText&gt;&lt;record&gt;&lt;rec-number&gt;6&lt;/rec-number&gt;&lt;foreign-keys&gt;&lt;key app="EN" db-id="frw0wf09qsav0qer2zlx2v2ff9srazx5x2ae"&gt;6&lt;/key&gt;&lt;/foreign-keys&gt;&lt;ref-type name="Web Page"&gt;12&lt;/ref-type&gt;&lt;contributors&gt;&lt;authors&gt;&lt;author&gt;WHO&lt;/author&gt;&lt;/authors&gt;&lt;/contributors&gt;&lt;titles&gt;&lt;title&gt;Fracture Risk Assessment Tool&lt;/title&gt;&lt;/titles&gt;&lt;dates&gt;&lt;/dates&gt;&lt;urls&gt;&lt;related-urls&gt;&lt;url&gt;http://www.shef.ac.uk/FRAX/tool.jsp?country=1&lt;/url&gt;&lt;/related-urls&gt;&lt;/urls&gt;&lt;custom2&gt;accessed 29 Jan 2013&lt;/custom2&gt;&lt;/record&gt;&lt;/Cite&gt;&lt;/EndNote&gt;</w:instrText>
      </w:r>
      <w:r w:rsidR="00686834" w:rsidRPr="00B9614C">
        <w:rPr>
          <w:rFonts w:asciiTheme="majorBidi" w:hAnsiTheme="majorBidi" w:cstheme="majorBidi"/>
        </w:rPr>
        <w:fldChar w:fldCharType="separate"/>
      </w:r>
      <w:r w:rsidR="007F273F" w:rsidRPr="00B9614C">
        <w:rPr>
          <w:rFonts w:asciiTheme="majorBidi" w:hAnsiTheme="majorBidi" w:cstheme="majorBidi"/>
          <w:noProof/>
        </w:rPr>
        <w:t>[</w:t>
      </w:r>
      <w:hyperlink w:anchor="_ENREF_6" w:tooltip="WHO,  #6" w:history="1">
        <w:r w:rsidR="00A6020C" w:rsidRPr="00B9614C">
          <w:rPr>
            <w:rFonts w:asciiTheme="majorBidi" w:hAnsiTheme="majorBidi" w:cstheme="majorBidi"/>
            <w:noProof/>
          </w:rPr>
          <w:t>6</w:t>
        </w:r>
      </w:hyperlink>
      <w:r w:rsidR="007F273F" w:rsidRPr="00B9614C">
        <w:rPr>
          <w:rFonts w:asciiTheme="majorBidi" w:hAnsiTheme="majorBidi" w:cstheme="majorBidi"/>
          <w:noProof/>
        </w:rPr>
        <w:t>]</w:t>
      </w:r>
      <w:r w:rsidR="00686834" w:rsidRPr="00B9614C">
        <w:rPr>
          <w:rFonts w:asciiTheme="majorBidi" w:hAnsiTheme="majorBidi" w:cstheme="majorBidi"/>
        </w:rPr>
        <w:fldChar w:fldCharType="end"/>
      </w:r>
      <w:r w:rsidR="007F273F" w:rsidRPr="00B9614C">
        <w:rPr>
          <w:rFonts w:asciiTheme="majorBidi" w:hAnsiTheme="majorBidi" w:cstheme="majorBidi"/>
        </w:rPr>
        <w:t xml:space="preserve">, </w:t>
      </w:r>
      <w:r w:rsidR="00686834" w:rsidRPr="00B9614C">
        <w:rPr>
          <w:rFonts w:asciiTheme="majorBidi" w:hAnsiTheme="majorBidi" w:cstheme="majorBidi"/>
        </w:rPr>
        <w:fldChar w:fldCharType="begin"/>
      </w:r>
      <w:r w:rsidR="007349A4">
        <w:rPr>
          <w:rFonts w:asciiTheme="majorBidi" w:hAnsiTheme="majorBidi" w:cstheme="majorBidi"/>
        </w:rPr>
        <w:instrText xml:space="preserve"> ADDIN EN.CITE &lt;EndNote&gt;&lt;Cite&gt;&lt;Author&gt;Kanis&lt;/Author&gt;&lt;Year&gt;2000&lt;/Year&gt;&lt;RecNum&gt;32&lt;/RecNum&gt;&lt;DisplayText&gt;[7]&lt;/DisplayText&gt;&lt;record&gt;&lt;rec-number&gt;32&lt;/rec-number&gt;&lt;foreign-keys&gt;&lt;key app="EN" db-id="frw0wf09qsav0qer2zlx2v2ff9srazx5x2ae"&gt;32&lt;/key&gt;&lt;/foreign-keys&gt;&lt;ref-type name="Journal Article"&gt;17&lt;/ref-type&gt;&lt;contributors&gt;&lt;authors&gt;&lt;author&gt;Kanis, JA&lt;/author&gt;&lt;author&gt;Glüer, C.C.&lt;/author&gt;&lt;/authors&gt;&lt;/contributors&gt;&lt;titles&gt;&lt;title&gt;An update on the diagnosis and assessment of osteoporosis with densitometry&lt;/title&gt;&lt;secondary-title&gt;Osteoporosis International&lt;/secondary-title&gt;&lt;/titles&gt;&lt;periodical&gt;&lt;full-title&gt;Osteoporosis International&lt;/full-title&gt;&lt;/periodical&gt;&lt;pages&gt;192-202&lt;/pages&gt;&lt;volume&gt;11&lt;/volume&gt;&lt;number&gt;3&lt;/number&gt;&lt;dates&gt;&lt;year&gt;2000&lt;/year&gt;&lt;/dates&gt;&lt;isbn&gt;0937-941X&lt;/isbn&gt;&lt;urls&gt;&lt;/urls&gt;&lt;electronic-resource-num&gt;10.1007/s001980050281&lt;/electronic-resource-num&gt;&lt;/record&gt;&lt;/Cite&gt;&lt;/EndNote&gt;</w:instrText>
      </w:r>
      <w:r w:rsidR="00686834" w:rsidRPr="00B9614C">
        <w:rPr>
          <w:rFonts w:asciiTheme="majorBidi" w:hAnsiTheme="majorBidi" w:cstheme="majorBidi"/>
        </w:rPr>
        <w:fldChar w:fldCharType="separate"/>
      </w:r>
      <w:r w:rsidR="007F273F" w:rsidRPr="00B9614C">
        <w:rPr>
          <w:rFonts w:asciiTheme="majorBidi" w:hAnsiTheme="majorBidi" w:cstheme="majorBidi"/>
          <w:noProof/>
        </w:rPr>
        <w:t>[</w:t>
      </w:r>
      <w:hyperlink w:anchor="_ENREF_7" w:tooltip="Kanis, 2000 #32" w:history="1">
        <w:r w:rsidR="00A6020C" w:rsidRPr="00B9614C">
          <w:rPr>
            <w:rFonts w:asciiTheme="majorBidi" w:hAnsiTheme="majorBidi" w:cstheme="majorBidi"/>
            <w:noProof/>
          </w:rPr>
          <w:t>7</w:t>
        </w:r>
      </w:hyperlink>
      <w:r w:rsidR="007F273F" w:rsidRPr="00B9614C">
        <w:rPr>
          <w:rFonts w:asciiTheme="majorBidi" w:hAnsiTheme="majorBidi" w:cstheme="majorBidi"/>
          <w:noProof/>
        </w:rPr>
        <w:t>]</w:t>
      </w:r>
      <w:r w:rsidR="00686834" w:rsidRPr="00B9614C">
        <w:rPr>
          <w:rFonts w:asciiTheme="majorBidi" w:hAnsiTheme="majorBidi" w:cstheme="majorBidi"/>
        </w:rPr>
        <w:fldChar w:fldCharType="end"/>
      </w:r>
      <w:r w:rsidR="00746EA9" w:rsidRPr="00B9614C">
        <w:rPr>
          <w:rFonts w:asciiTheme="majorBidi" w:hAnsiTheme="majorBidi" w:cstheme="majorBidi"/>
        </w:rPr>
        <w:t>,</w:t>
      </w:r>
      <w:r w:rsidR="003B36AB" w:rsidRPr="00B9614C">
        <w:rPr>
          <w:rFonts w:asciiTheme="majorBidi" w:hAnsiTheme="majorBidi" w:cstheme="majorBidi"/>
        </w:rPr>
        <w:t xml:space="preserve"> </w:t>
      </w:r>
      <w:r w:rsidR="00BC0AC7" w:rsidRPr="00B9614C">
        <w:rPr>
          <w:rFonts w:asciiTheme="majorBidi" w:hAnsiTheme="majorBidi" w:cstheme="majorBidi"/>
        </w:rPr>
        <w:t xml:space="preserve">creating </w:t>
      </w:r>
      <w:r w:rsidRPr="00B9614C">
        <w:rPr>
          <w:rFonts w:asciiTheme="majorBidi" w:hAnsiTheme="majorBidi" w:cstheme="majorBidi"/>
        </w:rPr>
        <w:t xml:space="preserve">new opportunities to identify individuals yet to sustain a fracture. </w:t>
      </w:r>
    </w:p>
    <w:p w:rsidR="00697CC0" w:rsidRPr="00B9614C" w:rsidRDefault="00697CC0" w:rsidP="00A6020C">
      <w:pPr>
        <w:spacing w:before="100" w:beforeAutospacing="1" w:after="100" w:afterAutospacing="1" w:line="360" w:lineRule="auto"/>
        <w:rPr>
          <w:rFonts w:asciiTheme="majorBidi" w:hAnsiTheme="majorBidi" w:cstheme="majorBidi"/>
        </w:rPr>
      </w:pPr>
      <w:r w:rsidRPr="00B9614C">
        <w:rPr>
          <w:rFonts w:asciiTheme="majorBidi" w:hAnsiTheme="majorBidi" w:cstheme="majorBidi"/>
        </w:rPr>
        <w:t>For screening to be effective, participants identified as high risk must be receptive to the intervention</w:t>
      </w:r>
      <w:r w:rsidR="00473D55" w:rsidRPr="00B9614C">
        <w:rPr>
          <w:rFonts w:asciiTheme="majorBidi" w:hAnsiTheme="majorBidi" w:cstheme="majorBidi"/>
        </w:rPr>
        <w:t xml:space="preserve">. </w:t>
      </w:r>
      <w:r w:rsidRPr="00B9614C">
        <w:rPr>
          <w:rFonts w:asciiTheme="majorBidi" w:hAnsiTheme="majorBidi" w:cstheme="majorBidi"/>
        </w:rPr>
        <w:t xml:space="preserve">Achieving </w:t>
      </w:r>
      <w:r w:rsidR="00BC0AC7" w:rsidRPr="00B9614C">
        <w:rPr>
          <w:rFonts w:asciiTheme="majorBidi" w:hAnsiTheme="majorBidi" w:cstheme="majorBidi"/>
        </w:rPr>
        <w:t>long-term</w:t>
      </w:r>
      <w:r w:rsidR="009751ED" w:rsidRPr="00B9614C">
        <w:rPr>
          <w:rFonts w:asciiTheme="majorBidi" w:hAnsiTheme="majorBidi" w:cstheme="majorBidi"/>
        </w:rPr>
        <w:t xml:space="preserve"> </w:t>
      </w:r>
      <w:r w:rsidRPr="00B9614C">
        <w:rPr>
          <w:rFonts w:asciiTheme="majorBidi" w:hAnsiTheme="majorBidi" w:cstheme="majorBidi"/>
        </w:rPr>
        <w:t>adherence to prescribed medications is more complex than just providing sufficient information</w:t>
      </w:r>
      <w:r w:rsidR="00BC0AC7" w:rsidRPr="00B9614C">
        <w:rPr>
          <w:rFonts w:asciiTheme="majorBidi" w:hAnsiTheme="majorBidi" w:cstheme="majorBidi"/>
        </w:rPr>
        <w:t xml:space="preserve"> o</w:t>
      </w:r>
      <w:r w:rsidRPr="00B9614C">
        <w:rPr>
          <w:rFonts w:asciiTheme="majorBidi" w:hAnsiTheme="majorBidi" w:cstheme="majorBidi"/>
        </w:rPr>
        <w:t>r an acceptable medication regime</w:t>
      </w:r>
      <w:r w:rsidR="00473D55" w:rsidRPr="00B9614C">
        <w:rPr>
          <w:rFonts w:asciiTheme="majorBidi" w:hAnsiTheme="majorBidi" w:cstheme="majorBidi"/>
        </w:rPr>
        <w:t xml:space="preserve">n. </w:t>
      </w:r>
      <w:r w:rsidRPr="00B9614C">
        <w:rPr>
          <w:rFonts w:asciiTheme="majorBidi" w:hAnsiTheme="majorBidi" w:cstheme="majorBidi"/>
        </w:rPr>
        <w:t>The literature suggests adherence is highly variable in osteoporosis prevention</w:t>
      </w:r>
      <w:r w:rsidR="00455807" w:rsidRPr="00B9614C">
        <w:rPr>
          <w:rFonts w:asciiTheme="majorBidi" w:hAnsiTheme="majorBidi" w:cstheme="majorBidi"/>
        </w:rPr>
        <w:t xml:space="preserve"> with </w:t>
      </w:r>
      <w:r w:rsidRPr="00B9614C">
        <w:rPr>
          <w:rFonts w:asciiTheme="majorBidi" w:hAnsiTheme="majorBidi" w:cstheme="majorBidi"/>
        </w:rPr>
        <w:t>age and co-morbidity explain</w:t>
      </w:r>
      <w:r w:rsidR="00455807" w:rsidRPr="00B9614C">
        <w:rPr>
          <w:rFonts w:asciiTheme="majorBidi" w:hAnsiTheme="majorBidi" w:cstheme="majorBidi"/>
        </w:rPr>
        <w:t>ing</w:t>
      </w:r>
      <w:r w:rsidRPr="00B9614C">
        <w:rPr>
          <w:rFonts w:asciiTheme="majorBidi" w:hAnsiTheme="majorBidi" w:cstheme="majorBidi"/>
        </w:rPr>
        <w:t xml:space="preserve"> relatively little of the variability</w:t>
      </w:r>
      <w:r w:rsidR="006B235B" w:rsidRPr="00B9614C">
        <w:rPr>
          <w:rFonts w:asciiTheme="majorBidi" w:hAnsiTheme="majorBidi" w:cstheme="majorBidi"/>
        </w:rPr>
        <w:t xml:space="preserve"> </w:t>
      </w:r>
      <w:r w:rsidR="00686834" w:rsidRPr="00B9614C">
        <w:rPr>
          <w:rFonts w:asciiTheme="majorBidi" w:hAnsiTheme="majorBidi" w:cstheme="majorBidi"/>
        </w:rPr>
        <w:fldChar w:fldCharType="begin"/>
      </w:r>
      <w:r w:rsidR="007349A4">
        <w:rPr>
          <w:rFonts w:asciiTheme="majorBidi" w:hAnsiTheme="majorBidi" w:cstheme="majorBidi"/>
        </w:rPr>
        <w:instrText xml:space="preserve"> ADDIN EN.CITE &lt;EndNote&gt;&lt;Cite&gt;&lt;Author&gt;Marshall IJ&lt;/Author&gt;&lt;Year&gt;2012&lt;/Year&gt;&lt;RecNum&gt;8&lt;/RecNum&gt;&lt;DisplayText&gt;[8]&lt;/DisplayText&gt;&lt;record&gt;&lt;rec-number&gt;8&lt;/rec-number&gt;&lt;foreign-keys&gt;&lt;key app="EN" db-id="frw0wf09qsav0qer2zlx2v2ff9srazx5x2ae"&gt;8&lt;/key&gt;&lt;/foreign-keys&gt;&lt;ref-type name="Journal Article"&gt;17&lt;/ref-type&gt;&lt;contributors&gt;&lt;authors&gt;&lt;author&gt;Marshall IJ, Wolfe CDA, McKevitt C&lt;/author&gt;&lt;/authors&gt;&lt;/contributors&gt;&lt;titles&gt;&lt;title&gt;Lay perspectives on hypertension and drug adherence: systematic review of qualitative research &lt;/title&gt;&lt;secondary-title&gt;British Medical Journal&lt;/secondary-title&gt;&lt;/titles&gt;&lt;periodical&gt;&lt;full-title&gt;British Medical Journal&lt;/full-title&gt;&lt;/periodical&gt;&lt;volume&gt;345&lt;/volume&gt;&lt;number&gt;e3953&lt;/number&gt;&lt;dates&gt;&lt;year&gt;2012&lt;/year&gt;&lt;/dates&gt;&lt;urls&gt;&lt;/urls&gt;&lt;electronic-resource-num&gt;doi:10.1136/bmj.e3953&lt;/electronic-resource-num&gt;&lt;/record&gt;&lt;/Cite&gt;&lt;/EndNote&gt;</w:instrText>
      </w:r>
      <w:r w:rsidR="00686834" w:rsidRPr="00B9614C">
        <w:rPr>
          <w:rFonts w:asciiTheme="majorBidi" w:hAnsiTheme="majorBidi" w:cstheme="majorBidi"/>
        </w:rPr>
        <w:fldChar w:fldCharType="separate"/>
      </w:r>
      <w:r w:rsidR="007F273F" w:rsidRPr="00B9614C">
        <w:rPr>
          <w:rFonts w:asciiTheme="majorBidi" w:hAnsiTheme="majorBidi" w:cstheme="majorBidi"/>
          <w:noProof/>
        </w:rPr>
        <w:t>[</w:t>
      </w:r>
      <w:hyperlink w:anchor="_ENREF_8" w:tooltip="Marshall IJ, 2012 #8" w:history="1">
        <w:r w:rsidR="00A6020C" w:rsidRPr="00B9614C">
          <w:rPr>
            <w:rFonts w:asciiTheme="majorBidi" w:hAnsiTheme="majorBidi" w:cstheme="majorBidi"/>
            <w:noProof/>
          </w:rPr>
          <w:t>8</w:t>
        </w:r>
      </w:hyperlink>
      <w:r w:rsidR="007F273F" w:rsidRPr="00B9614C">
        <w:rPr>
          <w:rFonts w:asciiTheme="majorBidi" w:hAnsiTheme="majorBidi" w:cstheme="majorBidi"/>
          <w:noProof/>
        </w:rPr>
        <w:t>]</w:t>
      </w:r>
      <w:r w:rsidR="00686834" w:rsidRPr="00B9614C">
        <w:rPr>
          <w:rFonts w:asciiTheme="majorBidi" w:hAnsiTheme="majorBidi" w:cstheme="majorBidi"/>
        </w:rPr>
        <w:fldChar w:fldCharType="end"/>
      </w:r>
      <w:r w:rsidR="005E6D4F" w:rsidRPr="00B9614C">
        <w:rPr>
          <w:rFonts w:asciiTheme="majorBidi" w:hAnsiTheme="majorBidi" w:cstheme="majorBidi"/>
        </w:rPr>
        <w:t>,</w:t>
      </w:r>
      <w:r w:rsidR="006B235B" w:rsidRPr="00B9614C">
        <w:rPr>
          <w:rFonts w:asciiTheme="majorBidi" w:hAnsiTheme="majorBidi" w:cstheme="majorBidi"/>
        </w:rPr>
        <w:t xml:space="preserve"> </w:t>
      </w:r>
      <w:r w:rsidR="00686834" w:rsidRPr="00B9614C">
        <w:rPr>
          <w:rFonts w:asciiTheme="majorBidi" w:hAnsiTheme="majorBidi" w:cstheme="majorBidi"/>
        </w:rPr>
        <w:fldChar w:fldCharType="begin"/>
      </w:r>
      <w:r w:rsidR="007349A4">
        <w:rPr>
          <w:rFonts w:asciiTheme="majorBidi" w:hAnsiTheme="majorBidi" w:cstheme="majorBidi"/>
        </w:rPr>
        <w:instrText xml:space="preserve"> ADDIN EN.CITE &lt;EndNote&gt;&lt;Cite&gt;&lt;Author&gt;Solomon DH&lt;/Author&gt;&lt;Year&gt;2005&lt;/Year&gt;&lt;RecNum&gt;9&lt;/RecNum&gt;&lt;DisplayText&gt;[9]&lt;/DisplayText&gt;&lt;record&gt;&lt;rec-number&gt;9&lt;/rec-number&gt;&lt;foreign-keys&gt;&lt;key app="EN" db-id="frw0wf09qsav0qer2zlx2v2ff9srazx5x2ae"&gt;9&lt;/key&gt;&lt;/foreign-keys&gt;&lt;ref-type name="Journal Article"&gt;17&lt;/ref-type&gt;&lt;contributors&gt;&lt;authors&gt;&lt;author&gt;Solomon DH, Avorn J, Katz JN, Finklestein JS, Arnold M, Polinski JM, Brookhart MA.&lt;/author&gt;&lt;/authors&gt;&lt;/contributors&gt;&lt;titles&gt;&lt;title&gt;Compliance with osteoporosis medications &lt;/title&gt;&lt;secondary-title&gt;Arch Intern Med&lt;/secondary-title&gt;&lt;/titles&gt;&lt;periodical&gt;&lt;full-title&gt;Arch Intern Med&lt;/full-title&gt;&lt;/periodical&gt;&lt;pages&gt;2414-19&lt;/pages&gt;&lt;volume&gt;165&lt;/volume&gt;&lt;number&gt;20&lt;/number&gt;&lt;dates&gt;&lt;year&gt;2005&lt;/year&gt;&lt;/dates&gt;&lt;urls&gt;&lt;/urls&gt;&lt;electronic-resource-num&gt;10.1001/archinte.165.20.2414&lt;/electronic-resource-num&gt;&lt;/record&gt;&lt;/Cite&gt;&lt;/EndNote&gt;</w:instrText>
      </w:r>
      <w:r w:rsidR="00686834" w:rsidRPr="00B9614C">
        <w:rPr>
          <w:rFonts w:asciiTheme="majorBidi" w:hAnsiTheme="majorBidi" w:cstheme="majorBidi"/>
        </w:rPr>
        <w:fldChar w:fldCharType="separate"/>
      </w:r>
      <w:r w:rsidR="007F273F" w:rsidRPr="00B9614C">
        <w:rPr>
          <w:rFonts w:asciiTheme="majorBidi" w:hAnsiTheme="majorBidi" w:cstheme="majorBidi"/>
          <w:noProof/>
        </w:rPr>
        <w:t>[</w:t>
      </w:r>
      <w:hyperlink w:anchor="_ENREF_9" w:tooltip="Solomon DH, 2005 #9" w:history="1">
        <w:r w:rsidR="00A6020C" w:rsidRPr="00B9614C">
          <w:rPr>
            <w:rFonts w:asciiTheme="majorBidi" w:hAnsiTheme="majorBidi" w:cstheme="majorBidi"/>
            <w:noProof/>
          </w:rPr>
          <w:t>9</w:t>
        </w:r>
      </w:hyperlink>
      <w:r w:rsidR="007F273F" w:rsidRPr="00B9614C">
        <w:rPr>
          <w:rFonts w:asciiTheme="majorBidi" w:hAnsiTheme="majorBidi" w:cstheme="majorBidi"/>
          <w:noProof/>
        </w:rPr>
        <w:t>]</w:t>
      </w:r>
      <w:r w:rsidR="00686834" w:rsidRPr="00B9614C">
        <w:rPr>
          <w:rFonts w:asciiTheme="majorBidi" w:hAnsiTheme="majorBidi" w:cstheme="majorBidi"/>
        </w:rPr>
        <w:fldChar w:fldCharType="end"/>
      </w:r>
      <w:r w:rsidR="007F273F" w:rsidRPr="00B9614C">
        <w:rPr>
          <w:rFonts w:asciiTheme="majorBidi" w:hAnsiTheme="majorBidi" w:cstheme="majorBidi"/>
        </w:rPr>
        <w:t xml:space="preserve">. </w:t>
      </w:r>
      <w:r w:rsidR="006B235B" w:rsidRPr="00B9614C">
        <w:rPr>
          <w:rFonts w:asciiTheme="majorBidi" w:hAnsiTheme="majorBidi" w:cstheme="majorBidi"/>
        </w:rPr>
        <w:t>A</w:t>
      </w:r>
      <w:r w:rsidRPr="00B9614C">
        <w:rPr>
          <w:rFonts w:asciiTheme="majorBidi" w:hAnsiTheme="majorBidi" w:cstheme="majorBidi"/>
        </w:rPr>
        <w:t>ttempts to reduce complexity in dosing regimens do not necessarily improve adherence</w:t>
      </w:r>
      <w:r w:rsidR="007F273F" w:rsidRPr="00B9614C">
        <w:rPr>
          <w:rFonts w:asciiTheme="majorBidi" w:hAnsiTheme="majorBidi" w:cstheme="majorBidi"/>
        </w:rPr>
        <w:t xml:space="preserve"> </w:t>
      </w:r>
      <w:r w:rsidR="00686834" w:rsidRPr="00B9614C">
        <w:rPr>
          <w:rFonts w:cstheme="majorBidi"/>
        </w:rPr>
        <w:fldChar w:fldCharType="begin"/>
      </w:r>
      <w:r w:rsidR="007349A4">
        <w:rPr>
          <w:rFonts w:cstheme="majorBidi"/>
        </w:rPr>
        <w:instrText xml:space="preserve"> ADDIN EN.CITE &lt;EndNote&gt;&lt;Cite&gt;&lt;Author&gt;Recker RR &lt;/Author&gt;&lt;Year&gt;2005&lt;/Year&gt;&lt;RecNum&gt;10&lt;/RecNum&gt;&lt;DisplayText&gt;[10]&lt;/DisplayText&gt;&lt;record&gt;&lt;rec-number&gt;10&lt;/rec-number&gt;&lt;foreign-keys&gt;&lt;key app="EN" db-id="frw0wf09qsav0qer2zlx2v2ff9srazx5x2ae"&gt;10&lt;/key&gt;&lt;/foreign-keys&gt;&lt;ref-type name="Journal Article"&gt;17&lt;/ref-type&gt;&lt;contributors&gt;&lt;authors&gt;&lt;author&gt;Recker RR , Gallagher R , MacCosbe PE&lt;/author&gt;&lt;/authors&gt;&lt;/contributors&gt;&lt;titles&gt;&lt;title&gt;Effect of dosing frequency on bisphosphonate medication adherence in a large longitudinal cohort of women  &lt;/title&gt;&lt;secondary-title&gt;Mayo Clin Proc&lt;/secondary-title&gt;&lt;/titles&gt;&lt;periodical&gt;&lt;full-title&gt;Mayo Clin Proc&lt;/full-title&gt;&lt;/periodical&gt;&lt;pages&gt;856-61&lt;/pages&gt;&lt;volume&gt;80&lt;/volume&gt;&lt;number&gt;7&lt;/number&gt;&lt;dates&gt;&lt;year&gt;2005&lt;/year&gt;&lt;/dates&gt;&lt;urls&gt;&lt;/urls&gt;&lt;electronic-resource-num&gt;doi: 10.4065/80.7.856&lt;/electronic-resource-num&gt;&lt;/record&gt;&lt;/Cite&gt;&lt;/EndNote&gt;</w:instrText>
      </w:r>
      <w:r w:rsidR="00686834" w:rsidRPr="00B9614C">
        <w:rPr>
          <w:rFonts w:cstheme="majorBidi"/>
        </w:rPr>
        <w:fldChar w:fldCharType="separate"/>
      </w:r>
      <w:r w:rsidR="007F273F" w:rsidRPr="00B9614C">
        <w:rPr>
          <w:rFonts w:cstheme="majorBidi"/>
          <w:noProof/>
        </w:rPr>
        <w:t>[</w:t>
      </w:r>
      <w:hyperlink w:anchor="_ENREF_10" w:tooltip="Recker RR , 2005 #10" w:history="1">
        <w:r w:rsidR="00A6020C" w:rsidRPr="00B9614C">
          <w:rPr>
            <w:rFonts w:cstheme="majorBidi"/>
            <w:noProof/>
          </w:rPr>
          <w:t>10</w:t>
        </w:r>
      </w:hyperlink>
      <w:r w:rsidR="007F273F" w:rsidRPr="00B9614C">
        <w:rPr>
          <w:rFonts w:cstheme="majorBidi"/>
          <w:noProof/>
        </w:rPr>
        <w:t>]</w:t>
      </w:r>
      <w:r w:rsidR="00686834" w:rsidRPr="00B9614C">
        <w:rPr>
          <w:rFonts w:cstheme="majorBidi"/>
        </w:rPr>
        <w:fldChar w:fldCharType="end"/>
      </w:r>
      <w:r w:rsidR="005E6D4F" w:rsidRPr="00B9614C">
        <w:rPr>
          <w:rFonts w:cstheme="majorBidi"/>
        </w:rPr>
        <w:t>,</w:t>
      </w:r>
      <w:r w:rsidR="007F273F" w:rsidRPr="00B9614C">
        <w:rPr>
          <w:rFonts w:cstheme="majorBidi"/>
        </w:rPr>
        <w:t xml:space="preserve"> </w:t>
      </w:r>
      <w:r w:rsidR="00686834" w:rsidRPr="00B9614C">
        <w:rPr>
          <w:rFonts w:cstheme="majorBidi"/>
        </w:rPr>
        <w:fldChar w:fldCharType="begin"/>
      </w:r>
      <w:r w:rsidR="007349A4">
        <w:rPr>
          <w:rFonts w:cstheme="majorBidi"/>
        </w:rPr>
        <w:instrText xml:space="preserve"> ADDIN EN.CITE &lt;EndNote&gt;&lt;Cite&gt;&lt;Author&gt;Rossini M&lt;/Author&gt;&lt;Year&gt;2006&lt;/Year&gt;&lt;RecNum&gt;11&lt;/RecNum&gt;&lt;DisplayText&gt;[11]&lt;/DisplayText&gt;&lt;record&gt;&lt;rec-number&gt;11&lt;/rec-number&gt;&lt;foreign-keys&gt;&lt;key app="EN" db-id="frw0wf09qsav0qer2zlx2v2ff9srazx5x2ae"&gt;11&lt;/key&gt;&lt;/foreign-keys&gt;&lt;ref-type name="Journal Article"&gt;17&lt;/ref-type&gt;&lt;contributors&gt;&lt;authors&gt;&lt;author&gt;Rossini M, Bianchi G, Di Munno O, Giannini S, Minisula S, Sinigaglia L, Adam S.&lt;/author&gt;&lt;/authors&gt;&lt;/contributors&gt;&lt;titles&gt;&lt;title&gt;Determinants of adherence to osteoporosis treatment in clinical practice &lt;/title&gt;&lt;secondary-title&gt;Osteoporosis International&lt;/secondary-title&gt;&lt;/titles&gt;&lt;periodical&gt;&lt;full-title&gt;Osteoporosis International&lt;/full-title&gt;&lt;/periodical&gt;&lt;pages&gt;941-21&lt;/pages&gt;&lt;volume&gt;17&lt;/volume&gt;&lt;number&gt;6&lt;/number&gt;&lt;dates&gt;&lt;year&gt;2006&lt;/year&gt;&lt;/dates&gt;&lt;urls&gt;&lt;/urls&gt;&lt;electronic-resource-num&gt;doi:10.1007/s00198-006-0073-6&lt;/electronic-resource-num&gt;&lt;/record&gt;&lt;/Cite&gt;&lt;/EndNote&gt;</w:instrText>
      </w:r>
      <w:r w:rsidR="00686834" w:rsidRPr="00B9614C">
        <w:rPr>
          <w:rFonts w:cstheme="majorBidi"/>
        </w:rPr>
        <w:fldChar w:fldCharType="separate"/>
      </w:r>
      <w:r w:rsidR="007F273F" w:rsidRPr="00B9614C">
        <w:rPr>
          <w:rFonts w:cstheme="majorBidi"/>
          <w:noProof/>
        </w:rPr>
        <w:t>[</w:t>
      </w:r>
      <w:hyperlink w:anchor="_ENREF_11" w:tooltip="Rossini M, 2006 #11" w:history="1">
        <w:r w:rsidR="00A6020C" w:rsidRPr="00B9614C">
          <w:rPr>
            <w:rFonts w:cstheme="majorBidi"/>
            <w:noProof/>
          </w:rPr>
          <w:t>11</w:t>
        </w:r>
      </w:hyperlink>
      <w:r w:rsidR="007F273F" w:rsidRPr="00B9614C">
        <w:rPr>
          <w:rFonts w:cstheme="majorBidi"/>
          <w:noProof/>
        </w:rPr>
        <w:t>]</w:t>
      </w:r>
      <w:r w:rsidR="00686834" w:rsidRPr="00B9614C">
        <w:rPr>
          <w:rFonts w:cstheme="majorBidi"/>
        </w:rPr>
        <w:fldChar w:fldCharType="end"/>
      </w:r>
      <w:r w:rsidR="00473D55" w:rsidRPr="00B9614C">
        <w:rPr>
          <w:rFonts w:cstheme="majorBidi"/>
        </w:rPr>
        <w:t xml:space="preserve">. </w:t>
      </w:r>
      <w:r w:rsidR="00EC6B43" w:rsidRPr="00B9614C">
        <w:rPr>
          <w:lang w:eastAsia="zh-CN"/>
        </w:rPr>
        <w:t xml:space="preserve">Patients are recommended to take their bisphosphonates first thing in the morning before eating or drinking and with a glass of water.  There is a </w:t>
      </w:r>
      <w:r w:rsidR="00EC6B43" w:rsidRPr="00B9614C">
        <w:rPr>
          <w:lang w:eastAsia="zh-CN"/>
        </w:rPr>
        <w:lastRenderedPageBreak/>
        <w:t xml:space="preserve">requirement for them to remain upright for 30 minutes to avoid irritation to the </w:t>
      </w:r>
      <w:r w:rsidR="00EC6B43" w:rsidRPr="00B9614C">
        <w:rPr>
          <w:lang w:eastAsia="zh-CN" w:bidi="ar-DZ"/>
        </w:rPr>
        <w:t>oesophagus</w:t>
      </w:r>
      <w:r w:rsidR="00EC6B43" w:rsidRPr="00B9614C">
        <w:rPr>
          <w:lang w:eastAsia="zh-CN"/>
        </w:rPr>
        <w:t xml:space="preserve">. </w:t>
      </w:r>
      <w:r w:rsidR="00843E21" w:rsidRPr="00B9614C">
        <w:rPr>
          <w:lang w:eastAsia="zh-CN"/>
        </w:rPr>
        <w:t xml:space="preserve">Calcium supplements are frequently provided in the form of chewy tablets. </w:t>
      </w:r>
      <w:r w:rsidRPr="00B9614C">
        <w:rPr>
          <w:rFonts w:asciiTheme="majorBidi" w:hAnsiTheme="majorBidi" w:cstheme="majorBidi"/>
        </w:rPr>
        <w:t xml:space="preserve">Patients </w:t>
      </w:r>
      <w:r w:rsidR="003C6F52" w:rsidRPr="00B9614C">
        <w:rPr>
          <w:rFonts w:asciiTheme="majorBidi" w:hAnsiTheme="majorBidi" w:cstheme="majorBidi"/>
        </w:rPr>
        <w:t>may</w:t>
      </w:r>
      <w:r w:rsidRPr="00B9614C">
        <w:rPr>
          <w:rFonts w:asciiTheme="majorBidi" w:hAnsiTheme="majorBidi" w:cstheme="majorBidi"/>
        </w:rPr>
        <w:t xml:space="preserve"> understand the potential for osteoporosis to have a negative effect on their lives, and express strong motivation to protect their health, but this does not always align with taking medications</w:t>
      </w:r>
      <w:r w:rsidR="007F273F" w:rsidRPr="00B9614C">
        <w:rPr>
          <w:rFonts w:asciiTheme="majorBidi" w:hAnsiTheme="majorBidi" w:cstheme="majorBidi"/>
        </w:rPr>
        <w:t xml:space="preserve"> </w:t>
      </w:r>
      <w:r w:rsidR="00686834" w:rsidRPr="00B9614C">
        <w:rPr>
          <w:rFonts w:asciiTheme="majorBidi" w:hAnsiTheme="majorBidi" w:cstheme="majorBidi"/>
        </w:rPr>
        <w:fldChar w:fldCharType="begin"/>
      </w:r>
      <w:r w:rsidR="007F273F" w:rsidRPr="00B9614C">
        <w:rPr>
          <w:rFonts w:asciiTheme="majorBidi" w:hAnsiTheme="majorBidi" w:cstheme="majorBidi"/>
        </w:rPr>
        <w:instrText xml:space="preserve"> ADDIN EN.CITE &lt;EndNote&gt;&lt;Cite&gt;&lt;Author&gt;(IOF)&lt;/Author&gt;&lt;Year&gt;2005&lt;/Year&gt;&lt;RecNum&gt;11&lt;/RecNum&gt;&lt;DisplayText&gt;[12]&lt;/DisplayText&gt;&lt;record&gt;&lt;rec-number&gt;11&lt;/rec-number&gt;&lt;foreign-keys&gt;&lt;key app="EN" db-id="e5ttpxxpsrartne29sr5fxabdrrtzdzepp55"&gt;11&lt;/key&gt;&lt;/foreign-keys&gt;&lt;ref-type name="Report"&gt;27&lt;/ref-type&gt;&lt;contributors&gt;&lt;authors&gt;&lt;author&gt;International Osteoporosis Foundation (IOF)&lt;/author&gt;&lt;/authors&gt;&lt;/contributors&gt;&lt;titles&gt;&lt;title&gt;The adherence gap: Why osteoporosis patients don’t continue with treatment&amp;#xD;&lt;/title&gt;&lt;/titles&gt;&lt;dates&gt;&lt;year&gt;2005&lt;/year&gt;&lt;/dates&gt;&lt;pub-location&gt;Nyon&lt;/pub-location&gt;&lt;publisher&gt;IOF&lt;/publisher&gt;&lt;urls&gt;&lt;related-urls&gt;&lt;url&gt;http://www.iofbonehealth.org/sites/default/files/PDFs/adherence_gap_report_2005.pdf&lt;/url&gt;&lt;/related-urls&gt;&lt;/urls&gt;&lt;access-date&gt;accessed 29 Jan 2013&lt;/access-date&gt;&lt;/record&gt;&lt;/Cite&gt;&lt;/EndNote&gt;</w:instrText>
      </w:r>
      <w:r w:rsidR="00686834" w:rsidRPr="00B9614C">
        <w:rPr>
          <w:rFonts w:asciiTheme="majorBidi" w:hAnsiTheme="majorBidi" w:cstheme="majorBidi"/>
        </w:rPr>
        <w:fldChar w:fldCharType="separate"/>
      </w:r>
      <w:r w:rsidR="007F273F" w:rsidRPr="00B9614C">
        <w:rPr>
          <w:rFonts w:asciiTheme="majorBidi" w:hAnsiTheme="majorBidi" w:cstheme="majorBidi"/>
          <w:noProof/>
        </w:rPr>
        <w:t>[</w:t>
      </w:r>
      <w:hyperlink w:anchor="_ENREF_12" w:tooltip="(IOF), 2005 #11" w:history="1">
        <w:r w:rsidR="00A6020C" w:rsidRPr="00B9614C">
          <w:rPr>
            <w:rFonts w:asciiTheme="majorBidi" w:hAnsiTheme="majorBidi" w:cstheme="majorBidi"/>
            <w:noProof/>
          </w:rPr>
          <w:t>12</w:t>
        </w:r>
      </w:hyperlink>
      <w:r w:rsidR="007F273F" w:rsidRPr="00B9614C">
        <w:rPr>
          <w:rFonts w:asciiTheme="majorBidi" w:hAnsiTheme="majorBidi" w:cstheme="majorBidi"/>
          <w:noProof/>
        </w:rPr>
        <w:t>]</w:t>
      </w:r>
      <w:r w:rsidR="00686834" w:rsidRPr="00B9614C">
        <w:rPr>
          <w:rFonts w:asciiTheme="majorBidi" w:hAnsiTheme="majorBidi" w:cstheme="majorBidi"/>
        </w:rPr>
        <w:fldChar w:fldCharType="end"/>
      </w:r>
      <w:r w:rsidR="007F273F" w:rsidRPr="00B9614C">
        <w:rPr>
          <w:rFonts w:asciiTheme="majorBidi" w:hAnsiTheme="majorBidi" w:cstheme="majorBidi"/>
        </w:rPr>
        <w:t xml:space="preserve">, </w:t>
      </w:r>
      <w:r w:rsidR="00686834" w:rsidRPr="00B9614C">
        <w:rPr>
          <w:rFonts w:asciiTheme="majorBidi" w:hAnsiTheme="majorBidi" w:cstheme="majorBidi"/>
        </w:rPr>
        <w:fldChar w:fldCharType="begin"/>
      </w:r>
      <w:r w:rsidR="007349A4">
        <w:rPr>
          <w:rFonts w:asciiTheme="majorBidi" w:hAnsiTheme="majorBidi" w:cstheme="majorBidi"/>
        </w:rPr>
        <w:instrText xml:space="preserve"> ADDIN EN.CITE &lt;EndNote&gt;&lt;Cite&gt;&lt;Author&gt;Pound P&lt;/Author&gt;&lt;Year&gt;2005&lt;/Year&gt;&lt;RecNum&gt;13&lt;/RecNum&gt;&lt;DisplayText&gt;[13]&lt;/DisplayText&gt;&lt;record&gt;&lt;rec-number&gt;13&lt;/rec-number&gt;&lt;foreign-keys&gt;&lt;key app="EN" db-id="frw0wf09qsav0qer2zlx2v2ff9srazx5x2ae"&gt;13&lt;/key&gt;&lt;/foreign-keys&gt;&lt;ref-type name="Journal Article"&gt;17&lt;/ref-type&gt;&lt;contributors&gt;&lt;authors&gt;&lt;author&gt;Pound P, Britten N, Morgan M, Yardley L, Pope C, Daker-White G, Campbell R.&lt;/author&gt;&lt;/authors&gt;&lt;/contributors&gt;&lt;titles&gt;&lt;title&gt;Resisting medicines: A synthesis of qualitative studies of medicine taking&lt;/title&gt;&lt;secondary-title&gt;Social Science &amp;amp; Medicine&lt;/secondary-title&gt;&lt;/titles&gt;&lt;periodical&gt;&lt;full-title&gt;Social Science &amp;amp; Medicine&lt;/full-title&gt;&lt;/periodical&gt;&lt;pages&gt;133-55&lt;/pages&gt;&lt;volume&gt;61&lt;/volume&gt;&lt;number&gt;1&lt;/number&gt;&lt;dates&gt;&lt;year&gt;2005&lt;/year&gt;&lt;/dates&gt;&lt;urls&gt;&lt;/urls&gt;&lt;electronic-resource-num&gt;10.1016/j.socscimed.2004.11.063&lt;/electronic-resource-num&gt;&lt;/record&gt;&lt;/Cite&gt;&lt;/EndNote&gt;</w:instrText>
      </w:r>
      <w:r w:rsidR="00686834" w:rsidRPr="00B9614C">
        <w:rPr>
          <w:rFonts w:asciiTheme="majorBidi" w:hAnsiTheme="majorBidi" w:cstheme="majorBidi"/>
        </w:rPr>
        <w:fldChar w:fldCharType="separate"/>
      </w:r>
      <w:r w:rsidR="007F273F" w:rsidRPr="00B9614C">
        <w:rPr>
          <w:rFonts w:asciiTheme="majorBidi" w:hAnsiTheme="majorBidi" w:cstheme="majorBidi"/>
          <w:noProof/>
        </w:rPr>
        <w:t>[</w:t>
      </w:r>
      <w:hyperlink w:anchor="_ENREF_13" w:tooltip="Pound P, 2005 #13" w:history="1">
        <w:r w:rsidR="00A6020C" w:rsidRPr="00B9614C">
          <w:rPr>
            <w:rFonts w:asciiTheme="majorBidi" w:hAnsiTheme="majorBidi" w:cstheme="majorBidi"/>
            <w:noProof/>
          </w:rPr>
          <w:t>13</w:t>
        </w:r>
      </w:hyperlink>
      <w:r w:rsidR="007F273F" w:rsidRPr="00B9614C">
        <w:rPr>
          <w:rFonts w:asciiTheme="majorBidi" w:hAnsiTheme="majorBidi" w:cstheme="majorBidi"/>
          <w:noProof/>
        </w:rPr>
        <w:t>]</w:t>
      </w:r>
      <w:r w:rsidR="00686834" w:rsidRPr="00B9614C">
        <w:rPr>
          <w:rFonts w:asciiTheme="majorBidi" w:hAnsiTheme="majorBidi" w:cstheme="majorBidi"/>
        </w:rPr>
        <w:fldChar w:fldCharType="end"/>
      </w:r>
      <w:r w:rsidR="00473D55" w:rsidRPr="00B9614C">
        <w:rPr>
          <w:rFonts w:asciiTheme="majorBidi" w:hAnsiTheme="majorBidi" w:cstheme="majorBidi"/>
        </w:rPr>
        <w:t xml:space="preserve">. </w:t>
      </w:r>
      <w:r w:rsidRPr="00B9614C">
        <w:rPr>
          <w:rFonts w:asciiTheme="majorBidi" w:hAnsiTheme="majorBidi" w:cstheme="majorBidi"/>
        </w:rPr>
        <w:t>This therefore makes the motivations and decision making of older women around uptake of preventive medication of primary importance to the public health impact of any potential screening programme</w:t>
      </w:r>
      <w:r w:rsidR="009A5957" w:rsidRPr="00B9614C">
        <w:rPr>
          <w:rStyle w:val="EndnoteReference"/>
          <w:rFonts w:asciiTheme="majorBidi" w:hAnsiTheme="majorBidi" w:cstheme="majorBidi"/>
        </w:rPr>
        <w:endnoteReference w:id="1"/>
      </w:r>
      <w:r w:rsidR="00EC6B43" w:rsidRPr="00B9614C">
        <w:rPr>
          <w:rFonts w:asciiTheme="majorBidi" w:hAnsiTheme="majorBidi" w:cstheme="majorBidi"/>
        </w:rPr>
        <w:t xml:space="preserve"> as well as to the individual patient.</w:t>
      </w:r>
    </w:p>
    <w:p w:rsidR="00697CC0" w:rsidRPr="00B9614C" w:rsidRDefault="00697CC0" w:rsidP="00A6020C">
      <w:pPr>
        <w:spacing w:line="360" w:lineRule="auto"/>
        <w:jc w:val="both"/>
        <w:rPr>
          <w:rFonts w:asciiTheme="majorBidi" w:hAnsiTheme="majorBidi" w:cstheme="majorBidi"/>
        </w:rPr>
      </w:pPr>
      <w:r w:rsidRPr="00B9614C">
        <w:rPr>
          <w:rFonts w:asciiTheme="majorBidi" w:hAnsiTheme="majorBidi" w:cstheme="majorBidi"/>
        </w:rPr>
        <w:t>It is also known that patterns of adherence to osteoporosis medications vary over time</w:t>
      </w:r>
      <w:r w:rsidR="007F273F" w:rsidRPr="00B9614C">
        <w:rPr>
          <w:rFonts w:asciiTheme="majorBidi" w:hAnsiTheme="majorBidi" w:cstheme="majorBidi"/>
        </w:rPr>
        <w:t xml:space="preserve"> </w:t>
      </w:r>
      <w:r w:rsidR="00686834" w:rsidRPr="00B9614C">
        <w:rPr>
          <w:rFonts w:asciiTheme="majorBidi" w:hAnsiTheme="majorBidi" w:cstheme="majorBidi"/>
        </w:rPr>
        <w:fldChar w:fldCharType="begin"/>
      </w:r>
      <w:r w:rsidR="007349A4">
        <w:rPr>
          <w:rFonts w:asciiTheme="majorBidi" w:hAnsiTheme="majorBidi" w:cstheme="majorBidi"/>
        </w:rPr>
        <w:instrText xml:space="preserve"> ADDIN EN.CITE &lt;EndNote&gt;&lt;Cite&gt;&lt;Author&gt;Brookhart MA&lt;/Author&gt;&lt;Year&gt;2007&lt;/Year&gt;&lt;RecNum&gt;14&lt;/RecNum&gt;&lt;DisplayText&gt;[14]&lt;/DisplayText&gt;&lt;record&gt;&lt;rec-number&gt;14&lt;/rec-number&gt;&lt;foreign-keys&gt;&lt;key app="EN" db-id="frw0wf09qsav0qer2zlx2v2ff9srazx5x2ae"&gt;14&lt;/key&gt;&lt;/foreign-keys&gt;&lt;ref-type name="Journal Article"&gt;17&lt;/ref-type&gt;&lt;contributors&gt;&lt;authors&gt;&lt;author&gt;Brookhart MA, Avorn J, Katz JN, Finklestein JS, Arnold M, Polinski JM, Patrick AR, Mogun H, Solomon DH.&lt;/author&gt;&lt;/authors&gt;&lt;/contributors&gt;&lt;titles&gt;&lt;title&gt;Gaps in treatment among users of osteoporosis medications: the dynamics of noncompliance &lt;/title&gt;&lt;secondary-title&gt;Am J Med&lt;/secondary-title&gt;&lt;/titles&gt;&lt;periodical&gt;&lt;full-title&gt;Am J Med&lt;/full-title&gt;&lt;/periodical&gt;&lt;pages&gt;251-60&lt;/pages&gt;&lt;volume&gt;120&lt;/volume&gt;&lt;number&gt;3&lt;/number&gt;&lt;dates&gt;&lt;year&gt;2007&lt;/year&gt;&lt;/dates&gt;&lt;urls&gt;&lt;/urls&gt;&lt;electronic-resource-num&gt;doi: 10.1016/j.amjmed.2006.03.029&lt;/electronic-resource-num&gt;&lt;/record&gt;&lt;/Cite&gt;&lt;/EndNote&gt;</w:instrText>
      </w:r>
      <w:r w:rsidR="00686834" w:rsidRPr="00B9614C">
        <w:rPr>
          <w:rFonts w:asciiTheme="majorBidi" w:hAnsiTheme="majorBidi" w:cstheme="majorBidi"/>
        </w:rPr>
        <w:fldChar w:fldCharType="separate"/>
      </w:r>
      <w:r w:rsidR="007F273F" w:rsidRPr="00B9614C">
        <w:rPr>
          <w:rFonts w:asciiTheme="majorBidi" w:hAnsiTheme="majorBidi" w:cstheme="majorBidi"/>
          <w:noProof/>
        </w:rPr>
        <w:t>[</w:t>
      </w:r>
      <w:hyperlink w:anchor="_ENREF_14" w:tooltip="Brookhart MA, 2007 #14" w:history="1">
        <w:r w:rsidR="00A6020C" w:rsidRPr="00B9614C">
          <w:rPr>
            <w:rFonts w:asciiTheme="majorBidi" w:hAnsiTheme="majorBidi" w:cstheme="majorBidi"/>
            <w:noProof/>
          </w:rPr>
          <w:t>14</w:t>
        </w:r>
      </w:hyperlink>
      <w:r w:rsidR="007F273F" w:rsidRPr="00B9614C">
        <w:rPr>
          <w:rFonts w:asciiTheme="majorBidi" w:hAnsiTheme="majorBidi" w:cstheme="majorBidi"/>
          <w:noProof/>
        </w:rPr>
        <w:t>]</w:t>
      </w:r>
      <w:r w:rsidR="00686834" w:rsidRPr="00B9614C">
        <w:rPr>
          <w:rFonts w:asciiTheme="majorBidi" w:hAnsiTheme="majorBidi" w:cstheme="majorBidi"/>
        </w:rPr>
        <w:fldChar w:fldCharType="end"/>
      </w:r>
      <w:r w:rsidR="005E6D4F" w:rsidRPr="00B9614C">
        <w:rPr>
          <w:rFonts w:asciiTheme="majorBidi" w:hAnsiTheme="majorBidi" w:cstheme="majorBidi"/>
        </w:rPr>
        <w:t xml:space="preserve">, </w:t>
      </w:r>
      <w:r w:rsidR="00686834" w:rsidRPr="00B9614C">
        <w:rPr>
          <w:rFonts w:asciiTheme="majorBidi" w:hAnsiTheme="majorBidi" w:cstheme="majorBidi"/>
        </w:rPr>
        <w:fldChar w:fldCharType="begin"/>
      </w:r>
      <w:r w:rsidR="007349A4">
        <w:rPr>
          <w:rFonts w:asciiTheme="majorBidi" w:hAnsiTheme="majorBidi" w:cstheme="majorBidi"/>
        </w:rPr>
        <w:instrText xml:space="preserve"> ADDIN EN.CITE &lt;EndNote&gt;&lt;Cite&gt;&lt;Author&gt;Pickney CS&lt;/Author&gt;&lt;Year&gt;2005&lt;/Year&gt;&lt;RecNum&gt;15&lt;/RecNum&gt;&lt;DisplayText&gt;[15]&lt;/DisplayText&gt;&lt;record&gt;&lt;rec-number&gt;15&lt;/rec-number&gt;&lt;foreign-keys&gt;&lt;key app="EN" db-id="frw0wf09qsav0qer2zlx2v2ff9srazx5x2ae"&gt;15&lt;/key&gt;&lt;/foreign-keys&gt;&lt;ref-type name="Journal Article"&gt;17&lt;/ref-type&gt;&lt;contributors&gt;&lt;authors&gt;&lt;author&gt;Pickney CS, Arnason JA&lt;/author&gt;&lt;/authors&gt;&lt;/contributors&gt;&lt;titles&gt;&lt;title&gt;Correlation between patient recall of bone densitometry results and subsequent treatment adherence &lt;/title&gt;&lt;secondary-title&gt;Osteoporosis International&lt;/secondary-title&gt;&lt;/titles&gt;&lt;periodical&gt;&lt;full-title&gt;Osteoporosis International&lt;/full-title&gt;&lt;/periodical&gt;&lt;pages&gt;1156-60&lt;/pages&gt;&lt;volume&gt;16&lt;/volume&gt;&lt;number&gt;9&lt;/number&gt;&lt;dates&gt;&lt;year&gt;2005&lt;/year&gt;&lt;/dates&gt;&lt;urls&gt;&lt;/urls&gt;&lt;electronic-resource-num&gt;doi:10.1007/s00198-004-1818-8&lt;/electronic-resource-num&gt;&lt;/record&gt;&lt;/Cite&gt;&lt;/EndNote&gt;</w:instrText>
      </w:r>
      <w:r w:rsidR="00686834" w:rsidRPr="00B9614C">
        <w:rPr>
          <w:rFonts w:asciiTheme="majorBidi" w:hAnsiTheme="majorBidi" w:cstheme="majorBidi"/>
        </w:rPr>
        <w:fldChar w:fldCharType="separate"/>
      </w:r>
      <w:r w:rsidR="007F273F" w:rsidRPr="00B9614C">
        <w:rPr>
          <w:rFonts w:asciiTheme="majorBidi" w:hAnsiTheme="majorBidi" w:cstheme="majorBidi"/>
          <w:noProof/>
        </w:rPr>
        <w:t>[</w:t>
      </w:r>
      <w:hyperlink w:anchor="_ENREF_15" w:tooltip="Pickney CS, 2005 #15" w:history="1">
        <w:r w:rsidR="00A6020C" w:rsidRPr="00B9614C">
          <w:rPr>
            <w:rFonts w:asciiTheme="majorBidi" w:hAnsiTheme="majorBidi" w:cstheme="majorBidi"/>
            <w:noProof/>
          </w:rPr>
          <w:t>15</w:t>
        </w:r>
      </w:hyperlink>
      <w:r w:rsidR="007F273F" w:rsidRPr="00B9614C">
        <w:rPr>
          <w:rFonts w:asciiTheme="majorBidi" w:hAnsiTheme="majorBidi" w:cstheme="majorBidi"/>
          <w:noProof/>
        </w:rPr>
        <w:t>]</w:t>
      </w:r>
      <w:r w:rsidR="00686834" w:rsidRPr="00B9614C">
        <w:rPr>
          <w:rFonts w:asciiTheme="majorBidi" w:hAnsiTheme="majorBidi" w:cstheme="majorBidi"/>
        </w:rPr>
        <w:fldChar w:fldCharType="end"/>
      </w:r>
      <w:r w:rsidR="007F273F" w:rsidRPr="00B9614C">
        <w:rPr>
          <w:rFonts w:asciiTheme="majorBidi" w:hAnsiTheme="majorBidi" w:cstheme="majorBidi"/>
        </w:rPr>
        <w:t>.</w:t>
      </w:r>
      <w:r w:rsidR="00473D55" w:rsidRPr="00B9614C">
        <w:rPr>
          <w:rFonts w:asciiTheme="majorBidi" w:hAnsiTheme="majorBidi" w:cstheme="majorBidi"/>
        </w:rPr>
        <w:t xml:space="preserve"> </w:t>
      </w:r>
      <w:r w:rsidR="006B235B" w:rsidRPr="00B9614C">
        <w:rPr>
          <w:rFonts w:asciiTheme="majorBidi" w:hAnsiTheme="majorBidi" w:cstheme="majorBidi"/>
        </w:rPr>
        <w:t>However</w:t>
      </w:r>
      <w:r w:rsidRPr="00B9614C">
        <w:rPr>
          <w:rFonts w:asciiTheme="majorBidi" w:hAnsiTheme="majorBidi" w:cstheme="majorBidi"/>
        </w:rPr>
        <w:t>, a survey of patient</w:t>
      </w:r>
      <w:r w:rsidR="0039429E" w:rsidRPr="00B9614C">
        <w:rPr>
          <w:rFonts w:asciiTheme="majorBidi" w:hAnsiTheme="majorBidi" w:cstheme="majorBidi"/>
        </w:rPr>
        <w:t>s</w:t>
      </w:r>
      <w:r w:rsidRPr="00B9614C">
        <w:rPr>
          <w:rFonts w:asciiTheme="majorBidi" w:hAnsiTheme="majorBidi" w:cstheme="majorBidi"/>
        </w:rPr>
        <w:t xml:space="preserve"> and physicians showed that poor adherence reflected patient scepticism about the risks and values of treatment</w:t>
      </w:r>
      <w:r w:rsidR="009751ED" w:rsidRPr="00B9614C">
        <w:rPr>
          <w:rFonts w:asciiTheme="majorBidi" w:hAnsiTheme="majorBidi" w:cstheme="majorBidi"/>
        </w:rPr>
        <w:t>,</w:t>
      </w:r>
      <w:r w:rsidRPr="00B9614C">
        <w:rPr>
          <w:rFonts w:asciiTheme="majorBidi" w:hAnsiTheme="majorBidi" w:cstheme="majorBidi"/>
        </w:rPr>
        <w:t xml:space="preserve"> rather than a lack of factual knowledge. </w:t>
      </w:r>
      <w:r w:rsidRPr="00B9614C">
        <w:rPr>
          <w:rFonts w:asciiTheme="majorBidi" w:hAnsiTheme="majorBidi" w:cstheme="majorBidi"/>
          <w:noProof/>
        </w:rPr>
        <w:t xml:space="preserve">A </w:t>
      </w:r>
      <w:r w:rsidRPr="00B9614C">
        <w:rPr>
          <w:rFonts w:asciiTheme="majorBidi" w:hAnsiTheme="majorBidi" w:cstheme="majorBidi"/>
        </w:rPr>
        <w:t>qualitative synthesis of studies on lay experience of medicine taking found widespread caution about taking medication with many</w:t>
      </w:r>
      <w:r w:rsidR="007A21C9">
        <w:rPr>
          <w:rFonts w:asciiTheme="majorBidi" w:hAnsiTheme="majorBidi" w:cstheme="majorBidi"/>
        </w:rPr>
        <w:t xml:space="preserve"> participants </w:t>
      </w:r>
      <w:r w:rsidRPr="00B9614C">
        <w:rPr>
          <w:rFonts w:asciiTheme="majorBidi" w:hAnsiTheme="majorBidi" w:cstheme="majorBidi"/>
        </w:rPr>
        <w:t>‘testing’ prescribed medicines for efficacy and adverse side effects</w:t>
      </w:r>
      <w:r w:rsidR="007F273F" w:rsidRPr="00B9614C">
        <w:rPr>
          <w:rFonts w:asciiTheme="majorBidi" w:hAnsiTheme="majorBidi" w:cstheme="majorBidi"/>
        </w:rPr>
        <w:t xml:space="preserve"> </w:t>
      </w:r>
      <w:r w:rsidR="00686834" w:rsidRPr="00B9614C">
        <w:rPr>
          <w:rFonts w:asciiTheme="majorBidi" w:hAnsiTheme="majorBidi" w:cstheme="majorBidi"/>
        </w:rPr>
        <w:fldChar w:fldCharType="begin"/>
      </w:r>
      <w:r w:rsidR="007349A4">
        <w:rPr>
          <w:rFonts w:asciiTheme="majorBidi" w:hAnsiTheme="majorBidi" w:cstheme="majorBidi"/>
        </w:rPr>
        <w:instrText xml:space="preserve"> ADDIN EN.CITE &lt;EndNote&gt;&lt;Cite&gt;&lt;Author&gt;Brookhart MA&lt;/Author&gt;&lt;Year&gt;2007&lt;/Year&gt;&lt;RecNum&gt;14&lt;/RecNum&gt;&lt;DisplayText&gt;[14]&lt;/DisplayText&gt;&lt;record&gt;&lt;rec-number&gt;14&lt;/rec-number&gt;&lt;foreign-keys&gt;&lt;key app="EN" db-id="frw0wf09qsav0qer2zlx2v2ff9srazx5x2ae"&gt;14&lt;/key&gt;&lt;/foreign-keys&gt;&lt;ref-type name="Journal Article"&gt;17&lt;/ref-type&gt;&lt;contributors&gt;&lt;authors&gt;&lt;author&gt;Brookhart MA, Avorn J, Katz JN, Finklestein JS, Arnold M, Polinski JM, Patrick AR, Mogun H, Solomon DH.&lt;/author&gt;&lt;/authors&gt;&lt;/contributors&gt;&lt;titles&gt;&lt;title&gt;Gaps in treatment among users of osteoporosis medications: the dynamics of noncompliance &lt;/title&gt;&lt;secondary-title&gt;Am J Med&lt;/secondary-title&gt;&lt;/titles&gt;&lt;periodical&gt;&lt;full-title&gt;Am J Med&lt;/full-title&gt;&lt;/periodical&gt;&lt;pages&gt;251-60&lt;/pages&gt;&lt;volume&gt;120&lt;/volume&gt;&lt;number&gt;3&lt;/number&gt;&lt;dates&gt;&lt;year&gt;2007&lt;/year&gt;&lt;/dates&gt;&lt;urls&gt;&lt;/urls&gt;&lt;electronic-resource-num&gt;doi: 10.1016/j.amjmed.2006.03.029&lt;/electronic-resource-num&gt;&lt;/record&gt;&lt;/Cite&gt;&lt;/EndNote&gt;</w:instrText>
      </w:r>
      <w:r w:rsidR="00686834" w:rsidRPr="00B9614C">
        <w:rPr>
          <w:rFonts w:asciiTheme="majorBidi" w:hAnsiTheme="majorBidi" w:cstheme="majorBidi"/>
        </w:rPr>
        <w:fldChar w:fldCharType="separate"/>
      </w:r>
      <w:r w:rsidR="007F273F" w:rsidRPr="00B9614C">
        <w:rPr>
          <w:rFonts w:asciiTheme="majorBidi" w:hAnsiTheme="majorBidi" w:cstheme="majorBidi"/>
          <w:noProof/>
        </w:rPr>
        <w:t>[</w:t>
      </w:r>
      <w:hyperlink w:anchor="_ENREF_14" w:tooltip="Brookhart MA, 2007 #14" w:history="1">
        <w:r w:rsidR="00A6020C" w:rsidRPr="00B9614C">
          <w:rPr>
            <w:rFonts w:asciiTheme="majorBidi" w:hAnsiTheme="majorBidi" w:cstheme="majorBidi"/>
            <w:noProof/>
          </w:rPr>
          <w:t>14</w:t>
        </w:r>
      </w:hyperlink>
      <w:r w:rsidR="007F273F" w:rsidRPr="00B9614C">
        <w:rPr>
          <w:rFonts w:asciiTheme="majorBidi" w:hAnsiTheme="majorBidi" w:cstheme="majorBidi"/>
          <w:noProof/>
        </w:rPr>
        <w:t>]</w:t>
      </w:r>
      <w:r w:rsidR="00686834" w:rsidRPr="00B9614C">
        <w:rPr>
          <w:rFonts w:asciiTheme="majorBidi" w:hAnsiTheme="majorBidi" w:cstheme="majorBidi"/>
        </w:rPr>
        <w:fldChar w:fldCharType="end"/>
      </w:r>
      <w:r w:rsidR="00473D55" w:rsidRPr="00B9614C">
        <w:rPr>
          <w:rFonts w:asciiTheme="majorBidi" w:hAnsiTheme="majorBidi" w:cstheme="majorBidi"/>
        </w:rPr>
        <w:t xml:space="preserve">. </w:t>
      </w:r>
      <w:r w:rsidR="006B235B" w:rsidRPr="00B9614C">
        <w:rPr>
          <w:rFonts w:asciiTheme="majorBidi" w:hAnsiTheme="majorBidi" w:cstheme="majorBidi"/>
        </w:rPr>
        <w:t>O</w:t>
      </w:r>
      <w:r w:rsidRPr="00B9614C">
        <w:rPr>
          <w:rFonts w:asciiTheme="majorBidi" w:hAnsiTheme="majorBidi" w:cstheme="majorBidi"/>
        </w:rPr>
        <w:t xml:space="preserve">ur pilot </w:t>
      </w:r>
      <w:r w:rsidR="006B235B" w:rsidRPr="00B9614C">
        <w:rPr>
          <w:rFonts w:asciiTheme="majorBidi" w:hAnsiTheme="majorBidi" w:cstheme="majorBidi"/>
        </w:rPr>
        <w:t>study found</w:t>
      </w:r>
      <w:r w:rsidRPr="00B9614C">
        <w:rPr>
          <w:rFonts w:asciiTheme="majorBidi" w:hAnsiTheme="majorBidi" w:cstheme="majorBidi"/>
        </w:rPr>
        <w:t xml:space="preserve"> as many as 50% of women at ‘high risk’ of fracture in the 70 – 85 age group were not receiving </w:t>
      </w:r>
      <w:r w:rsidR="007F273F" w:rsidRPr="00B9614C">
        <w:rPr>
          <w:rFonts w:asciiTheme="majorBidi" w:hAnsiTheme="majorBidi" w:cstheme="majorBidi"/>
        </w:rPr>
        <w:t>treatment four months later</w:t>
      </w:r>
      <w:r w:rsidRPr="00B9614C">
        <w:rPr>
          <w:rFonts w:asciiTheme="majorBidi" w:hAnsiTheme="majorBidi" w:cstheme="majorBidi"/>
        </w:rPr>
        <w:t xml:space="preserve"> </w:t>
      </w:r>
      <w:r w:rsidR="00686834" w:rsidRPr="00B9614C">
        <w:rPr>
          <w:rFonts w:asciiTheme="majorBidi" w:hAnsiTheme="majorBidi" w:cstheme="majorBidi"/>
        </w:rPr>
        <w:fldChar w:fldCharType="begin"/>
      </w:r>
      <w:r w:rsidR="007349A4">
        <w:rPr>
          <w:rFonts w:asciiTheme="majorBidi" w:hAnsiTheme="majorBidi" w:cstheme="majorBidi"/>
        </w:rPr>
        <w:instrText xml:space="preserve"> ADDIN EN.CITE &lt;EndNote&gt;&lt;Cite&gt;&lt;Author&gt;L.&lt;/Author&gt;&lt;RecNum&gt;16&lt;/RecNum&gt;&lt;DisplayText&gt;[16]&lt;/DisplayText&gt;&lt;record&gt;&lt;rec-number&gt;16&lt;/rec-number&gt;&lt;foreign-keys&gt;&lt;key app="EN" db-id="frw0wf09qsav0qer2zlx2v2ff9srazx5x2ae"&gt;16&lt;/key&gt;&lt;/foreign-keys&gt;&lt;ref-type name="Web Page"&gt;12&lt;/ref-type&gt;&lt;contributors&gt;&lt;authors&gt;&lt;author&gt;Shepstone L.&lt;/author&gt;&lt;/authors&gt;&lt;/contributors&gt;&lt;titles&gt;&lt;title&gt;A Pragmatic Randomised Clinical Trail of the Effectiveness and Cost Effectiveness of Targeted Population Screening for Low Bone Mineral Density in the Prevention of next of Femur Fractures: ISRCTN 11021925.&lt;/title&gt;&lt;/titles&gt;&lt;dates&gt;&lt;/dates&gt;&lt;urls&gt;&lt;/urls&gt;&lt;/record&gt;&lt;/Cite&gt;&lt;/EndNote&gt;</w:instrText>
      </w:r>
      <w:r w:rsidR="00686834" w:rsidRPr="00B9614C">
        <w:rPr>
          <w:rFonts w:asciiTheme="majorBidi" w:hAnsiTheme="majorBidi" w:cstheme="majorBidi"/>
        </w:rPr>
        <w:fldChar w:fldCharType="separate"/>
      </w:r>
      <w:r w:rsidR="007F273F" w:rsidRPr="00B9614C">
        <w:rPr>
          <w:rFonts w:asciiTheme="majorBidi" w:hAnsiTheme="majorBidi" w:cstheme="majorBidi"/>
          <w:noProof/>
        </w:rPr>
        <w:t>[</w:t>
      </w:r>
      <w:hyperlink w:anchor="_ENREF_16" w:tooltip="L.,  #16" w:history="1">
        <w:r w:rsidR="00A6020C" w:rsidRPr="00B9614C">
          <w:rPr>
            <w:rFonts w:asciiTheme="majorBidi" w:hAnsiTheme="majorBidi" w:cstheme="majorBidi"/>
            <w:noProof/>
          </w:rPr>
          <w:t>16</w:t>
        </w:r>
      </w:hyperlink>
      <w:r w:rsidR="007F273F" w:rsidRPr="00B9614C">
        <w:rPr>
          <w:rFonts w:asciiTheme="majorBidi" w:hAnsiTheme="majorBidi" w:cstheme="majorBidi"/>
          <w:noProof/>
        </w:rPr>
        <w:t>]</w:t>
      </w:r>
      <w:r w:rsidR="00686834" w:rsidRPr="00B9614C">
        <w:rPr>
          <w:rFonts w:asciiTheme="majorBidi" w:hAnsiTheme="majorBidi" w:cstheme="majorBidi"/>
        </w:rPr>
        <w:fldChar w:fldCharType="end"/>
      </w:r>
      <w:r w:rsidR="00473D55" w:rsidRPr="00B9614C">
        <w:rPr>
          <w:rFonts w:asciiTheme="majorBidi" w:hAnsiTheme="majorBidi" w:cstheme="majorBidi"/>
        </w:rPr>
        <w:t xml:space="preserve">. </w:t>
      </w:r>
      <w:r w:rsidRPr="00B9614C">
        <w:rPr>
          <w:rFonts w:asciiTheme="majorBidi" w:hAnsiTheme="majorBidi" w:cstheme="majorBidi"/>
        </w:rPr>
        <w:t>We therefore undertook this study to explore the factors that influence older women’s adherence to prescribed prophylactic medication when assessed to have high</w:t>
      </w:r>
      <w:r w:rsidR="003C6F52" w:rsidRPr="00B9614C">
        <w:rPr>
          <w:rFonts w:asciiTheme="majorBidi" w:hAnsiTheme="majorBidi" w:cstheme="majorBidi"/>
        </w:rPr>
        <w:t>er than average</w:t>
      </w:r>
      <w:r w:rsidRPr="00B9614C">
        <w:rPr>
          <w:rFonts w:asciiTheme="majorBidi" w:hAnsiTheme="majorBidi" w:cstheme="majorBidi"/>
        </w:rPr>
        <w:t xml:space="preserve"> risk of fracture following sc</w:t>
      </w:r>
      <w:r w:rsidR="00473D55" w:rsidRPr="00B9614C">
        <w:rPr>
          <w:rFonts w:asciiTheme="majorBidi" w:hAnsiTheme="majorBidi" w:cstheme="majorBidi"/>
        </w:rPr>
        <w:t xml:space="preserve">reening. </w:t>
      </w:r>
      <w:r w:rsidRPr="00B9614C">
        <w:rPr>
          <w:rFonts w:asciiTheme="majorBidi" w:hAnsiTheme="majorBidi" w:cstheme="majorBidi"/>
        </w:rPr>
        <w:t xml:space="preserve">This paper describes the perceptions and motivations to which participants attributed their willingness and ability to adhere to osteoporosis prevention regimes, and considers implications for practice.  </w:t>
      </w:r>
    </w:p>
    <w:p w:rsidR="00697CC0" w:rsidRPr="00B9614C" w:rsidRDefault="00697CC0" w:rsidP="00473D55">
      <w:pPr>
        <w:spacing w:line="360" w:lineRule="auto"/>
        <w:jc w:val="both"/>
        <w:rPr>
          <w:rFonts w:asciiTheme="majorBidi" w:hAnsiTheme="majorBidi" w:cstheme="majorBidi"/>
        </w:rPr>
      </w:pPr>
    </w:p>
    <w:p w:rsidR="00697CC0" w:rsidRPr="00B9614C" w:rsidRDefault="00C43128" w:rsidP="00473D55">
      <w:pPr>
        <w:spacing w:line="360" w:lineRule="auto"/>
        <w:jc w:val="both"/>
        <w:rPr>
          <w:rFonts w:asciiTheme="majorBidi" w:hAnsiTheme="majorBidi" w:cstheme="majorBidi"/>
          <w:b/>
          <w:bCs/>
          <w:noProof/>
        </w:rPr>
      </w:pPr>
      <w:r w:rsidRPr="00B9614C">
        <w:rPr>
          <w:rFonts w:asciiTheme="majorBidi" w:hAnsiTheme="majorBidi" w:cstheme="majorBidi"/>
          <w:b/>
          <w:bCs/>
          <w:noProof/>
        </w:rPr>
        <w:t>Method</w:t>
      </w:r>
    </w:p>
    <w:p w:rsidR="009A5957" w:rsidRPr="00B9614C" w:rsidRDefault="009A5957" w:rsidP="00473D55">
      <w:pPr>
        <w:spacing w:line="360" w:lineRule="auto"/>
        <w:jc w:val="both"/>
        <w:rPr>
          <w:rFonts w:asciiTheme="majorBidi" w:hAnsiTheme="majorBidi" w:cstheme="majorBidi"/>
          <w:b/>
          <w:noProof/>
        </w:rPr>
      </w:pPr>
    </w:p>
    <w:p w:rsidR="00697CC0" w:rsidRPr="00B9614C" w:rsidRDefault="00697CC0" w:rsidP="00473D55">
      <w:pPr>
        <w:spacing w:line="360" w:lineRule="auto"/>
        <w:jc w:val="both"/>
        <w:rPr>
          <w:rFonts w:asciiTheme="majorBidi" w:hAnsiTheme="majorBidi" w:cstheme="majorBidi"/>
          <w:b/>
          <w:noProof/>
        </w:rPr>
      </w:pPr>
      <w:r w:rsidRPr="00B9614C">
        <w:rPr>
          <w:rFonts w:asciiTheme="majorBidi" w:hAnsiTheme="majorBidi" w:cstheme="majorBidi"/>
          <w:b/>
          <w:noProof/>
        </w:rPr>
        <w:t>Participants and procedure</w:t>
      </w:r>
    </w:p>
    <w:p w:rsidR="004C153D" w:rsidRPr="00B9614C" w:rsidRDefault="00697CC0" w:rsidP="00A6020C">
      <w:pPr>
        <w:spacing w:line="360" w:lineRule="auto"/>
        <w:jc w:val="both"/>
        <w:rPr>
          <w:rFonts w:asciiTheme="majorBidi" w:hAnsiTheme="majorBidi" w:cstheme="majorBidi"/>
          <w:noProof/>
        </w:rPr>
      </w:pPr>
      <w:r w:rsidRPr="00B9614C">
        <w:rPr>
          <w:rFonts w:asciiTheme="majorBidi" w:hAnsiTheme="majorBidi" w:cstheme="majorBidi"/>
          <w:noProof/>
        </w:rPr>
        <w:t>The Adherence To Osteoporosis Medication</w:t>
      </w:r>
      <w:r w:rsidR="00DE43A2" w:rsidRPr="00B9614C">
        <w:rPr>
          <w:rFonts w:asciiTheme="majorBidi" w:hAnsiTheme="majorBidi" w:cstheme="majorBidi"/>
          <w:noProof/>
        </w:rPr>
        <w:t xml:space="preserve"> (ATOM Study</w:t>
      </w:r>
      <w:r w:rsidRPr="00B9614C">
        <w:rPr>
          <w:rFonts w:asciiTheme="majorBidi" w:hAnsiTheme="majorBidi" w:cstheme="majorBidi"/>
          <w:noProof/>
        </w:rPr>
        <w:t xml:space="preserve">) was established as a longitudinal qualitative study embedded within the Medical Research Council funded UK multi-centre randomised control trial </w:t>
      </w:r>
      <w:r w:rsidR="00DE43A2" w:rsidRPr="00B9614C">
        <w:rPr>
          <w:rFonts w:asciiTheme="majorBidi" w:hAnsiTheme="majorBidi" w:cstheme="majorBidi"/>
          <w:noProof/>
        </w:rPr>
        <w:t xml:space="preserve">on </w:t>
      </w:r>
      <w:r w:rsidRPr="00B9614C">
        <w:rPr>
          <w:rFonts w:asciiTheme="majorBidi" w:hAnsiTheme="majorBidi" w:cstheme="majorBidi"/>
          <w:noProof/>
        </w:rPr>
        <w:t>Screening for Osteoporosis in Older Women for the Prevention of Fractures</w:t>
      </w:r>
      <w:r w:rsidR="00DE43A2" w:rsidRPr="00B9614C">
        <w:rPr>
          <w:rFonts w:asciiTheme="majorBidi" w:hAnsiTheme="majorBidi" w:cstheme="majorBidi"/>
          <w:noProof/>
        </w:rPr>
        <w:t xml:space="preserve"> (SCOOP</w:t>
      </w:r>
      <w:r w:rsidRPr="00B9614C">
        <w:rPr>
          <w:rFonts w:asciiTheme="majorBidi" w:hAnsiTheme="majorBidi" w:cstheme="majorBidi"/>
          <w:noProof/>
        </w:rPr>
        <w:t>)</w:t>
      </w:r>
      <w:r w:rsidR="00473D55" w:rsidRPr="00B9614C">
        <w:rPr>
          <w:rFonts w:asciiTheme="majorBidi" w:hAnsiTheme="majorBidi" w:cstheme="majorBidi"/>
          <w:noProof/>
        </w:rPr>
        <w:t xml:space="preserve">. </w:t>
      </w:r>
      <w:r w:rsidRPr="00B9614C">
        <w:rPr>
          <w:rFonts w:asciiTheme="majorBidi" w:hAnsiTheme="majorBidi" w:cstheme="majorBidi"/>
          <w:noProof/>
        </w:rPr>
        <w:t>SCOOP</w:t>
      </w:r>
      <w:r w:rsidR="00686834" w:rsidRPr="00B9614C">
        <w:rPr>
          <w:rFonts w:asciiTheme="majorBidi" w:hAnsiTheme="majorBidi" w:cstheme="majorBidi"/>
          <w:noProof/>
        </w:rPr>
        <w:fldChar w:fldCharType="begin"/>
      </w:r>
      <w:r w:rsidR="007349A4">
        <w:rPr>
          <w:rFonts w:asciiTheme="majorBidi" w:hAnsiTheme="majorBidi" w:cstheme="majorBidi"/>
          <w:noProof/>
        </w:rPr>
        <w:instrText xml:space="preserve"> ADDIN EN.CITE &lt;EndNote&gt;&lt;Cite&gt;&lt;Author&gt;Shepstone L&lt;/Author&gt;&lt;Year&gt;2012&lt;/Year&gt;&lt;RecNum&gt;18&lt;/RecNum&gt;&lt;DisplayText&gt;[17]&lt;/DisplayText&gt;&lt;record&gt;&lt;rec-number&gt;18&lt;/rec-number&gt;&lt;foreign-keys&gt;&lt;key app="EN" db-id="frw0wf09qsav0qer2zlx2v2ff9srazx5x2ae"&gt;18&lt;/key&gt;&lt;/foreign-keys&gt;&lt;ref-type name="Journal Article"&gt;17&lt;/ref-type&gt;&lt;contributors&gt;&lt;authors&gt;&lt;author&gt;Shepstone L, Fordham R, Lenaghan E, Harvey I, Cooper C, Gittoes N, Heawood A, Peters T, O&amp;apos;Neill T, Torgerson D, Holland R, Howe A, Marshall T, Kanis J, McCloskey L.&lt;/author&gt;&lt;/authors&gt;&lt;/contributors&gt;&lt;titles&gt;&lt;title&gt;A pragmatic randomised controlled trial of the effectiveness and cost-effectiveness of screening older women for the prevention of fractures: Rationale, design and methods for the SCOOP study &lt;/title&gt;&lt;secondary-title&gt;Osteoporosis International&lt;/secondary-title&gt;&lt;/titles&gt;&lt;periodical&gt;&lt;full-title&gt;Osteoporosis International&lt;/full-title&gt;&lt;/periodical&gt;&lt;pages&gt;2507-15&lt;/pages&gt;&lt;volume&gt;23&lt;/volume&gt;&lt;number&gt;10&lt;/number&gt;&lt;dates&gt;&lt;year&gt;2012&lt;/year&gt;&lt;/dates&gt;&lt;urls&gt;&lt;/urls&gt;&lt;electronic-resource-num&gt;doi:10.1007/s00198-011-1876-7&lt;/electronic-resource-num&gt;&lt;/record&gt;&lt;/Cite&gt;&lt;/EndNote&gt;</w:instrText>
      </w:r>
      <w:r w:rsidR="00686834" w:rsidRPr="00B9614C">
        <w:rPr>
          <w:rFonts w:asciiTheme="majorBidi" w:hAnsiTheme="majorBidi" w:cstheme="majorBidi"/>
          <w:noProof/>
        </w:rPr>
        <w:fldChar w:fldCharType="separate"/>
      </w:r>
      <w:r w:rsidR="007F273F" w:rsidRPr="00B9614C">
        <w:rPr>
          <w:rFonts w:asciiTheme="majorBidi" w:hAnsiTheme="majorBidi" w:cstheme="majorBidi"/>
          <w:noProof/>
        </w:rPr>
        <w:t>[</w:t>
      </w:r>
      <w:hyperlink w:anchor="_ENREF_17" w:tooltip="Shepstone L, 2012 #18" w:history="1">
        <w:r w:rsidR="00A6020C" w:rsidRPr="00B9614C">
          <w:rPr>
            <w:rFonts w:asciiTheme="majorBidi" w:hAnsiTheme="majorBidi" w:cstheme="majorBidi"/>
            <w:noProof/>
          </w:rPr>
          <w:t>17</w:t>
        </w:r>
      </w:hyperlink>
      <w:r w:rsidR="007F273F" w:rsidRPr="00B9614C">
        <w:rPr>
          <w:rFonts w:asciiTheme="majorBidi" w:hAnsiTheme="majorBidi" w:cstheme="majorBidi"/>
          <w:noProof/>
        </w:rPr>
        <w:t>]</w:t>
      </w:r>
      <w:r w:rsidR="00686834" w:rsidRPr="00B9614C">
        <w:rPr>
          <w:rFonts w:asciiTheme="majorBidi" w:hAnsiTheme="majorBidi" w:cstheme="majorBidi"/>
          <w:noProof/>
        </w:rPr>
        <w:fldChar w:fldCharType="end"/>
      </w:r>
      <w:r w:rsidRPr="00B9614C">
        <w:rPr>
          <w:rFonts w:asciiTheme="majorBidi" w:hAnsiTheme="majorBidi" w:cstheme="majorBidi"/>
          <w:noProof/>
        </w:rPr>
        <w:t xml:space="preserve"> aims to explore the effectiveness of screening women aged 70 - 85 for the preve</w:t>
      </w:r>
      <w:r w:rsidR="00716B5F" w:rsidRPr="00B9614C">
        <w:rPr>
          <w:rFonts w:asciiTheme="majorBidi" w:hAnsiTheme="majorBidi" w:cstheme="majorBidi"/>
          <w:noProof/>
        </w:rPr>
        <w:t>ntion of fractures using a risk-</w:t>
      </w:r>
      <w:r w:rsidR="00473D55" w:rsidRPr="00B9614C">
        <w:rPr>
          <w:rFonts w:asciiTheme="majorBidi" w:hAnsiTheme="majorBidi" w:cstheme="majorBidi"/>
          <w:noProof/>
        </w:rPr>
        <w:t xml:space="preserve">prediction algorithm. </w:t>
      </w:r>
      <w:r w:rsidRPr="00B9614C">
        <w:rPr>
          <w:rFonts w:asciiTheme="majorBidi" w:hAnsiTheme="majorBidi" w:cstheme="majorBidi"/>
          <w:noProof/>
        </w:rPr>
        <w:t xml:space="preserve">The qualitative </w:t>
      </w:r>
      <w:r w:rsidR="00DE43A2" w:rsidRPr="00B9614C">
        <w:rPr>
          <w:rFonts w:asciiTheme="majorBidi" w:hAnsiTheme="majorBidi" w:cstheme="majorBidi"/>
          <w:noProof/>
        </w:rPr>
        <w:t>study took place in Norfolk</w:t>
      </w:r>
      <w:r w:rsidR="008F3692" w:rsidRPr="00B9614C">
        <w:rPr>
          <w:rFonts w:asciiTheme="majorBidi" w:hAnsiTheme="majorBidi" w:cstheme="majorBidi"/>
          <w:noProof/>
        </w:rPr>
        <w:t>,</w:t>
      </w:r>
      <w:r w:rsidR="00DE43A2" w:rsidRPr="00B9614C">
        <w:rPr>
          <w:rFonts w:asciiTheme="majorBidi" w:hAnsiTheme="majorBidi" w:cstheme="majorBidi"/>
          <w:noProof/>
        </w:rPr>
        <w:t xml:space="preserve"> United Kingdom</w:t>
      </w:r>
      <w:r w:rsidRPr="00B9614C">
        <w:rPr>
          <w:rFonts w:asciiTheme="majorBidi" w:hAnsiTheme="majorBidi" w:cstheme="majorBidi"/>
          <w:noProof/>
        </w:rPr>
        <w:t xml:space="preserve">.  </w:t>
      </w:r>
    </w:p>
    <w:p w:rsidR="004C153D" w:rsidRPr="00B9614C" w:rsidRDefault="004C153D" w:rsidP="00473D55">
      <w:pPr>
        <w:spacing w:line="360" w:lineRule="auto"/>
        <w:jc w:val="both"/>
        <w:rPr>
          <w:rFonts w:asciiTheme="majorBidi" w:hAnsiTheme="majorBidi" w:cstheme="majorBidi"/>
          <w:noProof/>
        </w:rPr>
      </w:pPr>
    </w:p>
    <w:p w:rsidR="004C153D" w:rsidRPr="00B9614C" w:rsidRDefault="004C153D" w:rsidP="00473D55">
      <w:pPr>
        <w:spacing w:line="360" w:lineRule="auto"/>
        <w:jc w:val="both"/>
        <w:rPr>
          <w:rFonts w:asciiTheme="majorBidi" w:hAnsiTheme="majorBidi" w:cstheme="majorBidi"/>
          <w:b/>
          <w:noProof/>
        </w:rPr>
      </w:pPr>
      <w:r w:rsidRPr="00B9614C">
        <w:rPr>
          <w:rFonts w:asciiTheme="majorBidi" w:hAnsiTheme="majorBidi" w:cstheme="majorBidi"/>
          <w:b/>
          <w:noProof/>
        </w:rPr>
        <w:t>Ethics Statement</w:t>
      </w:r>
    </w:p>
    <w:p w:rsidR="004C153D" w:rsidRPr="00B9614C" w:rsidRDefault="00697CC0" w:rsidP="00920552">
      <w:pPr>
        <w:spacing w:line="360" w:lineRule="auto"/>
        <w:jc w:val="both"/>
        <w:rPr>
          <w:rFonts w:asciiTheme="majorBidi" w:hAnsiTheme="majorBidi" w:cstheme="majorBidi"/>
        </w:rPr>
      </w:pPr>
      <w:r w:rsidRPr="00B9614C">
        <w:rPr>
          <w:rFonts w:asciiTheme="majorBidi" w:hAnsiTheme="majorBidi" w:cstheme="majorBidi"/>
          <w:noProof/>
        </w:rPr>
        <w:t xml:space="preserve">We secured approval from North West </w:t>
      </w:r>
      <w:r w:rsidR="00DE43A2" w:rsidRPr="00B9614C">
        <w:rPr>
          <w:rFonts w:asciiTheme="majorBidi" w:hAnsiTheme="majorBidi" w:cstheme="majorBidi"/>
          <w:noProof/>
        </w:rPr>
        <w:t xml:space="preserve">National Health Service </w:t>
      </w:r>
      <w:r w:rsidRPr="00B9614C">
        <w:rPr>
          <w:rFonts w:asciiTheme="majorBidi" w:hAnsiTheme="majorBidi" w:cstheme="majorBidi"/>
          <w:noProof/>
        </w:rPr>
        <w:t>Research Ethics Committee</w:t>
      </w:r>
      <w:r w:rsidR="004C153D" w:rsidRPr="00B9614C">
        <w:rPr>
          <w:rFonts w:asciiTheme="majorBidi" w:hAnsiTheme="majorBidi" w:cstheme="majorBidi"/>
          <w:noProof/>
        </w:rPr>
        <w:t xml:space="preserve"> </w:t>
      </w:r>
      <w:r w:rsidR="003E58F0" w:rsidRPr="00B9614C">
        <w:rPr>
          <w:rFonts w:asciiTheme="majorBidi" w:hAnsiTheme="majorBidi" w:cstheme="majorBidi"/>
        </w:rPr>
        <w:t xml:space="preserve">(Ref: </w:t>
      </w:r>
      <w:r w:rsidR="004C153D" w:rsidRPr="00B9614C">
        <w:rPr>
          <w:rFonts w:asciiTheme="majorBidi" w:hAnsiTheme="majorBidi" w:cstheme="majorBidi"/>
        </w:rPr>
        <w:t>07/H1010/70)</w:t>
      </w:r>
      <w:r w:rsidR="00473D55" w:rsidRPr="00B9614C">
        <w:rPr>
          <w:rFonts w:asciiTheme="majorBidi" w:hAnsiTheme="majorBidi" w:cstheme="majorBidi"/>
        </w:rPr>
        <w:t xml:space="preserve">. </w:t>
      </w:r>
      <w:r w:rsidR="004C153D" w:rsidRPr="00B9614C">
        <w:rPr>
          <w:rFonts w:asciiTheme="majorBidi" w:hAnsiTheme="majorBidi" w:cstheme="majorBidi"/>
        </w:rPr>
        <w:t>W</w:t>
      </w:r>
      <w:r w:rsidRPr="00B9614C">
        <w:rPr>
          <w:rFonts w:asciiTheme="majorBidi" w:hAnsiTheme="majorBidi" w:cstheme="majorBidi"/>
          <w:noProof/>
        </w:rPr>
        <w:t>ritten informed co</w:t>
      </w:r>
      <w:r w:rsidR="009A5957" w:rsidRPr="00B9614C">
        <w:rPr>
          <w:rFonts w:asciiTheme="majorBidi" w:hAnsiTheme="majorBidi" w:cstheme="majorBidi"/>
          <w:noProof/>
        </w:rPr>
        <w:t>nsent</w:t>
      </w:r>
      <w:r w:rsidRPr="00B9614C">
        <w:rPr>
          <w:rFonts w:asciiTheme="majorBidi" w:hAnsiTheme="majorBidi" w:cstheme="majorBidi"/>
          <w:noProof/>
        </w:rPr>
        <w:t xml:space="preserve"> </w:t>
      </w:r>
      <w:r w:rsidR="004C153D" w:rsidRPr="00B9614C">
        <w:rPr>
          <w:rFonts w:asciiTheme="majorBidi" w:hAnsiTheme="majorBidi" w:cstheme="majorBidi"/>
          <w:noProof/>
        </w:rPr>
        <w:t xml:space="preserve">was obtained </w:t>
      </w:r>
      <w:r w:rsidRPr="00B9614C">
        <w:rPr>
          <w:rFonts w:asciiTheme="majorBidi" w:hAnsiTheme="majorBidi" w:cstheme="majorBidi"/>
          <w:noProof/>
        </w:rPr>
        <w:t>from participant</w:t>
      </w:r>
      <w:r w:rsidR="001812A5" w:rsidRPr="00B9614C">
        <w:rPr>
          <w:rFonts w:asciiTheme="majorBidi" w:hAnsiTheme="majorBidi" w:cstheme="majorBidi"/>
          <w:noProof/>
        </w:rPr>
        <w:t>s</w:t>
      </w:r>
      <w:r w:rsidRPr="00B9614C">
        <w:rPr>
          <w:rFonts w:asciiTheme="majorBidi" w:hAnsiTheme="majorBidi" w:cstheme="majorBidi"/>
          <w:noProof/>
        </w:rPr>
        <w:t>.</w:t>
      </w:r>
      <w:r w:rsidR="003E58F0" w:rsidRPr="00B9614C">
        <w:rPr>
          <w:rFonts w:asciiTheme="majorBidi" w:hAnsiTheme="majorBidi" w:cstheme="majorBidi"/>
          <w:noProof/>
        </w:rPr>
        <w:t xml:space="preserve"> Two particip</w:t>
      </w:r>
      <w:r w:rsidR="00CB295F">
        <w:rPr>
          <w:rFonts w:asciiTheme="majorBidi" w:hAnsiTheme="majorBidi" w:cstheme="majorBidi"/>
          <w:noProof/>
        </w:rPr>
        <w:t>a</w:t>
      </w:r>
      <w:r w:rsidR="003E58F0" w:rsidRPr="00B9614C">
        <w:rPr>
          <w:rFonts w:asciiTheme="majorBidi" w:hAnsiTheme="majorBidi" w:cstheme="majorBidi"/>
          <w:noProof/>
        </w:rPr>
        <w:t xml:space="preserve">nts with mild cognitive impairment </w:t>
      </w:r>
      <w:r w:rsidR="00920552" w:rsidRPr="00B9614C">
        <w:rPr>
          <w:rFonts w:asciiTheme="majorBidi" w:hAnsiTheme="majorBidi" w:cstheme="majorBidi"/>
          <w:noProof/>
        </w:rPr>
        <w:t xml:space="preserve">were supported in the </w:t>
      </w:r>
      <w:r w:rsidR="003E58F0" w:rsidRPr="00B9614C">
        <w:rPr>
          <w:rFonts w:asciiTheme="majorBidi" w:hAnsiTheme="majorBidi" w:cstheme="majorBidi"/>
          <w:noProof/>
        </w:rPr>
        <w:t xml:space="preserve"> consent</w:t>
      </w:r>
      <w:r w:rsidR="00920552" w:rsidRPr="00B9614C">
        <w:rPr>
          <w:rFonts w:asciiTheme="majorBidi" w:hAnsiTheme="majorBidi" w:cstheme="majorBidi"/>
          <w:noProof/>
        </w:rPr>
        <w:t>ing and interview process by their</w:t>
      </w:r>
      <w:r w:rsidR="003E58F0" w:rsidRPr="00B9614C">
        <w:rPr>
          <w:rFonts w:asciiTheme="majorBidi" w:hAnsiTheme="majorBidi" w:cstheme="majorBidi"/>
          <w:noProof/>
        </w:rPr>
        <w:t xml:space="preserve"> </w:t>
      </w:r>
      <w:r w:rsidR="00920552" w:rsidRPr="00B9614C">
        <w:rPr>
          <w:rFonts w:asciiTheme="majorBidi" w:hAnsiTheme="majorBidi" w:cstheme="majorBidi"/>
          <w:noProof/>
        </w:rPr>
        <w:t>husbands.</w:t>
      </w:r>
      <w:r w:rsidRPr="00B9614C">
        <w:rPr>
          <w:rFonts w:asciiTheme="majorBidi" w:hAnsiTheme="majorBidi" w:cstheme="majorBidi"/>
          <w:noProof/>
        </w:rPr>
        <w:t xml:space="preserve">  </w:t>
      </w:r>
    </w:p>
    <w:p w:rsidR="00697CC0" w:rsidRPr="00B9614C" w:rsidRDefault="00697CC0" w:rsidP="00473D55">
      <w:pPr>
        <w:spacing w:line="360" w:lineRule="auto"/>
        <w:jc w:val="both"/>
        <w:rPr>
          <w:rFonts w:asciiTheme="majorBidi" w:hAnsiTheme="majorBidi" w:cstheme="majorBidi"/>
          <w:noProof/>
        </w:rPr>
      </w:pPr>
    </w:p>
    <w:p w:rsidR="00697CC0" w:rsidRPr="00B9614C" w:rsidRDefault="00697CC0" w:rsidP="00473D55">
      <w:pPr>
        <w:spacing w:line="360" w:lineRule="auto"/>
        <w:jc w:val="both"/>
        <w:rPr>
          <w:rFonts w:asciiTheme="majorBidi" w:hAnsiTheme="majorBidi" w:cstheme="majorBidi"/>
          <w:noProof/>
        </w:rPr>
      </w:pPr>
      <w:r w:rsidRPr="00B9614C">
        <w:rPr>
          <w:rFonts w:asciiTheme="majorBidi" w:hAnsiTheme="majorBidi" w:cstheme="majorBidi"/>
          <w:noProof/>
        </w:rPr>
        <w:t xml:space="preserve">The research comprised a longitudinal </w:t>
      </w:r>
      <w:r w:rsidR="006B235B" w:rsidRPr="00B9614C">
        <w:rPr>
          <w:rFonts w:asciiTheme="majorBidi" w:hAnsiTheme="majorBidi" w:cstheme="majorBidi"/>
          <w:noProof/>
        </w:rPr>
        <w:t xml:space="preserve">design with </w:t>
      </w:r>
      <w:r w:rsidR="00622851" w:rsidRPr="00B9614C">
        <w:rPr>
          <w:rFonts w:asciiTheme="majorBidi" w:hAnsiTheme="majorBidi" w:cstheme="majorBidi"/>
          <w:noProof/>
        </w:rPr>
        <w:t>t</w:t>
      </w:r>
      <w:r w:rsidR="009751ED" w:rsidRPr="00B9614C">
        <w:rPr>
          <w:rFonts w:asciiTheme="majorBidi" w:hAnsiTheme="majorBidi" w:cstheme="majorBidi"/>
          <w:noProof/>
        </w:rPr>
        <w:t>wo</w:t>
      </w:r>
      <w:r w:rsidR="00622851" w:rsidRPr="00B9614C">
        <w:rPr>
          <w:rFonts w:asciiTheme="majorBidi" w:hAnsiTheme="majorBidi" w:cstheme="majorBidi"/>
          <w:noProof/>
        </w:rPr>
        <w:t xml:space="preserve"> in-depth</w:t>
      </w:r>
      <w:r w:rsidRPr="00B9614C">
        <w:rPr>
          <w:rFonts w:asciiTheme="majorBidi" w:hAnsiTheme="majorBidi" w:cstheme="majorBidi"/>
          <w:noProof/>
        </w:rPr>
        <w:t xml:space="preserve"> interviews </w:t>
      </w:r>
      <w:r w:rsidR="009E77E0">
        <w:rPr>
          <w:rFonts w:asciiTheme="majorBidi" w:hAnsiTheme="majorBidi" w:cstheme="majorBidi"/>
          <w:noProof/>
        </w:rPr>
        <w:t xml:space="preserve">conducted </w:t>
      </w:r>
      <w:r w:rsidRPr="00B9614C">
        <w:rPr>
          <w:rFonts w:asciiTheme="majorBidi" w:hAnsiTheme="majorBidi" w:cstheme="majorBidi"/>
          <w:noProof/>
        </w:rPr>
        <w:t>18 months apart</w:t>
      </w:r>
      <w:r w:rsidR="009751ED" w:rsidRPr="00B9614C">
        <w:rPr>
          <w:rFonts w:asciiTheme="majorBidi" w:hAnsiTheme="majorBidi" w:cstheme="majorBidi"/>
          <w:noProof/>
        </w:rPr>
        <w:t xml:space="preserve">, the first at around 6 months post-randomisation. </w:t>
      </w:r>
      <w:r w:rsidRPr="00B9614C">
        <w:rPr>
          <w:rFonts w:asciiTheme="majorBidi" w:hAnsiTheme="majorBidi" w:cstheme="majorBidi"/>
          <w:noProof/>
        </w:rPr>
        <w:t xml:space="preserve">The sample was </w:t>
      </w:r>
      <w:r w:rsidR="00622851" w:rsidRPr="00B9614C">
        <w:rPr>
          <w:rFonts w:asciiTheme="majorBidi" w:hAnsiTheme="majorBidi" w:cstheme="majorBidi"/>
          <w:noProof/>
        </w:rPr>
        <w:t xml:space="preserve">drawn </w:t>
      </w:r>
      <w:r w:rsidRPr="00B9614C">
        <w:rPr>
          <w:rFonts w:asciiTheme="majorBidi" w:hAnsiTheme="majorBidi" w:cstheme="majorBidi"/>
          <w:noProof/>
        </w:rPr>
        <w:t>f</w:t>
      </w:r>
      <w:r w:rsidR="009751ED" w:rsidRPr="00B9614C">
        <w:rPr>
          <w:rFonts w:asciiTheme="majorBidi" w:hAnsiTheme="majorBidi" w:cstheme="majorBidi"/>
          <w:noProof/>
        </w:rPr>
        <w:t xml:space="preserve">rom </w:t>
      </w:r>
      <w:r w:rsidRPr="00B9614C">
        <w:rPr>
          <w:rFonts w:asciiTheme="majorBidi" w:hAnsiTheme="majorBidi" w:cstheme="majorBidi"/>
          <w:noProof/>
        </w:rPr>
        <w:t xml:space="preserve">those found to be at ‘higher than average’ risk of a subsequent fracture and whose prescribing data showed they had started </w:t>
      </w:r>
      <w:r w:rsidR="000D49A3">
        <w:rPr>
          <w:rFonts w:asciiTheme="majorBidi" w:hAnsiTheme="majorBidi" w:cstheme="majorBidi"/>
          <w:noProof/>
        </w:rPr>
        <w:t xml:space="preserve">medications for the prevention of </w:t>
      </w:r>
      <w:r w:rsidRPr="00B9614C">
        <w:rPr>
          <w:rFonts w:asciiTheme="majorBidi" w:hAnsiTheme="majorBidi" w:cstheme="majorBidi"/>
          <w:noProof/>
        </w:rPr>
        <w:t xml:space="preserve">osteoporosis.  Participants were </w:t>
      </w:r>
      <w:r w:rsidR="00716B5F" w:rsidRPr="00B9614C">
        <w:rPr>
          <w:rFonts w:asciiTheme="majorBidi" w:hAnsiTheme="majorBidi" w:cstheme="majorBidi"/>
          <w:noProof/>
        </w:rPr>
        <w:t>purposively sampled</w:t>
      </w:r>
      <w:r w:rsidRPr="00B9614C">
        <w:rPr>
          <w:rFonts w:asciiTheme="majorBidi" w:hAnsiTheme="majorBidi" w:cstheme="majorBidi"/>
          <w:noProof/>
        </w:rPr>
        <w:t xml:space="preserve"> from </w:t>
      </w:r>
      <w:r w:rsidR="00146BB6" w:rsidRPr="00B9614C">
        <w:rPr>
          <w:rFonts w:asciiTheme="majorBidi" w:hAnsiTheme="majorBidi" w:cstheme="majorBidi"/>
          <w:noProof/>
        </w:rPr>
        <w:t xml:space="preserve">demographic and adherence data already collected by the SCOOP </w:t>
      </w:r>
      <w:r w:rsidR="009E77E0">
        <w:rPr>
          <w:rFonts w:asciiTheme="majorBidi" w:hAnsiTheme="majorBidi" w:cstheme="majorBidi"/>
          <w:noProof/>
        </w:rPr>
        <w:t>trial</w:t>
      </w:r>
      <w:r w:rsidR="00146BB6" w:rsidRPr="00B9614C">
        <w:rPr>
          <w:rFonts w:asciiTheme="majorBidi" w:hAnsiTheme="majorBidi" w:cstheme="majorBidi"/>
          <w:noProof/>
        </w:rPr>
        <w:t xml:space="preserve"> </w:t>
      </w:r>
      <w:r w:rsidR="00716B5F" w:rsidRPr="00B9614C">
        <w:rPr>
          <w:rFonts w:asciiTheme="majorBidi" w:hAnsiTheme="majorBidi" w:cstheme="majorBidi"/>
          <w:noProof/>
        </w:rPr>
        <w:t>(see Table 1)</w:t>
      </w:r>
      <w:r w:rsidR="00462534" w:rsidRPr="00B9614C">
        <w:rPr>
          <w:rFonts w:asciiTheme="majorBidi" w:hAnsiTheme="majorBidi" w:cstheme="majorBidi"/>
          <w:noProof/>
        </w:rPr>
        <w:t xml:space="preserve">. </w:t>
      </w:r>
      <w:r w:rsidRPr="00B9614C">
        <w:rPr>
          <w:rFonts w:asciiTheme="majorBidi" w:hAnsiTheme="majorBidi" w:cstheme="majorBidi"/>
          <w:noProof/>
        </w:rPr>
        <w:t>As the focus of our study was to explore why older women were adherent</w:t>
      </w:r>
      <w:r w:rsidR="009751ED" w:rsidRPr="00B9614C">
        <w:rPr>
          <w:rFonts w:asciiTheme="majorBidi" w:hAnsiTheme="majorBidi" w:cstheme="majorBidi"/>
          <w:noProof/>
        </w:rPr>
        <w:t>,</w:t>
      </w:r>
      <w:r w:rsidRPr="00B9614C">
        <w:rPr>
          <w:rFonts w:asciiTheme="majorBidi" w:hAnsiTheme="majorBidi" w:cstheme="majorBidi"/>
          <w:noProof/>
        </w:rPr>
        <w:t xml:space="preserve"> we constructed our sample to include more women self-reporting they were adherent when contacted by phone than reporting they were non-adherent to their osteoporosis medication. </w:t>
      </w:r>
    </w:p>
    <w:p w:rsidR="00146BB6" w:rsidRPr="00B9614C" w:rsidRDefault="00146BB6" w:rsidP="00473D55">
      <w:pPr>
        <w:spacing w:line="360" w:lineRule="auto"/>
        <w:jc w:val="both"/>
        <w:rPr>
          <w:rFonts w:asciiTheme="majorBidi" w:hAnsiTheme="majorBidi" w:cstheme="majorBidi"/>
          <w:noProof/>
        </w:rPr>
      </w:pPr>
    </w:p>
    <w:p w:rsidR="00697CC0" w:rsidRPr="00B9614C" w:rsidRDefault="00146BB6" w:rsidP="00462534">
      <w:pPr>
        <w:spacing w:line="360" w:lineRule="auto"/>
        <w:jc w:val="both"/>
        <w:rPr>
          <w:rFonts w:asciiTheme="majorBidi" w:hAnsiTheme="majorBidi" w:cstheme="majorBidi"/>
        </w:rPr>
      </w:pPr>
      <w:r w:rsidRPr="00B9614C">
        <w:rPr>
          <w:rFonts w:asciiTheme="majorBidi" w:hAnsiTheme="majorBidi" w:cstheme="majorBidi"/>
          <w:noProof/>
        </w:rPr>
        <w:t xml:space="preserve">For the purpose of this study </w:t>
      </w:r>
      <w:r w:rsidR="00697CC0" w:rsidRPr="00B9614C">
        <w:rPr>
          <w:rFonts w:asciiTheme="majorBidi" w:hAnsiTheme="majorBidi" w:cstheme="majorBidi"/>
        </w:rPr>
        <w:t xml:space="preserve">‘adherent’ </w:t>
      </w:r>
      <w:r w:rsidR="00AA4185" w:rsidRPr="00B9614C">
        <w:rPr>
          <w:rFonts w:asciiTheme="majorBidi" w:hAnsiTheme="majorBidi" w:cstheme="majorBidi"/>
        </w:rPr>
        <w:t>included</w:t>
      </w:r>
      <w:r w:rsidR="00697CC0" w:rsidRPr="00B9614C">
        <w:rPr>
          <w:rFonts w:asciiTheme="majorBidi" w:hAnsiTheme="majorBidi" w:cstheme="majorBidi"/>
        </w:rPr>
        <w:t xml:space="preserve"> both women stating they were taking </w:t>
      </w:r>
      <w:r w:rsidR="00AC2654" w:rsidRPr="00B9614C">
        <w:rPr>
          <w:rFonts w:asciiTheme="majorBidi" w:hAnsiTheme="majorBidi" w:cstheme="majorBidi"/>
        </w:rPr>
        <w:t xml:space="preserve">bisphosphonate </w:t>
      </w:r>
      <w:r w:rsidR="00697CC0" w:rsidRPr="00B9614C">
        <w:rPr>
          <w:rFonts w:asciiTheme="majorBidi" w:hAnsiTheme="majorBidi" w:cstheme="majorBidi"/>
        </w:rPr>
        <w:t>medication as instructed,</w:t>
      </w:r>
      <w:r w:rsidR="00697CC0" w:rsidRPr="00B9614C" w:rsidDel="00DB085B">
        <w:rPr>
          <w:rFonts w:asciiTheme="majorBidi" w:hAnsiTheme="majorBidi" w:cstheme="majorBidi"/>
        </w:rPr>
        <w:t xml:space="preserve"> </w:t>
      </w:r>
      <w:r w:rsidR="00697CC0" w:rsidRPr="00B9614C">
        <w:rPr>
          <w:rFonts w:asciiTheme="majorBidi" w:hAnsiTheme="majorBidi" w:cstheme="majorBidi"/>
        </w:rPr>
        <w:t xml:space="preserve">and those stating they were intentionally or unintentionally missing doses but no more than 1 in 5 (i.e. 80% adherence or more). </w:t>
      </w:r>
      <w:r w:rsidR="00AA4185" w:rsidRPr="00B9614C">
        <w:rPr>
          <w:rFonts w:asciiTheme="majorBidi" w:hAnsiTheme="majorBidi" w:cstheme="majorBidi"/>
        </w:rPr>
        <w:t>N</w:t>
      </w:r>
      <w:r w:rsidR="00697CC0" w:rsidRPr="00B9614C">
        <w:rPr>
          <w:rFonts w:asciiTheme="majorBidi" w:hAnsiTheme="majorBidi" w:cstheme="majorBidi"/>
        </w:rPr>
        <w:t xml:space="preserve">on-adherent’ </w:t>
      </w:r>
      <w:r w:rsidR="00AA4185" w:rsidRPr="00B9614C">
        <w:rPr>
          <w:rFonts w:asciiTheme="majorBidi" w:hAnsiTheme="majorBidi" w:cstheme="majorBidi"/>
        </w:rPr>
        <w:t xml:space="preserve">included </w:t>
      </w:r>
      <w:r w:rsidR="00697CC0" w:rsidRPr="00B9614C">
        <w:rPr>
          <w:rFonts w:asciiTheme="majorBidi" w:hAnsiTheme="majorBidi" w:cstheme="majorBidi"/>
        </w:rPr>
        <w:t xml:space="preserve">all those who had discontinued bisphosphonate medication, or were taking them &lt;80% of the time, but who might still be taking prescribed supplements (calcium and vitamin D). </w:t>
      </w:r>
    </w:p>
    <w:p w:rsidR="00697CC0" w:rsidRPr="00B9614C" w:rsidRDefault="00697CC0" w:rsidP="00473D55">
      <w:pPr>
        <w:spacing w:line="360" w:lineRule="auto"/>
        <w:jc w:val="both"/>
        <w:rPr>
          <w:rFonts w:asciiTheme="majorBidi" w:hAnsiTheme="majorBidi" w:cstheme="majorBidi"/>
          <w:noProof/>
        </w:rPr>
      </w:pPr>
    </w:p>
    <w:p w:rsidR="00697CC0" w:rsidRPr="00B9614C" w:rsidRDefault="00697CC0" w:rsidP="00473D55">
      <w:pPr>
        <w:spacing w:line="360" w:lineRule="auto"/>
        <w:jc w:val="both"/>
        <w:rPr>
          <w:rFonts w:asciiTheme="majorBidi" w:hAnsiTheme="majorBidi" w:cstheme="majorBidi"/>
          <w:b/>
          <w:noProof/>
        </w:rPr>
      </w:pPr>
      <w:r w:rsidRPr="00B9614C">
        <w:rPr>
          <w:rFonts w:asciiTheme="majorBidi" w:hAnsiTheme="majorBidi" w:cstheme="majorBidi"/>
          <w:b/>
          <w:noProof/>
        </w:rPr>
        <w:t>The interviews</w:t>
      </w:r>
    </w:p>
    <w:p w:rsidR="00523BF5" w:rsidRPr="00B9614C" w:rsidRDefault="00716B5F" w:rsidP="00A6020C">
      <w:pPr>
        <w:spacing w:line="360" w:lineRule="auto"/>
        <w:jc w:val="both"/>
        <w:rPr>
          <w:noProof/>
        </w:rPr>
      </w:pPr>
      <w:r w:rsidRPr="00B9614C">
        <w:rPr>
          <w:rFonts w:asciiTheme="majorBidi" w:hAnsiTheme="majorBidi" w:cstheme="majorBidi"/>
          <w:noProof/>
        </w:rPr>
        <w:t>I</w:t>
      </w:r>
      <w:r w:rsidR="00697CC0" w:rsidRPr="00B9614C">
        <w:rPr>
          <w:rFonts w:asciiTheme="majorBidi" w:hAnsiTheme="majorBidi" w:cstheme="majorBidi"/>
          <w:noProof/>
        </w:rPr>
        <w:t xml:space="preserve">nterviews </w:t>
      </w:r>
      <w:r w:rsidR="0095406A" w:rsidRPr="00B9614C">
        <w:rPr>
          <w:rFonts w:asciiTheme="majorBidi" w:hAnsiTheme="majorBidi" w:cstheme="majorBidi"/>
          <w:noProof/>
        </w:rPr>
        <w:t>took place</w:t>
      </w:r>
      <w:r w:rsidR="008F3692" w:rsidRPr="00B9614C">
        <w:rPr>
          <w:rFonts w:asciiTheme="majorBidi" w:hAnsiTheme="majorBidi" w:cstheme="majorBidi"/>
          <w:noProof/>
        </w:rPr>
        <w:t xml:space="preserve"> at </w:t>
      </w:r>
      <w:r w:rsidR="009E77E0">
        <w:rPr>
          <w:rFonts w:asciiTheme="majorBidi" w:hAnsiTheme="majorBidi" w:cstheme="majorBidi"/>
          <w:noProof/>
        </w:rPr>
        <w:t>participants</w:t>
      </w:r>
      <w:r w:rsidR="000D49A3">
        <w:rPr>
          <w:rFonts w:asciiTheme="majorBidi" w:hAnsiTheme="majorBidi" w:cstheme="majorBidi"/>
          <w:noProof/>
        </w:rPr>
        <w:t>’</w:t>
      </w:r>
      <w:r w:rsidR="009E77E0">
        <w:rPr>
          <w:rFonts w:asciiTheme="majorBidi" w:hAnsiTheme="majorBidi" w:cstheme="majorBidi"/>
          <w:noProof/>
        </w:rPr>
        <w:t xml:space="preserve"> </w:t>
      </w:r>
      <w:r w:rsidR="0095406A" w:rsidRPr="00B9614C">
        <w:rPr>
          <w:rFonts w:asciiTheme="majorBidi" w:hAnsiTheme="majorBidi" w:cstheme="majorBidi"/>
          <w:noProof/>
        </w:rPr>
        <w:t>home</w:t>
      </w:r>
      <w:r w:rsidR="009E77E0">
        <w:rPr>
          <w:rFonts w:asciiTheme="majorBidi" w:hAnsiTheme="majorBidi" w:cstheme="majorBidi"/>
          <w:noProof/>
        </w:rPr>
        <w:t>s</w:t>
      </w:r>
      <w:r w:rsidR="0095406A" w:rsidRPr="00B9614C">
        <w:rPr>
          <w:rFonts w:asciiTheme="majorBidi" w:hAnsiTheme="majorBidi" w:cstheme="majorBidi"/>
          <w:noProof/>
        </w:rPr>
        <w:t xml:space="preserve"> and </w:t>
      </w:r>
      <w:r w:rsidR="00697CC0" w:rsidRPr="00B9614C">
        <w:rPr>
          <w:rFonts w:asciiTheme="majorBidi" w:hAnsiTheme="majorBidi" w:cstheme="majorBidi"/>
          <w:noProof/>
        </w:rPr>
        <w:t>lasted an average of 74 minutes</w:t>
      </w:r>
      <w:r w:rsidR="00462534" w:rsidRPr="00B9614C">
        <w:rPr>
          <w:rFonts w:asciiTheme="majorBidi" w:hAnsiTheme="majorBidi" w:cstheme="majorBidi"/>
          <w:noProof/>
        </w:rPr>
        <w:t xml:space="preserve">. </w:t>
      </w:r>
      <w:r w:rsidR="00473D55" w:rsidRPr="00B9614C">
        <w:rPr>
          <w:rFonts w:asciiTheme="majorBidi" w:hAnsiTheme="majorBidi" w:cstheme="majorBidi"/>
          <w:noProof/>
        </w:rPr>
        <w:t xml:space="preserve">They </w:t>
      </w:r>
      <w:r w:rsidR="0039429E" w:rsidRPr="00B9614C">
        <w:rPr>
          <w:rFonts w:asciiTheme="majorBidi" w:hAnsiTheme="majorBidi" w:cstheme="majorBidi"/>
          <w:noProof/>
        </w:rPr>
        <w:t xml:space="preserve">were </w:t>
      </w:r>
      <w:r w:rsidR="00697CC0" w:rsidRPr="00B9614C">
        <w:rPr>
          <w:rFonts w:asciiTheme="majorBidi" w:hAnsiTheme="majorBidi" w:cstheme="majorBidi"/>
          <w:noProof/>
        </w:rPr>
        <w:t>based on a topic guide developed to explore women’s understanding of osteoporosis, responses to screening results, current usage of preventive medicine, motivators and detractors from taking medication and follow up with healthcare professionals. Interview recordings were transcribed verbati</w:t>
      </w:r>
      <w:r w:rsidR="00DA0869" w:rsidRPr="00B9614C">
        <w:rPr>
          <w:rFonts w:asciiTheme="majorBidi" w:hAnsiTheme="majorBidi" w:cstheme="majorBidi"/>
          <w:noProof/>
        </w:rPr>
        <w:t>m and anonymised</w:t>
      </w:r>
      <w:r w:rsidR="00462534" w:rsidRPr="00B9614C">
        <w:rPr>
          <w:rFonts w:asciiTheme="majorBidi" w:hAnsiTheme="majorBidi" w:cstheme="majorBidi"/>
          <w:noProof/>
        </w:rPr>
        <w:t xml:space="preserve">. </w:t>
      </w:r>
      <w:r w:rsidR="00697CC0" w:rsidRPr="00B9614C">
        <w:rPr>
          <w:rFonts w:asciiTheme="majorBidi" w:hAnsiTheme="majorBidi" w:cstheme="majorBidi"/>
          <w:noProof/>
        </w:rPr>
        <w:t>Familiarisation, data management, coding and categorisation were carried out by the interdisciplinary research</w:t>
      </w:r>
      <w:r w:rsidR="001C1BB0" w:rsidRPr="00B9614C">
        <w:rPr>
          <w:rFonts w:asciiTheme="majorBidi" w:hAnsiTheme="majorBidi" w:cstheme="majorBidi"/>
          <w:noProof/>
        </w:rPr>
        <w:t xml:space="preserve"> team including CS, LM and AH. </w:t>
      </w:r>
      <w:r w:rsidR="00697CC0" w:rsidRPr="00B9614C">
        <w:rPr>
          <w:rFonts w:asciiTheme="majorBidi" w:hAnsiTheme="majorBidi" w:cstheme="majorBidi"/>
          <w:noProof/>
        </w:rPr>
        <w:t>Iteration between both data sets and the research literature helped inform the analysis at the explana</w:t>
      </w:r>
      <w:r w:rsidR="00462534" w:rsidRPr="00B9614C">
        <w:rPr>
          <w:rFonts w:asciiTheme="majorBidi" w:hAnsiTheme="majorBidi" w:cstheme="majorBidi"/>
          <w:noProof/>
        </w:rPr>
        <w:t xml:space="preserve">tory level. </w:t>
      </w:r>
      <w:r w:rsidR="0095406A" w:rsidRPr="00B9614C">
        <w:rPr>
          <w:rFonts w:asciiTheme="majorBidi" w:hAnsiTheme="majorBidi" w:cstheme="majorBidi"/>
          <w:noProof/>
        </w:rPr>
        <w:t>The principles of Framework A</w:t>
      </w:r>
      <w:r w:rsidR="00697CC0" w:rsidRPr="00B9614C">
        <w:rPr>
          <w:rFonts w:asciiTheme="majorBidi" w:hAnsiTheme="majorBidi" w:cstheme="majorBidi"/>
          <w:noProof/>
        </w:rPr>
        <w:t xml:space="preserve">nalysis </w:t>
      </w:r>
      <w:r w:rsidR="00686834" w:rsidRPr="00B9614C">
        <w:rPr>
          <w:rFonts w:asciiTheme="majorBidi" w:hAnsiTheme="majorBidi" w:cstheme="majorBidi"/>
          <w:noProof/>
        </w:rPr>
        <w:fldChar w:fldCharType="begin"/>
      </w:r>
      <w:r w:rsidR="007349A4">
        <w:rPr>
          <w:rFonts w:asciiTheme="majorBidi" w:hAnsiTheme="majorBidi" w:cstheme="majorBidi"/>
          <w:noProof/>
        </w:rPr>
        <w:instrText xml:space="preserve"> ADDIN EN.CITE &lt;EndNote&gt;&lt;Cite&gt;&lt;Author&gt;Ritchie J&lt;/Author&gt;&lt;Year&gt;2003&lt;/Year&gt;&lt;RecNum&gt;17&lt;/RecNum&gt;&lt;DisplayText&gt;[18]&lt;/DisplayText&gt;&lt;record&gt;&lt;rec-number&gt;17&lt;/rec-number&gt;&lt;foreign-keys&gt;&lt;key app="EN" db-id="frw0wf09qsav0qer2zlx2v2ff9srazx5x2ae"&gt;17&lt;/key&gt;&lt;/foreign-keys&gt;&lt;ref-type name="Book"&gt;6&lt;/ref-type&gt;&lt;contributors&gt;&lt;authors&gt;&lt;author&gt;Ritchie J, Lewis J. &lt;/author&gt;&lt;/authors&gt;&lt;/contributors&gt;&lt;titles&gt;&lt;title&gt;Qualitative research practice: A guide for social science students and researchers&lt;/title&gt;&lt;/titles&gt;&lt;dates&gt;&lt;year&gt;2003&lt;/year&gt;&lt;/dates&gt;&lt;pub-location&gt;London&lt;/pub-location&gt;&lt;publisher&gt;Sage Publications&lt;/publisher&gt;&lt;urls&gt;&lt;/urls&gt;&lt;/record&gt;&lt;/Cite&gt;&lt;/EndNote&gt;</w:instrText>
      </w:r>
      <w:r w:rsidR="00686834" w:rsidRPr="00B9614C">
        <w:rPr>
          <w:rFonts w:asciiTheme="majorBidi" w:hAnsiTheme="majorBidi" w:cstheme="majorBidi"/>
          <w:noProof/>
        </w:rPr>
        <w:fldChar w:fldCharType="separate"/>
      </w:r>
      <w:r w:rsidR="007F273F" w:rsidRPr="00B9614C">
        <w:rPr>
          <w:rFonts w:asciiTheme="majorBidi" w:hAnsiTheme="majorBidi" w:cstheme="majorBidi"/>
          <w:noProof/>
        </w:rPr>
        <w:t>[</w:t>
      </w:r>
      <w:hyperlink w:anchor="_ENREF_18" w:tooltip="Ritchie J, 2003 #17" w:history="1">
        <w:r w:rsidR="00A6020C" w:rsidRPr="00B9614C">
          <w:rPr>
            <w:rFonts w:asciiTheme="majorBidi" w:hAnsiTheme="majorBidi" w:cstheme="majorBidi"/>
            <w:noProof/>
          </w:rPr>
          <w:t>18</w:t>
        </w:r>
      </w:hyperlink>
      <w:r w:rsidR="007F273F" w:rsidRPr="00B9614C">
        <w:rPr>
          <w:rFonts w:asciiTheme="majorBidi" w:hAnsiTheme="majorBidi" w:cstheme="majorBidi"/>
          <w:noProof/>
        </w:rPr>
        <w:t>]</w:t>
      </w:r>
      <w:r w:rsidR="00686834" w:rsidRPr="00B9614C">
        <w:rPr>
          <w:rFonts w:asciiTheme="majorBidi" w:hAnsiTheme="majorBidi" w:cstheme="majorBidi"/>
          <w:noProof/>
        </w:rPr>
        <w:fldChar w:fldCharType="end"/>
      </w:r>
      <w:r w:rsidR="00AC2654" w:rsidRPr="00B9614C">
        <w:t xml:space="preserve"> </w:t>
      </w:r>
      <w:r w:rsidR="00697CC0" w:rsidRPr="00B9614C">
        <w:rPr>
          <w:rFonts w:asciiTheme="majorBidi" w:hAnsiTheme="majorBidi" w:cstheme="majorBidi"/>
          <w:noProof/>
        </w:rPr>
        <w:t>were used to order, chart and search the data both manually and supported by relevant software (NVivo 9 Software, MSWord and Framework)</w:t>
      </w:r>
      <w:r w:rsidR="00462534" w:rsidRPr="00B9614C">
        <w:rPr>
          <w:rFonts w:asciiTheme="majorBidi" w:hAnsiTheme="majorBidi" w:cstheme="majorBidi"/>
          <w:noProof/>
        </w:rPr>
        <w:t>.</w:t>
      </w:r>
      <w:r w:rsidR="001C1BB0" w:rsidRPr="00B9614C">
        <w:rPr>
          <w:rFonts w:asciiTheme="majorBidi" w:hAnsiTheme="majorBidi" w:cstheme="majorBidi"/>
          <w:noProof/>
        </w:rPr>
        <w:t xml:space="preserve"> </w:t>
      </w:r>
      <w:r w:rsidR="009A5957" w:rsidRPr="00B9614C">
        <w:rPr>
          <w:noProof/>
        </w:rPr>
        <w:t xml:space="preserve">Illustrative </w:t>
      </w:r>
      <w:r w:rsidR="00523BF5" w:rsidRPr="00B9614C">
        <w:rPr>
          <w:noProof/>
        </w:rPr>
        <w:t xml:space="preserve">quotations are selected to elucidate the study findings.  Extracts are labelled using participant number, age at interview and summary adherence status to both bisphosphonates and calcium supplements. </w:t>
      </w:r>
    </w:p>
    <w:p w:rsidR="00697CC0" w:rsidRPr="00B9614C" w:rsidRDefault="00697CC0" w:rsidP="00473D55">
      <w:pPr>
        <w:spacing w:line="360" w:lineRule="auto"/>
        <w:jc w:val="both"/>
        <w:rPr>
          <w:rFonts w:asciiTheme="majorBidi" w:hAnsiTheme="majorBidi" w:cstheme="majorBidi"/>
          <w:noProof/>
        </w:rPr>
      </w:pPr>
    </w:p>
    <w:p w:rsidR="00697CC0" w:rsidRPr="00B9614C" w:rsidRDefault="00697CC0" w:rsidP="00473D55">
      <w:pPr>
        <w:spacing w:line="360" w:lineRule="auto"/>
        <w:jc w:val="both"/>
        <w:rPr>
          <w:rFonts w:asciiTheme="majorBidi" w:hAnsiTheme="majorBidi" w:cstheme="majorBidi"/>
          <w:b/>
          <w:bCs/>
          <w:noProof/>
        </w:rPr>
      </w:pPr>
      <w:r w:rsidRPr="00B9614C">
        <w:rPr>
          <w:rFonts w:asciiTheme="majorBidi" w:hAnsiTheme="majorBidi" w:cstheme="majorBidi"/>
          <w:b/>
          <w:bCs/>
          <w:noProof/>
        </w:rPr>
        <w:t>R</w:t>
      </w:r>
      <w:r w:rsidR="00C43128" w:rsidRPr="00B9614C">
        <w:rPr>
          <w:rFonts w:asciiTheme="majorBidi" w:hAnsiTheme="majorBidi" w:cstheme="majorBidi"/>
          <w:b/>
          <w:bCs/>
          <w:noProof/>
        </w:rPr>
        <w:t>esults</w:t>
      </w:r>
    </w:p>
    <w:p w:rsidR="00697CC0" w:rsidRPr="00B9614C" w:rsidRDefault="00697CC0" w:rsidP="00473D55">
      <w:pPr>
        <w:spacing w:line="360" w:lineRule="auto"/>
        <w:jc w:val="both"/>
        <w:rPr>
          <w:rFonts w:asciiTheme="majorBidi" w:hAnsiTheme="majorBidi" w:cstheme="majorBidi"/>
          <w:noProof/>
        </w:rPr>
      </w:pPr>
      <w:r w:rsidRPr="00B9614C">
        <w:rPr>
          <w:rFonts w:asciiTheme="majorBidi" w:hAnsiTheme="majorBidi" w:cstheme="majorBidi"/>
          <w:noProof/>
        </w:rPr>
        <w:t>Ninety women in the ‘higher than average’ risk group recruited to the Norwich arm of the SCOOP Trial indicated they would be willing to take part</w:t>
      </w:r>
      <w:r w:rsidR="000D49A3">
        <w:rPr>
          <w:rFonts w:asciiTheme="majorBidi" w:hAnsiTheme="majorBidi" w:cstheme="majorBidi"/>
          <w:noProof/>
        </w:rPr>
        <w:t xml:space="preserve"> in the qualitative sub-study</w:t>
      </w:r>
      <w:r w:rsidR="00462534" w:rsidRPr="00B9614C">
        <w:rPr>
          <w:rFonts w:asciiTheme="majorBidi" w:hAnsiTheme="majorBidi" w:cstheme="majorBidi"/>
          <w:noProof/>
        </w:rPr>
        <w:t xml:space="preserve">. </w:t>
      </w:r>
      <w:r w:rsidR="009751ED" w:rsidRPr="00B9614C">
        <w:rPr>
          <w:rFonts w:asciiTheme="majorBidi" w:hAnsiTheme="majorBidi" w:cstheme="majorBidi"/>
          <w:noProof/>
        </w:rPr>
        <w:t>From these we recruited a</w:t>
      </w:r>
      <w:r w:rsidRPr="00B9614C">
        <w:rPr>
          <w:rFonts w:asciiTheme="majorBidi" w:hAnsiTheme="majorBidi" w:cstheme="majorBidi"/>
          <w:noProof/>
        </w:rPr>
        <w:t xml:space="preserve"> sample of 30 (33%) </w:t>
      </w:r>
      <w:r w:rsidR="009751ED" w:rsidRPr="00B9614C">
        <w:rPr>
          <w:rFonts w:asciiTheme="majorBidi" w:hAnsiTheme="majorBidi" w:cstheme="majorBidi"/>
          <w:noProof/>
        </w:rPr>
        <w:t xml:space="preserve">women, age range </w:t>
      </w:r>
      <w:r w:rsidRPr="00B9614C">
        <w:rPr>
          <w:rFonts w:asciiTheme="majorBidi" w:hAnsiTheme="majorBidi" w:cstheme="majorBidi"/>
          <w:noProof/>
        </w:rPr>
        <w:t xml:space="preserve"> 73 – 85 years (</w:t>
      </w:r>
      <w:r w:rsidR="00462534" w:rsidRPr="00B9614C">
        <w:rPr>
          <w:rFonts w:asciiTheme="majorBidi" w:hAnsiTheme="majorBidi" w:cstheme="majorBidi"/>
          <w:noProof/>
        </w:rPr>
        <w:t xml:space="preserve">Table 1). </w:t>
      </w:r>
      <w:r w:rsidRPr="00B9614C">
        <w:rPr>
          <w:rFonts w:asciiTheme="majorBidi" w:hAnsiTheme="majorBidi" w:cstheme="majorBidi"/>
          <w:noProof/>
        </w:rPr>
        <w:t xml:space="preserve">Five participants were unable to participate in the </w:t>
      </w:r>
      <w:r w:rsidR="00AC2654" w:rsidRPr="00B9614C">
        <w:rPr>
          <w:rFonts w:asciiTheme="majorBidi" w:hAnsiTheme="majorBidi" w:cstheme="majorBidi"/>
          <w:noProof/>
        </w:rPr>
        <w:t>follow-up</w:t>
      </w:r>
      <w:r w:rsidR="009A5957" w:rsidRPr="00B9614C">
        <w:rPr>
          <w:rFonts w:asciiTheme="majorBidi" w:hAnsiTheme="majorBidi" w:cstheme="majorBidi"/>
          <w:noProof/>
        </w:rPr>
        <w:t xml:space="preserve"> </w:t>
      </w:r>
      <w:r w:rsidRPr="00B9614C">
        <w:rPr>
          <w:rFonts w:asciiTheme="majorBidi" w:hAnsiTheme="majorBidi" w:cstheme="majorBidi"/>
          <w:noProof/>
        </w:rPr>
        <w:t xml:space="preserve">interview due to death or withdrawal from the study.  </w:t>
      </w:r>
    </w:p>
    <w:p w:rsidR="00697CC0" w:rsidRPr="00B9614C" w:rsidRDefault="00697CC0" w:rsidP="00473D55">
      <w:pPr>
        <w:spacing w:line="360" w:lineRule="auto"/>
        <w:jc w:val="both"/>
        <w:rPr>
          <w:rFonts w:asciiTheme="majorBidi" w:hAnsiTheme="majorBidi" w:cstheme="majorBidi"/>
          <w:noProof/>
        </w:rPr>
      </w:pPr>
    </w:p>
    <w:p w:rsidR="00697CC0" w:rsidRPr="00B9614C" w:rsidRDefault="005A31FE" w:rsidP="00473D55">
      <w:pPr>
        <w:spacing w:line="360" w:lineRule="auto"/>
        <w:jc w:val="both"/>
        <w:rPr>
          <w:rFonts w:asciiTheme="majorBidi" w:hAnsiTheme="majorBidi" w:cstheme="majorBidi"/>
          <w:b/>
        </w:rPr>
      </w:pPr>
      <w:r>
        <w:rPr>
          <w:rFonts w:asciiTheme="majorBidi" w:hAnsiTheme="majorBidi" w:cstheme="majorBidi"/>
          <w:b/>
        </w:rPr>
        <w:t>Understanding adherence and non-adherence</w:t>
      </w:r>
    </w:p>
    <w:p w:rsidR="00523BF5" w:rsidRPr="00B9614C" w:rsidRDefault="00523BF5" w:rsidP="00462534">
      <w:pPr>
        <w:spacing w:line="360" w:lineRule="auto"/>
        <w:jc w:val="both"/>
        <w:rPr>
          <w:rFonts w:asciiTheme="majorBidi" w:hAnsiTheme="majorBidi" w:cstheme="majorBidi"/>
          <w:noProof/>
        </w:rPr>
      </w:pPr>
      <w:r w:rsidRPr="00B9614C">
        <w:rPr>
          <w:rFonts w:asciiTheme="majorBidi" w:hAnsiTheme="majorBidi" w:cstheme="majorBidi"/>
          <w:noProof/>
        </w:rPr>
        <w:t xml:space="preserve">All 30 participants </w:t>
      </w:r>
      <w:r w:rsidR="0039429E" w:rsidRPr="00B9614C">
        <w:rPr>
          <w:rFonts w:asciiTheme="majorBidi" w:hAnsiTheme="majorBidi" w:cstheme="majorBidi"/>
          <w:noProof/>
        </w:rPr>
        <w:t xml:space="preserve">were prescribed </w:t>
      </w:r>
      <w:r w:rsidRPr="00B9614C">
        <w:rPr>
          <w:rFonts w:asciiTheme="majorBidi" w:hAnsiTheme="majorBidi" w:cstheme="majorBidi"/>
          <w:noProof/>
        </w:rPr>
        <w:t>bisphosphonates and all except one</w:t>
      </w:r>
      <w:r w:rsidR="00462534" w:rsidRPr="00B9614C">
        <w:rPr>
          <w:rFonts w:asciiTheme="majorBidi" w:hAnsiTheme="majorBidi" w:cstheme="majorBidi"/>
          <w:noProof/>
        </w:rPr>
        <w:t xml:space="preserve"> commenced their first course. </w:t>
      </w:r>
      <w:r w:rsidRPr="00B9614C">
        <w:rPr>
          <w:rFonts w:asciiTheme="majorBidi" w:hAnsiTheme="majorBidi" w:cstheme="majorBidi"/>
          <w:noProof/>
        </w:rPr>
        <w:t>Of the 10 participants shown in Table 2 wh</w:t>
      </w:r>
      <w:r w:rsidR="00BE1DB9" w:rsidRPr="00B9614C">
        <w:rPr>
          <w:rFonts w:asciiTheme="majorBidi" w:hAnsiTheme="majorBidi" w:cstheme="majorBidi"/>
          <w:noProof/>
        </w:rPr>
        <w:t>o reported being non-adherent at</w:t>
      </w:r>
      <w:r w:rsidRPr="00B9614C">
        <w:rPr>
          <w:rFonts w:asciiTheme="majorBidi" w:hAnsiTheme="majorBidi" w:cstheme="majorBidi"/>
          <w:noProof/>
        </w:rPr>
        <w:t xml:space="preserve"> Phase 1</w:t>
      </w:r>
      <w:r w:rsidR="00BE1DB9" w:rsidRPr="00B9614C">
        <w:rPr>
          <w:rFonts w:asciiTheme="majorBidi" w:hAnsiTheme="majorBidi" w:cstheme="majorBidi"/>
          <w:noProof/>
        </w:rPr>
        <w:t xml:space="preserve"> Interviews</w:t>
      </w:r>
      <w:r w:rsidRPr="00B9614C">
        <w:rPr>
          <w:rFonts w:asciiTheme="majorBidi" w:hAnsiTheme="majorBidi" w:cstheme="majorBidi"/>
          <w:noProof/>
        </w:rPr>
        <w:t xml:space="preserve">, nine made this decision without discussion with their </w:t>
      </w:r>
      <w:r w:rsidR="000D49A3">
        <w:rPr>
          <w:rFonts w:asciiTheme="majorBidi" w:hAnsiTheme="majorBidi" w:cstheme="majorBidi"/>
          <w:noProof/>
        </w:rPr>
        <w:t>g</w:t>
      </w:r>
      <w:r w:rsidR="0095406A" w:rsidRPr="00B9614C">
        <w:rPr>
          <w:rFonts w:asciiTheme="majorBidi" w:hAnsiTheme="majorBidi" w:cstheme="majorBidi"/>
          <w:noProof/>
        </w:rPr>
        <w:t xml:space="preserve">eneral </w:t>
      </w:r>
      <w:r w:rsidR="000D49A3">
        <w:rPr>
          <w:rFonts w:asciiTheme="majorBidi" w:hAnsiTheme="majorBidi" w:cstheme="majorBidi"/>
          <w:noProof/>
        </w:rPr>
        <w:t>p</w:t>
      </w:r>
      <w:r w:rsidR="0095406A" w:rsidRPr="00B9614C">
        <w:rPr>
          <w:rFonts w:asciiTheme="majorBidi" w:hAnsiTheme="majorBidi" w:cstheme="majorBidi"/>
          <w:noProof/>
        </w:rPr>
        <w:t xml:space="preserve">racitioner </w:t>
      </w:r>
      <w:r w:rsidR="00462534" w:rsidRPr="00B9614C">
        <w:rPr>
          <w:rFonts w:asciiTheme="majorBidi" w:hAnsiTheme="majorBidi" w:cstheme="majorBidi"/>
          <w:noProof/>
        </w:rPr>
        <w:t>. A</w:t>
      </w:r>
      <w:r w:rsidRPr="00B9614C">
        <w:rPr>
          <w:rFonts w:asciiTheme="majorBidi" w:hAnsiTheme="majorBidi" w:cstheme="majorBidi"/>
          <w:noProof/>
        </w:rPr>
        <w:t xml:space="preserve">ll bar </w:t>
      </w:r>
      <w:r w:rsidR="00786049" w:rsidRPr="00B9614C">
        <w:rPr>
          <w:rFonts w:asciiTheme="majorBidi" w:hAnsiTheme="majorBidi" w:cstheme="majorBidi"/>
          <w:noProof/>
        </w:rPr>
        <w:t>one</w:t>
      </w:r>
      <w:r w:rsidR="00471A25" w:rsidRPr="00B9614C">
        <w:rPr>
          <w:rFonts w:asciiTheme="majorBidi" w:hAnsiTheme="majorBidi" w:cstheme="majorBidi"/>
          <w:noProof/>
        </w:rPr>
        <w:t xml:space="preserve"> </w:t>
      </w:r>
      <w:r w:rsidRPr="00B9614C">
        <w:rPr>
          <w:rFonts w:asciiTheme="majorBidi" w:hAnsiTheme="majorBidi" w:cstheme="majorBidi"/>
          <w:noProof/>
        </w:rPr>
        <w:t xml:space="preserve">said they had done this within a month of </w:t>
      </w:r>
      <w:r w:rsidR="00473D55" w:rsidRPr="00B9614C">
        <w:rPr>
          <w:rFonts w:asciiTheme="majorBidi" w:hAnsiTheme="majorBidi" w:cstheme="majorBidi"/>
          <w:noProof/>
        </w:rPr>
        <w:t xml:space="preserve">collecting </w:t>
      </w:r>
      <w:r w:rsidR="00462534" w:rsidRPr="00B9614C">
        <w:rPr>
          <w:rFonts w:asciiTheme="majorBidi" w:hAnsiTheme="majorBidi" w:cstheme="majorBidi"/>
          <w:noProof/>
        </w:rPr>
        <w:t xml:space="preserve">their first prescription. </w:t>
      </w:r>
      <w:r w:rsidRPr="00B9614C">
        <w:rPr>
          <w:rFonts w:asciiTheme="majorBidi" w:hAnsiTheme="majorBidi" w:cstheme="majorBidi"/>
          <w:noProof/>
        </w:rPr>
        <w:t xml:space="preserve">The combination of bisphosphonate and calcium: vitamin D supplements was reported to be taken by 12 participants. </w:t>
      </w:r>
    </w:p>
    <w:p w:rsidR="00523BF5" w:rsidRPr="00B9614C" w:rsidRDefault="00523BF5" w:rsidP="00473D55">
      <w:pPr>
        <w:spacing w:line="360" w:lineRule="auto"/>
        <w:jc w:val="both"/>
        <w:rPr>
          <w:rFonts w:asciiTheme="majorBidi" w:hAnsiTheme="majorBidi" w:cstheme="majorBidi"/>
          <w:noProof/>
        </w:rPr>
      </w:pPr>
    </w:p>
    <w:p w:rsidR="00697CC0" w:rsidRPr="00B9614C" w:rsidRDefault="00345FCC" w:rsidP="00473D55">
      <w:pPr>
        <w:spacing w:line="360" w:lineRule="auto"/>
        <w:jc w:val="both"/>
        <w:rPr>
          <w:rFonts w:asciiTheme="majorBidi" w:hAnsiTheme="majorBidi" w:cstheme="majorBidi"/>
        </w:rPr>
      </w:pPr>
      <w:r w:rsidRPr="00B9614C">
        <w:rPr>
          <w:rFonts w:asciiTheme="majorBidi" w:hAnsiTheme="majorBidi" w:cstheme="majorBidi"/>
          <w:noProof/>
        </w:rPr>
        <w:t xml:space="preserve">Of the 25 </w:t>
      </w:r>
      <w:r w:rsidR="00523BF5" w:rsidRPr="00B9614C">
        <w:rPr>
          <w:rFonts w:asciiTheme="majorBidi" w:hAnsiTheme="majorBidi" w:cstheme="majorBidi"/>
          <w:noProof/>
        </w:rPr>
        <w:t xml:space="preserve">participants </w:t>
      </w:r>
      <w:r w:rsidRPr="00B9614C">
        <w:rPr>
          <w:rFonts w:asciiTheme="majorBidi" w:hAnsiTheme="majorBidi" w:cstheme="majorBidi"/>
          <w:noProof/>
        </w:rPr>
        <w:t xml:space="preserve">who </w:t>
      </w:r>
      <w:r w:rsidR="00523BF5" w:rsidRPr="00B9614C">
        <w:rPr>
          <w:rFonts w:asciiTheme="majorBidi" w:hAnsiTheme="majorBidi" w:cstheme="majorBidi"/>
          <w:noProof/>
        </w:rPr>
        <w:t>t</w:t>
      </w:r>
      <w:r w:rsidR="00462534" w:rsidRPr="00B9614C">
        <w:rPr>
          <w:rFonts w:asciiTheme="majorBidi" w:hAnsiTheme="majorBidi" w:cstheme="majorBidi"/>
          <w:noProof/>
        </w:rPr>
        <w:t xml:space="preserve">ook part in Phase 2 Interviews, </w:t>
      </w:r>
      <w:r w:rsidRPr="00B9614C">
        <w:rPr>
          <w:rFonts w:asciiTheme="majorBidi" w:hAnsiTheme="majorBidi" w:cstheme="majorBidi"/>
          <w:noProof/>
        </w:rPr>
        <w:t>t</w:t>
      </w:r>
      <w:r w:rsidR="00523BF5" w:rsidRPr="00B9614C">
        <w:rPr>
          <w:rFonts w:asciiTheme="majorBidi" w:hAnsiTheme="majorBidi" w:cstheme="majorBidi"/>
          <w:noProof/>
        </w:rPr>
        <w:t xml:space="preserve">hirteen </w:t>
      </w:r>
      <w:r w:rsidR="009E77E0">
        <w:rPr>
          <w:rFonts w:asciiTheme="majorBidi" w:hAnsiTheme="majorBidi" w:cstheme="majorBidi"/>
          <w:noProof/>
        </w:rPr>
        <w:t>had</w:t>
      </w:r>
      <w:r w:rsidR="009E77E0" w:rsidRPr="00B9614C">
        <w:rPr>
          <w:rFonts w:asciiTheme="majorBidi" w:hAnsiTheme="majorBidi" w:cstheme="majorBidi"/>
          <w:noProof/>
        </w:rPr>
        <w:t xml:space="preserve"> </w:t>
      </w:r>
      <w:r w:rsidR="00523BF5" w:rsidRPr="00B9614C">
        <w:rPr>
          <w:rFonts w:asciiTheme="majorBidi" w:hAnsiTheme="majorBidi" w:cstheme="majorBidi"/>
          <w:noProof/>
        </w:rPr>
        <w:t xml:space="preserve">remained adherent to bisphosphonate medication and one previously non-adherent participant reported she </w:t>
      </w:r>
      <w:r w:rsidR="009E77E0">
        <w:rPr>
          <w:rFonts w:asciiTheme="majorBidi" w:hAnsiTheme="majorBidi" w:cstheme="majorBidi"/>
          <w:noProof/>
        </w:rPr>
        <w:t>had started</w:t>
      </w:r>
      <w:r w:rsidR="00523BF5" w:rsidRPr="00B9614C">
        <w:rPr>
          <w:rFonts w:asciiTheme="majorBidi" w:hAnsiTheme="majorBidi" w:cstheme="majorBidi"/>
          <w:noProof/>
        </w:rPr>
        <w:t xml:space="preserve"> taking </w:t>
      </w:r>
      <w:r w:rsidR="00471A25" w:rsidRPr="00B9614C">
        <w:rPr>
          <w:rFonts w:asciiTheme="majorBidi" w:hAnsiTheme="majorBidi" w:cstheme="majorBidi"/>
          <w:noProof/>
        </w:rPr>
        <w:t>her medication as pres</w:t>
      </w:r>
      <w:r w:rsidR="00473D55" w:rsidRPr="00B9614C">
        <w:rPr>
          <w:rFonts w:asciiTheme="majorBidi" w:hAnsiTheme="majorBidi" w:cstheme="majorBidi"/>
          <w:noProof/>
        </w:rPr>
        <w:t>cribed</w:t>
      </w:r>
      <w:r w:rsidR="00462534" w:rsidRPr="00B9614C">
        <w:rPr>
          <w:rFonts w:asciiTheme="majorBidi" w:hAnsiTheme="majorBidi" w:cstheme="majorBidi"/>
          <w:noProof/>
        </w:rPr>
        <w:t xml:space="preserve">. </w:t>
      </w:r>
      <w:r w:rsidR="00523BF5" w:rsidRPr="00B9614C">
        <w:rPr>
          <w:rFonts w:asciiTheme="majorBidi" w:hAnsiTheme="majorBidi" w:cstheme="majorBidi"/>
          <w:noProof/>
        </w:rPr>
        <w:t>Eleven were non-adherent including three women that had given up their bisphosphonat</w:t>
      </w:r>
      <w:r w:rsidR="00473D55" w:rsidRPr="00B9614C">
        <w:rPr>
          <w:rFonts w:asciiTheme="majorBidi" w:hAnsiTheme="majorBidi" w:cstheme="majorBidi"/>
          <w:noProof/>
        </w:rPr>
        <w:t>e medicine between interviews</w:t>
      </w:r>
      <w:r w:rsidR="00462534" w:rsidRPr="00B9614C">
        <w:rPr>
          <w:rFonts w:asciiTheme="majorBidi" w:hAnsiTheme="majorBidi" w:cstheme="majorBidi"/>
          <w:noProof/>
        </w:rPr>
        <w:t xml:space="preserve">. </w:t>
      </w:r>
      <w:r w:rsidR="00523BF5" w:rsidRPr="00B9614C">
        <w:rPr>
          <w:rFonts w:asciiTheme="majorBidi" w:hAnsiTheme="majorBidi" w:cstheme="majorBidi"/>
          <w:noProof/>
        </w:rPr>
        <w:t xml:space="preserve">Thus, a significant proportion of our sample were taking </w:t>
      </w:r>
      <w:r w:rsidR="00523BF5" w:rsidRPr="00B9614C">
        <w:rPr>
          <w:rFonts w:asciiTheme="majorBidi" w:hAnsiTheme="majorBidi" w:cstheme="majorBidi"/>
          <w:i/>
          <w:iCs/>
          <w:noProof/>
        </w:rPr>
        <w:t>no medication</w:t>
      </w:r>
      <w:r w:rsidR="00523BF5" w:rsidRPr="00B9614C">
        <w:rPr>
          <w:rFonts w:asciiTheme="majorBidi" w:hAnsiTheme="majorBidi" w:cstheme="majorBidi"/>
          <w:noProof/>
        </w:rPr>
        <w:t xml:space="preserve"> for the prevention of fracture and osteoporosis at 18 months </w:t>
      </w:r>
      <w:r w:rsidR="00473D55" w:rsidRPr="00B9614C">
        <w:rPr>
          <w:rFonts w:asciiTheme="majorBidi" w:hAnsiTheme="majorBidi" w:cstheme="majorBidi"/>
          <w:noProof/>
        </w:rPr>
        <w:t xml:space="preserve">(44%). </w:t>
      </w:r>
      <w:r w:rsidR="00697CC0" w:rsidRPr="00B9614C">
        <w:rPr>
          <w:rFonts w:asciiTheme="majorBidi" w:hAnsiTheme="majorBidi" w:cstheme="majorBidi"/>
        </w:rPr>
        <w:t xml:space="preserve">Even within the ‘adherent’ group, many women admitted deficits in their adherence; sometimes this was deliberate, to avoid inconvenience, sometimes </w:t>
      </w:r>
      <w:r w:rsidR="009E77E0">
        <w:rPr>
          <w:rFonts w:asciiTheme="majorBidi" w:hAnsiTheme="majorBidi" w:cstheme="majorBidi"/>
        </w:rPr>
        <w:t xml:space="preserve">it was </w:t>
      </w:r>
      <w:r w:rsidR="00697CC0" w:rsidRPr="00B9614C">
        <w:rPr>
          <w:rFonts w:asciiTheme="majorBidi" w:hAnsiTheme="majorBidi" w:cstheme="majorBidi"/>
        </w:rPr>
        <w:t xml:space="preserve">because they forgot one day, but took it the next. </w:t>
      </w:r>
    </w:p>
    <w:p w:rsidR="00697CC0" w:rsidRPr="00B9614C" w:rsidRDefault="00697CC0" w:rsidP="00473D55">
      <w:pPr>
        <w:spacing w:line="360" w:lineRule="auto"/>
        <w:jc w:val="both"/>
        <w:rPr>
          <w:noProof/>
        </w:rPr>
      </w:pPr>
    </w:p>
    <w:p w:rsidR="00697CC0" w:rsidRPr="00B9614C" w:rsidRDefault="00697CC0" w:rsidP="00473D55">
      <w:pPr>
        <w:spacing w:line="360" w:lineRule="auto"/>
        <w:jc w:val="both"/>
      </w:pPr>
      <w:r w:rsidRPr="00B9614C">
        <w:rPr>
          <w:noProof/>
        </w:rPr>
        <w:t>We found no obvious pattern or factors linking with adherence</w:t>
      </w:r>
      <w:r w:rsidR="00462534" w:rsidRPr="00B9614C">
        <w:rPr>
          <w:noProof/>
        </w:rPr>
        <w:t xml:space="preserve">. </w:t>
      </w:r>
      <w:r w:rsidRPr="00B9614C">
        <w:rPr>
          <w:noProof/>
        </w:rPr>
        <w:t xml:space="preserve">Responses to screening, acceptance of risk status, existing medical history, previous experience of falls, fractures and family history did not appear to predict </w:t>
      </w:r>
      <w:r w:rsidRPr="00B9614C">
        <w:rPr>
          <w:rFonts w:asciiTheme="majorBidi" w:hAnsiTheme="majorBidi" w:cstheme="majorBidi"/>
          <w:noProof/>
        </w:rPr>
        <w:t>womens’ adherence status</w:t>
      </w:r>
      <w:r w:rsidRPr="00B9614C">
        <w:rPr>
          <w:noProof/>
        </w:rPr>
        <w:t xml:space="preserve">. </w:t>
      </w:r>
    </w:p>
    <w:p w:rsidR="00697CC0" w:rsidRPr="00B9614C" w:rsidRDefault="00697CC0" w:rsidP="00462534">
      <w:pPr>
        <w:spacing w:line="360" w:lineRule="auto"/>
        <w:jc w:val="both"/>
        <w:rPr>
          <w:rFonts w:asciiTheme="majorBidi" w:hAnsiTheme="majorBidi" w:cstheme="majorBidi"/>
        </w:rPr>
      </w:pPr>
      <w:r w:rsidRPr="00B9614C">
        <w:rPr>
          <w:rFonts w:asciiTheme="majorBidi" w:hAnsiTheme="majorBidi" w:cstheme="majorBidi"/>
        </w:rPr>
        <w:t xml:space="preserve">Some participants complained </w:t>
      </w:r>
      <w:r w:rsidR="009E77E0">
        <w:rPr>
          <w:rFonts w:asciiTheme="majorBidi" w:hAnsiTheme="majorBidi" w:cstheme="majorBidi"/>
        </w:rPr>
        <w:t>about</w:t>
      </w:r>
      <w:r w:rsidR="009E77E0" w:rsidRPr="00B9614C">
        <w:rPr>
          <w:rFonts w:asciiTheme="majorBidi" w:hAnsiTheme="majorBidi" w:cstheme="majorBidi"/>
        </w:rPr>
        <w:t xml:space="preserve"> </w:t>
      </w:r>
      <w:r w:rsidRPr="00B9614C">
        <w:rPr>
          <w:rFonts w:asciiTheme="majorBidi" w:hAnsiTheme="majorBidi" w:cstheme="majorBidi"/>
        </w:rPr>
        <w:t xml:space="preserve">the complexity of the regimen, many had experienced side effects, some said their </w:t>
      </w:r>
      <w:r w:rsidR="00DE43A2" w:rsidRPr="00B9614C">
        <w:rPr>
          <w:rFonts w:asciiTheme="majorBidi" w:hAnsiTheme="majorBidi" w:cstheme="majorBidi"/>
        </w:rPr>
        <w:t>general practitioner</w:t>
      </w:r>
      <w:r w:rsidRPr="00B9614C">
        <w:rPr>
          <w:rFonts w:asciiTheme="majorBidi" w:hAnsiTheme="majorBidi" w:cstheme="majorBidi"/>
        </w:rPr>
        <w:t xml:space="preserve"> had stopped the medication, and some had misunderstood the reasons for taking them long-term</w:t>
      </w:r>
      <w:r w:rsidR="00471A25" w:rsidRPr="00B9614C">
        <w:rPr>
          <w:rFonts w:asciiTheme="majorBidi" w:hAnsiTheme="majorBidi" w:cstheme="majorBidi"/>
        </w:rPr>
        <w:t xml:space="preserve">. </w:t>
      </w:r>
      <w:r w:rsidR="00462534" w:rsidRPr="00B9614C">
        <w:rPr>
          <w:rFonts w:asciiTheme="majorBidi" w:hAnsiTheme="majorBidi" w:cstheme="majorBidi"/>
        </w:rPr>
        <w:t>H</w:t>
      </w:r>
      <w:r w:rsidRPr="00B9614C">
        <w:rPr>
          <w:rFonts w:asciiTheme="majorBidi" w:hAnsiTheme="majorBidi" w:cstheme="majorBidi"/>
        </w:rPr>
        <w:t>owever, many adherent women reported similar issues. Few cited ‘forgetting’ as a key cause of non-</w:t>
      </w:r>
      <w:r w:rsidR="00462534" w:rsidRPr="00B9614C">
        <w:rPr>
          <w:rFonts w:asciiTheme="majorBidi" w:hAnsiTheme="majorBidi" w:cstheme="majorBidi"/>
        </w:rPr>
        <w:t xml:space="preserve">adherence. </w:t>
      </w:r>
      <w:r w:rsidRPr="00B9614C">
        <w:rPr>
          <w:rFonts w:asciiTheme="majorBidi" w:hAnsiTheme="majorBidi" w:cstheme="majorBidi"/>
        </w:rPr>
        <w:t>A</w:t>
      </w:r>
      <w:r w:rsidR="00BE1DB9" w:rsidRPr="00B9614C">
        <w:rPr>
          <w:rFonts w:asciiTheme="majorBidi" w:hAnsiTheme="majorBidi" w:cstheme="majorBidi"/>
        </w:rPr>
        <w:t>lmost all respondents</w:t>
      </w:r>
      <w:r w:rsidRPr="00B9614C">
        <w:rPr>
          <w:rFonts w:asciiTheme="majorBidi" w:hAnsiTheme="majorBidi" w:cstheme="majorBidi"/>
        </w:rPr>
        <w:t xml:space="preserve"> declared a willingness </w:t>
      </w:r>
      <w:r w:rsidR="009E77E0">
        <w:rPr>
          <w:rFonts w:asciiTheme="majorBidi" w:hAnsiTheme="majorBidi" w:cstheme="majorBidi"/>
        </w:rPr>
        <w:t>to ‘</w:t>
      </w:r>
      <w:r w:rsidRPr="00B9614C">
        <w:rPr>
          <w:rFonts w:asciiTheme="majorBidi" w:hAnsiTheme="majorBidi" w:cstheme="majorBidi"/>
        </w:rPr>
        <w:t>in principle</w:t>
      </w:r>
      <w:r w:rsidR="009E77E0">
        <w:rPr>
          <w:rFonts w:asciiTheme="majorBidi" w:hAnsiTheme="majorBidi" w:cstheme="majorBidi"/>
        </w:rPr>
        <w:t>’</w:t>
      </w:r>
      <w:r w:rsidRPr="00B9614C">
        <w:rPr>
          <w:rFonts w:asciiTheme="majorBidi" w:hAnsiTheme="majorBidi" w:cstheme="majorBidi"/>
        </w:rPr>
        <w:t xml:space="preserve"> do what their </w:t>
      </w:r>
      <w:r w:rsidR="00DE43A2" w:rsidRPr="00B9614C">
        <w:rPr>
          <w:rFonts w:asciiTheme="majorBidi" w:hAnsiTheme="majorBidi" w:cstheme="majorBidi"/>
        </w:rPr>
        <w:t xml:space="preserve">general practitioner </w:t>
      </w:r>
      <w:r w:rsidRPr="00B9614C">
        <w:rPr>
          <w:rFonts w:asciiTheme="majorBidi" w:hAnsiTheme="majorBidi" w:cstheme="majorBidi"/>
        </w:rPr>
        <w:t>advised, but some non-adherent women cited medical permission or support for their choice</w:t>
      </w:r>
      <w:r w:rsidR="00365452" w:rsidRPr="00B9614C">
        <w:rPr>
          <w:rFonts w:asciiTheme="majorBidi" w:hAnsiTheme="majorBidi" w:cstheme="majorBidi"/>
        </w:rPr>
        <w:t xml:space="preserve"> to stop</w:t>
      </w:r>
      <w:r w:rsidRPr="00B9614C">
        <w:rPr>
          <w:rFonts w:asciiTheme="majorBidi" w:hAnsiTheme="majorBidi" w:cstheme="majorBidi"/>
        </w:rPr>
        <w:t xml:space="preserve">: </w:t>
      </w:r>
    </w:p>
    <w:p w:rsidR="00471A25" w:rsidRPr="00B9614C" w:rsidRDefault="00471A25" w:rsidP="00473D55">
      <w:pPr>
        <w:spacing w:line="360" w:lineRule="auto"/>
        <w:jc w:val="both"/>
        <w:rPr>
          <w:rFonts w:asciiTheme="majorBidi" w:hAnsiTheme="majorBidi" w:cstheme="majorBidi"/>
        </w:rPr>
      </w:pPr>
    </w:p>
    <w:p w:rsidR="00697CC0" w:rsidRPr="00B9614C" w:rsidRDefault="00697CC0" w:rsidP="00920552">
      <w:pPr>
        <w:spacing w:line="360" w:lineRule="auto"/>
        <w:ind w:left="720"/>
        <w:jc w:val="both"/>
        <w:rPr>
          <w:rFonts w:asciiTheme="majorBidi" w:hAnsiTheme="majorBidi" w:cstheme="majorBidi"/>
          <w:i/>
        </w:rPr>
      </w:pPr>
      <w:r w:rsidRPr="00B9614C">
        <w:rPr>
          <w:rFonts w:asciiTheme="majorBidi" w:hAnsiTheme="majorBidi" w:cstheme="majorBidi"/>
          <w:iCs/>
        </w:rPr>
        <w:t>He was quite happy</w:t>
      </w:r>
      <w:r w:rsidR="00920552" w:rsidRPr="00B9614C">
        <w:rPr>
          <w:rFonts w:asciiTheme="majorBidi" w:hAnsiTheme="majorBidi" w:cstheme="majorBidi"/>
          <w:iCs/>
        </w:rPr>
        <w:t>,</w:t>
      </w:r>
      <w:r w:rsidRPr="00B9614C">
        <w:rPr>
          <w:rFonts w:asciiTheme="majorBidi" w:hAnsiTheme="majorBidi" w:cstheme="majorBidi"/>
          <w:iCs/>
        </w:rPr>
        <w:t xml:space="preserve"> he said alright just stop</w:t>
      </w:r>
      <w:r w:rsidR="00920552" w:rsidRPr="00B9614C">
        <w:rPr>
          <w:rFonts w:asciiTheme="majorBidi" w:hAnsiTheme="majorBidi" w:cstheme="majorBidi"/>
          <w:iCs/>
        </w:rPr>
        <w:t>. H</w:t>
      </w:r>
      <w:r w:rsidRPr="00B9614C">
        <w:rPr>
          <w:rFonts w:asciiTheme="majorBidi" w:hAnsiTheme="majorBidi" w:cstheme="majorBidi"/>
          <w:iCs/>
        </w:rPr>
        <w:t>e said we’ve had no broken bones in your family</w:t>
      </w:r>
      <w:r w:rsidR="008759A6" w:rsidRPr="00B9614C">
        <w:rPr>
          <w:rFonts w:asciiTheme="majorBidi" w:hAnsiTheme="majorBidi" w:cstheme="majorBidi"/>
          <w:iCs/>
        </w:rPr>
        <w:t>,</w:t>
      </w:r>
      <w:r w:rsidRPr="00B9614C">
        <w:rPr>
          <w:rFonts w:asciiTheme="majorBidi" w:hAnsiTheme="majorBidi" w:cstheme="majorBidi"/>
          <w:iCs/>
        </w:rPr>
        <w:t xml:space="preserve"> he said you</w:t>
      </w:r>
      <w:r w:rsidR="007A21C9">
        <w:rPr>
          <w:rFonts w:asciiTheme="majorBidi" w:hAnsiTheme="majorBidi" w:cstheme="majorBidi"/>
          <w:iCs/>
        </w:rPr>
        <w:t xml:space="preserve">’ll probably be quite alright. </w:t>
      </w:r>
      <w:r w:rsidRPr="00B9614C">
        <w:rPr>
          <w:rFonts w:asciiTheme="majorBidi" w:hAnsiTheme="majorBidi" w:cstheme="majorBidi"/>
          <w:iCs/>
        </w:rPr>
        <w:t>(Participant 12</w:t>
      </w:r>
      <w:r w:rsidR="00B011FD" w:rsidRPr="00B9614C">
        <w:rPr>
          <w:rFonts w:asciiTheme="majorBidi" w:hAnsiTheme="majorBidi" w:cstheme="majorBidi"/>
          <w:iCs/>
        </w:rPr>
        <w:t>,</w:t>
      </w:r>
      <w:r w:rsidRPr="00B9614C">
        <w:rPr>
          <w:rFonts w:asciiTheme="majorBidi" w:hAnsiTheme="majorBidi" w:cstheme="majorBidi"/>
          <w:iCs/>
        </w:rPr>
        <w:t xml:space="preserve"> age 84 – became Non-Adherent to Bisphosphonates</w:t>
      </w:r>
      <w:r w:rsidRPr="00B9614C">
        <w:rPr>
          <w:rFonts w:asciiTheme="majorBidi" w:hAnsiTheme="majorBidi" w:cstheme="majorBidi"/>
        </w:rPr>
        <w:t xml:space="preserve"> by Phase 2.  Refused Calcium)</w:t>
      </w:r>
    </w:p>
    <w:p w:rsidR="00697CC0" w:rsidRPr="00B9614C" w:rsidRDefault="00AA4185" w:rsidP="00473D55">
      <w:pPr>
        <w:tabs>
          <w:tab w:val="left" w:pos="2504"/>
        </w:tabs>
        <w:spacing w:line="360" w:lineRule="auto"/>
        <w:jc w:val="both"/>
        <w:rPr>
          <w:rFonts w:asciiTheme="majorBidi" w:hAnsiTheme="majorBidi" w:cstheme="majorBidi"/>
        </w:rPr>
      </w:pPr>
      <w:r w:rsidRPr="00B9614C">
        <w:rPr>
          <w:rFonts w:asciiTheme="majorBidi" w:hAnsiTheme="majorBidi" w:cstheme="majorBidi"/>
        </w:rPr>
        <w:tab/>
      </w:r>
    </w:p>
    <w:p w:rsidR="00D81DC9" w:rsidRPr="00CE148A" w:rsidRDefault="00D81DC9" w:rsidP="00D81DC9">
      <w:pPr>
        <w:spacing w:line="360" w:lineRule="auto"/>
      </w:pPr>
      <w:r w:rsidRPr="00CE148A">
        <w:rPr>
          <w:color w:val="000000"/>
        </w:rPr>
        <w:t>Personal scepticism about the value of the treatments did not seem to link clearly with non-adherence. For example, the following participant was adherent to her medications, but demonstrated very little belief that she needed them at her age</w:t>
      </w:r>
      <w:r>
        <w:rPr>
          <w:color w:val="000000"/>
        </w:rPr>
        <w:t>:</w:t>
      </w:r>
    </w:p>
    <w:p w:rsidR="00B011FD" w:rsidRPr="00B9614C" w:rsidRDefault="00B011FD" w:rsidP="00D81DC9">
      <w:pPr>
        <w:spacing w:line="360" w:lineRule="auto"/>
        <w:jc w:val="both"/>
        <w:rPr>
          <w:rFonts w:asciiTheme="majorBidi" w:hAnsiTheme="majorBidi" w:cstheme="majorBidi"/>
        </w:rPr>
      </w:pPr>
    </w:p>
    <w:p w:rsidR="00697CC0" w:rsidRPr="00B9614C" w:rsidRDefault="00697CC0" w:rsidP="00473D55">
      <w:pPr>
        <w:spacing w:line="360" w:lineRule="auto"/>
        <w:ind w:left="720"/>
        <w:jc w:val="both"/>
        <w:rPr>
          <w:rFonts w:asciiTheme="majorBidi" w:hAnsiTheme="majorBidi" w:cstheme="majorBidi"/>
          <w:iCs/>
        </w:rPr>
      </w:pPr>
      <w:r w:rsidRPr="00B9614C">
        <w:rPr>
          <w:rFonts w:asciiTheme="majorBidi" w:hAnsiTheme="majorBidi" w:cstheme="majorBidi"/>
          <w:iCs/>
        </w:rPr>
        <w:t>I thought well yes I am 80</w:t>
      </w:r>
      <w:r w:rsidR="00920552" w:rsidRPr="00B9614C">
        <w:rPr>
          <w:rFonts w:asciiTheme="majorBidi" w:hAnsiTheme="majorBidi" w:cstheme="majorBidi"/>
          <w:iCs/>
        </w:rPr>
        <w:t>,</w:t>
      </w:r>
      <w:r w:rsidRPr="00B9614C">
        <w:rPr>
          <w:rFonts w:asciiTheme="majorBidi" w:hAnsiTheme="majorBidi" w:cstheme="majorBidi"/>
          <w:iCs/>
        </w:rPr>
        <w:t xml:space="preserve"> so I probably have anyway (thinning bones) and I also thought it is a bit </w:t>
      </w:r>
      <w:r w:rsidRPr="00B9614C">
        <w:rPr>
          <w:rFonts w:asciiTheme="majorBidi" w:hAnsiTheme="majorBidi" w:cstheme="majorBidi"/>
          <w:i/>
        </w:rPr>
        <w:t>late</w:t>
      </w:r>
      <w:r w:rsidRPr="00B9614C">
        <w:rPr>
          <w:rFonts w:asciiTheme="majorBidi" w:hAnsiTheme="majorBidi" w:cstheme="majorBidi"/>
          <w:iCs/>
        </w:rPr>
        <w:t xml:space="preserve"> to start treating me now I honestly did. That</w:t>
      </w:r>
      <w:r w:rsidR="00345FCC" w:rsidRPr="00B9614C">
        <w:rPr>
          <w:rFonts w:asciiTheme="majorBidi" w:hAnsiTheme="majorBidi" w:cstheme="majorBidi"/>
          <w:iCs/>
        </w:rPr>
        <w:t xml:space="preserve"> was my sort of attitude but the letter </w:t>
      </w:r>
      <w:r w:rsidRPr="00B9614C">
        <w:rPr>
          <w:rFonts w:asciiTheme="majorBidi" w:hAnsiTheme="majorBidi" w:cstheme="majorBidi"/>
          <w:iCs/>
        </w:rPr>
        <w:t xml:space="preserve">said </w:t>
      </w:r>
      <w:r w:rsidR="00345FCC" w:rsidRPr="00B9614C">
        <w:rPr>
          <w:rFonts w:asciiTheme="majorBidi" w:hAnsiTheme="majorBidi" w:cstheme="majorBidi"/>
          <w:iCs/>
        </w:rPr>
        <w:t>‘</w:t>
      </w:r>
      <w:r w:rsidRPr="00B9614C">
        <w:rPr>
          <w:rFonts w:asciiTheme="majorBidi" w:hAnsiTheme="majorBidi" w:cstheme="majorBidi"/>
          <w:iCs/>
        </w:rPr>
        <w:t>go and see your doctor</w:t>
      </w:r>
      <w:r w:rsidR="00345FCC" w:rsidRPr="00B9614C">
        <w:rPr>
          <w:rFonts w:asciiTheme="majorBidi" w:hAnsiTheme="majorBidi" w:cstheme="majorBidi"/>
          <w:iCs/>
        </w:rPr>
        <w:t>’</w:t>
      </w:r>
      <w:r w:rsidRPr="00B9614C">
        <w:rPr>
          <w:rFonts w:asciiTheme="majorBidi" w:hAnsiTheme="majorBidi" w:cstheme="majorBidi"/>
          <w:iCs/>
        </w:rPr>
        <w:t xml:space="preserve">, so I went and saw </w:t>
      </w:r>
      <w:r w:rsidR="007A21C9">
        <w:rPr>
          <w:rFonts w:asciiTheme="majorBidi" w:hAnsiTheme="majorBidi" w:cstheme="majorBidi"/>
          <w:iCs/>
        </w:rPr>
        <w:t>my doctor and he gave me those.</w:t>
      </w:r>
      <w:r w:rsidRPr="00B9614C">
        <w:rPr>
          <w:rFonts w:asciiTheme="majorBidi" w:hAnsiTheme="majorBidi" w:cstheme="majorBidi"/>
          <w:iCs/>
        </w:rPr>
        <w:t xml:space="preserve"> (Participant 24</w:t>
      </w:r>
      <w:r w:rsidR="00B011FD" w:rsidRPr="00B9614C">
        <w:rPr>
          <w:rFonts w:asciiTheme="majorBidi" w:hAnsiTheme="majorBidi" w:cstheme="majorBidi"/>
          <w:iCs/>
        </w:rPr>
        <w:t>,</w:t>
      </w:r>
      <w:r w:rsidRPr="00B9614C">
        <w:rPr>
          <w:rFonts w:asciiTheme="majorBidi" w:hAnsiTheme="majorBidi" w:cstheme="majorBidi"/>
          <w:iCs/>
        </w:rPr>
        <w:t xml:space="preserve"> age 80 - Adherent to both Bisphosphonates &amp; Calcium Phase 1, subsequently withdrew)</w:t>
      </w:r>
    </w:p>
    <w:p w:rsidR="00697CC0" w:rsidRPr="00B9614C" w:rsidRDefault="00697CC0" w:rsidP="00473D55">
      <w:pPr>
        <w:spacing w:line="360" w:lineRule="auto"/>
        <w:jc w:val="both"/>
        <w:rPr>
          <w:rFonts w:asciiTheme="majorBidi" w:hAnsiTheme="majorBidi" w:cstheme="majorBidi"/>
        </w:rPr>
      </w:pPr>
    </w:p>
    <w:p w:rsidR="00697CC0" w:rsidRPr="00B9614C" w:rsidRDefault="00697CC0" w:rsidP="00473D55">
      <w:pPr>
        <w:spacing w:line="360" w:lineRule="auto"/>
        <w:jc w:val="both"/>
        <w:rPr>
          <w:rFonts w:asciiTheme="majorBidi" w:hAnsiTheme="majorBidi" w:cstheme="majorBidi"/>
        </w:rPr>
      </w:pPr>
      <w:r w:rsidRPr="00B9614C">
        <w:rPr>
          <w:rFonts w:asciiTheme="majorBidi" w:hAnsiTheme="majorBidi" w:cstheme="majorBidi"/>
        </w:rPr>
        <w:t>By contrast</w:t>
      </w:r>
      <w:r w:rsidR="00A3434C">
        <w:rPr>
          <w:rFonts w:asciiTheme="majorBidi" w:hAnsiTheme="majorBidi" w:cstheme="majorBidi"/>
        </w:rPr>
        <w:t xml:space="preserve"> </w:t>
      </w:r>
      <w:r w:rsidRPr="00B9614C">
        <w:rPr>
          <w:rFonts w:asciiTheme="majorBidi" w:hAnsiTheme="majorBidi" w:cstheme="majorBidi"/>
        </w:rPr>
        <w:t xml:space="preserve">Participant 22 </w:t>
      </w:r>
      <w:r w:rsidR="00D81DC9">
        <w:rPr>
          <w:rFonts w:asciiTheme="majorBidi" w:hAnsiTheme="majorBidi" w:cstheme="majorBidi"/>
        </w:rPr>
        <w:t>was non-adherent</w:t>
      </w:r>
      <w:r w:rsidR="00810E69">
        <w:rPr>
          <w:rFonts w:asciiTheme="majorBidi" w:hAnsiTheme="majorBidi" w:cstheme="majorBidi"/>
        </w:rPr>
        <w:t xml:space="preserve">. </w:t>
      </w:r>
      <w:r w:rsidR="00A3434C">
        <w:rPr>
          <w:rFonts w:asciiTheme="majorBidi" w:hAnsiTheme="majorBidi" w:cstheme="majorBidi"/>
        </w:rPr>
        <w:t>She</w:t>
      </w:r>
      <w:r w:rsidR="00810E69">
        <w:rPr>
          <w:rFonts w:asciiTheme="majorBidi" w:hAnsiTheme="majorBidi" w:cstheme="majorBidi"/>
        </w:rPr>
        <w:t xml:space="preserve"> </w:t>
      </w:r>
      <w:r w:rsidRPr="00B9614C">
        <w:rPr>
          <w:rFonts w:asciiTheme="majorBidi" w:hAnsiTheme="majorBidi" w:cstheme="majorBidi"/>
        </w:rPr>
        <w:t>felt anyone could break a bone in the next 10 years and would have expected to fracture by now if she was</w:t>
      </w:r>
      <w:r w:rsidR="008759A6" w:rsidRPr="00B9614C">
        <w:rPr>
          <w:rFonts w:asciiTheme="majorBidi" w:hAnsiTheme="majorBidi" w:cstheme="majorBidi"/>
        </w:rPr>
        <w:t xml:space="preserve"> really</w:t>
      </w:r>
      <w:r w:rsidRPr="00B9614C">
        <w:rPr>
          <w:rFonts w:asciiTheme="majorBidi" w:hAnsiTheme="majorBidi" w:cstheme="majorBidi"/>
        </w:rPr>
        <w:t xml:space="preserve"> at risk</w:t>
      </w:r>
      <w:r w:rsidR="00D81DC9">
        <w:rPr>
          <w:rFonts w:asciiTheme="majorBidi" w:hAnsiTheme="majorBidi" w:cstheme="majorBidi"/>
        </w:rPr>
        <w:t>.</w:t>
      </w:r>
      <w:r w:rsidRPr="00B9614C">
        <w:rPr>
          <w:rFonts w:asciiTheme="majorBidi" w:hAnsiTheme="majorBidi" w:cstheme="majorBidi"/>
        </w:rPr>
        <w:t xml:space="preserve"> </w:t>
      </w:r>
      <w:r w:rsidR="00D81DC9">
        <w:rPr>
          <w:rFonts w:asciiTheme="majorBidi" w:hAnsiTheme="majorBidi" w:cstheme="majorBidi"/>
        </w:rPr>
        <w:t>She described how her own m</w:t>
      </w:r>
      <w:r w:rsidR="00D81DC9" w:rsidRPr="00B9614C">
        <w:rPr>
          <w:rFonts w:asciiTheme="majorBidi" w:hAnsiTheme="majorBidi" w:cstheme="majorBidi"/>
        </w:rPr>
        <w:t xml:space="preserve">other </w:t>
      </w:r>
      <w:r w:rsidR="00D81DC9">
        <w:rPr>
          <w:rFonts w:asciiTheme="majorBidi" w:hAnsiTheme="majorBidi" w:cstheme="majorBidi"/>
        </w:rPr>
        <w:t>had fallen and broken</w:t>
      </w:r>
      <w:r w:rsidR="00D81DC9" w:rsidRPr="00B9614C">
        <w:rPr>
          <w:rFonts w:asciiTheme="majorBidi" w:hAnsiTheme="majorBidi" w:cstheme="majorBidi"/>
        </w:rPr>
        <w:t xml:space="preserve"> her hip</w:t>
      </w:r>
      <w:r w:rsidR="00D81DC9">
        <w:rPr>
          <w:rFonts w:asciiTheme="majorBidi" w:hAnsiTheme="majorBidi" w:cstheme="majorBidi"/>
        </w:rPr>
        <w:t xml:space="preserve"> yet appeared to remain personally unconcerned</w:t>
      </w:r>
      <w:r w:rsidR="00D81DC9" w:rsidRPr="00B9614C">
        <w:rPr>
          <w:rFonts w:asciiTheme="majorBidi" w:hAnsiTheme="majorBidi" w:cstheme="majorBidi"/>
        </w:rPr>
        <w:t>:</w:t>
      </w:r>
    </w:p>
    <w:p w:rsidR="00B011FD" w:rsidRPr="00B9614C" w:rsidRDefault="00B011FD" w:rsidP="00473D55">
      <w:pPr>
        <w:spacing w:line="360" w:lineRule="auto"/>
        <w:jc w:val="both"/>
        <w:rPr>
          <w:rFonts w:asciiTheme="majorBidi" w:hAnsiTheme="majorBidi" w:cstheme="majorBidi"/>
        </w:rPr>
      </w:pPr>
    </w:p>
    <w:p w:rsidR="00697CC0" w:rsidRPr="00B9614C" w:rsidRDefault="00697CC0" w:rsidP="00473D55">
      <w:pPr>
        <w:spacing w:line="360" w:lineRule="auto"/>
        <w:ind w:left="720"/>
        <w:jc w:val="both"/>
        <w:rPr>
          <w:rFonts w:asciiTheme="majorBidi" w:hAnsiTheme="majorBidi" w:cstheme="majorBidi"/>
          <w:iCs/>
        </w:rPr>
      </w:pPr>
      <w:r w:rsidRPr="00B9614C">
        <w:rPr>
          <w:rFonts w:asciiTheme="majorBidi" w:hAnsiTheme="majorBidi" w:cstheme="majorBidi"/>
        </w:rPr>
        <w:t xml:space="preserve">When they said well look ‘a higher risk of breaking a bone over the next 10 years’ and I thought well </w:t>
      </w:r>
      <w:r w:rsidRPr="00B9614C">
        <w:rPr>
          <w:rFonts w:asciiTheme="majorBidi" w:hAnsiTheme="majorBidi" w:cstheme="majorBidi"/>
          <w:i/>
          <w:iCs/>
        </w:rPr>
        <w:t>I’m over 80 so it’s not surprising</w:t>
      </w:r>
      <w:r w:rsidRPr="00B9614C">
        <w:rPr>
          <w:rFonts w:asciiTheme="majorBidi" w:hAnsiTheme="majorBidi" w:cstheme="majorBidi"/>
        </w:rPr>
        <w:t xml:space="preserve"> (laughs).</w:t>
      </w:r>
      <w:r w:rsidRPr="00B9614C">
        <w:rPr>
          <w:rFonts w:asciiTheme="majorBidi" w:hAnsiTheme="majorBidi" w:cstheme="majorBidi"/>
          <w:i/>
          <w:iCs/>
        </w:rPr>
        <w:t xml:space="preserve">  </w:t>
      </w:r>
      <w:r w:rsidRPr="00B9614C">
        <w:rPr>
          <w:rFonts w:asciiTheme="majorBidi" w:hAnsiTheme="majorBidi" w:cstheme="majorBidi"/>
          <w:iCs/>
        </w:rPr>
        <w:t>(Participant 22</w:t>
      </w:r>
      <w:r w:rsidR="00B011FD" w:rsidRPr="00B9614C">
        <w:rPr>
          <w:rFonts w:asciiTheme="majorBidi" w:hAnsiTheme="majorBidi" w:cstheme="majorBidi"/>
          <w:iCs/>
        </w:rPr>
        <w:t>,</w:t>
      </w:r>
      <w:r w:rsidRPr="00B9614C">
        <w:rPr>
          <w:rFonts w:asciiTheme="majorBidi" w:hAnsiTheme="majorBidi" w:cstheme="majorBidi"/>
          <w:iCs/>
        </w:rPr>
        <w:t xml:space="preserve"> age 84 – Continually Non-Adherent to both Bisphosphonates &amp; Calcium)</w:t>
      </w:r>
    </w:p>
    <w:p w:rsidR="00697CC0" w:rsidRPr="00B9614C" w:rsidRDefault="00697CC0" w:rsidP="00473D55">
      <w:pPr>
        <w:spacing w:line="360" w:lineRule="auto"/>
        <w:jc w:val="both"/>
        <w:rPr>
          <w:rFonts w:asciiTheme="majorBidi" w:hAnsiTheme="majorBidi" w:cstheme="majorBidi"/>
        </w:rPr>
      </w:pPr>
    </w:p>
    <w:p w:rsidR="00697CC0" w:rsidRPr="00B9614C" w:rsidRDefault="00697CC0" w:rsidP="00473D55">
      <w:pPr>
        <w:pStyle w:val="ListParagraph"/>
        <w:spacing w:after="0" w:line="360" w:lineRule="auto"/>
        <w:ind w:left="0"/>
        <w:jc w:val="both"/>
        <w:rPr>
          <w:rFonts w:asciiTheme="majorBidi" w:hAnsiTheme="majorBidi" w:cstheme="majorBidi"/>
          <w:b/>
          <w:sz w:val="24"/>
          <w:szCs w:val="24"/>
        </w:rPr>
      </w:pPr>
      <w:r w:rsidRPr="00B9614C">
        <w:rPr>
          <w:rFonts w:asciiTheme="majorBidi" w:hAnsiTheme="majorBidi" w:cstheme="majorBidi"/>
          <w:b/>
          <w:sz w:val="24"/>
          <w:szCs w:val="24"/>
        </w:rPr>
        <w:t>Motivations</w:t>
      </w:r>
      <w:r w:rsidR="00D81DC9">
        <w:rPr>
          <w:rFonts w:asciiTheme="majorBidi" w:hAnsiTheme="majorBidi" w:cstheme="majorBidi"/>
          <w:b/>
          <w:sz w:val="24"/>
          <w:szCs w:val="24"/>
        </w:rPr>
        <w:t>,</w:t>
      </w:r>
      <w:r w:rsidRPr="00B9614C">
        <w:rPr>
          <w:rFonts w:asciiTheme="majorBidi" w:hAnsiTheme="majorBidi" w:cstheme="majorBidi"/>
          <w:b/>
          <w:sz w:val="24"/>
          <w:szCs w:val="24"/>
        </w:rPr>
        <w:t xml:space="preserve"> </w:t>
      </w:r>
      <w:r w:rsidR="0091706D">
        <w:rPr>
          <w:rFonts w:asciiTheme="majorBidi" w:hAnsiTheme="majorBidi" w:cstheme="majorBidi"/>
          <w:b/>
          <w:sz w:val="24"/>
          <w:szCs w:val="24"/>
        </w:rPr>
        <w:t>s</w:t>
      </w:r>
      <w:r w:rsidR="0091706D" w:rsidRPr="00B9614C">
        <w:rPr>
          <w:rFonts w:asciiTheme="majorBidi" w:hAnsiTheme="majorBidi" w:cstheme="majorBidi"/>
          <w:b/>
          <w:sz w:val="24"/>
          <w:szCs w:val="24"/>
        </w:rPr>
        <w:t>elf-care</w:t>
      </w:r>
      <w:r w:rsidR="00D81DC9">
        <w:rPr>
          <w:rFonts w:asciiTheme="majorBidi" w:hAnsiTheme="majorBidi" w:cstheme="majorBidi"/>
          <w:b/>
          <w:sz w:val="24"/>
          <w:szCs w:val="24"/>
        </w:rPr>
        <w:t xml:space="preserve"> and adherence</w:t>
      </w:r>
    </w:p>
    <w:p w:rsidR="00697CC0" w:rsidRPr="00B9614C" w:rsidRDefault="00697CC0" w:rsidP="00473D55">
      <w:pPr>
        <w:spacing w:line="360" w:lineRule="auto"/>
        <w:jc w:val="both"/>
        <w:rPr>
          <w:rFonts w:asciiTheme="majorBidi" w:hAnsiTheme="majorBidi" w:cstheme="majorBidi"/>
        </w:rPr>
      </w:pPr>
      <w:r w:rsidRPr="00B9614C">
        <w:rPr>
          <w:rFonts w:asciiTheme="majorBidi" w:hAnsiTheme="majorBidi" w:cstheme="majorBidi"/>
        </w:rPr>
        <w:t xml:space="preserve">All the respondents regardless of adherence status seemed to have accepted the need for </w:t>
      </w:r>
      <w:r w:rsidR="009E77E0">
        <w:rPr>
          <w:rFonts w:asciiTheme="majorBidi" w:hAnsiTheme="majorBidi" w:cstheme="majorBidi"/>
        </w:rPr>
        <w:t xml:space="preserve">better </w:t>
      </w:r>
      <w:r w:rsidRPr="00B9614C">
        <w:rPr>
          <w:rFonts w:asciiTheme="majorBidi" w:hAnsiTheme="majorBidi" w:cstheme="majorBidi"/>
        </w:rPr>
        <w:t>self-</w:t>
      </w:r>
      <w:r w:rsidR="00B011FD" w:rsidRPr="00B9614C">
        <w:rPr>
          <w:rFonts w:asciiTheme="majorBidi" w:hAnsiTheme="majorBidi" w:cstheme="majorBidi"/>
        </w:rPr>
        <w:t>care and an altered lifestyle</w:t>
      </w:r>
      <w:r w:rsidR="009E77E0">
        <w:rPr>
          <w:rFonts w:asciiTheme="majorBidi" w:hAnsiTheme="majorBidi" w:cstheme="majorBidi"/>
        </w:rPr>
        <w:t xml:space="preserve"> in order to prevent fractures</w:t>
      </w:r>
      <w:r w:rsidR="00B011FD" w:rsidRPr="00B9614C">
        <w:rPr>
          <w:rFonts w:asciiTheme="majorBidi" w:hAnsiTheme="majorBidi" w:cstheme="majorBidi"/>
        </w:rPr>
        <w:t xml:space="preserve">. </w:t>
      </w:r>
      <w:r w:rsidRPr="00B9614C">
        <w:rPr>
          <w:rFonts w:asciiTheme="majorBidi" w:hAnsiTheme="majorBidi" w:cstheme="majorBidi"/>
        </w:rPr>
        <w:t xml:space="preserve">Many </w:t>
      </w:r>
      <w:r w:rsidR="009E77E0">
        <w:rPr>
          <w:rFonts w:asciiTheme="majorBidi" w:hAnsiTheme="majorBidi" w:cstheme="majorBidi"/>
        </w:rPr>
        <w:t>believed</w:t>
      </w:r>
      <w:r w:rsidR="009E77E0" w:rsidRPr="00B9614C">
        <w:rPr>
          <w:rFonts w:asciiTheme="majorBidi" w:hAnsiTheme="majorBidi" w:cstheme="majorBidi"/>
        </w:rPr>
        <w:t xml:space="preserve"> </w:t>
      </w:r>
      <w:r w:rsidRPr="00B9614C">
        <w:rPr>
          <w:rFonts w:asciiTheme="majorBidi" w:hAnsiTheme="majorBidi" w:cstheme="majorBidi"/>
        </w:rPr>
        <w:t xml:space="preserve">they had been doing this all their lives through a good diet, plenty of physical activity and exercise: </w:t>
      </w:r>
    </w:p>
    <w:p w:rsidR="00B011FD" w:rsidRPr="00B9614C" w:rsidRDefault="00B011FD" w:rsidP="00473D55">
      <w:pPr>
        <w:spacing w:line="360" w:lineRule="auto"/>
        <w:jc w:val="both"/>
        <w:rPr>
          <w:rFonts w:asciiTheme="majorBidi" w:hAnsiTheme="majorBidi" w:cstheme="majorBidi"/>
        </w:rPr>
      </w:pPr>
    </w:p>
    <w:p w:rsidR="00697CC0" w:rsidRPr="00B9614C" w:rsidRDefault="00697CC0" w:rsidP="00473D5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360" w:lineRule="auto"/>
        <w:ind w:left="720" w:hanging="720"/>
        <w:jc w:val="both"/>
        <w:rPr>
          <w:rFonts w:asciiTheme="majorBidi" w:hAnsiTheme="majorBidi" w:cstheme="majorBidi"/>
          <w:i/>
          <w:iCs/>
        </w:rPr>
      </w:pPr>
      <w:r w:rsidRPr="00B9614C">
        <w:rPr>
          <w:rFonts w:asciiTheme="majorBidi" w:hAnsiTheme="majorBidi" w:cstheme="majorBidi"/>
          <w:i/>
          <w:iCs/>
        </w:rPr>
        <w:tab/>
      </w:r>
      <w:r w:rsidRPr="00B9614C">
        <w:rPr>
          <w:rFonts w:asciiTheme="majorBidi" w:hAnsiTheme="majorBidi" w:cstheme="majorBidi"/>
        </w:rPr>
        <w:t>Because I’ve always taken calcium you know. I’ve always had a lot of cheese</w:t>
      </w:r>
      <w:r w:rsidR="00920552" w:rsidRPr="00B9614C">
        <w:rPr>
          <w:rFonts w:asciiTheme="majorBidi" w:hAnsiTheme="majorBidi" w:cstheme="majorBidi"/>
        </w:rPr>
        <w:t>,</w:t>
      </w:r>
      <w:r w:rsidRPr="00B9614C">
        <w:rPr>
          <w:rFonts w:asciiTheme="majorBidi" w:hAnsiTheme="majorBidi" w:cstheme="majorBidi"/>
        </w:rPr>
        <w:t xml:space="preserve"> a lot of yoghurt and I drink a certain amount of milk I have calcium</w:t>
      </w:r>
      <w:r w:rsidR="00920552" w:rsidRPr="00B9614C">
        <w:rPr>
          <w:rFonts w:asciiTheme="majorBidi" w:hAnsiTheme="majorBidi" w:cstheme="majorBidi"/>
        </w:rPr>
        <w:t xml:space="preserve"> and I have a lot of vegetables</w:t>
      </w:r>
      <w:r w:rsidR="008759A6" w:rsidRPr="00B9614C">
        <w:rPr>
          <w:rFonts w:asciiTheme="majorBidi" w:hAnsiTheme="majorBidi" w:cstheme="majorBidi"/>
        </w:rPr>
        <w:t>.</w:t>
      </w:r>
      <w:r w:rsidR="007A21C9">
        <w:rPr>
          <w:rFonts w:asciiTheme="majorBidi" w:hAnsiTheme="majorBidi" w:cstheme="majorBidi"/>
        </w:rPr>
        <w:t xml:space="preserve"> </w:t>
      </w:r>
      <w:r w:rsidRPr="00B9614C">
        <w:rPr>
          <w:rFonts w:asciiTheme="majorBidi" w:hAnsiTheme="majorBidi" w:cstheme="majorBidi"/>
          <w:iCs/>
        </w:rPr>
        <w:t>(Participant</w:t>
      </w:r>
      <w:r w:rsidR="00B011FD" w:rsidRPr="00B9614C">
        <w:rPr>
          <w:rFonts w:asciiTheme="majorBidi" w:hAnsiTheme="majorBidi" w:cstheme="majorBidi"/>
          <w:iCs/>
        </w:rPr>
        <w:t xml:space="preserve"> 10, age</w:t>
      </w:r>
      <w:r w:rsidRPr="00B9614C">
        <w:rPr>
          <w:rFonts w:asciiTheme="majorBidi" w:hAnsiTheme="majorBidi" w:cstheme="majorBidi"/>
          <w:iCs/>
        </w:rPr>
        <w:t xml:space="preserve"> 73 - Continually adherent bisphosphonates. Calcium not prescribed)</w:t>
      </w:r>
    </w:p>
    <w:p w:rsidR="00697CC0" w:rsidRPr="00B9614C" w:rsidRDefault="00697CC0" w:rsidP="00473D5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360" w:lineRule="auto"/>
        <w:ind w:left="720" w:hanging="720"/>
        <w:jc w:val="both"/>
        <w:rPr>
          <w:rFonts w:asciiTheme="majorBidi" w:hAnsiTheme="majorBidi" w:cstheme="majorBidi"/>
          <w:iCs/>
        </w:rPr>
      </w:pPr>
    </w:p>
    <w:p w:rsidR="00697CC0" w:rsidRPr="00B9614C" w:rsidRDefault="007A21C9" w:rsidP="00473D5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360" w:lineRule="auto"/>
        <w:ind w:left="720" w:hanging="720"/>
        <w:jc w:val="both"/>
        <w:rPr>
          <w:rFonts w:asciiTheme="majorBidi" w:hAnsiTheme="majorBidi" w:cstheme="majorBidi"/>
        </w:rPr>
      </w:pPr>
      <w:r>
        <w:rPr>
          <w:rFonts w:asciiTheme="majorBidi" w:hAnsiTheme="majorBidi" w:cstheme="majorBidi"/>
        </w:rPr>
        <w:tab/>
      </w:r>
      <w:r w:rsidR="00697CC0" w:rsidRPr="00B9614C">
        <w:rPr>
          <w:rFonts w:asciiTheme="majorBidi" w:hAnsiTheme="majorBidi" w:cstheme="majorBidi"/>
        </w:rPr>
        <w:t>I take a cod liver oil pill every day</w:t>
      </w:r>
      <w:r w:rsidR="00707E92" w:rsidRPr="00B9614C">
        <w:rPr>
          <w:rFonts w:asciiTheme="majorBidi" w:hAnsiTheme="majorBidi" w:cstheme="majorBidi"/>
        </w:rPr>
        <w:t>,</w:t>
      </w:r>
      <w:r w:rsidR="00697CC0" w:rsidRPr="00B9614C">
        <w:rPr>
          <w:rFonts w:asciiTheme="majorBidi" w:hAnsiTheme="majorBidi" w:cstheme="majorBidi"/>
        </w:rPr>
        <w:t xml:space="preserve"> winter and</w:t>
      </w:r>
      <w:r w:rsidR="00920552" w:rsidRPr="00B9614C">
        <w:rPr>
          <w:rFonts w:asciiTheme="majorBidi" w:hAnsiTheme="majorBidi" w:cstheme="majorBidi"/>
        </w:rPr>
        <w:t xml:space="preserve"> summer. I’m sure that’s a help</w:t>
      </w:r>
      <w:r w:rsidR="008759A6" w:rsidRPr="00B9614C">
        <w:rPr>
          <w:rFonts w:asciiTheme="majorBidi" w:hAnsiTheme="majorBidi" w:cstheme="majorBidi"/>
        </w:rPr>
        <w:t>.</w:t>
      </w:r>
      <w:r w:rsidR="00697CC0" w:rsidRPr="00B9614C">
        <w:rPr>
          <w:rFonts w:asciiTheme="majorBidi" w:hAnsiTheme="majorBidi" w:cstheme="majorBidi"/>
        </w:rPr>
        <w:t xml:space="preserve"> (Participant</w:t>
      </w:r>
      <w:r w:rsidR="00B011FD" w:rsidRPr="00B9614C">
        <w:rPr>
          <w:rFonts w:asciiTheme="majorBidi" w:hAnsiTheme="majorBidi" w:cstheme="majorBidi"/>
        </w:rPr>
        <w:t xml:space="preserve"> 09, age</w:t>
      </w:r>
      <w:r w:rsidR="00697CC0" w:rsidRPr="00B9614C">
        <w:rPr>
          <w:rFonts w:asciiTheme="majorBidi" w:hAnsiTheme="majorBidi" w:cstheme="majorBidi"/>
        </w:rPr>
        <w:t xml:space="preserve"> 85 </w:t>
      </w:r>
      <w:r w:rsidR="00B011FD" w:rsidRPr="00B9614C">
        <w:rPr>
          <w:rFonts w:asciiTheme="majorBidi" w:hAnsiTheme="majorBidi" w:cstheme="majorBidi"/>
        </w:rPr>
        <w:t xml:space="preserve">- </w:t>
      </w:r>
      <w:r w:rsidR="00697CC0" w:rsidRPr="00B9614C">
        <w:rPr>
          <w:rFonts w:asciiTheme="majorBidi" w:hAnsiTheme="majorBidi" w:cstheme="majorBidi"/>
        </w:rPr>
        <w:t>Continually non-adherent bisphosphonates &amp; calcium)</w:t>
      </w:r>
    </w:p>
    <w:p w:rsidR="00944948" w:rsidRPr="00B9614C" w:rsidRDefault="00944948" w:rsidP="00473D5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360" w:lineRule="auto"/>
        <w:ind w:left="720" w:hanging="720"/>
        <w:jc w:val="both"/>
        <w:rPr>
          <w:rFonts w:asciiTheme="majorBidi" w:hAnsiTheme="majorBidi" w:cstheme="majorBidi"/>
          <w:iCs/>
        </w:rPr>
      </w:pPr>
    </w:p>
    <w:p w:rsidR="005307FB" w:rsidRPr="00B9614C" w:rsidRDefault="009E77E0" w:rsidP="00473D55">
      <w:pPr>
        <w:spacing w:line="360" w:lineRule="auto"/>
        <w:jc w:val="both"/>
        <w:rPr>
          <w:rFonts w:asciiTheme="majorBidi" w:hAnsiTheme="majorBidi" w:cstheme="majorBidi"/>
        </w:rPr>
      </w:pPr>
      <w:r>
        <w:rPr>
          <w:rFonts w:asciiTheme="majorBidi" w:hAnsiTheme="majorBidi" w:cstheme="majorBidi"/>
        </w:rPr>
        <w:t>In addition, m</w:t>
      </w:r>
      <w:r w:rsidR="005307FB" w:rsidRPr="00B9614C">
        <w:rPr>
          <w:rFonts w:asciiTheme="majorBidi" w:hAnsiTheme="majorBidi" w:cstheme="majorBidi"/>
        </w:rPr>
        <w:t xml:space="preserve">any </w:t>
      </w:r>
      <w:r w:rsidR="005307FB" w:rsidRPr="00B9614C">
        <w:rPr>
          <w:rFonts w:asciiTheme="majorBidi" w:hAnsiTheme="majorBidi" w:cstheme="majorBidi"/>
          <w:noProof/>
        </w:rPr>
        <w:t xml:space="preserve">participants </w:t>
      </w:r>
      <w:r w:rsidR="005307FB" w:rsidRPr="00B9614C">
        <w:rPr>
          <w:rFonts w:asciiTheme="majorBidi" w:hAnsiTheme="majorBidi" w:cstheme="majorBidi"/>
        </w:rPr>
        <w:t xml:space="preserve">had </w:t>
      </w:r>
      <w:r>
        <w:rPr>
          <w:rFonts w:asciiTheme="majorBidi" w:hAnsiTheme="majorBidi" w:cstheme="majorBidi"/>
        </w:rPr>
        <w:t xml:space="preserve">adjusted their daily </w:t>
      </w:r>
      <w:r w:rsidR="005307FB" w:rsidRPr="00B9614C">
        <w:rPr>
          <w:rFonts w:asciiTheme="majorBidi" w:hAnsiTheme="majorBidi" w:cstheme="majorBidi"/>
        </w:rPr>
        <w:t xml:space="preserve">routines to </w:t>
      </w:r>
      <w:r>
        <w:rPr>
          <w:rFonts w:asciiTheme="majorBidi" w:hAnsiTheme="majorBidi" w:cstheme="majorBidi"/>
        </w:rPr>
        <w:t>enhance their capacity to take</w:t>
      </w:r>
      <w:r w:rsidR="005307FB" w:rsidRPr="00B9614C">
        <w:rPr>
          <w:rFonts w:asciiTheme="majorBidi" w:hAnsiTheme="majorBidi" w:cstheme="majorBidi"/>
        </w:rPr>
        <w:t xml:space="preserve"> their regimens</w:t>
      </w:r>
      <w:r>
        <w:rPr>
          <w:rFonts w:asciiTheme="majorBidi" w:hAnsiTheme="majorBidi" w:cstheme="majorBidi"/>
        </w:rPr>
        <w:t xml:space="preserve"> as prescribed</w:t>
      </w:r>
      <w:r w:rsidR="00E255EC">
        <w:rPr>
          <w:rFonts w:asciiTheme="majorBidi" w:hAnsiTheme="majorBidi" w:cstheme="majorBidi"/>
        </w:rPr>
        <w:t>.</w:t>
      </w:r>
      <w:r w:rsidR="005307FB" w:rsidRPr="00B9614C">
        <w:rPr>
          <w:rFonts w:asciiTheme="majorBidi" w:hAnsiTheme="majorBidi" w:cstheme="majorBidi"/>
        </w:rPr>
        <w:t xml:space="preserve"> </w:t>
      </w:r>
      <w:r w:rsidR="00E255EC">
        <w:rPr>
          <w:rFonts w:asciiTheme="majorBidi" w:hAnsiTheme="majorBidi" w:cstheme="majorBidi"/>
        </w:rPr>
        <w:t>W</w:t>
      </w:r>
      <w:r w:rsidR="005307FB" w:rsidRPr="00B9614C">
        <w:rPr>
          <w:rFonts w:asciiTheme="majorBidi" w:hAnsiTheme="majorBidi" w:cstheme="majorBidi"/>
        </w:rPr>
        <w:t xml:space="preserve">eekly doses </w:t>
      </w:r>
      <w:r w:rsidR="00E255EC">
        <w:rPr>
          <w:rFonts w:asciiTheme="majorBidi" w:hAnsiTheme="majorBidi" w:cstheme="majorBidi"/>
        </w:rPr>
        <w:t xml:space="preserve">were linked </w:t>
      </w:r>
      <w:r w:rsidR="005307FB" w:rsidRPr="00B9614C">
        <w:rPr>
          <w:rFonts w:asciiTheme="majorBidi" w:hAnsiTheme="majorBidi" w:cstheme="majorBidi"/>
        </w:rPr>
        <w:t xml:space="preserve">with memorable events, </w:t>
      </w:r>
      <w:r w:rsidR="00E255EC">
        <w:rPr>
          <w:rFonts w:asciiTheme="majorBidi" w:hAnsiTheme="majorBidi" w:cstheme="majorBidi"/>
        </w:rPr>
        <w:t>and</w:t>
      </w:r>
      <w:r w:rsidR="005307FB" w:rsidRPr="00B9614C">
        <w:rPr>
          <w:rFonts w:asciiTheme="majorBidi" w:hAnsiTheme="majorBidi" w:cstheme="majorBidi"/>
        </w:rPr>
        <w:t xml:space="preserve"> chores such as ironing </w:t>
      </w:r>
      <w:r w:rsidR="00E255EC">
        <w:rPr>
          <w:rFonts w:asciiTheme="majorBidi" w:hAnsiTheme="majorBidi" w:cstheme="majorBidi"/>
        </w:rPr>
        <w:t xml:space="preserve">utilised </w:t>
      </w:r>
      <w:r w:rsidR="005307FB" w:rsidRPr="00B9614C">
        <w:rPr>
          <w:rFonts w:asciiTheme="majorBidi" w:hAnsiTheme="majorBidi" w:cstheme="majorBidi"/>
        </w:rPr>
        <w:t xml:space="preserve">to fulfil the half hour </w:t>
      </w:r>
      <w:r>
        <w:rPr>
          <w:rFonts w:asciiTheme="majorBidi" w:hAnsiTheme="majorBidi" w:cstheme="majorBidi"/>
        </w:rPr>
        <w:t>required in</w:t>
      </w:r>
      <w:r w:rsidRPr="00B9614C">
        <w:rPr>
          <w:rFonts w:asciiTheme="majorBidi" w:hAnsiTheme="majorBidi" w:cstheme="majorBidi"/>
        </w:rPr>
        <w:t xml:space="preserve"> </w:t>
      </w:r>
      <w:r w:rsidR="00944948" w:rsidRPr="00B9614C">
        <w:rPr>
          <w:rFonts w:asciiTheme="majorBidi" w:hAnsiTheme="majorBidi" w:cstheme="majorBidi"/>
        </w:rPr>
        <w:t xml:space="preserve">remaining </w:t>
      </w:r>
      <w:r w:rsidR="005307FB" w:rsidRPr="00B9614C">
        <w:rPr>
          <w:rFonts w:asciiTheme="majorBidi" w:hAnsiTheme="majorBidi" w:cstheme="majorBidi"/>
        </w:rPr>
        <w:t>upright:</w:t>
      </w:r>
    </w:p>
    <w:p w:rsidR="007F273F" w:rsidRPr="00B9614C" w:rsidRDefault="007F273F" w:rsidP="00473D55">
      <w:pPr>
        <w:spacing w:line="360" w:lineRule="auto"/>
        <w:jc w:val="both"/>
        <w:rPr>
          <w:rFonts w:asciiTheme="majorBidi" w:hAnsiTheme="majorBidi" w:cstheme="majorBidi"/>
        </w:rPr>
      </w:pPr>
    </w:p>
    <w:p w:rsidR="005307FB" w:rsidRPr="00B9614C" w:rsidRDefault="005307FB" w:rsidP="00473D55">
      <w:pPr>
        <w:tabs>
          <w:tab w:val="left" w:pos="720"/>
          <w:tab w:val="left" w:pos="77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360" w:lineRule="auto"/>
        <w:ind w:left="777" w:hanging="720"/>
        <w:jc w:val="both"/>
        <w:rPr>
          <w:i/>
        </w:rPr>
      </w:pPr>
      <w:r w:rsidRPr="00B9614C">
        <w:rPr>
          <w:rFonts w:asciiTheme="majorBidi" w:hAnsiTheme="majorBidi" w:cstheme="majorBidi"/>
        </w:rPr>
        <w:tab/>
      </w:r>
      <w:r w:rsidRPr="00B9614C">
        <w:rPr>
          <w:rFonts w:asciiTheme="majorBidi" w:hAnsiTheme="majorBidi" w:cstheme="majorBidi"/>
          <w:iCs/>
        </w:rPr>
        <w:t>So I try and get up early</w:t>
      </w:r>
      <w:r w:rsidR="00920552" w:rsidRPr="00B9614C">
        <w:rPr>
          <w:rFonts w:asciiTheme="majorBidi" w:hAnsiTheme="majorBidi" w:cstheme="majorBidi"/>
          <w:iCs/>
        </w:rPr>
        <w:t>,</w:t>
      </w:r>
      <w:r w:rsidRPr="00B9614C">
        <w:rPr>
          <w:rFonts w:asciiTheme="majorBidi" w:hAnsiTheme="majorBidi" w:cstheme="majorBidi"/>
          <w:iCs/>
        </w:rPr>
        <w:t xml:space="preserve"> take it with this load of water and find something to do standing up</w:t>
      </w:r>
      <w:r w:rsidR="00707E92" w:rsidRPr="00B9614C">
        <w:rPr>
          <w:rFonts w:asciiTheme="majorBidi" w:hAnsiTheme="majorBidi" w:cstheme="majorBidi"/>
          <w:iCs/>
        </w:rPr>
        <w:t>,</w:t>
      </w:r>
      <w:r w:rsidRPr="00B9614C">
        <w:rPr>
          <w:rFonts w:asciiTheme="majorBidi" w:hAnsiTheme="majorBidi" w:cstheme="majorBidi"/>
          <w:iCs/>
        </w:rPr>
        <w:t xml:space="preserve"> whether it</w:t>
      </w:r>
      <w:r w:rsidR="0084679F" w:rsidRPr="00B9614C">
        <w:rPr>
          <w:rFonts w:asciiTheme="majorBidi" w:hAnsiTheme="majorBidi" w:cstheme="majorBidi"/>
          <w:iCs/>
        </w:rPr>
        <w:t>’</w:t>
      </w:r>
      <w:r w:rsidRPr="00B9614C">
        <w:rPr>
          <w:rFonts w:asciiTheme="majorBidi" w:hAnsiTheme="majorBidi" w:cstheme="majorBidi"/>
          <w:iCs/>
        </w:rPr>
        <w:t>s ironing for an hour which I did this week (laughs) or going round the g</w:t>
      </w:r>
      <w:r w:rsidR="00B76C79" w:rsidRPr="00B9614C">
        <w:rPr>
          <w:rFonts w:asciiTheme="majorBidi" w:hAnsiTheme="majorBidi" w:cstheme="majorBidi"/>
          <w:iCs/>
        </w:rPr>
        <w:t xml:space="preserve">arden seeing what’s in flower. </w:t>
      </w:r>
      <w:r w:rsidRPr="00B9614C">
        <w:rPr>
          <w:rFonts w:asciiTheme="majorBidi" w:hAnsiTheme="majorBidi" w:cstheme="majorBidi"/>
          <w:iCs/>
        </w:rPr>
        <w:t>You have just got to find something to do which takes your mind off it.</w:t>
      </w:r>
      <w:r w:rsidRPr="00B9614C">
        <w:rPr>
          <w:rFonts w:asciiTheme="majorBidi" w:hAnsiTheme="majorBidi" w:cstheme="majorBidi"/>
          <w:i/>
        </w:rPr>
        <w:t xml:space="preserve"> (</w:t>
      </w:r>
      <w:r w:rsidR="00B011FD" w:rsidRPr="00B9614C">
        <w:rPr>
          <w:rFonts w:asciiTheme="majorBidi" w:hAnsiTheme="majorBidi" w:cstheme="majorBidi"/>
        </w:rPr>
        <w:t>Participant 06</w:t>
      </w:r>
      <w:r w:rsidR="00534855" w:rsidRPr="00B9614C">
        <w:rPr>
          <w:rFonts w:asciiTheme="majorBidi" w:hAnsiTheme="majorBidi" w:cstheme="majorBidi"/>
        </w:rPr>
        <w:t>,</w:t>
      </w:r>
      <w:r w:rsidR="00B011FD" w:rsidRPr="00B9614C">
        <w:rPr>
          <w:rFonts w:asciiTheme="majorBidi" w:hAnsiTheme="majorBidi" w:cstheme="majorBidi"/>
        </w:rPr>
        <w:t xml:space="preserve"> age</w:t>
      </w:r>
      <w:r w:rsidRPr="00B9614C">
        <w:rPr>
          <w:rFonts w:asciiTheme="majorBidi" w:hAnsiTheme="majorBidi" w:cstheme="majorBidi"/>
        </w:rPr>
        <w:t xml:space="preserve"> 80 – Continually Adherent to </w:t>
      </w:r>
      <w:r w:rsidRPr="00B9614C">
        <w:t xml:space="preserve">Bisphosphonates. Non-adherent to Calcium) </w:t>
      </w:r>
    </w:p>
    <w:p w:rsidR="005307FB" w:rsidRPr="00B9614C" w:rsidRDefault="005307FB" w:rsidP="00473D55">
      <w:pPr>
        <w:jc w:val="both"/>
      </w:pPr>
    </w:p>
    <w:p w:rsidR="005307FB" w:rsidRPr="00B9614C" w:rsidRDefault="005307FB" w:rsidP="00473D55">
      <w:pPr>
        <w:tabs>
          <w:tab w:val="left" w:pos="720"/>
          <w:tab w:val="left" w:pos="77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360" w:lineRule="auto"/>
        <w:ind w:left="777" w:hanging="720"/>
        <w:jc w:val="both"/>
        <w:rPr>
          <w:i/>
        </w:rPr>
      </w:pPr>
      <w:r w:rsidRPr="00B9614C">
        <w:rPr>
          <w:i/>
          <w:iCs/>
        </w:rPr>
        <w:tab/>
      </w:r>
      <w:r w:rsidRPr="00B9614C">
        <w:t>Market day is a Wednesday and I always used to go down to buy plants every Wednesday. I always used to think I can’t go down and get any plants</w:t>
      </w:r>
      <w:r w:rsidR="00920552" w:rsidRPr="00B9614C">
        <w:t>,</w:t>
      </w:r>
      <w:r w:rsidRPr="00B9614C">
        <w:t xml:space="preserve"> s</w:t>
      </w:r>
      <w:r w:rsidR="00B76C79" w:rsidRPr="00B9614C">
        <w:t xml:space="preserve">o I always remember Wednesday. </w:t>
      </w:r>
      <w:r w:rsidRPr="00B9614C">
        <w:t xml:space="preserve">That </w:t>
      </w:r>
      <w:r w:rsidR="00345FCC" w:rsidRPr="00B9614C">
        <w:t>was</w:t>
      </w:r>
      <w:r w:rsidR="007A21C9">
        <w:t xml:space="preserve"> my day.</w:t>
      </w:r>
      <w:r w:rsidRPr="00B9614C">
        <w:rPr>
          <w:rFonts w:asciiTheme="majorBidi" w:hAnsiTheme="majorBidi" w:cstheme="majorBidi"/>
          <w:i/>
        </w:rPr>
        <w:t xml:space="preserve"> (</w:t>
      </w:r>
      <w:r w:rsidR="00B011FD" w:rsidRPr="00B9614C">
        <w:rPr>
          <w:rFonts w:asciiTheme="majorBidi" w:hAnsiTheme="majorBidi" w:cstheme="majorBidi"/>
        </w:rPr>
        <w:t>Participant 30</w:t>
      </w:r>
      <w:r w:rsidR="00534855" w:rsidRPr="00B9614C">
        <w:rPr>
          <w:rFonts w:asciiTheme="majorBidi" w:hAnsiTheme="majorBidi" w:cstheme="majorBidi"/>
        </w:rPr>
        <w:t>,</w:t>
      </w:r>
      <w:r w:rsidR="00B011FD" w:rsidRPr="00B9614C">
        <w:rPr>
          <w:rFonts w:asciiTheme="majorBidi" w:hAnsiTheme="majorBidi" w:cstheme="majorBidi"/>
        </w:rPr>
        <w:t xml:space="preserve"> age</w:t>
      </w:r>
      <w:r w:rsidRPr="00B9614C">
        <w:rPr>
          <w:rFonts w:asciiTheme="majorBidi" w:hAnsiTheme="majorBidi" w:cstheme="majorBidi"/>
        </w:rPr>
        <w:t xml:space="preserve"> 75 – Continually Non-Adherent to </w:t>
      </w:r>
      <w:r w:rsidRPr="00B9614C">
        <w:t xml:space="preserve">Bisphosphonates.  Took Calcium supplements at Phase 2) </w:t>
      </w:r>
    </w:p>
    <w:p w:rsidR="005307FB" w:rsidRPr="00B9614C" w:rsidRDefault="005307FB" w:rsidP="00473D55">
      <w:pPr>
        <w:jc w:val="both"/>
      </w:pPr>
    </w:p>
    <w:p w:rsidR="005307FB" w:rsidRPr="00B9614C" w:rsidRDefault="005307FB" w:rsidP="00473D55">
      <w:pPr>
        <w:spacing w:line="360" w:lineRule="auto"/>
        <w:jc w:val="both"/>
        <w:rPr>
          <w:rFonts w:asciiTheme="majorBidi" w:hAnsiTheme="majorBidi" w:cstheme="majorBidi"/>
        </w:rPr>
      </w:pPr>
      <w:r w:rsidRPr="00B9614C">
        <w:rPr>
          <w:rFonts w:asciiTheme="majorBidi" w:hAnsiTheme="majorBidi" w:cstheme="majorBidi"/>
        </w:rPr>
        <w:t xml:space="preserve">Carers played a role in aiding adherence for two </w:t>
      </w:r>
      <w:r w:rsidR="00B2473E" w:rsidRPr="00B9614C">
        <w:rPr>
          <w:rFonts w:asciiTheme="majorBidi" w:hAnsiTheme="majorBidi" w:cstheme="majorBidi"/>
        </w:rPr>
        <w:t xml:space="preserve">participants </w:t>
      </w:r>
      <w:r w:rsidRPr="00B9614C">
        <w:rPr>
          <w:rFonts w:asciiTheme="majorBidi" w:hAnsiTheme="majorBidi" w:cstheme="majorBidi"/>
        </w:rPr>
        <w:t xml:space="preserve">with cognitive impairments by bringing the medication to them and altering the routine to ensure no food or cup of tea at the same time: </w:t>
      </w:r>
    </w:p>
    <w:p w:rsidR="00B011FD" w:rsidRPr="00B9614C" w:rsidRDefault="00B011FD" w:rsidP="00473D55">
      <w:pPr>
        <w:spacing w:line="360" w:lineRule="auto"/>
        <w:jc w:val="both"/>
        <w:rPr>
          <w:rFonts w:asciiTheme="majorBidi" w:hAnsiTheme="majorBidi" w:cstheme="majorBidi"/>
        </w:rPr>
      </w:pPr>
    </w:p>
    <w:p w:rsidR="00697CC0" w:rsidRPr="00B9614C" w:rsidRDefault="005307FB" w:rsidP="00473D55">
      <w:pPr>
        <w:spacing w:line="360" w:lineRule="auto"/>
        <w:ind w:left="720"/>
        <w:jc w:val="both"/>
      </w:pPr>
      <w:r w:rsidRPr="00B9614C">
        <w:rPr>
          <w:iCs/>
        </w:rPr>
        <w:t>He’d put it on his computer to remind me (and) he puts them in front of me and lets me get on with it</w:t>
      </w:r>
      <w:r w:rsidR="00B011FD" w:rsidRPr="00B9614C">
        <w:rPr>
          <w:iCs/>
        </w:rPr>
        <w:t>.</w:t>
      </w:r>
      <w:r w:rsidRPr="00B9614C">
        <w:t xml:space="preserve"> (Participant 17</w:t>
      </w:r>
      <w:r w:rsidR="00534855" w:rsidRPr="00B9614C">
        <w:t>,</w:t>
      </w:r>
      <w:r w:rsidRPr="00B9614C">
        <w:t xml:space="preserve"> age</w:t>
      </w:r>
      <w:r w:rsidR="00534855" w:rsidRPr="00B9614C">
        <w:t xml:space="preserve"> </w:t>
      </w:r>
      <w:r w:rsidRPr="00B9614C">
        <w:t>75 – Continually Adherent Bisphosphonates. Calcium not prescribed).</w:t>
      </w:r>
    </w:p>
    <w:p w:rsidR="005307FB" w:rsidRPr="00B9614C" w:rsidRDefault="005307FB" w:rsidP="00473D55">
      <w:pPr>
        <w:ind w:left="720"/>
        <w:jc w:val="both"/>
      </w:pPr>
    </w:p>
    <w:p w:rsidR="00697CC0" w:rsidRPr="00B9614C" w:rsidRDefault="00697CC0" w:rsidP="00473D55">
      <w:pPr>
        <w:spacing w:line="360" w:lineRule="auto"/>
        <w:jc w:val="both"/>
        <w:rPr>
          <w:rFonts w:asciiTheme="majorBidi" w:hAnsiTheme="majorBidi" w:cstheme="majorBidi"/>
          <w:noProof/>
        </w:rPr>
      </w:pPr>
      <w:r w:rsidRPr="00B9614C">
        <w:rPr>
          <w:rFonts w:asciiTheme="majorBidi" w:hAnsiTheme="majorBidi" w:cstheme="majorBidi"/>
          <w:noProof/>
        </w:rPr>
        <w:t>Autonomy was</w:t>
      </w:r>
      <w:r w:rsidR="00810E69">
        <w:rPr>
          <w:rFonts w:asciiTheme="majorBidi" w:hAnsiTheme="majorBidi" w:cstheme="majorBidi"/>
          <w:noProof/>
        </w:rPr>
        <w:t xml:space="preserve"> </w:t>
      </w:r>
      <w:r w:rsidR="00E255EC">
        <w:rPr>
          <w:rFonts w:asciiTheme="majorBidi" w:hAnsiTheme="majorBidi" w:cstheme="majorBidi"/>
          <w:noProof/>
        </w:rPr>
        <w:t>also</w:t>
      </w:r>
      <w:r w:rsidR="00810E69">
        <w:rPr>
          <w:rFonts w:asciiTheme="majorBidi" w:hAnsiTheme="majorBidi" w:cstheme="majorBidi"/>
          <w:noProof/>
        </w:rPr>
        <w:t xml:space="preserve"> </w:t>
      </w:r>
      <w:r w:rsidRPr="00B9614C">
        <w:rPr>
          <w:rFonts w:asciiTheme="majorBidi" w:hAnsiTheme="majorBidi" w:cstheme="majorBidi"/>
          <w:noProof/>
        </w:rPr>
        <w:t xml:space="preserve">a powerful motivator, characterised by the need to be independent and responsible in order to be able to care for self and others:  </w:t>
      </w:r>
    </w:p>
    <w:p w:rsidR="00B011FD" w:rsidRPr="00B9614C" w:rsidRDefault="00B011FD" w:rsidP="00473D55">
      <w:pPr>
        <w:spacing w:line="360" w:lineRule="auto"/>
        <w:jc w:val="both"/>
        <w:rPr>
          <w:rFonts w:asciiTheme="majorBidi" w:hAnsiTheme="majorBidi" w:cstheme="majorBidi"/>
          <w:noProof/>
        </w:rPr>
      </w:pPr>
    </w:p>
    <w:p w:rsidR="00697CC0" w:rsidRPr="00B9614C" w:rsidRDefault="00697CC0" w:rsidP="00920552">
      <w:pPr>
        <w:spacing w:line="360" w:lineRule="auto"/>
        <w:ind w:left="360"/>
        <w:jc w:val="both"/>
        <w:rPr>
          <w:rFonts w:asciiTheme="majorBidi" w:hAnsiTheme="majorBidi" w:cstheme="majorBidi"/>
          <w:noProof/>
        </w:rPr>
      </w:pPr>
      <w:r w:rsidRPr="00B9614C">
        <w:rPr>
          <w:rFonts w:asciiTheme="majorBidi" w:hAnsiTheme="majorBidi" w:cstheme="majorBidi"/>
          <w:noProof/>
        </w:rPr>
        <w:t>Well it is just the independence. I don’t want to be a nuisance to the family at all if I can help it</w:t>
      </w:r>
      <w:r w:rsidR="00920552" w:rsidRPr="00B9614C">
        <w:rPr>
          <w:rFonts w:asciiTheme="majorBidi" w:hAnsiTheme="majorBidi" w:cstheme="majorBidi"/>
          <w:noProof/>
        </w:rPr>
        <w:t>,</w:t>
      </w:r>
      <w:r w:rsidRPr="00B9614C">
        <w:rPr>
          <w:rFonts w:asciiTheme="majorBidi" w:hAnsiTheme="majorBidi" w:cstheme="majorBidi"/>
          <w:noProof/>
        </w:rPr>
        <w:t xml:space="preserve"> and if I haven’t done something that might have helped I’d feel a bit guilty</w:t>
      </w:r>
      <w:r w:rsidR="00920552" w:rsidRPr="00B9614C">
        <w:rPr>
          <w:rFonts w:asciiTheme="majorBidi" w:hAnsiTheme="majorBidi" w:cstheme="majorBidi"/>
          <w:noProof/>
        </w:rPr>
        <w:t>. I</w:t>
      </w:r>
      <w:r w:rsidRPr="00B9614C">
        <w:rPr>
          <w:rFonts w:asciiTheme="majorBidi" w:hAnsiTheme="majorBidi" w:cstheme="majorBidi"/>
          <w:noProof/>
        </w:rPr>
        <w:t>f you can do anything to prevent that happen</w:t>
      </w:r>
      <w:r w:rsidR="007A21C9">
        <w:rPr>
          <w:rFonts w:asciiTheme="majorBidi" w:hAnsiTheme="majorBidi" w:cstheme="majorBidi"/>
          <w:noProof/>
        </w:rPr>
        <w:t xml:space="preserve">ing it does help a little bit. </w:t>
      </w:r>
      <w:r w:rsidRPr="00B9614C">
        <w:rPr>
          <w:rFonts w:asciiTheme="majorBidi" w:hAnsiTheme="majorBidi" w:cstheme="majorBidi"/>
          <w:noProof/>
        </w:rPr>
        <w:t>(Participant 03</w:t>
      </w:r>
      <w:r w:rsidR="00534855" w:rsidRPr="00B9614C">
        <w:rPr>
          <w:rFonts w:asciiTheme="majorBidi" w:hAnsiTheme="majorBidi" w:cstheme="majorBidi"/>
          <w:noProof/>
        </w:rPr>
        <w:t>,</w:t>
      </w:r>
      <w:r w:rsidRPr="00B9614C">
        <w:rPr>
          <w:rFonts w:asciiTheme="majorBidi" w:hAnsiTheme="majorBidi" w:cstheme="majorBidi"/>
          <w:noProof/>
        </w:rPr>
        <w:t xml:space="preserve"> age 83 – Continually Adherent Bisphosphonates. Calcium not prescribed)</w:t>
      </w:r>
    </w:p>
    <w:p w:rsidR="00697CC0" w:rsidRPr="00B9614C" w:rsidRDefault="00697CC0" w:rsidP="00473D55">
      <w:pPr>
        <w:spacing w:line="360" w:lineRule="auto"/>
        <w:jc w:val="both"/>
        <w:rPr>
          <w:rFonts w:asciiTheme="majorBidi" w:hAnsiTheme="majorBidi" w:cstheme="majorBidi"/>
          <w:noProof/>
        </w:rPr>
      </w:pPr>
    </w:p>
    <w:p w:rsidR="00697CC0" w:rsidRPr="00B9614C" w:rsidRDefault="00697CC0" w:rsidP="00473D55">
      <w:pPr>
        <w:spacing w:line="360" w:lineRule="auto"/>
        <w:ind w:left="360"/>
        <w:jc w:val="both"/>
        <w:rPr>
          <w:rFonts w:asciiTheme="majorBidi" w:hAnsiTheme="majorBidi" w:cstheme="majorBidi"/>
          <w:noProof/>
        </w:rPr>
      </w:pPr>
      <w:r w:rsidRPr="00B9614C">
        <w:rPr>
          <w:rFonts w:asciiTheme="majorBidi" w:hAnsiTheme="majorBidi" w:cstheme="majorBidi"/>
          <w:noProof/>
        </w:rPr>
        <w:t>I like to protect myself as much as possible for my husband, well for me (too) for me I mean obviously.</w:t>
      </w:r>
      <w:r w:rsidRPr="00B9614C">
        <w:rPr>
          <w:rFonts w:asciiTheme="majorBidi" w:hAnsiTheme="majorBidi" w:cstheme="majorBidi"/>
          <w:i/>
          <w:iCs/>
          <w:noProof/>
        </w:rPr>
        <w:t xml:space="preserve"> </w:t>
      </w:r>
      <w:r w:rsidRPr="00B9614C">
        <w:rPr>
          <w:rFonts w:asciiTheme="majorBidi" w:hAnsiTheme="majorBidi" w:cstheme="majorBidi"/>
          <w:noProof/>
        </w:rPr>
        <w:t>(Participant 18</w:t>
      </w:r>
      <w:r w:rsidR="00534855" w:rsidRPr="00B9614C">
        <w:rPr>
          <w:rFonts w:asciiTheme="majorBidi" w:hAnsiTheme="majorBidi" w:cstheme="majorBidi"/>
          <w:noProof/>
        </w:rPr>
        <w:t>,</w:t>
      </w:r>
      <w:r w:rsidRPr="00B9614C">
        <w:rPr>
          <w:rFonts w:asciiTheme="majorBidi" w:hAnsiTheme="majorBidi" w:cstheme="majorBidi"/>
          <w:noProof/>
        </w:rPr>
        <w:t xml:space="preserve"> age 80 – Non-Adherent Bisphosphonates by Phase 2. Non-adherent to Calcium)</w:t>
      </w:r>
      <w:r w:rsidRPr="00B9614C">
        <w:rPr>
          <w:rFonts w:asciiTheme="majorBidi" w:hAnsiTheme="majorBidi" w:cstheme="majorBidi"/>
          <w:i/>
          <w:iCs/>
          <w:noProof/>
        </w:rPr>
        <w:t xml:space="preserve"> </w:t>
      </w:r>
    </w:p>
    <w:p w:rsidR="00B011FD" w:rsidRPr="00B9614C" w:rsidRDefault="00B011FD" w:rsidP="00473D55">
      <w:pPr>
        <w:spacing w:line="360" w:lineRule="auto"/>
        <w:jc w:val="both"/>
        <w:rPr>
          <w:rFonts w:asciiTheme="majorBidi" w:hAnsiTheme="majorBidi" w:cstheme="majorBidi"/>
          <w:b/>
        </w:rPr>
      </w:pPr>
    </w:p>
    <w:p w:rsidR="00697CC0" w:rsidRPr="00B9614C" w:rsidRDefault="00697CC0" w:rsidP="00473D55">
      <w:pPr>
        <w:spacing w:line="360" w:lineRule="auto"/>
        <w:jc w:val="both"/>
        <w:rPr>
          <w:rFonts w:asciiTheme="majorBidi" w:hAnsiTheme="majorBidi" w:cstheme="majorBidi"/>
          <w:b/>
        </w:rPr>
      </w:pPr>
      <w:r w:rsidRPr="00B9614C">
        <w:rPr>
          <w:rFonts w:asciiTheme="majorBidi" w:hAnsiTheme="majorBidi" w:cstheme="majorBidi"/>
          <w:b/>
        </w:rPr>
        <w:t>Appraising and prioritising risk</w:t>
      </w:r>
    </w:p>
    <w:p w:rsidR="00697CC0" w:rsidRPr="00B9614C" w:rsidRDefault="00A3434C" w:rsidP="00473D55">
      <w:pPr>
        <w:spacing w:line="360" w:lineRule="auto"/>
        <w:jc w:val="both"/>
        <w:rPr>
          <w:rFonts w:asciiTheme="majorBidi" w:hAnsiTheme="majorBidi" w:cstheme="majorBidi"/>
        </w:rPr>
      </w:pPr>
      <w:r>
        <w:rPr>
          <w:rFonts w:asciiTheme="majorBidi" w:hAnsiTheme="majorBidi" w:cstheme="majorBidi"/>
        </w:rPr>
        <w:t xml:space="preserve">Phase 1 interviews </w:t>
      </w:r>
      <w:r w:rsidR="00710262">
        <w:rPr>
          <w:rFonts w:asciiTheme="majorBidi" w:hAnsiTheme="majorBidi" w:cstheme="majorBidi"/>
        </w:rPr>
        <w:t xml:space="preserve">specifically </w:t>
      </w:r>
      <w:r>
        <w:rPr>
          <w:rFonts w:asciiTheme="majorBidi" w:hAnsiTheme="majorBidi" w:cstheme="majorBidi"/>
        </w:rPr>
        <w:t xml:space="preserve">asked participants about their reaction to their recent risk assessment.  </w:t>
      </w:r>
      <w:r w:rsidR="00697CC0" w:rsidRPr="00B9614C">
        <w:rPr>
          <w:rFonts w:asciiTheme="majorBidi" w:hAnsiTheme="majorBidi" w:cstheme="majorBidi"/>
        </w:rPr>
        <w:t xml:space="preserve">Risk perceptions </w:t>
      </w:r>
      <w:r>
        <w:rPr>
          <w:rFonts w:asciiTheme="majorBidi" w:hAnsiTheme="majorBidi" w:cstheme="majorBidi"/>
        </w:rPr>
        <w:t>at this</w:t>
      </w:r>
      <w:r w:rsidR="00697CC0" w:rsidRPr="00B9614C">
        <w:rPr>
          <w:rFonts w:asciiTheme="majorBidi" w:hAnsiTheme="majorBidi" w:cstheme="majorBidi"/>
        </w:rPr>
        <w:t xml:space="preserve"> phase were mostly expressed in ‘sense making’ comments </w:t>
      </w:r>
      <w:r w:rsidR="00E255EC">
        <w:rPr>
          <w:rFonts w:asciiTheme="majorBidi" w:hAnsiTheme="majorBidi" w:cstheme="majorBidi"/>
        </w:rPr>
        <w:t xml:space="preserve">regarding </w:t>
      </w:r>
      <w:r w:rsidR="00697CC0" w:rsidRPr="00B9614C">
        <w:rPr>
          <w:rFonts w:asciiTheme="majorBidi" w:hAnsiTheme="majorBidi" w:cstheme="majorBidi"/>
        </w:rPr>
        <w:t xml:space="preserve">the context of </w:t>
      </w:r>
      <w:r w:rsidR="00B2473E" w:rsidRPr="00B9614C">
        <w:rPr>
          <w:rFonts w:asciiTheme="majorBidi" w:hAnsiTheme="majorBidi" w:cstheme="majorBidi"/>
        </w:rPr>
        <w:t>ageing</w:t>
      </w:r>
      <w:r w:rsidR="00462534" w:rsidRPr="00B9614C">
        <w:rPr>
          <w:rFonts w:asciiTheme="majorBidi" w:hAnsiTheme="majorBidi" w:cstheme="majorBidi"/>
        </w:rPr>
        <w:t xml:space="preserve">. </w:t>
      </w:r>
      <w:r w:rsidR="00697CC0" w:rsidRPr="00B9614C">
        <w:rPr>
          <w:rFonts w:asciiTheme="majorBidi" w:hAnsiTheme="majorBidi" w:cstheme="majorBidi"/>
        </w:rPr>
        <w:t xml:space="preserve">There was added complexity </w:t>
      </w:r>
      <w:r>
        <w:rPr>
          <w:rFonts w:asciiTheme="majorBidi" w:hAnsiTheme="majorBidi" w:cstheme="majorBidi"/>
        </w:rPr>
        <w:t xml:space="preserve">for participants who had been given </w:t>
      </w:r>
      <w:r w:rsidR="00697CC0" w:rsidRPr="00B9614C">
        <w:rPr>
          <w:rFonts w:asciiTheme="majorBidi" w:hAnsiTheme="majorBidi" w:cstheme="majorBidi"/>
        </w:rPr>
        <w:t xml:space="preserve">a risk status </w:t>
      </w:r>
      <w:r>
        <w:rPr>
          <w:rFonts w:asciiTheme="majorBidi" w:hAnsiTheme="majorBidi" w:cstheme="majorBidi"/>
        </w:rPr>
        <w:t xml:space="preserve">of ‘higher than average’ but had </w:t>
      </w:r>
      <w:r w:rsidR="00697CC0" w:rsidRPr="00B9614C">
        <w:rPr>
          <w:rFonts w:asciiTheme="majorBidi" w:hAnsiTheme="majorBidi" w:cstheme="majorBidi"/>
        </w:rPr>
        <w:t>no visible signs or experience of symptoms:</w:t>
      </w:r>
    </w:p>
    <w:p w:rsidR="00534855" w:rsidRPr="00B9614C" w:rsidRDefault="00534855" w:rsidP="00473D55">
      <w:pPr>
        <w:spacing w:line="360" w:lineRule="auto"/>
        <w:jc w:val="both"/>
        <w:rPr>
          <w:rFonts w:asciiTheme="majorBidi" w:hAnsiTheme="majorBidi" w:cstheme="majorBidi"/>
        </w:rPr>
      </w:pPr>
    </w:p>
    <w:p w:rsidR="00697CC0" w:rsidRPr="00B9614C" w:rsidRDefault="00697CC0" w:rsidP="00920552">
      <w:pPr>
        <w:spacing w:line="360" w:lineRule="auto"/>
        <w:ind w:left="720"/>
        <w:jc w:val="both"/>
        <w:rPr>
          <w:rFonts w:asciiTheme="majorBidi" w:hAnsiTheme="majorBidi" w:cstheme="majorBidi"/>
          <w:iCs/>
        </w:rPr>
      </w:pPr>
      <w:r w:rsidRPr="00B9614C">
        <w:rPr>
          <w:rFonts w:asciiTheme="majorBidi" w:hAnsiTheme="majorBidi" w:cstheme="majorBidi"/>
          <w:i/>
          <w:iCs/>
        </w:rPr>
        <w:t>Not in a million years</w:t>
      </w:r>
      <w:r w:rsidR="00920552" w:rsidRPr="00B9614C">
        <w:rPr>
          <w:rFonts w:asciiTheme="majorBidi" w:hAnsiTheme="majorBidi" w:cstheme="majorBidi"/>
        </w:rPr>
        <w:t xml:space="preserve">. </w:t>
      </w:r>
      <w:r w:rsidRPr="00B9614C">
        <w:rPr>
          <w:rFonts w:asciiTheme="majorBidi" w:hAnsiTheme="majorBidi" w:cstheme="majorBidi"/>
        </w:rPr>
        <w:t>I thought oh they’ll come back and say oh you’re fine</w:t>
      </w:r>
      <w:r w:rsidR="00920552" w:rsidRPr="00B9614C">
        <w:rPr>
          <w:rFonts w:asciiTheme="majorBidi" w:hAnsiTheme="majorBidi" w:cstheme="majorBidi"/>
        </w:rPr>
        <w:t>. A</w:t>
      </w:r>
      <w:r w:rsidRPr="00B9614C">
        <w:rPr>
          <w:rFonts w:asciiTheme="majorBidi" w:hAnsiTheme="majorBidi" w:cstheme="majorBidi"/>
        </w:rPr>
        <w:t>nd they wrote back and said I was</w:t>
      </w:r>
      <w:r w:rsidR="00920552" w:rsidRPr="00B9614C">
        <w:rPr>
          <w:rFonts w:asciiTheme="majorBidi" w:hAnsiTheme="majorBidi" w:cstheme="majorBidi"/>
        </w:rPr>
        <w:t>n’t. Y</w:t>
      </w:r>
      <w:r w:rsidRPr="00B9614C">
        <w:rPr>
          <w:rFonts w:asciiTheme="majorBidi" w:hAnsiTheme="majorBidi" w:cstheme="majorBidi"/>
        </w:rPr>
        <w:t>es I thought I couldn’t believe it because I’</w:t>
      </w:r>
      <w:r w:rsidR="00B76C79" w:rsidRPr="00B9614C">
        <w:rPr>
          <w:rFonts w:asciiTheme="majorBidi" w:hAnsiTheme="majorBidi" w:cstheme="majorBidi"/>
        </w:rPr>
        <w:t>ve alway</w:t>
      </w:r>
      <w:r w:rsidR="007A21C9">
        <w:rPr>
          <w:rFonts w:asciiTheme="majorBidi" w:hAnsiTheme="majorBidi" w:cstheme="majorBidi"/>
        </w:rPr>
        <w:t>s had a balanced diet.</w:t>
      </w:r>
      <w:r w:rsidR="00B76C79" w:rsidRPr="00B9614C">
        <w:rPr>
          <w:rFonts w:asciiTheme="majorBidi" w:hAnsiTheme="majorBidi" w:cstheme="majorBidi"/>
        </w:rPr>
        <w:t xml:space="preserve"> </w:t>
      </w:r>
      <w:r w:rsidRPr="00B9614C">
        <w:rPr>
          <w:rFonts w:asciiTheme="majorBidi" w:hAnsiTheme="majorBidi" w:cstheme="majorBidi"/>
        </w:rPr>
        <w:t>(</w:t>
      </w:r>
      <w:r w:rsidRPr="00B9614C">
        <w:rPr>
          <w:rFonts w:asciiTheme="majorBidi" w:hAnsiTheme="majorBidi" w:cstheme="majorBidi"/>
          <w:iCs/>
        </w:rPr>
        <w:t>Participant 29</w:t>
      </w:r>
      <w:r w:rsidR="00534855" w:rsidRPr="00B9614C">
        <w:rPr>
          <w:rFonts w:asciiTheme="majorBidi" w:hAnsiTheme="majorBidi" w:cstheme="majorBidi"/>
          <w:iCs/>
        </w:rPr>
        <w:t>,</w:t>
      </w:r>
      <w:r w:rsidRPr="00B9614C">
        <w:rPr>
          <w:rFonts w:asciiTheme="majorBidi" w:hAnsiTheme="majorBidi" w:cstheme="majorBidi"/>
          <w:iCs/>
        </w:rPr>
        <w:t xml:space="preserve"> age 75 – Continually Adherent to both Bisphosphonates &amp; Calcium)</w:t>
      </w:r>
    </w:p>
    <w:p w:rsidR="00944948" w:rsidRPr="00B9614C" w:rsidRDefault="00944948" w:rsidP="00473D55">
      <w:pPr>
        <w:spacing w:line="360" w:lineRule="auto"/>
        <w:jc w:val="both"/>
        <w:rPr>
          <w:rFonts w:asciiTheme="majorBidi" w:hAnsiTheme="majorBidi" w:cstheme="majorBidi"/>
        </w:rPr>
      </w:pPr>
    </w:p>
    <w:p w:rsidR="00944948" w:rsidRPr="00B9614C" w:rsidRDefault="00B2473E" w:rsidP="00473D55">
      <w:pPr>
        <w:spacing w:line="360" w:lineRule="auto"/>
        <w:jc w:val="both"/>
        <w:rPr>
          <w:rFonts w:asciiTheme="majorBidi" w:hAnsiTheme="majorBidi" w:cstheme="majorBidi"/>
        </w:rPr>
      </w:pPr>
      <w:r w:rsidRPr="00B9614C">
        <w:rPr>
          <w:rFonts w:asciiTheme="majorBidi" w:hAnsiTheme="majorBidi" w:cstheme="majorBidi"/>
        </w:rPr>
        <w:t>Many of those who had initially questioned</w:t>
      </w:r>
      <w:r w:rsidR="00944948" w:rsidRPr="00B9614C">
        <w:rPr>
          <w:rFonts w:asciiTheme="majorBidi" w:hAnsiTheme="majorBidi" w:cstheme="majorBidi"/>
        </w:rPr>
        <w:t xml:space="preserve"> their risk status and express</w:t>
      </w:r>
      <w:r w:rsidRPr="00B9614C">
        <w:rPr>
          <w:rFonts w:asciiTheme="majorBidi" w:hAnsiTheme="majorBidi" w:cstheme="majorBidi"/>
        </w:rPr>
        <w:t>ed</w:t>
      </w:r>
      <w:r w:rsidR="00944948" w:rsidRPr="00B9614C">
        <w:rPr>
          <w:rFonts w:asciiTheme="majorBidi" w:hAnsiTheme="majorBidi" w:cstheme="majorBidi"/>
        </w:rPr>
        <w:t xml:space="preserve"> negative reactions had adjusted to their status and cite</w:t>
      </w:r>
      <w:r w:rsidRPr="00B9614C">
        <w:rPr>
          <w:rFonts w:asciiTheme="majorBidi" w:hAnsiTheme="majorBidi" w:cstheme="majorBidi"/>
        </w:rPr>
        <w:t>d</w:t>
      </w:r>
      <w:r w:rsidR="00944948" w:rsidRPr="00B9614C">
        <w:rPr>
          <w:rFonts w:asciiTheme="majorBidi" w:hAnsiTheme="majorBidi" w:cstheme="majorBidi"/>
        </w:rPr>
        <w:t xml:space="preserve"> measures </w:t>
      </w:r>
      <w:r w:rsidRPr="00B9614C">
        <w:rPr>
          <w:rFonts w:asciiTheme="majorBidi" w:hAnsiTheme="majorBidi" w:cstheme="majorBidi"/>
        </w:rPr>
        <w:t>taken</w:t>
      </w:r>
      <w:r w:rsidR="00944948" w:rsidRPr="00B9614C">
        <w:rPr>
          <w:rFonts w:asciiTheme="majorBidi" w:hAnsiTheme="majorBidi" w:cstheme="majorBidi"/>
        </w:rPr>
        <w:t xml:space="preserve"> to be self-protecti</w:t>
      </w:r>
      <w:r w:rsidR="00E255EC">
        <w:rPr>
          <w:rFonts w:asciiTheme="majorBidi" w:hAnsiTheme="majorBidi" w:cstheme="majorBidi"/>
        </w:rPr>
        <w:t>ve</w:t>
      </w:r>
      <w:r w:rsidR="00944948" w:rsidRPr="00B9614C">
        <w:rPr>
          <w:rFonts w:asciiTheme="majorBidi" w:hAnsiTheme="majorBidi" w:cstheme="majorBidi"/>
        </w:rPr>
        <w:t xml:space="preserve"> </w:t>
      </w:r>
      <w:r w:rsidRPr="00B9614C">
        <w:rPr>
          <w:rFonts w:asciiTheme="majorBidi" w:hAnsiTheme="majorBidi" w:cstheme="majorBidi"/>
        </w:rPr>
        <w:t xml:space="preserve">such as </w:t>
      </w:r>
      <w:r w:rsidR="00944948" w:rsidRPr="00B9614C">
        <w:rPr>
          <w:rFonts w:asciiTheme="majorBidi" w:hAnsiTheme="majorBidi" w:cstheme="majorBidi"/>
        </w:rPr>
        <w:t xml:space="preserve">not climbing ladders and </w:t>
      </w:r>
      <w:r w:rsidR="00E255EC">
        <w:rPr>
          <w:rFonts w:asciiTheme="majorBidi" w:hAnsiTheme="majorBidi" w:cstheme="majorBidi"/>
        </w:rPr>
        <w:t xml:space="preserve">prioritising </w:t>
      </w:r>
      <w:r w:rsidR="00944948" w:rsidRPr="00B9614C">
        <w:rPr>
          <w:rFonts w:asciiTheme="majorBidi" w:hAnsiTheme="majorBidi" w:cstheme="majorBidi"/>
        </w:rPr>
        <w:t xml:space="preserve">a calcium rich diet: </w:t>
      </w:r>
    </w:p>
    <w:p w:rsidR="00534855" w:rsidRPr="00B9614C" w:rsidRDefault="00534855" w:rsidP="00473D55">
      <w:pPr>
        <w:spacing w:line="360" w:lineRule="auto"/>
        <w:jc w:val="both"/>
        <w:rPr>
          <w:rFonts w:asciiTheme="majorBidi" w:hAnsiTheme="majorBidi" w:cstheme="majorBidi"/>
        </w:rPr>
      </w:pPr>
    </w:p>
    <w:p w:rsidR="00944948" w:rsidRPr="00B9614C" w:rsidRDefault="00944948" w:rsidP="00920552">
      <w:pPr>
        <w:spacing w:line="360" w:lineRule="auto"/>
        <w:ind w:left="720"/>
        <w:jc w:val="both"/>
        <w:rPr>
          <w:rFonts w:asciiTheme="majorBidi" w:hAnsiTheme="majorBidi" w:cstheme="majorBidi"/>
          <w:iCs/>
        </w:rPr>
      </w:pPr>
      <w:r w:rsidRPr="00B9614C">
        <w:rPr>
          <w:rFonts w:asciiTheme="majorBidi" w:hAnsiTheme="majorBidi" w:cstheme="majorBidi"/>
        </w:rPr>
        <w:t xml:space="preserve">Oh yeah it’s made me </w:t>
      </w:r>
      <w:r w:rsidRPr="00B9614C">
        <w:rPr>
          <w:rFonts w:asciiTheme="majorBidi" w:hAnsiTheme="majorBidi" w:cstheme="majorBidi"/>
          <w:i/>
          <w:iCs/>
        </w:rPr>
        <w:t>more</w:t>
      </w:r>
      <w:r w:rsidRPr="00B9614C">
        <w:rPr>
          <w:rFonts w:asciiTheme="majorBidi" w:hAnsiTheme="majorBidi" w:cstheme="majorBidi"/>
        </w:rPr>
        <w:t xml:space="preserve"> careful since I had that density scan and had the letter to say that um (pause) you know on average</w:t>
      </w:r>
      <w:r w:rsidR="00920552" w:rsidRPr="00B9614C">
        <w:rPr>
          <w:rFonts w:asciiTheme="majorBidi" w:hAnsiTheme="majorBidi" w:cstheme="majorBidi"/>
        </w:rPr>
        <w:t>,</w:t>
      </w:r>
      <w:r w:rsidRPr="00B9614C">
        <w:rPr>
          <w:rFonts w:asciiTheme="majorBidi" w:hAnsiTheme="majorBidi" w:cstheme="majorBidi"/>
        </w:rPr>
        <w:t xml:space="preserve"> if I fell over I would more easily break a bone than you know than normal</w:t>
      </w:r>
      <w:r w:rsidR="00920552" w:rsidRPr="00B9614C">
        <w:rPr>
          <w:rFonts w:asciiTheme="majorBidi" w:hAnsiTheme="majorBidi" w:cstheme="majorBidi"/>
        </w:rPr>
        <w:t>. S</w:t>
      </w:r>
      <w:r w:rsidRPr="00B9614C">
        <w:rPr>
          <w:rFonts w:asciiTheme="majorBidi" w:hAnsiTheme="majorBidi" w:cstheme="majorBidi"/>
        </w:rPr>
        <w:t xml:space="preserve">o that was a </w:t>
      </w:r>
      <w:r w:rsidRPr="00B9614C">
        <w:rPr>
          <w:rFonts w:asciiTheme="majorBidi" w:hAnsiTheme="majorBidi" w:cstheme="majorBidi"/>
          <w:i/>
          <w:iCs/>
        </w:rPr>
        <w:t>good</w:t>
      </w:r>
      <w:r w:rsidRPr="00B9614C">
        <w:rPr>
          <w:rFonts w:asciiTheme="majorBidi" w:hAnsiTheme="majorBidi" w:cstheme="majorBidi"/>
        </w:rPr>
        <w:t xml:space="preserve"> thing because it has made me more </w:t>
      </w:r>
      <w:r w:rsidR="00920552" w:rsidRPr="00B9614C">
        <w:rPr>
          <w:rFonts w:asciiTheme="majorBidi" w:hAnsiTheme="majorBidi" w:cstheme="majorBidi"/>
        </w:rPr>
        <w:t xml:space="preserve">(careful) </w:t>
      </w:r>
      <w:r w:rsidRPr="00B9614C">
        <w:rPr>
          <w:rFonts w:asciiTheme="majorBidi" w:hAnsiTheme="majorBidi" w:cstheme="majorBidi"/>
        </w:rPr>
        <w:t>and as you notice, I’ve got no rugs.</w:t>
      </w:r>
      <w:r w:rsidRPr="00B9614C">
        <w:rPr>
          <w:rFonts w:asciiTheme="majorBidi" w:hAnsiTheme="majorBidi" w:cstheme="majorBidi"/>
          <w:i/>
          <w:iCs/>
        </w:rPr>
        <w:t xml:space="preserve"> </w:t>
      </w:r>
      <w:r w:rsidRPr="00B9614C">
        <w:rPr>
          <w:rFonts w:asciiTheme="majorBidi" w:hAnsiTheme="majorBidi" w:cstheme="majorBidi"/>
          <w:iCs/>
        </w:rPr>
        <w:t>(Participant 24</w:t>
      </w:r>
      <w:r w:rsidR="00534855" w:rsidRPr="00B9614C">
        <w:rPr>
          <w:rFonts w:asciiTheme="majorBidi" w:hAnsiTheme="majorBidi" w:cstheme="majorBidi"/>
          <w:iCs/>
        </w:rPr>
        <w:t>,</w:t>
      </w:r>
      <w:r w:rsidRPr="00B9614C">
        <w:rPr>
          <w:rFonts w:asciiTheme="majorBidi" w:hAnsiTheme="majorBidi" w:cstheme="majorBidi"/>
          <w:iCs/>
        </w:rPr>
        <w:t xml:space="preserve"> age 80 - Adherent to both Bisphosphonates &amp; Calcium Phase 1, subsequently withdrew)</w:t>
      </w:r>
    </w:p>
    <w:p w:rsidR="00944948" w:rsidRPr="00B9614C" w:rsidRDefault="00944948" w:rsidP="00473D55">
      <w:pPr>
        <w:spacing w:line="360" w:lineRule="auto"/>
        <w:jc w:val="both"/>
        <w:rPr>
          <w:rFonts w:asciiTheme="majorBidi" w:hAnsiTheme="majorBidi" w:cstheme="majorBidi"/>
        </w:rPr>
      </w:pPr>
    </w:p>
    <w:p w:rsidR="00697CC0" w:rsidRPr="00B9614C" w:rsidRDefault="005307FB" w:rsidP="00473D55">
      <w:pPr>
        <w:spacing w:line="360" w:lineRule="auto"/>
        <w:jc w:val="both"/>
        <w:rPr>
          <w:rFonts w:asciiTheme="majorBidi" w:hAnsiTheme="majorBidi" w:cstheme="majorBidi"/>
        </w:rPr>
      </w:pPr>
      <w:r w:rsidRPr="00B9614C">
        <w:rPr>
          <w:rFonts w:asciiTheme="majorBidi" w:hAnsiTheme="majorBidi" w:cstheme="majorBidi"/>
        </w:rPr>
        <w:t xml:space="preserve">We explored the data for </w:t>
      </w:r>
      <w:r w:rsidR="0055124A" w:rsidRPr="00B9614C">
        <w:rPr>
          <w:rFonts w:asciiTheme="majorBidi" w:hAnsiTheme="majorBidi" w:cstheme="majorBidi"/>
        </w:rPr>
        <w:t>links</w:t>
      </w:r>
      <w:r w:rsidRPr="00B9614C">
        <w:rPr>
          <w:rFonts w:asciiTheme="majorBidi" w:hAnsiTheme="majorBidi" w:cstheme="majorBidi"/>
        </w:rPr>
        <w:t xml:space="preserve"> between positive self-caring attitude</w:t>
      </w:r>
      <w:r w:rsidR="0055124A" w:rsidRPr="00B9614C">
        <w:rPr>
          <w:rFonts w:asciiTheme="majorBidi" w:hAnsiTheme="majorBidi" w:cstheme="majorBidi"/>
        </w:rPr>
        <w:t>s</w:t>
      </w:r>
      <w:r w:rsidRPr="00B9614C">
        <w:rPr>
          <w:rFonts w:asciiTheme="majorBidi" w:hAnsiTheme="majorBidi" w:cstheme="majorBidi"/>
        </w:rPr>
        <w:t xml:space="preserve"> (as exemplified by women in the first interviews giving examples of longstanding commitment to weight bearing exercise and good nutrition) and active embracing of pharmacological options</w:t>
      </w:r>
      <w:r w:rsidR="00E255EC">
        <w:rPr>
          <w:rFonts w:asciiTheme="majorBidi" w:hAnsiTheme="majorBidi" w:cstheme="majorBidi"/>
        </w:rPr>
        <w:t xml:space="preserve"> for preventing fractures</w:t>
      </w:r>
      <w:r w:rsidRPr="00B9614C">
        <w:rPr>
          <w:rFonts w:asciiTheme="majorBidi" w:hAnsiTheme="majorBidi" w:cstheme="majorBidi"/>
        </w:rPr>
        <w:t xml:space="preserve">. </w:t>
      </w:r>
      <w:r w:rsidR="00697CC0" w:rsidRPr="00B9614C">
        <w:t xml:space="preserve">We </w:t>
      </w:r>
      <w:r w:rsidRPr="00B9614C">
        <w:t>also looked for an</w:t>
      </w:r>
      <w:r w:rsidR="00697CC0" w:rsidRPr="00B9614C">
        <w:t xml:space="preserve"> interrelationship between women’s ‘accepting’ versus ‘questioning’ of their risk assessment and adherence to prescribed medication, including their reported participation in the decision making process and recourse to </w:t>
      </w:r>
      <w:r w:rsidR="00462534" w:rsidRPr="00B9614C">
        <w:t xml:space="preserve">other support and information. </w:t>
      </w:r>
      <w:r w:rsidR="00697CC0" w:rsidRPr="00B9614C">
        <w:t xml:space="preserve">Neither state appeared to be linked with </w:t>
      </w:r>
      <w:r w:rsidR="002E5C63" w:rsidRPr="00B9614C">
        <w:t xml:space="preserve">long-term </w:t>
      </w:r>
      <w:r w:rsidR="00697CC0" w:rsidRPr="00B9614C">
        <w:t xml:space="preserve">adherence </w:t>
      </w:r>
      <w:r w:rsidR="0055124A" w:rsidRPr="00B9614C">
        <w:t>with</w:t>
      </w:r>
      <w:r w:rsidR="00534855" w:rsidRPr="00B9614C">
        <w:t xml:space="preserve"> equal numbers of women </w:t>
      </w:r>
      <w:r w:rsidR="00E255EC">
        <w:t xml:space="preserve">remaining adherent to their medication who were </w:t>
      </w:r>
      <w:r w:rsidR="002E5C63" w:rsidRPr="00B9614C">
        <w:t xml:space="preserve">‘questioning’ (n=7) as ‘accepting’ (n=7). </w:t>
      </w:r>
      <w:r w:rsidR="002E5C63" w:rsidRPr="00B9614C">
        <w:rPr>
          <w:rFonts w:asciiTheme="majorBidi" w:hAnsiTheme="majorBidi" w:cstheme="majorBidi"/>
        </w:rPr>
        <w:t>Furthermore</w:t>
      </w:r>
      <w:r w:rsidR="00E31C50" w:rsidRPr="00B9614C">
        <w:rPr>
          <w:rFonts w:asciiTheme="majorBidi" w:hAnsiTheme="majorBidi" w:cstheme="majorBidi"/>
        </w:rPr>
        <w:t>,</w:t>
      </w:r>
      <w:r w:rsidR="00697CC0" w:rsidRPr="00B9614C">
        <w:rPr>
          <w:rFonts w:asciiTheme="majorBidi" w:hAnsiTheme="majorBidi" w:cstheme="majorBidi"/>
        </w:rPr>
        <w:t xml:space="preserve"> there was no link to adherence from either an initial strong emotive reaction or passive acceptance</w:t>
      </w:r>
      <w:r w:rsidR="000B7262">
        <w:rPr>
          <w:rFonts w:asciiTheme="majorBidi" w:hAnsiTheme="majorBidi" w:cstheme="majorBidi"/>
        </w:rPr>
        <w:t>. For example, the following initially adherent participant had moved from a state of shock to positive acceptance, and yet gave up on her medication within a year</w:t>
      </w:r>
      <w:r w:rsidR="00697CC0" w:rsidRPr="00B9614C">
        <w:rPr>
          <w:rFonts w:asciiTheme="majorBidi" w:hAnsiTheme="majorBidi" w:cstheme="majorBidi"/>
        </w:rPr>
        <w:t>:</w:t>
      </w:r>
    </w:p>
    <w:p w:rsidR="00534855" w:rsidRPr="00B9614C" w:rsidRDefault="00534855" w:rsidP="00473D55">
      <w:pPr>
        <w:spacing w:line="360" w:lineRule="auto"/>
        <w:jc w:val="both"/>
        <w:rPr>
          <w:rFonts w:asciiTheme="majorBidi" w:hAnsiTheme="majorBidi" w:cstheme="majorBidi"/>
        </w:rPr>
      </w:pPr>
    </w:p>
    <w:p w:rsidR="00697CC0" w:rsidRPr="00B9614C" w:rsidRDefault="00697CC0" w:rsidP="00473D55">
      <w:pPr>
        <w:tabs>
          <w:tab w:val="left" w:pos="720"/>
          <w:tab w:val="left" w:pos="77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360" w:lineRule="auto"/>
        <w:ind w:left="777" w:hanging="720"/>
        <w:jc w:val="both"/>
        <w:rPr>
          <w:rFonts w:asciiTheme="majorBidi" w:hAnsiTheme="majorBidi" w:cstheme="majorBidi"/>
        </w:rPr>
      </w:pPr>
      <w:r w:rsidRPr="00B9614C">
        <w:rPr>
          <w:i/>
          <w:iCs/>
        </w:rPr>
        <w:tab/>
      </w:r>
      <w:r w:rsidRPr="00B9614C">
        <w:t>Well in a way when I got over the shock I thought well I kno</w:t>
      </w:r>
      <w:r w:rsidR="007A21C9">
        <w:t>w something more about my body.</w:t>
      </w:r>
      <w:r w:rsidRPr="00B9614C">
        <w:rPr>
          <w:rFonts w:asciiTheme="majorBidi" w:hAnsiTheme="majorBidi" w:cstheme="majorBidi"/>
          <w:iCs/>
        </w:rPr>
        <w:t xml:space="preserve"> (Participant 07</w:t>
      </w:r>
      <w:r w:rsidR="00534855" w:rsidRPr="00B9614C">
        <w:rPr>
          <w:rFonts w:asciiTheme="majorBidi" w:hAnsiTheme="majorBidi" w:cstheme="majorBidi"/>
          <w:iCs/>
        </w:rPr>
        <w:t>,</w:t>
      </w:r>
      <w:r w:rsidRPr="00B9614C">
        <w:rPr>
          <w:rFonts w:asciiTheme="majorBidi" w:hAnsiTheme="majorBidi" w:cstheme="majorBidi"/>
          <w:iCs/>
        </w:rPr>
        <w:t xml:space="preserve"> age 74 - Became Non- Adherent to Bisphosphonates by Phase 2.  Adherent to Calcium)</w:t>
      </w:r>
    </w:p>
    <w:p w:rsidR="00697CC0" w:rsidRPr="00B9614C" w:rsidRDefault="00697CC0" w:rsidP="00473D55">
      <w:pPr>
        <w:spacing w:line="360" w:lineRule="auto"/>
        <w:jc w:val="both"/>
        <w:rPr>
          <w:rFonts w:asciiTheme="majorBidi" w:hAnsiTheme="majorBidi" w:cstheme="majorBidi"/>
        </w:rPr>
      </w:pPr>
    </w:p>
    <w:p w:rsidR="00D81DC9" w:rsidRDefault="00697CC0" w:rsidP="00473D55">
      <w:pPr>
        <w:spacing w:line="360" w:lineRule="auto"/>
        <w:jc w:val="both"/>
        <w:rPr>
          <w:rFonts w:asciiTheme="majorBidi" w:hAnsiTheme="majorBidi" w:cstheme="majorBidi"/>
        </w:rPr>
      </w:pPr>
      <w:r w:rsidRPr="00B9614C">
        <w:rPr>
          <w:rFonts w:asciiTheme="majorBidi" w:hAnsiTheme="majorBidi" w:cstheme="majorBidi"/>
        </w:rPr>
        <w:t>However, the long-term and hidden changes of bones which ‘thin’ or ‘crumble’ seemed a lower priority than other illnesses</w:t>
      </w:r>
      <w:r w:rsidR="002E5C63" w:rsidRPr="00B9614C">
        <w:rPr>
          <w:rFonts w:asciiTheme="majorBidi" w:hAnsiTheme="majorBidi" w:cstheme="majorBidi"/>
        </w:rPr>
        <w:t>. P</w:t>
      </w:r>
      <w:r w:rsidRPr="00B9614C">
        <w:rPr>
          <w:rFonts w:asciiTheme="majorBidi" w:hAnsiTheme="majorBidi" w:cstheme="majorBidi"/>
        </w:rPr>
        <w:t>articipants’ recall of medication reviews mirror</w:t>
      </w:r>
      <w:r w:rsidR="002E5C63" w:rsidRPr="00B9614C">
        <w:rPr>
          <w:rFonts w:asciiTheme="majorBidi" w:hAnsiTheme="majorBidi" w:cstheme="majorBidi"/>
        </w:rPr>
        <w:t>ed</w:t>
      </w:r>
      <w:r w:rsidRPr="00B9614C">
        <w:rPr>
          <w:rFonts w:asciiTheme="majorBidi" w:hAnsiTheme="majorBidi" w:cstheme="majorBidi"/>
        </w:rPr>
        <w:t xml:space="preserve"> this, with </w:t>
      </w:r>
      <w:r w:rsidR="002E5C63" w:rsidRPr="00B9614C">
        <w:rPr>
          <w:rFonts w:asciiTheme="majorBidi" w:hAnsiTheme="majorBidi" w:cstheme="majorBidi"/>
        </w:rPr>
        <w:t>most</w:t>
      </w:r>
      <w:r w:rsidRPr="00B9614C">
        <w:rPr>
          <w:rFonts w:asciiTheme="majorBidi" w:hAnsiTheme="majorBidi" w:cstheme="majorBidi"/>
        </w:rPr>
        <w:t xml:space="preserve"> women reporting that their osteoporosis medications was rarely reviewed </w:t>
      </w:r>
      <w:r w:rsidR="00462534" w:rsidRPr="00B9614C">
        <w:rPr>
          <w:rFonts w:asciiTheme="majorBidi" w:hAnsiTheme="majorBidi" w:cstheme="majorBidi"/>
        </w:rPr>
        <w:t xml:space="preserve">or mentioned in consultations. </w:t>
      </w:r>
    </w:p>
    <w:p w:rsidR="00D81DC9" w:rsidRDefault="00D81DC9" w:rsidP="00473D55">
      <w:pPr>
        <w:spacing w:line="360" w:lineRule="auto"/>
        <w:jc w:val="both"/>
        <w:rPr>
          <w:rFonts w:asciiTheme="majorBidi" w:hAnsiTheme="majorBidi" w:cstheme="majorBidi"/>
        </w:rPr>
      </w:pPr>
    </w:p>
    <w:p w:rsidR="00D81DC9" w:rsidRPr="00A3434C" w:rsidRDefault="00D44252" w:rsidP="00473D55">
      <w:pPr>
        <w:spacing w:line="360" w:lineRule="auto"/>
        <w:jc w:val="both"/>
        <w:rPr>
          <w:rFonts w:asciiTheme="majorBidi" w:hAnsiTheme="majorBidi" w:cstheme="majorBidi"/>
          <w:b/>
        </w:rPr>
      </w:pPr>
      <w:r w:rsidRPr="00D44252">
        <w:rPr>
          <w:rFonts w:asciiTheme="majorBidi" w:hAnsiTheme="majorBidi" w:cstheme="majorBidi"/>
          <w:b/>
        </w:rPr>
        <w:t>Anticipating and managing side effects</w:t>
      </w:r>
    </w:p>
    <w:p w:rsidR="00710262" w:rsidRPr="00B9614C" w:rsidRDefault="00710262" w:rsidP="00A763B0">
      <w:pPr>
        <w:spacing w:line="360" w:lineRule="auto"/>
        <w:jc w:val="both"/>
        <w:rPr>
          <w:rFonts w:asciiTheme="majorBidi" w:hAnsiTheme="majorBidi" w:cstheme="majorBidi"/>
          <w:noProof/>
        </w:rPr>
      </w:pPr>
      <w:r>
        <w:rPr>
          <w:rFonts w:asciiTheme="majorBidi" w:hAnsiTheme="majorBidi" w:cstheme="majorBidi"/>
        </w:rPr>
        <w:t>Eighteen</w:t>
      </w:r>
      <w:r w:rsidRPr="00B9614C">
        <w:rPr>
          <w:rFonts w:asciiTheme="majorBidi" w:hAnsiTheme="majorBidi" w:cstheme="majorBidi"/>
        </w:rPr>
        <w:t xml:space="preserve"> </w:t>
      </w:r>
      <w:r w:rsidRPr="00B9614C">
        <w:rPr>
          <w:rFonts w:asciiTheme="majorBidi" w:hAnsiTheme="majorBidi" w:cstheme="majorBidi"/>
          <w:noProof/>
        </w:rPr>
        <w:t>women experienc</w:t>
      </w:r>
      <w:r>
        <w:rPr>
          <w:rFonts w:asciiTheme="majorBidi" w:hAnsiTheme="majorBidi" w:cstheme="majorBidi"/>
          <w:noProof/>
        </w:rPr>
        <w:t>ed</w:t>
      </w:r>
      <w:r w:rsidRPr="00B9614C">
        <w:rPr>
          <w:rFonts w:asciiTheme="majorBidi" w:hAnsiTheme="majorBidi" w:cstheme="majorBidi"/>
          <w:noProof/>
        </w:rPr>
        <w:t xml:space="preserve"> side effects from mild to very severe. These ranged from unsettled stomach problems to violent nausea, vomiting bile, and burning: </w:t>
      </w:r>
    </w:p>
    <w:p w:rsidR="00710262" w:rsidRPr="00B9614C" w:rsidRDefault="00710262" w:rsidP="00710262">
      <w:pPr>
        <w:jc w:val="both"/>
        <w:rPr>
          <w:rFonts w:asciiTheme="majorBidi" w:hAnsiTheme="majorBidi" w:cstheme="majorBidi"/>
          <w:noProof/>
        </w:rPr>
      </w:pPr>
    </w:p>
    <w:p w:rsidR="00710262" w:rsidRPr="00B9614C" w:rsidRDefault="00710262" w:rsidP="00710262">
      <w:pPr>
        <w:spacing w:line="360" w:lineRule="auto"/>
        <w:ind w:left="720"/>
        <w:jc w:val="both"/>
        <w:rPr>
          <w:rFonts w:asciiTheme="majorBidi" w:hAnsiTheme="majorBidi" w:cstheme="majorBidi"/>
          <w:iCs/>
        </w:rPr>
      </w:pPr>
      <w:r w:rsidRPr="00B9614C">
        <w:rPr>
          <w:rFonts w:asciiTheme="majorBidi" w:hAnsiTheme="majorBidi" w:cstheme="majorBidi"/>
        </w:rPr>
        <w:t xml:space="preserve">They’re </w:t>
      </w:r>
      <w:r w:rsidRPr="00B9614C">
        <w:rPr>
          <w:rFonts w:asciiTheme="majorBidi" w:hAnsiTheme="majorBidi" w:cstheme="majorBidi"/>
          <w:i/>
          <w:iCs/>
        </w:rPr>
        <w:t>horrible</w:t>
      </w:r>
      <w:r w:rsidRPr="00B9614C">
        <w:rPr>
          <w:rFonts w:asciiTheme="majorBidi" w:hAnsiTheme="majorBidi" w:cstheme="majorBidi"/>
        </w:rPr>
        <w:t xml:space="preserve"> they really were. Well I mean honestly I got a really sore stomach and then on Monday my stomach was really bad and honestly it just felt full of air an</w:t>
      </w:r>
      <w:r>
        <w:rPr>
          <w:rFonts w:asciiTheme="majorBidi" w:hAnsiTheme="majorBidi" w:cstheme="majorBidi"/>
        </w:rPr>
        <w:t>d I’d touch it and it was sore.</w:t>
      </w:r>
      <w:r w:rsidRPr="00B9614C">
        <w:rPr>
          <w:rFonts w:asciiTheme="majorBidi" w:hAnsiTheme="majorBidi" w:cstheme="majorBidi"/>
        </w:rPr>
        <w:t xml:space="preserve"> </w:t>
      </w:r>
      <w:r w:rsidRPr="00B9614C">
        <w:rPr>
          <w:rFonts w:asciiTheme="majorBidi" w:hAnsiTheme="majorBidi" w:cstheme="majorBidi"/>
          <w:iCs/>
        </w:rPr>
        <w:t>(Participant 24, age 80 - Adherent to both Bisphosphonates &amp; Calcium Phase 1, subsequently withdrew)</w:t>
      </w:r>
    </w:p>
    <w:p w:rsidR="00710262" w:rsidRDefault="00710262" w:rsidP="00710262">
      <w:pPr>
        <w:spacing w:line="360" w:lineRule="auto"/>
        <w:jc w:val="both"/>
        <w:rPr>
          <w:rFonts w:asciiTheme="majorBidi" w:hAnsiTheme="majorBidi" w:cstheme="majorBidi"/>
          <w:noProof/>
        </w:rPr>
      </w:pPr>
    </w:p>
    <w:p w:rsidR="00710262" w:rsidRPr="004B7E4D" w:rsidRDefault="00710262" w:rsidP="00A763B0">
      <w:pPr>
        <w:spacing w:line="360" w:lineRule="auto"/>
        <w:jc w:val="both"/>
        <w:rPr>
          <w:rFonts w:asciiTheme="majorBidi" w:hAnsiTheme="majorBidi" w:cstheme="majorBidi"/>
          <w:noProof/>
        </w:rPr>
      </w:pPr>
      <w:r w:rsidRPr="004B7E4D">
        <w:rPr>
          <w:rFonts w:asciiTheme="majorBidi" w:hAnsiTheme="majorBidi" w:cstheme="majorBidi"/>
          <w:noProof/>
        </w:rPr>
        <w:t>While severe side effects were linked to non-adherence, there was no simple relationship between side effects and persisting with medication, some trying up to 3 different medications</w:t>
      </w:r>
      <w:r w:rsidR="00672A29">
        <w:rPr>
          <w:rFonts w:asciiTheme="majorBidi" w:hAnsiTheme="majorBidi" w:cstheme="majorBidi"/>
          <w:noProof/>
        </w:rPr>
        <w:t xml:space="preserve">. </w:t>
      </w:r>
      <w:r w:rsidR="00A763B0">
        <w:rPr>
          <w:rFonts w:asciiTheme="majorBidi" w:hAnsiTheme="majorBidi" w:cstheme="majorBidi"/>
          <w:noProof/>
        </w:rPr>
        <w:t>In fact, the anticipation of side effects seemed to be enough to put off some participants, with t</w:t>
      </w:r>
      <w:r w:rsidRPr="004B7E4D">
        <w:rPr>
          <w:rFonts w:asciiTheme="majorBidi" w:hAnsiTheme="majorBidi" w:cstheme="majorBidi"/>
          <w:noProof/>
        </w:rPr>
        <w:t xml:space="preserve">hree </w:t>
      </w:r>
      <w:r w:rsidR="00A763B0">
        <w:rPr>
          <w:rFonts w:asciiTheme="majorBidi" w:hAnsiTheme="majorBidi" w:cstheme="majorBidi"/>
          <w:noProof/>
        </w:rPr>
        <w:t xml:space="preserve">in particular reporting that they </w:t>
      </w:r>
      <w:r w:rsidRPr="004B7E4D">
        <w:rPr>
          <w:rFonts w:asciiTheme="majorBidi" w:hAnsiTheme="majorBidi" w:cstheme="majorBidi"/>
          <w:noProof/>
        </w:rPr>
        <w:t xml:space="preserve">were put off by </w:t>
      </w:r>
      <w:r w:rsidR="00A763B0">
        <w:rPr>
          <w:rFonts w:asciiTheme="majorBidi" w:hAnsiTheme="majorBidi" w:cstheme="majorBidi"/>
          <w:noProof/>
        </w:rPr>
        <w:t xml:space="preserve">the possible </w:t>
      </w:r>
      <w:r w:rsidRPr="004B7E4D">
        <w:rPr>
          <w:rFonts w:asciiTheme="majorBidi" w:hAnsiTheme="majorBidi" w:cstheme="majorBidi"/>
          <w:noProof/>
        </w:rPr>
        <w:t>side effects described in the medicines information leaflet</w:t>
      </w:r>
      <w:r w:rsidR="00A763B0">
        <w:rPr>
          <w:rFonts w:asciiTheme="majorBidi" w:hAnsiTheme="majorBidi" w:cstheme="majorBidi"/>
          <w:noProof/>
        </w:rPr>
        <w:t>. E</w:t>
      </w:r>
      <w:r w:rsidRPr="004B7E4D">
        <w:rPr>
          <w:rFonts w:asciiTheme="majorBidi" w:hAnsiTheme="majorBidi" w:cstheme="majorBidi"/>
          <w:noProof/>
        </w:rPr>
        <w:t>ven the name ‘alendronic acid’</w:t>
      </w:r>
      <w:r w:rsidR="00A763B0">
        <w:rPr>
          <w:rFonts w:asciiTheme="majorBidi" w:hAnsiTheme="majorBidi" w:cstheme="majorBidi"/>
          <w:noProof/>
        </w:rPr>
        <w:t xml:space="preserve"> was cause for concern for some</w:t>
      </w:r>
      <w:r w:rsidRPr="004B7E4D">
        <w:rPr>
          <w:rFonts w:asciiTheme="majorBidi" w:hAnsiTheme="majorBidi" w:cstheme="majorBidi"/>
          <w:noProof/>
        </w:rPr>
        <w:t xml:space="preserve">: </w:t>
      </w:r>
    </w:p>
    <w:p w:rsidR="00710262" w:rsidRPr="004B7E4D" w:rsidRDefault="00710262" w:rsidP="00710262">
      <w:pPr>
        <w:spacing w:line="360" w:lineRule="auto"/>
        <w:jc w:val="both"/>
        <w:rPr>
          <w:rFonts w:asciiTheme="majorBidi" w:hAnsiTheme="majorBidi" w:cstheme="majorBidi"/>
          <w:noProof/>
        </w:rPr>
      </w:pPr>
    </w:p>
    <w:p w:rsidR="00710262" w:rsidRPr="00B9614C" w:rsidRDefault="00710262" w:rsidP="00710262">
      <w:pPr>
        <w:spacing w:line="360" w:lineRule="auto"/>
        <w:ind w:left="720"/>
        <w:jc w:val="both"/>
        <w:rPr>
          <w:rFonts w:asciiTheme="majorBidi" w:hAnsiTheme="majorBidi" w:cstheme="majorBidi"/>
          <w:noProof/>
        </w:rPr>
      </w:pPr>
      <w:r w:rsidRPr="004B7E4D">
        <w:rPr>
          <w:rFonts w:asciiTheme="majorBidi" w:hAnsiTheme="majorBidi" w:cstheme="majorBidi"/>
          <w:noProof/>
        </w:rPr>
        <w:t xml:space="preserve">Because it says </w:t>
      </w:r>
      <w:r w:rsidRPr="004B7E4D">
        <w:rPr>
          <w:rFonts w:asciiTheme="majorBidi" w:hAnsiTheme="majorBidi" w:cstheme="majorBidi"/>
          <w:i/>
          <w:iCs/>
          <w:noProof/>
        </w:rPr>
        <w:t>acid</w:t>
      </w:r>
      <w:r w:rsidRPr="004B7E4D">
        <w:rPr>
          <w:rFonts w:asciiTheme="majorBidi" w:hAnsiTheme="majorBidi" w:cstheme="majorBidi"/>
          <w:noProof/>
        </w:rPr>
        <w:t xml:space="preserve"> (laughs). It isn’t a natural thing. I just don’t like the idea of taki</w:t>
      </w:r>
      <w:r>
        <w:rPr>
          <w:rFonts w:asciiTheme="majorBidi" w:hAnsiTheme="majorBidi" w:cstheme="majorBidi"/>
          <w:noProof/>
        </w:rPr>
        <w:t>ng an acid and not lying down.</w:t>
      </w:r>
      <w:r w:rsidRPr="004B7E4D">
        <w:rPr>
          <w:rFonts w:asciiTheme="majorBidi" w:hAnsiTheme="majorBidi" w:cstheme="majorBidi"/>
          <w:noProof/>
        </w:rPr>
        <w:t xml:space="preserve"> (Participant 13, age 75 – became adherent by Phase 2. Adherent to Calcium)</w:t>
      </w:r>
    </w:p>
    <w:p w:rsidR="00710262" w:rsidRDefault="00710262" w:rsidP="00473D55">
      <w:pPr>
        <w:spacing w:line="360" w:lineRule="auto"/>
        <w:jc w:val="both"/>
        <w:rPr>
          <w:rFonts w:asciiTheme="majorBidi" w:hAnsiTheme="majorBidi" w:cstheme="majorBidi"/>
        </w:rPr>
      </w:pPr>
    </w:p>
    <w:p w:rsidR="00697CC0" w:rsidRPr="00B9614C" w:rsidRDefault="00697CC0" w:rsidP="00473D55">
      <w:pPr>
        <w:spacing w:line="360" w:lineRule="auto"/>
        <w:jc w:val="both"/>
        <w:rPr>
          <w:rFonts w:asciiTheme="majorBidi" w:hAnsiTheme="majorBidi" w:cstheme="majorBidi"/>
          <w:noProof/>
        </w:rPr>
      </w:pPr>
      <w:r w:rsidRPr="00B9614C">
        <w:rPr>
          <w:rFonts w:asciiTheme="majorBidi" w:hAnsiTheme="majorBidi" w:cstheme="majorBidi"/>
        </w:rPr>
        <w:t xml:space="preserve">The need for support </w:t>
      </w:r>
      <w:r w:rsidR="00672A29">
        <w:rPr>
          <w:rFonts w:asciiTheme="majorBidi" w:hAnsiTheme="majorBidi" w:cstheme="majorBidi"/>
        </w:rPr>
        <w:t>concerning side effects</w:t>
      </w:r>
      <w:r w:rsidRPr="00B9614C">
        <w:rPr>
          <w:rFonts w:asciiTheme="majorBidi" w:hAnsiTheme="majorBidi" w:cstheme="majorBidi"/>
        </w:rPr>
        <w:t xml:space="preserve"> was also highlighted by a number of non-adherent women who anticipated side effects</w:t>
      </w:r>
      <w:r w:rsidR="00C626CD" w:rsidRPr="00B9614C">
        <w:rPr>
          <w:rFonts w:asciiTheme="majorBidi" w:hAnsiTheme="majorBidi" w:cstheme="majorBidi"/>
        </w:rPr>
        <w:t xml:space="preserve"> that might aggravate existing problems</w:t>
      </w:r>
      <w:r w:rsidRPr="00B9614C">
        <w:rPr>
          <w:rFonts w:asciiTheme="majorBidi" w:hAnsiTheme="majorBidi" w:cstheme="majorBidi"/>
          <w:noProof/>
        </w:rPr>
        <w:t>:</w:t>
      </w:r>
    </w:p>
    <w:p w:rsidR="00534855" w:rsidRPr="00B9614C" w:rsidRDefault="00534855" w:rsidP="00473D55">
      <w:pPr>
        <w:spacing w:line="360" w:lineRule="auto"/>
        <w:jc w:val="both"/>
        <w:rPr>
          <w:rFonts w:asciiTheme="majorBidi" w:hAnsiTheme="majorBidi" w:cstheme="majorBidi"/>
          <w:noProof/>
        </w:rPr>
      </w:pPr>
    </w:p>
    <w:p w:rsidR="00697CC0" w:rsidRPr="00B9614C" w:rsidRDefault="00697CC0" w:rsidP="00473D55">
      <w:pPr>
        <w:spacing w:line="360" w:lineRule="auto"/>
        <w:ind w:left="720"/>
        <w:jc w:val="both"/>
        <w:rPr>
          <w:rFonts w:asciiTheme="majorBidi" w:hAnsiTheme="majorBidi" w:cstheme="majorBidi"/>
        </w:rPr>
      </w:pPr>
      <w:r w:rsidRPr="00B9614C">
        <w:rPr>
          <w:rFonts w:asciiTheme="majorBidi" w:hAnsiTheme="majorBidi" w:cstheme="majorBidi"/>
        </w:rPr>
        <w:t xml:space="preserve">To me it seemed more important that I, you know, (avoid) this reflux than breaking my hip because I thought I can be </w:t>
      </w:r>
      <w:r w:rsidRPr="00B9614C">
        <w:rPr>
          <w:rFonts w:asciiTheme="majorBidi" w:hAnsiTheme="majorBidi" w:cstheme="majorBidi"/>
          <w:i/>
          <w:iCs/>
        </w:rPr>
        <w:t>careful</w:t>
      </w:r>
      <w:r w:rsidR="007A21C9">
        <w:rPr>
          <w:rFonts w:asciiTheme="majorBidi" w:hAnsiTheme="majorBidi" w:cstheme="majorBidi"/>
        </w:rPr>
        <w:t>.</w:t>
      </w:r>
      <w:r w:rsidRPr="00B9614C">
        <w:rPr>
          <w:rFonts w:asciiTheme="majorBidi" w:hAnsiTheme="majorBidi" w:cstheme="majorBidi"/>
        </w:rPr>
        <w:t xml:space="preserve"> (Participant</w:t>
      </w:r>
      <w:r w:rsidR="00534855" w:rsidRPr="00B9614C">
        <w:rPr>
          <w:rFonts w:asciiTheme="majorBidi" w:hAnsiTheme="majorBidi" w:cstheme="majorBidi"/>
        </w:rPr>
        <w:t xml:space="preserve"> 23, age</w:t>
      </w:r>
      <w:r w:rsidRPr="00B9614C">
        <w:rPr>
          <w:rFonts w:asciiTheme="majorBidi" w:hAnsiTheme="majorBidi" w:cstheme="majorBidi"/>
        </w:rPr>
        <w:t xml:space="preserve"> 81 – tried one Bisphosphonate tablet only. Non-starter Calcium)</w:t>
      </w:r>
    </w:p>
    <w:p w:rsidR="00697CC0" w:rsidRPr="00B9614C" w:rsidRDefault="00697CC0" w:rsidP="00473D55">
      <w:pPr>
        <w:spacing w:line="360" w:lineRule="auto"/>
        <w:ind w:left="720"/>
        <w:jc w:val="both"/>
        <w:rPr>
          <w:rFonts w:asciiTheme="majorBidi" w:hAnsiTheme="majorBidi" w:cstheme="majorBidi"/>
        </w:rPr>
      </w:pPr>
    </w:p>
    <w:p w:rsidR="00697CC0" w:rsidRPr="00B9614C" w:rsidRDefault="00697CC0" w:rsidP="00B76C79">
      <w:pPr>
        <w:spacing w:line="360" w:lineRule="auto"/>
        <w:ind w:left="720"/>
        <w:jc w:val="both"/>
        <w:rPr>
          <w:rFonts w:asciiTheme="majorBidi" w:hAnsiTheme="majorBidi" w:cstheme="majorBidi"/>
        </w:rPr>
      </w:pPr>
      <w:r w:rsidRPr="00B9614C">
        <w:rPr>
          <w:rFonts w:asciiTheme="majorBidi" w:hAnsiTheme="majorBidi" w:cstheme="majorBidi"/>
        </w:rPr>
        <w:t xml:space="preserve">The tablets that he gave me when I read the side effects it was like a </w:t>
      </w:r>
      <w:r w:rsidRPr="00B9614C">
        <w:rPr>
          <w:rFonts w:asciiTheme="majorBidi" w:hAnsiTheme="majorBidi" w:cstheme="majorBidi"/>
          <w:i/>
          <w:iCs/>
        </w:rPr>
        <w:t>horror film</w:t>
      </w:r>
      <w:r w:rsidRPr="00B9614C">
        <w:rPr>
          <w:rFonts w:asciiTheme="majorBidi" w:hAnsiTheme="majorBidi" w:cstheme="majorBidi"/>
        </w:rPr>
        <w:t xml:space="preserve"> really</w:t>
      </w:r>
      <w:r w:rsidR="00920552" w:rsidRPr="00B9614C">
        <w:rPr>
          <w:rFonts w:asciiTheme="majorBidi" w:hAnsiTheme="majorBidi" w:cstheme="majorBidi"/>
        </w:rPr>
        <w:t>. A</w:t>
      </w:r>
      <w:r w:rsidRPr="00B9614C">
        <w:rPr>
          <w:rFonts w:asciiTheme="majorBidi" w:hAnsiTheme="majorBidi" w:cstheme="majorBidi"/>
        </w:rPr>
        <w:t>nd I thought well I’m better off chancing</w:t>
      </w:r>
      <w:r w:rsidR="00E31C50" w:rsidRPr="00B9614C">
        <w:rPr>
          <w:rFonts w:asciiTheme="majorBidi" w:hAnsiTheme="majorBidi" w:cstheme="majorBidi"/>
        </w:rPr>
        <w:t>,</w:t>
      </w:r>
      <w:r w:rsidRPr="00B9614C">
        <w:rPr>
          <w:rFonts w:asciiTheme="majorBidi" w:hAnsiTheme="majorBidi" w:cstheme="majorBidi"/>
        </w:rPr>
        <w:t xml:space="preserve"> sort of breaking a bone</w:t>
      </w:r>
      <w:r w:rsidR="00E31C50" w:rsidRPr="00B9614C">
        <w:rPr>
          <w:rFonts w:asciiTheme="majorBidi" w:hAnsiTheme="majorBidi" w:cstheme="majorBidi"/>
        </w:rPr>
        <w:t>,</w:t>
      </w:r>
      <w:r w:rsidRPr="00B9614C">
        <w:rPr>
          <w:rFonts w:asciiTheme="majorBidi" w:hAnsiTheme="majorBidi" w:cstheme="majorBidi"/>
        </w:rPr>
        <w:t xml:space="preserve"> than all the horrible things it said on there about </w:t>
      </w:r>
      <w:r w:rsidR="00B76C79" w:rsidRPr="00B9614C">
        <w:rPr>
          <w:rFonts w:asciiTheme="majorBidi" w:hAnsiTheme="majorBidi" w:cstheme="majorBidi"/>
        </w:rPr>
        <w:t xml:space="preserve">(how) </w:t>
      </w:r>
      <w:r w:rsidRPr="00B9614C">
        <w:rPr>
          <w:rFonts w:asciiTheme="majorBidi" w:hAnsiTheme="majorBidi" w:cstheme="majorBidi"/>
        </w:rPr>
        <w:t>you could get these stomach ulcers and all things like that</w:t>
      </w:r>
      <w:r w:rsidR="00B76C79" w:rsidRPr="00B9614C">
        <w:rPr>
          <w:rFonts w:asciiTheme="majorBidi" w:hAnsiTheme="majorBidi" w:cstheme="majorBidi"/>
        </w:rPr>
        <w:t>. A</w:t>
      </w:r>
      <w:r w:rsidRPr="00B9614C">
        <w:rPr>
          <w:rFonts w:asciiTheme="majorBidi" w:hAnsiTheme="majorBidi" w:cstheme="majorBidi"/>
        </w:rPr>
        <w:t>nd I do suffer sort of with h</w:t>
      </w:r>
      <w:r w:rsidR="00B76C79" w:rsidRPr="00B9614C">
        <w:rPr>
          <w:rFonts w:asciiTheme="majorBidi" w:hAnsiTheme="majorBidi" w:cstheme="majorBidi"/>
        </w:rPr>
        <w:t xml:space="preserve">eartburn and things like that. </w:t>
      </w:r>
      <w:r w:rsidR="00C626CD" w:rsidRPr="00B9614C">
        <w:rPr>
          <w:rFonts w:asciiTheme="majorBidi" w:hAnsiTheme="majorBidi" w:cstheme="majorBidi"/>
        </w:rPr>
        <w:t>Y</w:t>
      </w:r>
      <w:r w:rsidRPr="00B9614C">
        <w:rPr>
          <w:rFonts w:asciiTheme="majorBidi" w:hAnsiTheme="majorBidi" w:cstheme="majorBidi"/>
        </w:rPr>
        <w:t>ou have to sort of keep upright for so long after taking the tablets</w:t>
      </w:r>
      <w:r w:rsidR="00B76C79" w:rsidRPr="00B9614C">
        <w:rPr>
          <w:rFonts w:asciiTheme="majorBidi" w:hAnsiTheme="majorBidi" w:cstheme="majorBidi"/>
        </w:rPr>
        <w:t>.</w:t>
      </w:r>
      <w:r w:rsidRPr="00B9614C">
        <w:rPr>
          <w:rFonts w:asciiTheme="majorBidi" w:hAnsiTheme="majorBidi" w:cstheme="majorBidi"/>
        </w:rPr>
        <w:t xml:space="preserve"> I thought well I’m better off as I am</w:t>
      </w:r>
      <w:r w:rsidR="007A21C9">
        <w:rPr>
          <w:rFonts w:asciiTheme="majorBidi" w:hAnsiTheme="majorBidi" w:cstheme="majorBidi"/>
        </w:rPr>
        <w:t xml:space="preserve"> than more things wrong really.</w:t>
      </w:r>
      <w:r w:rsidRPr="00B9614C">
        <w:rPr>
          <w:rFonts w:asciiTheme="majorBidi" w:hAnsiTheme="majorBidi" w:cstheme="majorBidi"/>
        </w:rPr>
        <w:t xml:space="preserve"> (Participant 21</w:t>
      </w:r>
      <w:r w:rsidR="00534855" w:rsidRPr="00B9614C">
        <w:rPr>
          <w:rFonts w:asciiTheme="majorBidi" w:hAnsiTheme="majorBidi" w:cstheme="majorBidi"/>
        </w:rPr>
        <w:t>,</w:t>
      </w:r>
      <w:r w:rsidRPr="00B9614C">
        <w:rPr>
          <w:rFonts w:asciiTheme="majorBidi" w:hAnsiTheme="majorBidi" w:cstheme="majorBidi"/>
        </w:rPr>
        <w:t xml:space="preserve"> age 75 – non-starter Bisphosphonates and Calcium)</w:t>
      </w:r>
    </w:p>
    <w:p w:rsidR="00697CC0" w:rsidRPr="00B9614C" w:rsidRDefault="00697CC0" w:rsidP="00473D55">
      <w:pPr>
        <w:spacing w:line="360" w:lineRule="auto"/>
        <w:jc w:val="both"/>
        <w:rPr>
          <w:rFonts w:asciiTheme="majorBidi" w:hAnsiTheme="majorBidi" w:cstheme="majorBidi"/>
          <w:iCs/>
          <w:noProof/>
        </w:rPr>
      </w:pPr>
    </w:p>
    <w:p w:rsidR="00697CC0" w:rsidRPr="00B9614C" w:rsidRDefault="00697CC0" w:rsidP="00473D55">
      <w:pPr>
        <w:spacing w:line="360" w:lineRule="auto"/>
        <w:jc w:val="both"/>
        <w:rPr>
          <w:rFonts w:asciiTheme="majorBidi" w:hAnsiTheme="majorBidi" w:cstheme="majorBidi"/>
          <w:b/>
          <w:iCs/>
          <w:noProof/>
        </w:rPr>
      </w:pPr>
      <w:r w:rsidRPr="00B9614C">
        <w:rPr>
          <w:rFonts w:asciiTheme="majorBidi" w:hAnsiTheme="majorBidi" w:cstheme="majorBidi"/>
          <w:b/>
          <w:iCs/>
          <w:noProof/>
        </w:rPr>
        <w:t>Problems of understanding</w:t>
      </w:r>
    </w:p>
    <w:p w:rsidR="00697CC0" w:rsidRPr="00B9614C" w:rsidRDefault="00DA7488" w:rsidP="00473D55">
      <w:pPr>
        <w:spacing w:line="360" w:lineRule="auto"/>
        <w:jc w:val="both"/>
        <w:rPr>
          <w:rFonts w:asciiTheme="majorBidi" w:hAnsiTheme="majorBidi" w:cstheme="majorBidi"/>
        </w:rPr>
      </w:pPr>
      <w:r>
        <w:rPr>
          <w:rFonts w:asciiTheme="majorBidi" w:hAnsiTheme="majorBidi" w:cstheme="majorBidi"/>
          <w:iCs/>
          <w:noProof/>
        </w:rPr>
        <w:t xml:space="preserve">A number of problems of understanding were evident in the interviews regarding osteoporosis risk, prevention and management in older women. </w:t>
      </w:r>
      <w:r w:rsidR="00697CC0" w:rsidRPr="00B9614C">
        <w:rPr>
          <w:rFonts w:asciiTheme="majorBidi" w:hAnsiTheme="majorBidi" w:cstheme="majorBidi"/>
          <w:iCs/>
          <w:noProof/>
        </w:rPr>
        <w:t xml:space="preserve">Although there was fear and concern about developing osteoporosis, there was </w:t>
      </w:r>
      <w:r w:rsidR="00E255EC">
        <w:rPr>
          <w:rFonts w:asciiTheme="majorBidi" w:hAnsiTheme="majorBidi" w:cstheme="majorBidi"/>
          <w:iCs/>
          <w:noProof/>
        </w:rPr>
        <w:t>also</w:t>
      </w:r>
      <w:r w:rsidR="00710262">
        <w:rPr>
          <w:rFonts w:asciiTheme="majorBidi" w:hAnsiTheme="majorBidi" w:cstheme="majorBidi"/>
          <w:iCs/>
          <w:noProof/>
        </w:rPr>
        <w:t xml:space="preserve"> </w:t>
      </w:r>
      <w:r w:rsidR="00697CC0" w:rsidRPr="00B9614C">
        <w:rPr>
          <w:rFonts w:asciiTheme="majorBidi" w:hAnsiTheme="majorBidi" w:cstheme="majorBidi"/>
          <w:iCs/>
          <w:noProof/>
        </w:rPr>
        <w:t>a perception that falling and fracturing were normal in old age</w:t>
      </w:r>
      <w:r w:rsidR="00462534" w:rsidRPr="00B9614C">
        <w:rPr>
          <w:iCs/>
          <w:noProof/>
        </w:rPr>
        <w:t xml:space="preserve">. </w:t>
      </w:r>
      <w:r w:rsidR="00697CC0" w:rsidRPr="00B9614C">
        <w:rPr>
          <w:iCs/>
          <w:noProof/>
        </w:rPr>
        <w:t xml:space="preserve">Others </w:t>
      </w:r>
      <w:r w:rsidR="00697CC0" w:rsidRPr="00B9614C">
        <w:t>debated</w:t>
      </w:r>
      <w:r w:rsidR="005307FB" w:rsidRPr="00B9614C">
        <w:t xml:space="preserve"> the magnitude of </w:t>
      </w:r>
      <w:r w:rsidR="00697CC0" w:rsidRPr="00B9614C">
        <w:t>risk, es</w:t>
      </w:r>
      <w:r w:rsidR="005307FB" w:rsidRPr="00B9614C">
        <w:t xml:space="preserve">pecially when compared to </w:t>
      </w:r>
      <w:r w:rsidR="00697CC0" w:rsidRPr="00B9614C">
        <w:t>problems such as diabetes and heart disease</w:t>
      </w:r>
      <w:r w:rsidR="00462534" w:rsidRPr="00B9614C">
        <w:rPr>
          <w:iCs/>
          <w:noProof/>
        </w:rPr>
        <w:t xml:space="preserve">. </w:t>
      </w:r>
      <w:r w:rsidR="00697CC0" w:rsidRPr="00B9614C">
        <w:t xml:space="preserve">Some women questioned why the </w:t>
      </w:r>
      <w:r w:rsidR="00DE43A2" w:rsidRPr="00B9614C">
        <w:rPr>
          <w:rFonts w:asciiTheme="majorBidi" w:hAnsiTheme="majorBidi" w:cstheme="majorBidi"/>
        </w:rPr>
        <w:t>Dual energy X-ray Absorbtiometry</w:t>
      </w:r>
      <w:r w:rsidR="005307FB" w:rsidRPr="00B9614C">
        <w:t xml:space="preserve"> </w:t>
      </w:r>
      <w:r w:rsidR="00697CC0" w:rsidRPr="00B9614C">
        <w:t>screening had not been repeated to monitor the eff</w:t>
      </w:r>
      <w:r w:rsidR="00534855" w:rsidRPr="00B9614C">
        <w:t xml:space="preserve">ectiveness of the medication. </w:t>
      </w:r>
      <w:r w:rsidR="00697CC0" w:rsidRPr="00B9614C">
        <w:t>Nine patients adherent at Phase 1 mentioned this specifically, and 3 of these had become non-adherent by Phase 2</w:t>
      </w:r>
      <w:r w:rsidR="00697CC0" w:rsidRPr="00B9614C">
        <w:rPr>
          <w:rFonts w:asciiTheme="majorBidi" w:hAnsiTheme="majorBidi" w:cstheme="majorBidi"/>
        </w:rPr>
        <w:t xml:space="preserve">: </w:t>
      </w:r>
    </w:p>
    <w:p w:rsidR="00534855" w:rsidRPr="00B9614C" w:rsidRDefault="00534855" w:rsidP="00473D55">
      <w:pPr>
        <w:spacing w:line="360" w:lineRule="auto"/>
        <w:jc w:val="both"/>
        <w:rPr>
          <w:rFonts w:asciiTheme="majorBidi" w:hAnsiTheme="majorBidi" w:cstheme="majorBidi"/>
        </w:rPr>
      </w:pPr>
    </w:p>
    <w:p w:rsidR="00697CC0" w:rsidRPr="00B9614C" w:rsidRDefault="00697CC0" w:rsidP="00B76C79">
      <w:pPr>
        <w:spacing w:line="360" w:lineRule="auto"/>
        <w:ind w:left="720"/>
        <w:jc w:val="both"/>
        <w:rPr>
          <w:rFonts w:asciiTheme="majorBidi" w:hAnsiTheme="majorBidi" w:cstheme="majorBidi"/>
          <w:iCs/>
        </w:rPr>
      </w:pPr>
      <w:r w:rsidRPr="00B9614C">
        <w:rPr>
          <w:rFonts w:asciiTheme="majorBidi" w:hAnsiTheme="majorBidi" w:cstheme="majorBidi"/>
          <w:noProof/>
        </w:rPr>
        <w:t>I really would like to have another scan to see how my body is now, if it’s any wors</w:t>
      </w:r>
      <w:r w:rsidR="00B76C79" w:rsidRPr="00B9614C">
        <w:rPr>
          <w:rFonts w:asciiTheme="majorBidi" w:hAnsiTheme="majorBidi" w:cstheme="majorBidi"/>
          <w:noProof/>
        </w:rPr>
        <w:t>e or still the same or whatever.</w:t>
      </w:r>
      <w:r w:rsidRPr="00B9614C">
        <w:rPr>
          <w:rFonts w:asciiTheme="majorBidi" w:hAnsiTheme="majorBidi" w:cstheme="majorBidi"/>
          <w:noProof/>
        </w:rPr>
        <w:t xml:space="preserve"> I’d like to do that but apparently they don’t</w:t>
      </w:r>
      <w:r w:rsidR="00B76C79" w:rsidRPr="00B9614C">
        <w:rPr>
          <w:rFonts w:asciiTheme="majorBidi" w:hAnsiTheme="majorBidi" w:cstheme="majorBidi"/>
          <w:noProof/>
        </w:rPr>
        <w:t>,</w:t>
      </w:r>
      <w:r w:rsidRPr="00B9614C">
        <w:rPr>
          <w:rFonts w:asciiTheme="majorBidi" w:hAnsiTheme="majorBidi" w:cstheme="majorBidi"/>
          <w:noProof/>
        </w:rPr>
        <w:t xml:space="preserve"> they like to leave it a certain amount of years don’t they</w:t>
      </w:r>
      <w:r w:rsidR="00B76C79" w:rsidRPr="00B9614C">
        <w:rPr>
          <w:rFonts w:asciiTheme="majorBidi" w:hAnsiTheme="majorBidi" w:cstheme="majorBidi"/>
          <w:noProof/>
        </w:rPr>
        <w:t>?</w:t>
      </w:r>
      <w:r w:rsidRPr="00B9614C">
        <w:rPr>
          <w:rFonts w:asciiTheme="majorBidi" w:hAnsiTheme="majorBidi" w:cstheme="majorBidi"/>
          <w:noProof/>
        </w:rPr>
        <w:t xml:space="preserve"> I’ve read that.</w:t>
      </w:r>
      <w:r w:rsidRPr="00B9614C">
        <w:rPr>
          <w:rFonts w:asciiTheme="majorBidi" w:hAnsiTheme="majorBidi" w:cstheme="majorBidi"/>
          <w:i/>
          <w:iCs/>
          <w:noProof/>
        </w:rPr>
        <w:t xml:space="preserve"> </w:t>
      </w:r>
      <w:r w:rsidRPr="00B9614C">
        <w:rPr>
          <w:rFonts w:asciiTheme="majorBidi" w:hAnsiTheme="majorBidi" w:cstheme="majorBidi"/>
          <w:iCs/>
        </w:rPr>
        <w:t>(Participant 24</w:t>
      </w:r>
      <w:r w:rsidR="00534855" w:rsidRPr="00B9614C">
        <w:rPr>
          <w:rFonts w:asciiTheme="majorBidi" w:hAnsiTheme="majorBidi" w:cstheme="majorBidi"/>
          <w:iCs/>
        </w:rPr>
        <w:t>,</w:t>
      </w:r>
      <w:r w:rsidRPr="00B9614C">
        <w:rPr>
          <w:rFonts w:asciiTheme="majorBidi" w:hAnsiTheme="majorBidi" w:cstheme="majorBidi"/>
          <w:iCs/>
        </w:rPr>
        <w:t xml:space="preserve"> age 80 - Adherent to both Bisphosphonates &amp; Calcium Phase 1, subsequently withdrew)</w:t>
      </w:r>
    </w:p>
    <w:p w:rsidR="005307FB" w:rsidRPr="00B9614C" w:rsidRDefault="005307FB" w:rsidP="00473D55">
      <w:pPr>
        <w:spacing w:line="360" w:lineRule="auto"/>
        <w:jc w:val="both"/>
        <w:rPr>
          <w:rFonts w:asciiTheme="majorBidi" w:hAnsiTheme="majorBidi" w:cstheme="majorBidi"/>
          <w:noProof/>
        </w:rPr>
      </w:pPr>
    </w:p>
    <w:p w:rsidR="00697CC0" w:rsidRPr="00B9614C" w:rsidRDefault="00697CC0" w:rsidP="00473D55">
      <w:pPr>
        <w:spacing w:line="360" w:lineRule="auto"/>
        <w:ind w:left="720" w:firstLine="45"/>
        <w:jc w:val="both"/>
        <w:rPr>
          <w:rFonts w:asciiTheme="majorBidi" w:hAnsiTheme="majorBidi" w:cstheme="majorBidi"/>
        </w:rPr>
      </w:pPr>
      <w:r w:rsidRPr="00B9614C">
        <w:rPr>
          <w:rFonts w:asciiTheme="majorBidi" w:hAnsiTheme="majorBidi" w:cstheme="majorBidi"/>
          <w:iCs/>
        </w:rPr>
        <w:t>I mean if you’re going through all that performance, well it was for me with the lack of being able to swallow, but if you think you are doing that to no avail</w:t>
      </w:r>
      <w:r w:rsidR="00B76C79" w:rsidRPr="00B9614C">
        <w:rPr>
          <w:rFonts w:asciiTheme="majorBidi" w:hAnsiTheme="majorBidi" w:cstheme="majorBidi"/>
          <w:iCs/>
        </w:rPr>
        <w:t>,</w:t>
      </w:r>
      <w:r w:rsidRPr="00B9614C">
        <w:rPr>
          <w:rFonts w:asciiTheme="majorBidi" w:hAnsiTheme="majorBidi" w:cstheme="majorBidi"/>
          <w:iCs/>
        </w:rPr>
        <w:t xml:space="preserve"> y</w:t>
      </w:r>
      <w:r w:rsidR="007A21C9">
        <w:rPr>
          <w:rFonts w:asciiTheme="majorBidi" w:hAnsiTheme="majorBidi" w:cstheme="majorBidi"/>
          <w:iCs/>
        </w:rPr>
        <w:t>ou think well what’s the point.</w:t>
      </w:r>
      <w:r w:rsidRPr="00B9614C">
        <w:rPr>
          <w:rFonts w:asciiTheme="majorBidi" w:hAnsiTheme="majorBidi" w:cstheme="majorBidi"/>
        </w:rPr>
        <w:t xml:space="preserve"> (Participant</w:t>
      </w:r>
      <w:r w:rsidR="00534855" w:rsidRPr="00B9614C">
        <w:rPr>
          <w:rFonts w:asciiTheme="majorBidi" w:hAnsiTheme="majorBidi" w:cstheme="majorBidi"/>
        </w:rPr>
        <w:t xml:space="preserve"> 25, age</w:t>
      </w:r>
      <w:r w:rsidRPr="00B9614C">
        <w:rPr>
          <w:rFonts w:asciiTheme="majorBidi" w:hAnsiTheme="majorBidi" w:cstheme="majorBidi"/>
        </w:rPr>
        <w:t xml:space="preserve"> 77</w:t>
      </w:r>
      <w:r w:rsidR="00534855" w:rsidRPr="00B9614C">
        <w:rPr>
          <w:rFonts w:asciiTheme="majorBidi" w:hAnsiTheme="majorBidi" w:cstheme="majorBidi"/>
        </w:rPr>
        <w:t xml:space="preserve"> -</w:t>
      </w:r>
      <w:r w:rsidRPr="00B9614C">
        <w:rPr>
          <w:rFonts w:asciiTheme="majorBidi" w:hAnsiTheme="majorBidi" w:cstheme="majorBidi"/>
        </w:rPr>
        <w:t xml:space="preserve"> became Non-adherent to Bisphosphonates &amp; Calcium Phase 2)</w:t>
      </w:r>
    </w:p>
    <w:p w:rsidR="00697CC0" w:rsidRPr="00B9614C" w:rsidRDefault="00697CC0" w:rsidP="00473D55">
      <w:pPr>
        <w:spacing w:line="360" w:lineRule="auto"/>
        <w:jc w:val="both"/>
        <w:rPr>
          <w:rFonts w:asciiTheme="majorBidi" w:hAnsiTheme="majorBidi" w:cstheme="majorBidi"/>
        </w:rPr>
      </w:pPr>
    </w:p>
    <w:p w:rsidR="00D81DC9" w:rsidRPr="00710262" w:rsidRDefault="00D81DC9" w:rsidP="00D81DC9">
      <w:pPr>
        <w:spacing w:line="360" w:lineRule="auto"/>
        <w:jc w:val="both"/>
        <w:rPr>
          <w:rFonts w:asciiTheme="majorBidi" w:hAnsiTheme="majorBidi" w:cstheme="majorBidi"/>
        </w:rPr>
      </w:pPr>
      <w:r w:rsidRPr="00710262">
        <w:rPr>
          <w:rFonts w:asciiTheme="majorBidi" w:hAnsiTheme="majorBidi" w:cstheme="majorBidi"/>
        </w:rPr>
        <w:t>A number of women in both groups expressed significant confusion about the nature and importance of the risk portrayed by the positive screening result</w:t>
      </w:r>
      <w:r w:rsidR="005F47D9">
        <w:rPr>
          <w:rFonts w:asciiTheme="majorBidi" w:hAnsiTheme="majorBidi" w:cstheme="majorBidi"/>
        </w:rPr>
        <w:t>. There was also confusion between falls and fractures, with some participants talking about their fracture risk in terms of instability rather than fragility</w:t>
      </w:r>
      <w:r w:rsidRPr="00710262">
        <w:rPr>
          <w:rFonts w:asciiTheme="majorBidi" w:hAnsiTheme="majorBidi" w:cstheme="majorBidi"/>
        </w:rPr>
        <w:t xml:space="preserve">: </w:t>
      </w:r>
    </w:p>
    <w:p w:rsidR="00D81DC9" w:rsidRPr="00710262" w:rsidRDefault="00D81DC9" w:rsidP="00D81DC9">
      <w:pPr>
        <w:spacing w:line="360" w:lineRule="auto"/>
        <w:jc w:val="both"/>
        <w:rPr>
          <w:rFonts w:asciiTheme="majorBidi" w:hAnsiTheme="majorBidi" w:cstheme="majorBidi"/>
        </w:rPr>
      </w:pPr>
    </w:p>
    <w:p w:rsidR="00D81DC9" w:rsidRPr="00710262" w:rsidRDefault="00D81DC9" w:rsidP="00D81DC9">
      <w:pPr>
        <w:spacing w:line="360" w:lineRule="auto"/>
        <w:ind w:left="720"/>
        <w:jc w:val="both"/>
        <w:rPr>
          <w:rFonts w:asciiTheme="majorBidi" w:hAnsiTheme="majorBidi" w:cstheme="majorBidi"/>
          <w:iCs/>
        </w:rPr>
      </w:pPr>
      <w:r w:rsidRPr="00710262">
        <w:rPr>
          <w:rFonts w:asciiTheme="majorBidi" w:hAnsiTheme="majorBidi" w:cstheme="majorBidi"/>
        </w:rPr>
        <w:t>As I say, I would have thought somebody with osteoporosis would have fallen over and broken their bones.</w:t>
      </w:r>
      <w:r w:rsidRPr="00710262">
        <w:rPr>
          <w:rFonts w:asciiTheme="majorBidi" w:hAnsiTheme="majorBidi" w:cstheme="majorBidi"/>
          <w:i/>
          <w:iCs/>
        </w:rPr>
        <w:t xml:space="preserve"> </w:t>
      </w:r>
      <w:r w:rsidRPr="00710262">
        <w:rPr>
          <w:rFonts w:asciiTheme="majorBidi" w:hAnsiTheme="majorBidi" w:cstheme="majorBidi"/>
          <w:iCs/>
        </w:rPr>
        <w:t>(Participant 07, age 74 - Non</w:t>
      </w:r>
      <w:r w:rsidR="005F47D9">
        <w:rPr>
          <w:rFonts w:asciiTheme="majorBidi" w:hAnsiTheme="majorBidi" w:cstheme="majorBidi"/>
          <w:iCs/>
        </w:rPr>
        <w:t xml:space="preserve"> </w:t>
      </w:r>
      <w:r w:rsidRPr="00710262">
        <w:rPr>
          <w:rFonts w:asciiTheme="majorBidi" w:hAnsiTheme="majorBidi" w:cstheme="majorBidi"/>
          <w:iCs/>
        </w:rPr>
        <w:t>adherent to Bisphosphonates by Phase 2. Adherent to Calcium)</w:t>
      </w:r>
    </w:p>
    <w:p w:rsidR="00D81DC9" w:rsidRPr="00710262" w:rsidRDefault="00D81DC9" w:rsidP="00D81DC9">
      <w:pPr>
        <w:spacing w:line="360" w:lineRule="auto"/>
        <w:ind w:left="720"/>
        <w:jc w:val="both"/>
        <w:rPr>
          <w:rFonts w:asciiTheme="majorBidi" w:hAnsiTheme="majorBidi" w:cstheme="majorBidi"/>
          <w:i/>
          <w:iCs/>
        </w:rPr>
      </w:pPr>
    </w:p>
    <w:p w:rsidR="00D81DC9" w:rsidRPr="00710262" w:rsidRDefault="00D81DC9" w:rsidP="00D81DC9">
      <w:pPr>
        <w:spacing w:line="360" w:lineRule="auto"/>
        <w:ind w:left="720"/>
        <w:jc w:val="both"/>
        <w:rPr>
          <w:rFonts w:asciiTheme="majorBidi" w:hAnsiTheme="majorBidi" w:cstheme="majorBidi"/>
          <w:iCs/>
        </w:rPr>
      </w:pPr>
      <w:r w:rsidRPr="00710262">
        <w:rPr>
          <w:rFonts w:asciiTheme="majorBidi" w:hAnsiTheme="majorBidi" w:cstheme="majorBidi"/>
        </w:rPr>
        <w:t>I was surprised because I felt that I’d not had a lot of falls or tottery or anything. I thought people that were at higher risk were inclined to fall.</w:t>
      </w:r>
      <w:r w:rsidRPr="00710262">
        <w:rPr>
          <w:rFonts w:asciiTheme="majorBidi" w:hAnsiTheme="majorBidi" w:cstheme="majorBidi"/>
          <w:i/>
          <w:iCs/>
        </w:rPr>
        <w:t xml:space="preserve"> </w:t>
      </w:r>
      <w:r w:rsidRPr="00710262">
        <w:rPr>
          <w:rFonts w:asciiTheme="majorBidi" w:hAnsiTheme="majorBidi" w:cstheme="majorBidi"/>
          <w:iCs/>
        </w:rPr>
        <w:t xml:space="preserve">(Participant 01, age 75 - Continually Adherent to Bisphosphonates. Took Calcium intermittently) </w:t>
      </w:r>
    </w:p>
    <w:p w:rsidR="00D81DC9" w:rsidRPr="00710262" w:rsidRDefault="00D81DC9" w:rsidP="00D81DC9">
      <w:pPr>
        <w:spacing w:line="360" w:lineRule="auto"/>
        <w:ind w:left="720"/>
        <w:jc w:val="both"/>
        <w:rPr>
          <w:rFonts w:asciiTheme="majorBidi" w:hAnsiTheme="majorBidi" w:cstheme="majorBidi"/>
          <w:iCs/>
        </w:rPr>
      </w:pPr>
    </w:p>
    <w:p w:rsidR="00D81DC9" w:rsidRPr="00B9614C" w:rsidRDefault="00D81DC9" w:rsidP="00D81DC9">
      <w:pPr>
        <w:spacing w:line="360" w:lineRule="auto"/>
        <w:ind w:left="720"/>
        <w:jc w:val="both"/>
        <w:rPr>
          <w:rFonts w:asciiTheme="majorBidi" w:hAnsiTheme="majorBidi" w:cstheme="majorBidi"/>
          <w:iCs/>
        </w:rPr>
      </w:pPr>
      <w:r w:rsidRPr="00710262">
        <w:rPr>
          <w:rFonts w:asciiTheme="majorBidi" w:hAnsiTheme="majorBidi" w:cstheme="majorBidi"/>
          <w:iCs/>
        </w:rPr>
        <w:t>So I thought well that (bisphosphonate medication) will prevent me falling cos the main reason was if my bones got stronger I could do more in the garden and things like that and get on the steps more often. I can’t anyway cos I get dizzy (but) that was my thoughts.</w:t>
      </w:r>
      <w:r w:rsidRPr="00710262">
        <w:rPr>
          <w:rFonts w:asciiTheme="majorBidi" w:hAnsiTheme="majorBidi" w:cstheme="majorBidi"/>
          <w:i/>
        </w:rPr>
        <w:t xml:space="preserve">  </w:t>
      </w:r>
      <w:r w:rsidRPr="00710262">
        <w:rPr>
          <w:rFonts w:asciiTheme="majorBidi" w:hAnsiTheme="majorBidi" w:cstheme="majorBidi"/>
          <w:iCs/>
        </w:rPr>
        <w:t>(Participant 30, age 75 - Continually Non adherent to Bisphosphonates. Took Calcium at Phase 2)</w:t>
      </w:r>
    </w:p>
    <w:p w:rsidR="00D81DC9" w:rsidRDefault="00D81DC9" w:rsidP="00473D55">
      <w:pPr>
        <w:spacing w:line="360" w:lineRule="auto"/>
        <w:jc w:val="both"/>
        <w:rPr>
          <w:rFonts w:asciiTheme="majorBidi" w:hAnsiTheme="majorBidi" w:cstheme="majorBidi"/>
        </w:rPr>
      </w:pPr>
    </w:p>
    <w:p w:rsidR="00697CC0" w:rsidRPr="00B9614C" w:rsidRDefault="00361461" w:rsidP="00473D55">
      <w:pPr>
        <w:spacing w:line="360" w:lineRule="auto"/>
        <w:jc w:val="both"/>
        <w:rPr>
          <w:rFonts w:asciiTheme="majorBidi" w:hAnsiTheme="majorBidi" w:cstheme="majorBidi"/>
        </w:rPr>
      </w:pPr>
      <w:r>
        <w:rPr>
          <w:rFonts w:asciiTheme="majorBidi" w:hAnsiTheme="majorBidi" w:cstheme="majorBidi"/>
        </w:rPr>
        <w:t>Confusion about the effectiveness of the medication was common</w:t>
      </w:r>
      <w:r w:rsidR="005F47D9">
        <w:rPr>
          <w:rFonts w:asciiTheme="majorBidi" w:hAnsiTheme="majorBidi" w:cstheme="majorBidi"/>
        </w:rPr>
        <w:t xml:space="preserve"> and p</w:t>
      </w:r>
      <w:r>
        <w:rPr>
          <w:rFonts w:asciiTheme="majorBidi" w:hAnsiTheme="majorBidi" w:cstheme="majorBidi"/>
        </w:rPr>
        <w:t xml:space="preserve">articipants </w:t>
      </w:r>
      <w:r w:rsidR="005F47D9">
        <w:rPr>
          <w:rFonts w:asciiTheme="majorBidi" w:hAnsiTheme="majorBidi" w:cstheme="majorBidi"/>
        </w:rPr>
        <w:t>frequently reflected on</w:t>
      </w:r>
      <w:r>
        <w:rPr>
          <w:rFonts w:asciiTheme="majorBidi" w:hAnsiTheme="majorBidi" w:cstheme="majorBidi"/>
        </w:rPr>
        <w:t xml:space="preserve"> </w:t>
      </w:r>
      <w:r w:rsidR="005F47D9">
        <w:rPr>
          <w:rFonts w:asciiTheme="majorBidi" w:hAnsiTheme="majorBidi" w:cstheme="majorBidi"/>
        </w:rPr>
        <w:t>‘</w:t>
      </w:r>
      <w:r>
        <w:rPr>
          <w:rFonts w:asciiTheme="majorBidi" w:hAnsiTheme="majorBidi" w:cstheme="majorBidi"/>
        </w:rPr>
        <w:t xml:space="preserve">not </w:t>
      </w:r>
      <w:r w:rsidR="00710262">
        <w:rPr>
          <w:rFonts w:asciiTheme="majorBidi" w:hAnsiTheme="majorBidi" w:cstheme="majorBidi"/>
        </w:rPr>
        <w:t>know</w:t>
      </w:r>
      <w:r w:rsidR="005F47D9">
        <w:rPr>
          <w:rFonts w:asciiTheme="majorBidi" w:hAnsiTheme="majorBidi" w:cstheme="majorBidi"/>
        </w:rPr>
        <w:t>ing’</w:t>
      </w:r>
      <w:r>
        <w:rPr>
          <w:rFonts w:asciiTheme="majorBidi" w:hAnsiTheme="majorBidi" w:cstheme="majorBidi"/>
        </w:rPr>
        <w:t xml:space="preserve"> if they were getting any benefit from taking the medication or not. </w:t>
      </w:r>
      <w:r w:rsidR="00697CC0" w:rsidRPr="00B9614C">
        <w:rPr>
          <w:rFonts w:asciiTheme="majorBidi" w:hAnsiTheme="majorBidi" w:cstheme="majorBidi"/>
        </w:rPr>
        <w:t>Participant 16 was fully adherent with no</w:t>
      </w:r>
      <w:r w:rsidR="007A21C9">
        <w:rPr>
          <w:rFonts w:asciiTheme="majorBidi" w:hAnsiTheme="majorBidi" w:cstheme="majorBidi"/>
        </w:rPr>
        <w:t xml:space="preserve"> side effects, but felt it was ‘</w:t>
      </w:r>
      <w:r w:rsidR="00697CC0" w:rsidRPr="00B9614C">
        <w:rPr>
          <w:rFonts w:asciiTheme="majorBidi" w:hAnsiTheme="majorBidi" w:cstheme="majorBidi"/>
        </w:rPr>
        <w:t>disco</w:t>
      </w:r>
      <w:r w:rsidR="007A21C9">
        <w:rPr>
          <w:rFonts w:asciiTheme="majorBidi" w:hAnsiTheme="majorBidi" w:cstheme="majorBidi"/>
        </w:rPr>
        <w:t>uraging not knowing if it works’</w:t>
      </w:r>
      <w:r w:rsidR="00710262">
        <w:rPr>
          <w:rFonts w:asciiTheme="majorBidi" w:hAnsiTheme="majorBidi" w:cstheme="majorBidi"/>
        </w:rPr>
        <w:t>,</w:t>
      </w:r>
      <w:r w:rsidR="00697CC0" w:rsidRPr="00B9614C">
        <w:rPr>
          <w:rFonts w:asciiTheme="majorBidi" w:hAnsiTheme="majorBidi" w:cstheme="majorBidi"/>
        </w:rPr>
        <w:t xml:space="preserve"> as did others:</w:t>
      </w:r>
    </w:p>
    <w:p w:rsidR="00534855" w:rsidRPr="00B9614C" w:rsidRDefault="00534855" w:rsidP="00473D55">
      <w:pPr>
        <w:spacing w:line="360" w:lineRule="auto"/>
        <w:jc w:val="both"/>
        <w:rPr>
          <w:rFonts w:asciiTheme="majorBidi" w:hAnsiTheme="majorBidi" w:cstheme="majorBidi"/>
        </w:rPr>
      </w:pPr>
    </w:p>
    <w:p w:rsidR="00697CC0" w:rsidRPr="00B9614C" w:rsidRDefault="00697CC0" w:rsidP="00B76C79">
      <w:pPr>
        <w:spacing w:line="360" w:lineRule="auto"/>
        <w:ind w:left="720"/>
        <w:jc w:val="both"/>
        <w:rPr>
          <w:rFonts w:asciiTheme="majorBidi" w:hAnsiTheme="majorBidi" w:cstheme="majorBidi"/>
          <w:noProof/>
        </w:rPr>
      </w:pPr>
      <w:r w:rsidRPr="00B9614C">
        <w:rPr>
          <w:rFonts w:asciiTheme="majorBidi" w:hAnsiTheme="majorBidi" w:cstheme="majorBidi"/>
          <w:noProof/>
        </w:rPr>
        <w:t xml:space="preserve">I suppose the fact of never having broken anything coupled with the fact there’s </w:t>
      </w:r>
      <w:r w:rsidR="00B76C79" w:rsidRPr="00B9614C">
        <w:rPr>
          <w:rFonts w:asciiTheme="majorBidi" w:hAnsiTheme="majorBidi" w:cstheme="majorBidi"/>
          <w:noProof/>
        </w:rPr>
        <w:t>no signal in your body is there? T</w:t>
      </w:r>
      <w:r w:rsidRPr="00B9614C">
        <w:rPr>
          <w:rFonts w:asciiTheme="majorBidi" w:hAnsiTheme="majorBidi" w:cstheme="majorBidi"/>
          <w:noProof/>
        </w:rPr>
        <w:t>here’s nothing that tells you that there is anything wrong</w:t>
      </w:r>
      <w:r w:rsidR="00B64DD6" w:rsidRPr="00B9614C">
        <w:rPr>
          <w:rFonts w:asciiTheme="majorBidi" w:hAnsiTheme="majorBidi" w:cstheme="majorBidi"/>
          <w:noProof/>
        </w:rPr>
        <w:t>,</w:t>
      </w:r>
      <w:r w:rsidRPr="00B9614C">
        <w:rPr>
          <w:rFonts w:asciiTheme="majorBidi" w:hAnsiTheme="majorBidi" w:cstheme="majorBidi"/>
          <w:noProof/>
        </w:rPr>
        <w:t xml:space="preserve"> so you don’t feel that there’s anything wrong.</w:t>
      </w:r>
      <w:r w:rsidRPr="00B9614C">
        <w:rPr>
          <w:rFonts w:asciiTheme="majorBidi" w:hAnsiTheme="majorBidi" w:cstheme="majorBidi"/>
          <w:i/>
          <w:iCs/>
          <w:noProof/>
        </w:rPr>
        <w:t xml:space="preserve"> </w:t>
      </w:r>
      <w:r w:rsidRPr="00B9614C">
        <w:rPr>
          <w:rFonts w:asciiTheme="majorBidi" w:hAnsiTheme="majorBidi" w:cstheme="majorBidi"/>
          <w:noProof/>
        </w:rPr>
        <w:t>(Participant 08</w:t>
      </w:r>
      <w:r w:rsidR="00534855" w:rsidRPr="00B9614C">
        <w:rPr>
          <w:rFonts w:asciiTheme="majorBidi" w:hAnsiTheme="majorBidi" w:cstheme="majorBidi"/>
          <w:noProof/>
        </w:rPr>
        <w:t>,</w:t>
      </w:r>
      <w:r w:rsidRPr="00B9614C">
        <w:rPr>
          <w:rFonts w:asciiTheme="majorBidi" w:hAnsiTheme="majorBidi" w:cstheme="majorBidi"/>
          <w:noProof/>
        </w:rPr>
        <w:t xml:space="preserve"> age 75 – Continually Adherence Bisphosphonates and Calcium) </w:t>
      </w:r>
    </w:p>
    <w:p w:rsidR="00697CC0" w:rsidRPr="00B9614C" w:rsidRDefault="00697CC0" w:rsidP="00473D55">
      <w:pPr>
        <w:spacing w:line="360" w:lineRule="auto"/>
        <w:jc w:val="both"/>
        <w:rPr>
          <w:rFonts w:asciiTheme="majorBidi" w:hAnsiTheme="majorBidi" w:cstheme="majorBidi"/>
        </w:rPr>
      </w:pPr>
    </w:p>
    <w:p w:rsidR="00697CC0" w:rsidRPr="00B9614C" w:rsidRDefault="00697CC0" w:rsidP="00473D55">
      <w:pPr>
        <w:spacing w:line="360" w:lineRule="auto"/>
        <w:jc w:val="both"/>
        <w:rPr>
          <w:rFonts w:asciiTheme="majorBidi" w:hAnsiTheme="majorBidi" w:cstheme="majorBidi"/>
          <w:b/>
        </w:rPr>
      </w:pPr>
      <w:r w:rsidRPr="00B9614C">
        <w:rPr>
          <w:rFonts w:asciiTheme="majorBidi" w:hAnsiTheme="majorBidi" w:cstheme="majorBidi"/>
          <w:b/>
        </w:rPr>
        <w:t>Decision making around medication</w:t>
      </w:r>
    </w:p>
    <w:p w:rsidR="00A66C4F" w:rsidRDefault="00A84027" w:rsidP="009875D0">
      <w:pPr>
        <w:spacing w:line="360" w:lineRule="auto"/>
        <w:jc w:val="both"/>
        <w:rPr>
          <w:rFonts w:asciiTheme="majorBidi" w:hAnsiTheme="majorBidi" w:cstheme="majorBidi"/>
        </w:rPr>
      </w:pPr>
      <w:r w:rsidRPr="00B9614C">
        <w:rPr>
          <w:rFonts w:asciiTheme="majorBidi" w:hAnsiTheme="majorBidi" w:cstheme="majorBidi"/>
        </w:rPr>
        <w:t>Overall we found</w:t>
      </w:r>
      <w:r w:rsidR="00697CC0" w:rsidRPr="00B9614C">
        <w:rPr>
          <w:rFonts w:asciiTheme="majorBidi" w:hAnsiTheme="majorBidi" w:cstheme="majorBidi"/>
        </w:rPr>
        <w:t xml:space="preserve"> clear if unpredictable narratives around medication choice, with key factors being the initial result, side effects and subsequent health service intervention of medication prescription. Decisions were reviewed in a number of situations and personal costs weighed up against perceived benefits of taking the medication.</w:t>
      </w:r>
      <w:r w:rsidR="00462534" w:rsidRPr="00B9614C">
        <w:rPr>
          <w:rFonts w:asciiTheme="majorBidi" w:hAnsiTheme="majorBidi" w:cstheme="majorBidi"/>
        </w:rPr>
        <w:t xml:space="preserve"> </w:t>
      </w:r>
      <w:r w:rsidR="00A66C4F">
        <w:rPr>
          <w:rFonts w:asciiTheme="majorBidi" w:hAnsiTheme="majorBidi" w:cstheme="majorBidi"/>
        </w:rPr>
        <w:t>Participant 09 describe</w:t>
      </w:r>
      <w:r w:rsidR="009D511A">
        <w:rPr>
          <w:rFonts w:asciiTheme="majorBidi" w:hAnsiTheme="majorBidi" w:cstheme="majorBidi"/>
        </w:rPr>
        <w:t>d</w:t>
      </w:r>
      <w:r w:rsidR="00A66C4F">
        <w:rPr>
          <w:rFonts w:asciiTheme="majorBidi" w:hAnsiTheme="majorBidi" w:cstheme="majorBidi"/>
        </w:rPr>
        <w:t xml:space="preserve"> how she made the decision in the light of her own understanding of her needs and the relative benefit of taking the medication.  She made her </w:t>
      </w:r>
      <w:r w:rsidR="004B7E4D">
        <w:rPr>
          <w:rFonts w:asciiTheme="majorBidi" w:hAnsiTheme="majorBidi" w:cstheme="majorBidi"/>
        </w:rPr>
        <w:t xml:space="preserve">final </w:t>
      </w:r>
      <w:r w:rsidR="00A66C4F">
        <w:rPr>
          <w:rFonts w:asciiTheme="majorBidi" w:hAnsiTheme="majorBidi" w:cstheme="majorBidi"/>
        </w:rPr>
        <w:t xml:space="preserve">decision </w:t>
      </w:r>
      <w:r w:rsidR="004B7E4D">
        <w:rPr>
          <w:rFonts w:asciiTheme="majorBidi" w:hAnsiTheme="majorBidi" w:cstheme="majorBidi"/>
        </w:rPr>
        <w:t xml:space="preserve">in consultation </w:t>
      </w:r>
      <w:r w:rsidR="00A66C4F">
        <w:rPr>
          <w:rFonts w:asciiTheme="majorBidi" w:hAnsiTheme="majorBidi" w:cstheme="majorBidi"/>
        </w:rPr>
        <w:t xml:space="preserve">with her doctor: </w:t>
      </w:r>
    </w:p>
    <w:p w:rsidR="004B7E4D" w:rsidRDefault="004B7E4D" w:rsidP="009875D0">
      <w:pPr>
        <w:spacing w:line="360" w:lineRule="auto"/>
        <w:jc w:val="both"/>
        <w:rPr>
          <w:rFonts w:asciiTheme="majorBidi" w:hAnsiTheme="majorBidi" w:cstheme="majorBidi"/>
        </w:rPr>
      </w:pPr>
    </w:p>
    <w:p w:rsidR="00697CC0" w:rsidRPr="004B7E4D" w:rsidRDefault="00A66C4F" w:rsidP="004B7E4D">
      <w:pPr>
        <w:spacing w:line="360" w:lineRule="auto"/>
        <w:ind w:left="720"/>
        <w:jc w:val="both"/>
        <w:rPr>
          <w:rFonts w:asciiTheme="majorBidi" w:hAnsiTheme="majorBidi" w:cstheme="majorBidi"/>
          <w:i/>
          <w:iCs/>
        </w:rPr>
      </w:pPr>
      <w:r w:rsidRPr="00710262">
        <w:rPr>
          <w:rFonts w:asciiTheme="majorBidi" w:hAnsiTheme="majorBidi" w:cstheme="majorBidi"/>
        </w:rPr>
        <w:t>There is no bone disease or any sign of it in our family but I said I would take it and see what happened</w:t>
      </w:r>
      <w:r w:rsidR="004B7E4D" w:rsidRPr="00710262">
        <w:rPr>
          <w:rFonts w:asciiTheme="majorBidi" w:hAnsiTheme="majorBidi" w:cstheme="majorBidi"/>
        </w:rPr>
        <w:t>.  It didn’t suit me and I said I’m not taking them anymore and he (doctor) agreed.  He said ‘it’s no good taking them if they upset you because your diabetes is more important’</w:t>
      </w:r>
      <w:r w:rsidR="004B7E4D" w:rsidRPr="004B7E4D">
        <w:rPr>
          <w:rFonts w:asciiTheme="majorBidi" w:hAnsiTheme="majorBidi" w:cstheme="majorBidi"/>
        </w:rPr>
        <w:t xml:space="preserve">. (Participant 09, age 85 – </w:t>
      </w:r>
      <w:r w:rsidR="007A21C9">
        <w:rPr>
          <w:rFonts w:asciiTheme="majorBidi" w:hAnsiTheme="majorBidi" w:cstheme="majorBidi"/>
        </w:rPr>
        <w:t>became n</w:t>
      </w:r>
      <w:r w:rsidR="004B7E4D" w:rsidRPr="004B7E4D">
        <w:rPr>
          <w:rFonts w:asciiTheme="majorBidi" w:hAnsiTheme="majorBidi" w:cstheme="majorBidi"/>
        </w:rPr>
        <w:t>on</w:t>
      </w:r>
      <w:r w:rsidR="004B7E4D">
        <w:rPr>
          <w:rFonts w:asciiTheme="majorBidi" w:hAnsiTheme="majorBidi" w:cstheme="majorBidi"/>
        </w:rPr>
        <w:t xml:space="preserve"> a</w:t>
      </w:r>
      <w:r w:rsidR="004B7E4D" w:rsidRPr="004B7E4D">
        <w:rPr>
          <w:rFonts w:asciiTheme="majorBidi" w:hAnsiTheme="majorBidi" w:cstheme="majorBidi"/>
        </w:rPr>
        <w:t>dheren</w:t>
      </w:r>
      <w:r w:rsidR="007A21C9">
        <w:rPr>
          <w:rFonts w:asciiTheme="majorBidi" w:hAnsiTheme="majorBidi" w:cstheme="majorBidi"/>
        </w:rPr>
        <w:t>t by Phase 2 to</w:t>
      </w:r>
      <w:r w:rsidR="004B7E4D" w:rsidRPr="004B7E4D">
        <w:rPr>
          <w:rFonts w:asciiTheme="majorBidi" w:hAnsiTheme="majorBidi" w:cstheme="majorBidi"/>
        </w:rPr>
        <w:t xml:space="preserve"> Bisphosphonates and Calcium)</w:t>
      </w:r>
      <w:r w:rsidR="004B7E4D" w:rsidRPr="004B7E4D">
        <w:rPr>
          <w:rFonts w:asciiTheme="majorBidi" w:hAnsiTheme="majorBidi" w:cstheme="majorBidi"/>
          <w:i/>
        </w:rPr>
        <w:t xml:space="preserve">  </w:t>
      </w:r>
    </w:p>
    <w:p w:rsidR="00697CC0" w:rsidRPr="00B9614C" w:rsidRDefault="00697CC0" w:rsidP="00473D5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left="720" w:hanging="720"/>
        <w:jc w:val="both"/>
        <w:rPr>
          <w:rFonts w:asciiTheme="majorBidi" w:hAnsiTheme="majorBidi" w:cstheme="majorBidi"/>
          <w:noProof/>
        </w:rPr>
      </w:pPr>
    </w:p>
    <w:p w:rsidR="000C4DA6" w:rsidRDefault="00697CC0">
      <w:pPr>
        <w:spacing w:line="360" w:lineRule="auto"/>
        <w:jc w:val="both"/>
        <w:rPr>
          <w:rFonts w:asciiTheme="majorBidi" w:hAnsiTheme="majorBidi" w:cstheme="majorBidi"/>
          <w:noProof/>
        </w:rPr>
      </w:pPr>
      <w:r w:rsidRPr="00B9614C">
        <w:rPr>
          <w:rFonts w:asciiTheme="majorBidi" w:hAnsiTheme="majorBidi" w:cstheme="majorBidi"/>
          <w:noProof/>
        </w:rPr>
        <w:t xml:space="preserve">Many of those non-adherent to bisphosphonate medication at Phase 2 had not asked for, or been offered, </w:t>
      </w:r>
      <w:r w:rsidR="00462534" w:rsidRPr="00B9614C">
        <w:rPr>
          <w:rFonts w:asciiTheme="majorBidi" w:hAnsiTheme="majorBidi" w:cstheme="majorBidi"/>
          <w:noProof/>
        </w:rPr>
        <w:t xml:space="preserve">a change of medication (n=10). </w:t>
      </w:r>
      <w:r w:rsidRPr="00B9614C">
        <w:rPr>
          <w:rFonts w:asciiTheme="majorBidi" w:hAnsiTheme="majorBidi" w:cstheme="majorBidi"/>
          <w:noProof/>
        </w:rPr>
        <w:t>However, five women still adherent to their medications and experiencing side effects had been back to their doctor at least once for an alternative presc</w:t>
      </w:r>
      <w:r w:rsidR="007A21C9">
        <w:rPr>
          <w:rFonts w:asciiTheme="majorBidi" w:hAnsiTheme="majorBidi" w:cstheme="majorBidi"/>
          <w:noProof/>
        </w:rPr>
        <w:t>r</w:t>
      </w:r>
      <w:r w:rsidRPr="00B9614C">
        <w:rPr>
          <w:rFonts w:asciiTheme="majorBidi" w:hAnsiTheme="majorBidi" w:cstheme="majorBidi"/>
          <w:noProof/>
        </w:rPr>
        <w:t>iption by Phase 2  (Table 3</w:t>
      </w:r>
      <w:r w:rsidR="00462534" w:rsidRPr="00B9614C">
        <w:rPr>
          <w:rFonts w:asciiTheme="majorBidi" w:hAnsiTheme="majorBidi" w:cstheme="majorBidi"/>
          <w:noProof/>
        </w:rPr>
        <w:t xml:space="preserve">). </w:t>
      </w:r>
    </w:p>
    <w:p w:rsidR="006C2335" w:rsidRPr="00B9614C" w:rsidRDefault="006C2335" w:rsidP="00473D55">
      <w:pPr>
        <w:spacing w:line="360" w:lineRule="auto"/>
        <w:jc w:val="both"/>
        <w:rPr>
          <w:rFonts w:asciiTheme="majorBidi" w:hAnsiTheme="majorBidi" w:cstheme="majorBidi"/>
          <w:noProof/>
        </w:rPr>
      </w:pPr>
    </w:p>
    <w:p w:rsidR="006C2335" w:rsidRPr="00B9614C" w:rsidRDefault="00FA5316" w:rsidP="00473D55">
      <w:pPr>
        <w:spacing w:line="360" w:lineRule="auto"/>
        <w:jc w:val="both"/>
        <w:rPr>
          <w:rFonts w:asciiTheme="majorBidi" w:hAnsiTheme="majorBidi" w:cstheme="majorBidi"/>
        </w:rPr>
      </w:pPr>
      <w:r w:rsidRPr="00B9614C">
        <w:rPr>
          <w:rFonts w:asciiTheme="majorBidi" w:hAnsiTheme="majorBidi" w:cstheme="majorBidi"/>
        </w:rPr>
        <w:t>Although most participants cited encouragement by doctors, pharmacists, family, friends and the media, only three participants specifically mentioned any sort of formal follow-up (one at a diabetic review, one with a pha</w:t>
      </w:r>
      <w:r w:rsidR="00462534" w:rsidRPr="00B9614C">
        <w:rPr>
          <w:rFonts w:asciiTheme="majorBidi" w:hAnsiTheme="majorBidi" w:cstheme="majorBidi"/>
        </w:rPr>
        <w:t xml:space="preserve">rmacist and one with a nurse). </w:t>
      </w:r>
      <w:r w:rsidRPr="00B9614C">
        <w:rPr>
          <w:rFonts w:asciiTheme="majorBidi" w:hAnsiTheme="majorBidi" w:cstheme="majorBidi"/>
        </w:rPr>
        <w:t>Many felt specific follow-up would have given the</w:t>
      </w:r>
      <w:r w:rsidR="009875D0">
        <w:rPr>
          <w:rFonts w:asciiTheme="majorBidi" w:hAnsiTheme="majorBidi" w:cstheme="majorBidi"/>
        </w:rPr>
        <w:t>m</w:t>
      </w:r>
      <w:r w:rsidRPr="00B9614C">
        <w:rPr>
          <w:rFonts w:asciiTheme="majorBidi" w:hAnsiTheme="majorBidi" w:cstheme="majorBidi"/>
        </w:rPr>
        <w:t xml:space="preserve"> more confidence:</w:t>
      </w:r>
    </w:p>
    <w:p w:rsidR="006C2335" w:rsidRPr="00B9614C" w:rsidRDefault="006C2335" w:rsidP="00473D55">
      <w:pPr>
        <w:spacing w:line="360" w:lineRule="auto"/>
        <w:jc w:val="both"/>
        <w:rPr>
          <w:rFonts w:asciiTheme="majorBidi" w:hAnsiTheme="majorBidi" w:cstheme="majorBidi"/>
        </w:rPr>
      </w:pPr>
    </w:p>
    <w:p w:rsidR="00697CC0" w:rsidRPr="00B9614C" w:rsidRDefault="00FA5316" w:rsidP="00B76C79">
      <w:pPr>
        <w:spacing w:line="360" w:lineRule="auto"/>
        <w:ind w:left="720"/>
        <w:jc w:val="both"/>
        <w:rPr>
          <w:rFonts w:asciiTheme="majorBidi" w:hAnsiTheme="majorBidi" w:cstheme="majorBidi"/>
          <w:noProof/>
        </w:rPr>
      </w:pPr>
      <w:r w:rsidRPr="00B9614C" w:rsidDel="00FA5316">
        <w:rPr>
          <w:rFonts w:asciiTheme="majorBidi" w:hAnsiTheme="majorBidi" w:cstheme="majorBidi"/>
        </w:rPr>
        <w:t xml:space="preserve"> </w:t>
      </w:r>
      <w:r w:rsidR="00697CC0" w:rsidRPr="00B9614C">
        <w:rPr>
          <w:rFonts w:asciiTheme="majorBidi" w:hAnsiTheme="majorBidi" w:cstheme="majorBidi"/>
          <w:noProof/>
        </w:rPr>
        <w:t>I mean I’m all for taking it if I know what it’s doing and if it’s doing you good, but there’s no follow up on these things.  I have to go and get my blood pr</w:t>
      </w:r>
      <w:r w:rsidR="006C2335" w:rsidRPr="00B9614C">
        <w:rPr>
          <w:rFonts w:asciiTheme="majorBidi" w:hAnsiTheme="majorBidi" w:cstheme="majorBidi"/>
          <w:noProof/>
        </w:rPr>
        <w:t xml:space="preserve">essure taken every six months. </w:t>
      </w:r>
      <w:r w:rsidR="00697CC0" w:rsidRPr="00B9614C">
        <w:rPr>
          <w:rFonts w:asciiTheme="majorBidi" w:hAnsiTheme="majorBidi" w:cstheme="majorBidi"/>
          <w:noProof/>
        </w:rPr>
        <w:t>I feel like they know what’s going on cos they have changed the different strengths at different times you know depending on how my blood pressure is</w:t>
      </w:r>
      <w:r w:rsidR="00B76C79" w:rsidRPr="00B9614C">
        <w:rPr>
          <w:rFonts w:asciiTheme="majorBidi" w:hAnsiTheme="majorBidi" w:cstheme="majorBidi"/>
          <w:noProof/>
        </w:rPr>
        <w:t>. B</w:t>
      </w:r>
      <w:r w:rsidR="00697CC0" w:rsidRPr="00B9614C">
        <w:rPr>
          <w:rFonts w:asciiTheme="majorBidi" w:hAnsiTheme="majorBidi" w:cstheme="majorBidi"/>
          <w:noProof/>
        </w:rPr>
        <w:t>ut you do</w:t>
      </w:r>
      <w:r w:rsidR="00B76C79" w:rsidRPr="00B9614C">
        <w:rPr>
          <w:rFonts w:asciiTheme="majorBidi" w:hAnsiTheme="majorBidi" w:cstheme="majorBidi"/>
          <w:noProof/>
        </w:rPr>
        <w:t>n’t get any follow up with this</w:t>
      </w:r>
      <w:r w:rsidR="00697CC0" w:rsidRPr="00B9614C">
        <w:rPr>
          <w:rFonts w:asciiTheme="majorBidi" w:hAnsiTheme="majorBidi" w:cstheme="majorBidi"/>
          <w:noProof/>
        </w:rPr>
        <w:t>…. I think they need t</w:t>
      </w:r>
      <w:r w:rsidR="00B76C79" w:rsidRPr="00B9614C">
        <w:rPr>
          <w:rFonts w:asciiTheme="majorBidi" w:hAnsiTheme="majorBidi" w:cstheme="majorBidi"/>
          <w:noProof/>
        </w:rPr>
        <w:t xml:space="preserve">o have more follow up on this. </w:t>
      </w:r>
      <w:r w:rsidR="00697CC0" w:rsidRPr="00B9614C">
        <w:rPr>
          <w:rFonts w:asciiTheme="majorBidi" w:hAnsiTheme="majorBidi" w:cstheme="majorBidi"/>
          <w:noProof/>
        </w:rPr>
        <w:t>I’m taking it because it’s doing me what it’s supposed to be doing, but it’s the not knowing and it’s the not having the follow up to see whether you need to be taking it or not.</w:t>
      </w:r>
      <w:r w:rsidR="00697CC0" w:rsidRPr="00B9614C">
        <w:rPr>
          <w:rFonts w:asciiTheme="majorBidi" w:hAnsiTheme="majorBidi" w:cstheme="majorBidi"/>
          <w:i/>
          <w:iCs/>
          <w:noProof/>
        </w:rPr>
        <w:t xml:space="preserve"> </w:t>
      </w:r>
      <w:r w:rsidR="00697CC0" w:rsidRPr="00B9614C">
        <w:rPr>
          <w:rFonts w:asciiTheme="majorBidi" w:hAnsiTheme="majorBidi" w:cstheme="majorBidi"/>
          <w:noProof/>
        </w:rPr>
        <w:t>(Participant 11</w:t>
      </w:r>
      <w:r w:rsidR="006C2335" w:rsidRPr="00B9614C">
        <w:rPr>
          <w:rFonts w:asciiTheme="majorBidi" w:hAnsiTheme="majorBidi" w:cstheme="majorBidi"/>
          <w:noProof/>
        </w:rPr>
        <w:t>,</w:t>
      </w:r>
      <w:r w:rsidR="00697CC0" w:rsidRPr="00B9614C">
        <w:rPr>
          <w:rFonts w:asciiTheme="majorBidi" w:hAnsiTheme="majorBidi" w:cstheme="majorBidi"/>
          <w:noProof/>
        </w:rPr>
        <w:t xml:space="preserve"> age</w:t>
      </w:r>
      <w:r w:rsidR="006C2335" w:rsidRPr="00B9614C">
        <w:rPr>
          <w:rFonts w:asciiTheme="majorBidi" w:hAnsiTheme="majorBidi" w:cstheme="majorBidi"/>
          <w:noProof/>
        </w:rPr>
        <w:t xml:space="preserve"> </w:t>
      </w:r>
      <w:r w:rsidR="00697CC0" w:rsidRPr="00B9614C">
        <w:rPr>
          <w:rFonts w:asciiTheme="majorBidi" w:hAnsiTheme="majorBidi" w:cstheme="majorBidi"/>
          <w:noProof/>
        </w:rPr>
        <w:t xml:space="preserve">77 – Continually Adherent Bisphosphonates. Calcium not prescribed) </w:t>
      </w:r>
    </w:p>
    <w:p w:rsidR="00697CC0" w:rsidRPr="00B9614C" w:rsidRDefault="00697CC0" w:rsidP="00473D55">
      <w:pPr>
        <w:spacing w:line="360" w:lineRule="auto"/>
        <w:jc w:val="both"/>
        <w:rPr>
          <w:rFonts w:asciiTheme="majorBidi" w:hAnsiTheme="majorBidi" w:cstheme="majorBidi"/>
        </w:rPr>
      </w:pPr>
    </w:p>
    <w:p w:rsidR="00697CC0" w:rsidRPr="00B9614C" w:rsidRDefault="00697CC0" w:rsidP="00473D55">
      <w:pPr>
        <w:spacing w:line="360" w:lineRule="auto"/>
        <w:jc w:val="both"/>
        <w:rPr>
          <w:rFonts w:asciiTheme="majorBidi" w:hAnsiTheme="majorBidi" w:cstheme="majorBidi"/>
        </w:rPr>
      </w:pPr>
      <w:r w:rsidRPr="00B9614C">
        <w:rPr>
          <w:rFonts w:asciiTheme="majorBidi" w:hAnsiTheme="majorBidi" w:cstheme="majorBidi"/>
        </w:rPr>
        <w:t xml:space="preserve">One participant explicitly changed her mind and became adherent by Phase 2 having previously rejected the medication because of her doctor’s insistence:  </w:t>
      </w:r>
    </w:p>
    <w:p w:rsidR="006C2335" w:rsidRPr="00B9614C" w:rsidRDefault="006C2335" w:rsidP="00473D55">
      <w:pPr>
        <w:spacing w:line="360" w:lineRule="auto"/>
        <w:jc w:val="both"/>
        <w:rPr>
          <w:rFonts w:asciiTheme="majorBidi" w:hAnsiTheme="majorBidi" w:cstheme="majorBidi"/>
        </w:rPr>
      </w:pPr>
    </w:p>
    <w:p w:rsidR="00697CC0" w:rsidRPr="00B9614C" w:rsidRDefault="00697CC0" w:rsidP="00473D55">
      <w:pPr>
        <w:spacing w:line="360" w:lineRule="auto"/>
        <w:ind w:left="720"/>
        <w:jc w:val="both"/>
        <w:rPr>
          <w:rFonts w:asciiTheme="majorBidi" w:hAnsiTheme="majorBidi" w:cstheme="majorBidi"/>
          <w:noProof/>
        </w:rPr>
      </w:pPr>
      <w:r w:rsidRPr="00B9614C">
        <w:rPr>
          <w:rFonts w:asciiTheme="majorBidi" w:hAnsiTheme="majorBidi" w:cstheme="majorBidi"/>
        </w:rPr>
        <w:t xml:space="preserve">I didn’t used to take that but then once I had this polymyalgia and I had to take the steroids. As I walked out of the doctors’ room she said ‘now look you must take that acid tablet because if not </w:t>
      </w:r>
      <w:r w:rsidR="00B76C79" w:rsidRPr="00B9614C">
        <w:rPr>
          <w:rFonts w:asciiTheme="majorBidi" w:hAnsiTheme="majorBidi" w:cstheme="majorBidi"/>
        </w:rPr>
        <w:t xml:space="preserve">your bones will just crumble’. </w:t>
      </w:r>
      <w:r w:rsidRPr="00B9614C">
        <w:rPr>
          <w:rFonts w:asciiTheme="majorBidi" w:hAnsiTheme="majorBidi" w:cstheme="majorBidi"/>
        </w:rPr>
        <w:t xml:space="preserve">So whether </w:t>
      </w:r>
      <w:r w:rsidR="007A21C9">
        <w:rPr>
          <w:rFonts w:asciiTheme="majorBidi" w:hAnsiTheme="majorBidi" w:cstheme="majorBidi"/>
        </w:rPr>
        <w:t>I like it or not I’m taking it.</w:t>
      </w:r>
      <w:r w:rsidRPr="00B9614C">
        <w:rPr>
          <w:rFonts w:asciiTheme="majorBidi" w:hAnsiTheme="majorBidi" w:cstheme="majorBidi"/>
        </w:rPr>
        <w:t xml:space="preserve"> </w:t>
      </w:r>
      <w:r w:rsidRPr="00B9614C">
        <w:rPr>
          <w:rFonts w:asciiTheme="majorBidi" w:hAnsiTheme="majorBidi" w:cstheme="majorBidi"/>
          <w:noProof/>
        </w:rPr>
        <w:t>(Participant 13, age 75 –</w:t>
      </w:r>
      <w:r w:rsidR="006C2335" w:rsidRPr="00B9614C">
        <w:rPr>
          <w:rFonts w:asciiTheme="majorBidi" w:hAnsiTheme="majorBidi" w:cstheme="majorBidi"/>
          <w:noProof/>
        </w:rPr>
        <w:t xml:space="preserve"> </w:t>
      </w:r>
      <w:r w:rsidRPr="00B9614C">
        <w:rPr>
          <w:rFonts w:asciiTheme="majorBidi" w:hAnsiTheme="majorBidi" w:cstheme="majorBidi"/>
          <w:noProof/>
        </w:rPr>
        <w:t>became adherent by Phase 2. Adherent to Calcium)</w:t>
      </w:r>
    </w:p>
    <w:p w:rsidR="00697CC0" w:rsidRPr="00B9614C" w:rsidRDefault="00697CC0" w:rsidP="00473D55">
      <w:pPr>
        <w:spacing w:line="360" w:lineRule="auto"/>
        <w:ind w:left="360"/>
        <w:jc w:val="both"/>
        <w:rPr>
          <w:rFonts w:asciiTheme="majorBidi" w:hAnsiTheme="majorBidi" w:cstheme="majorBidi"/>
        </w:rPr>
      </w:pPr>
    </w:p>
    <w:p w:rsidR="00697CC0" w:rsidRPr="00B9614C" w:rsidRDefault="00697CC0" w:rsidP="008E601C">
      <w:pPr>
        <w:spacing w:line="360" w:lineRule="auto"/>
        <w:jc w:val="both"/>
        <w:rPr>
          <w:rFonts w:asciiTheme="majorBidi" w:hAnsiTheme="majorBidi" w:cstheme="majorBidi"/>
        </w:rPr>
      </w:pPr>
      <w:r w:rsidRPr="00B9614C">
        <w:rPr>
          <w:rFonts w:asciiTheme="majorBidi" w:hAnsiTheme="majorBidi" w:cstheme="majorBidi"/>
        </w:rPr>
        <w:t xml:space="preserve">In summary, </w:t>
      </w:r>
      <w:r w:rsidR="00FA5316" w:rsidRPr="00B9614C">
        <w:rPr>
          <w:rFonts w:asciiTheme="majorBidi" w:hAnsiTheme="majorBidi" w:cstheme="majorBidi"/>
        </w:rPr>
        <w:t xml:space="preserve">many </w:t>
      </w:r>
      <w:r w:rsidRPr="00B9614C">
        <w:rPr>
          <w:rFonts w:asciiTheme="majorBidi" w:hAnsiTheme="majorBidi" w:cstheme="majorBidi"/>
        </w:rPr>
        <w:t>participants saw the medication as an adjunct to their own efforts to remain healthy and ward off the impacts of ageing</w:t>
      </w:r>
      <w:r w:rsidR="00462534" w:rsidRPr="00B9614C">
        <w:rPr>
          <w:rFonts w:asciiTheme="majorBidi" w:hAnsiTheme="majorBidi" w:cstheme="majorBidi"/>
        </w:rPr>
        <w:t xml:space="preserve">. </w:t>
      </w:r>
      <w:r w:rsidRPr="00B9614C">
        <w:rPr>
          <w:rFonts w:asciiTheme="majorBidi" w:hAnsiTheme="majorBidi" w:cstheme="majorBidi"/>
        </w:rPr>
        <w:t xml:space="preserve">Additional convenience of medication dosing, a less off-putting name, and ways to reduce side effects </w:t>
      </w:r>
      <w:r w:rsidR="009D511A">
        <w:rPr>
          <w:rFonts w:asciiTheme="majorBidi" w:hAnsiTheme="majorBidi" w:cstheme="majorBidi"/>
        </w:rPr>
        <w:t xml:space="preserve">would be likely to positively </w:t>
      </w:r>
      <w:r w:rsidRPr="00B9614C">
        <w:rPr>
          <w:rFonts w:asciiTheme="majorBidi" w:hAnsiTheme="majorBidi" w:cstheme="majorBidi"/>
        </w:rPr>
        <w:t>influence people’s decisions</w:t>
      </w:r>
      <w:r w:rsidR="009D511A">
        <w:rPr>
          <w:rFonts w:asciiTheme="majorBidi" w:hAnsiTheme="majorBidi" w:cstheme="majorBidi"/>
        </w:rPr>
        <w:t xml:space="preserve"> to remain adherent to these medications</w:t>
      </w:r>
      <w:r w:rsidRPr="00B9614C">
        <w:rPr>
          <w:rFonts w:asciiTheme="majorBidi" w:hAnsiTheme="majorBidi" w:cstheme="majorBidi"/>
        </w:rPr>
        <w:t xml:space="preserve">. </w:t>
      </w:r>
    </w:p>
    <w:p w:rsidR="00697CC0" w:rsidRPr="00B9614C" w:rsidRDefault="00697CC0" w:rsidP="00473D55">
      <w:pPr>
        <w:spacing w:line="360" w:lineRule="auto"/>
        <w:jc w:val="both"/>
        <w:rPr>
          <w:rFonts w:asciiTheme="majorBidi" w:hAnsiTheme="majorBidi" w:cstheme="majorBidi"/>
        </w:rPr>
      </w:pPr>
    </w:p>
    <w:p w:rsidR="00D72D32" w:rsidRPr="00B9614C" w:rsidRDefault="00D72D32" w:rsidP="00D72D32">
      <w:pPr>
        <w:spacing w:line="360" w:lineRule="auto"/>
        <w:jc w:val="both"/>
        <w:rPr>
          <w:b/>
          <w:bCs/>
        </w:rPr>
      </w:pPr>
      <w:r w:rsidRPr="00B9614C">
        <w:rPr>
          <w:rFonts w:asciiTheme="majorBidi" w:hAnsiTheme="majorBidi" w:cstheme="majorBidi"/>
          <w:b/>
          <w:bCs/>
        </w:rPr>
        <w:t xml:space="preserve">Discussion </w:t>
      </w:r>
    </w:p>
    <w:p w:rsidR="00D72D32" w:rsidRPr="00B9614C" w:rsidRDefault="00D72D32" w:rsidP="007349A4">
      <w:pPr>
        <w:spacing w:line="360" w:lineRule="auto"/>
        <w:jc w:val="both"/>
      </w:pPr>
      <w:r w:rsidRPr="00B9614C">
        <w:rPr>
          <w:iCs/>
        </w:rPr>
        <w:t>The data overall show a group of resilient older women doing their best to make sense of a particular set of health opportunities in their lives, and keen to manage the impacts of ageing and minimise increasing frailty and dependence. There was evidence that those who had engaged with professionals to establish and maintain regimens could tolerate and overcome barriers to adherence which had defeated others. The variation of adherence over time suggests that health professionals should not assume adherence in any older women who has relevant medication on their repeat medication list, and that the uncertainty of risk and desire not to worry participants must not confuse messages that these drugs can have a real positive health gain.</w:t>
      </w:r>
      <w:r w:rsidRPr="00B9614C">
        <w:t xml:space="preserve">   </w:t>
      </w:r>
    </w:p>
    <w:p w:rsidR="00D72D32" w:rsidRPr="00B9614C" w:rsidRDefault="00D72D32" w:rsidP="00D72D32">
      <w:pPr>
        <w:spacing w:line="360" w:lineRule="auto"/>
        <w:jc w:val="both"/>
      </w:pPr>
    </w:p>
    <w:p w:rsidR="00D72D32" w:rsidRPr="00B9614C" w:rsidRDefault="00D72D32" w:rsidP="00D72D32">
      <w:pPr>
        <w:spacing w:line="360" w:lineRule="auto"/>
        <w:jc w:val="both"/>
      </w:pPr>
      <w:r w:rsidRPr="00B9614C">
        <w:t xml:space="preserve">To our knowledge, no previous studies have undertaken </w:t>
      </w:r>
      <w:r w:rsidR="000D49A3">
        <w:t xml:space="preserve">longitudinal </w:t>
      </w:r>
      <w:r w:rsidRPr="00B9614C">
        <w:t>in depth interviews to identify factors which influence adherence to osteoporosis regimens in women who have been identified at high risk of fracture. Thus</w:t>
      </w:r>
      <w:r w:rsidR="00DA0F7C" w:rsidRPr="00B9614C">
        <w:t>,</w:t>
      </w:r>
      <w:r w:rsidRPr="00B9614C">
        <w:t xml:space="preserve"> the strength of this study is the repeat in depth interviews with older women that enabled follow up and discussion of change overtime. The limitations include potential sample bias: women who are keen to help research are potentially more motivated to self-care and take an active part in their own health. </w:t>
      </w:r>
    </w:p>
    <w:p w:rsidR="00D72D32" w:rsidRPr="00B9614C" w:rsidRDefault="00D72D32" w:rsidP="00D72D32">
      <w:pPr>
        <w:spacing w:line="360" w:lineRule="auto"/>
        <w:jc w:val="both"/>
        <w:rPr>
          <w:bCs/>
        </w:rPr>
      </w:pPr>
    </w:p>
    <w:p w:rsidR="00D72D32" w:rsidRPr="00B9614C" w:rsidRDefault="00D72D32" w:rsidP="00A6020C">
      <w:pPr>
        <w:spacing w:line="360" w:lineRule="auto"/>
        <w:jc w:val="both"/>
      </w:pPr>
      <w:r w:rsidRPr="00B9614C">
        <w:rPr>
          <w:bCs/>
        </w:rPr>
        <w:t xml:space="preserve">However the context of this work is multifaceted and reflects the issues that arise following screening </w:t>
      </w:r>
      <w:r w:rsidR="00A6020C">
        <w:rPr>
          <w:bCs/>
        </w:rPr>
        <w:t xml:space="preserve">in </w:t>
      </w:r>
      <w:r w:rsidRPr="00B9614C">
        <w:rPr>
          <w:bCs/>
        </w:rPr>
        <w:t xml:space="preserve">a cohort of women who have not previously sought advice about their bone health. </w:t>
      </w:r>
      <w:r w:rsidRPr="00B9614C">
        <w:t xml:space="preserve">Overtime many medications that are routinely prescribed become objects </w:t>
      </w:r>
      <w:r w:rsidR="00E255EC" w:rsidRPr="00B9614C">
        <w:t xml:space="preserve">embedded </w:t>
      </w:r>
      <w:r w:rsidRPr="00B9614C">
        <w:t>with</w:t>
      </w:r>
      <w:r w:rsidR="00E255EC">
        <w:t>in</w:t>
      </w:r>
      <w:r w:rsidRPr="00B9614C">
        <w:t xml:space="preserve"> everyday </w:t>
      </w:r>
      <w:r w:rsidR="00E255EC">
        <w:t xml:space="preserve">life and invested with particular </w:t>
      </w:r>
      <w:r w:rsidRPr="00B9614C">
        <w:t>meaning</w:t>
      </w:r>
      <w:r w:rsidR="00E255EC">
        <w:t>s, values</w:t>
      </w:r>
      <w:r w:rsidRPr="00B9614C">
        <w:t xml:space="preserve"> and identities </w:t>
      </w:r>
      <w:r w:rsidR="00686834" w:rsidRPr="00B9614C">
        <w:fldChar w:fldCharType="begin"/>
      </w:r>
      <w:r w:rsidR="00A6020C">
        <w:instrText xml:space="preserve"> ADDIN EN.CITE &lt;EndNote&gt;&lt;Cite&gt;&lt;Author&gt;Hodgetts&lt;/Author&gt;&lt;Year&gt;2011&lt;/Year&gt;&lt;RecNum&gt;157&lt;/RecNum&gt;&lt;DisplayText&gt;[19]&lt;/DisplayText&gt;&lt;record&gt;&lt;rec-number&gt;157&lt;/rec-number&gt;&lt;foreign-keys&gt;&lt;key app="EN" db-id="frw0wf09qsav0qer2zlx2v2ff9srazx5x2ae"&gt;157&lt;/key&gt;&lt;/foreign-keys&gt;&lt;ref-type name="Journal Article"&gt;17&lt;/ref-type&gt;&lt;contributors&gt;&lt;authors&gt;&lt;author&gt;Hodgetts, Darrin&lt;/author&gt;&lt;author&gt;Chamberlain, Kerry&lt;/author&gt;&lt;author&gt;Gabe, Jon&lt;/author&gt;&lt;author&gt;Dew, Kevin&lt;/author&gt;&lt;author&gt;Radley, Alan&lt;/author&gt;&lt;author&gt;Madden, Helen&lt;/author&gt;&lt;author&gt;Norris, Pauline&lt;/author&gt;&lt;author&gt;Waimarie Nikora, Linda&lt;/author&gt;&lt;/authors&gt;&lt;/contributors&gt;&lt;titles&gt;&lt;title&gt;Emplacement and everyday use of medications in domestic dwellings&lt;/title&gt;&lt;secondary-title&gt;Health &amp;amp; Place&lt;/secondary-title&gt;&lt;/titles&gt;&lt;periodical&gt;&lt;full-title&gt;Health &amp;amp; Place&lt;/full-title&gt;&lt;/periodical&gt;&lt;pages&gt;353-360&lt;/pages&gt;&lt;volume&gt;17&lt;/volume&gt;&lt;number&gt;1&lt;/number&gt;&lt;dates&gt;&lt;year&gt;2011&lt;/year&gt;&lt;/dates&gt;&lt;isbn&gt;1353-8292&lt;/isbn&gt;&lt;urls&gt;&lt;/urls&gt;&lt;/record&gt;&lt;/Cite&gt;&lt;/EndNote&gt;</w:instrText>
      </w:r>
      <w:r w:rsidR="00686834" w:rsidRPr="00B9614C">
        <w:fldChar w:fldCharType="separate"/>
      </w:r>
      <w:r w:rsidR="00A6020C">
        <w:rPr>
          <w:noProof/>
        </w:rPr>
        <w:t>[</w:t>
      </w:r>
      <w:hyperlink w:anchor="_ENREF_19" w:tooltip="Hodgetts, 2011 #157" w:history="1">
        <w:r w:rsidR="00A6020C">
          <w:rPr>
            <w:noProof/>
          </w:rPr>
          <w:t>19</w:t>
        </w:r>
      </w:hyperlink>
      <w:r w:rsidR="00A6020C">
        <w:rPr>
          <w:noProof/>
        </w:rPr>
        <w:t>]</w:t>
      </w:r>
      <w:r w:rsidR="00686834" w:rsidRPr="00B9614C">
        <w:fldChar w:fldCharType="end"/>
      </w:r>
      <w:r w:rsidR="009805D5" w:rsidRPr="00B9614C">
        <w:t xml:space="preserve">. </w:t>
      </w:r>
      <w:r w:rsidRPr="00B9614C">
        <w:t>However, our findings underline the fact that medications are complex social phenomena that may take time to embed and become routinized and acceptable to patients and healthcare professionals alike</w:t>
      </w:r>
      <w:r w:rsidR="00CC7815" w:rsidRPr="00B9614C">
        <w:t xml:space="preserve"> </w:t>
      </w:r>
      <w:r w:rsidR="00686834" w:rsidRPr="00B9614C">
        <w:fldChar w:fldCharType="begin"/>
      </w:r>
      <w:r w:rsidR="00A6020C">
        <w:instrText xml:space="preserve"> ADDIN EN.CITE &lt;EndNote&gt;&lt;Cite&gt;&lt;Author&gt;Cohen&lt;/Author&gt;&lt;Year&gt;2001&lt;/Year&gt;&lt;RecNum&gt;159&lt;/RecNum&gt;&lt;DisplayText&gt;[20]&lt;/DisplayText&gt;&lt;record&gt;&lt;rec-number&gt;159&lt;/rec-number&gt;&lt;foreign-keys&gt;&lt;key app="EN" db-id="frw0wf09qsav0qer2zlx2v2ff9srazx5x2ae"&gt;159&lt;/key&gt;&lt;/foreign-keys&gt;&lt;ref-type name="Journal Article"&gt;17&lt;/ref-type&gt;&lt;contributors&gt;&lt;authors&gt;&lt;author&gt;Cohen, David&lt;/author&gt;&lt;author&gt;McCubbin, Michael&lt;/author&gt;&lt;author&gt;Collin, Johanne&lt;/author&gt;&lt;author&gt;Pérodeau, Guilhème&lt;/author&gt;&lt;/authors&gt;&lt;/contributors&gt;&lt;titles&gt;&lt;title&gt;Medications as social phenomena&lt;/title&gt;&lt;secondary-title&gt;Health:&lt;/secondary-title&gt;&lt;/titles&gt;&lt;periodical&gt;&lt;full-title&gt;Health:&lt;/full-title&gt;&lt;/periodical&gt;&lt;pages&gt;441-469&lt;/pages&gt;&lt;volume&gt;5&lt;/volume&gt;&lt;number&gt;4&lt;/number&gt;&lt;dates&gt;&lt;year&gt;2001&lt;/year&gt;&lt;/dates&gt;&lt;isbn&gt;1363-4593&lt;/isbn&gt;&lt;urls&gt;&lt;/urls&gt;&lt;/record&gt;&lt;/Cite&gt;&lt;/EndNote&gt;</w:instrText>
      </w:r>
      <w:r w:rsidR="00686834" w:rsidRPr="00B9614C">
        <w:fldChar w:fldCharType="separate"/>
      </w:r>
      <w:r w:rsidR="00A6020C">
        <w:rPr>
          <w:noProof/>
        </w:rPr>
        <w:t>[</w:t>
      </w:r>
      <w:hyperlink w:anchor="_ENREF_20" w:tooltip="Cohen, 2001 #159" w:history="1">
        <w:r w:rsidR="00A6020C">
          <w:rPr>
            <w:noProof/>
          </w:rPr>
          <w:t>20</w:t>
        </w:r>
      </w:hyperlink>
      <w:r w:rsidR="00A6020C">
        <w:rPr>
          <w:noProof/>
        </w:rPr>
        <w:t>]</w:t>
      </w:r>
      <w:r w:rsidR="00686834" w:rsidRPr="00B9614C">
        <w:fldChar w:fldCharType="end"/>
      </w:r>
      <w:r w:rsidR="00CC7815" w:rsidRPr="00B9614C">
        <w:t xml:space="preserve">. </w:t>
      </w:r>
      <w:r w:rsidRPr="00B9614C">
        <w:rPr>
          <w:bCs/>
        </w:rPr>
        <w:t>Medications, particularly medication prescribed prophylactically, have</w:t>
      </w:r>
      <w:r w:rsidR="008F2D66" w:rsidRPr="00B9614C">
        <w:rPr>
          <w:bCs/>
        </w:rPr>
        <w:t xml:space="preserve"> many levels of meaning </w:t>
      </w:r>
      <w:r w:rsidR="00686834" w:rsidRPr="00B9614C">
        <w:rPr>
          <w:bCs/>
        </w:rPr>
        <w:fldChar w:fldCharType="begin"/>
      </w:r>
      <w:r w:rsidR="00A6020C">
        <w:rPr>
          <w:bCs/>
        </w:rPr>
        <w:instrText xml:space="preserve"> ADDIN EN.CITE &lt;EndNote&gt;&lt;Cite&gt;&lt;Author&gt;Shoemaker&lt;/Author&gt;&lt;Year&gt;2011&lt;/Year&gt;&lt;RecNum&gt;161&lt;/RecNum&gt;&lt;DisplayText&gt;[21]&lt;/DisplayText&gt;&lt;record&gt;&lt;rec-number&gt;161&lt;/rec-number&gt;&lt;foreign-keys&gt;&lt;key app="EN" db-id="frw0wf09qsav0qer2zlx2v2ff9srazx5x2ae"&gt;161&lt;/key&gt;&lt;/foreign-keys&gt;&lt;ref-type name="Journal Article"&gt;17&lt;/ref-type&gt;&lt;contributors&gt;&lt;authors&gt;&lt;author&gt;Shoemaker, Sarah J&lt;/author&gt;&lt;author&gt;Ramalho de Oliveira, Djenane&lt;/author&gt;&lt;author&gt;Alves, Mateus&lt;/author&gt;&lt;author&gt;Ekstrand, Molly&lt;/author&gt;&lt;/authors&gt;&lt;/contributors&gt;&lt;titles&gt;&lt;title&gt;The medication experience: Preliminary evidence of its value for patient education and counseling on chronic medications&lt;/title&gt;&lt;secondary-title&gt;Patient education and counseling&lt;/secondary-title&gt;&lt;/titles&gt;&lt;periodical&gt;&lt;full-title&gt;Patient Education and Counseling&lt;/full-title&gt;&lt;/periodical&gt;&lt;pages&gt;443-450&lt;/pages&gt;&lt;volume&gt;83&lt;/volume&gt;&lt;number&gt;3&lt;/number&gt;&lt;dates&gt;&lt;year&gt;2011&lt;/year&gt;&lt;/dates&gt;&lt;isbn&gt;0738-3991&lt;/isbn&gt;&lt;urls&gt;&lt;/urls&gt;&lt;/record&gt;&lt;/Cite&gt;&lt;/EndNote&gt;</w:instrText>
      </w:r>
      <w:r w:rsidR="00686834" w:rsidRPr="00B9614C">
        <w:rPr>
          <w:bCs/>
        </w:rPr>
        <w:fldChar w:fldCharType="separate"/>
      </w:r>
      <w:r w:rsidR="00A6020C">
        <w:rPr>
          <w:bCs/>
          <w:noProof/>
        </w:rPr>
        <w:t>[</w:t>
      </w:r>
      <w:hyperlink w:anchor="_ENREF_21" w:tooltip="Shoemaker, 2011 #161" w:history="1">
        <w:r w:rsidR="00A6020C">
          <w:rPr>
            <w:bCs/>
            <w:noProof/>
          </w:rPr>
          <w:t>21</w:t>
        </w:r>
      </w:hyperlink>
      <w:r w:rsidR="00A6020C">
        <w:rPr>
          <w:bCs/>
          <w:noProof/>
        </w:rPr>
        <w:t>]</w:t>
      </w:r>
      <w:r w:rsidR="00686834" w:rsidRPr="00B9614C">
        <w:rPr>
          <w:bCs/>
        </w:rPr>
        <w:fldChar w:fldCharType="end"/>
      </w:r>
      <w:r w:rsidRPr="00B9614C">
        <w:rPr>
          <w:bCs/>
        </w:rPr>
        <w:t xml:space="preserve">. </w:t>
      </w:r>
      <w:r w:rsidRPr="00B9614C">
        <w:t xml:space="preserve">Bisphosphonate medication for the prevention of osteoporosis and fracture is currently framed by a more complex social context where understanding, choice, risk and perceived need all interact to produce unpredictable patterns of usage </w:t>
      </w:r>
      <w:r w:rsidR="008F2D66" w:rsidRPr="00B9614C">
        <w:t xml:space="preserve">and acceptability </w:t>
      </w:r>
      <w:r w:rsidR="00686834" w:rsidRPr="00B9614C">
        <w:fldChar w:fldCharType="begin"/>
      </w:r>
      <w:r w:rsidR="00A6020C">
        <w:instrText xml:space="preserve"> ADDIN EN.CITE &lt;EndNote&gt;&lt;Cite&gt;&lt;Author&gt;Brown&lt;/Author&gt;&lt;Year&gt;2012&lt;/Year&gt;&lt;RecNum&gt;162&lt;/RecNum&gt;&lt;DisplayText&gt;[22]&lt;/DisplayText&gt;&lt;record&gt;&lt;rec-number&gt;162&lt;/rec-number&gt;&lt;foreign-keys&gt;&lt;key app="EN" db-id="frw0wf09qsav0qer2zlx2v2ff9srazx5x2ae"&gt;162&lt;/key&gt;&lt;/foreign-keys&gt;&lt;ref-type name="Journal Article"&gt;17&lt;/ref-type&gt;&lt;contributors&gt;&lt;authors&gt;&lt;author&gt;Brown, Patrick&lt;/author&gt;&lt;author&gt;Calnan, Michael&lt;/author&gt;&lt;/authors&gt;&lt;/contributors&gt;&lt;titles&gt;&lt;title&gt;Braving a faceless new world? Conceptualizing trust in the pharmaceutical industry and its products&lt;/title&gt;&lt;secondary-title&gt;Health:&lt;/secondary-title&gt;&lt;/titles&gt;&lt;periodical&gt;&lt;full-title&gt;Health:&lt;/full-title&gt;&lt;/periodical&gt;&lt;pages&gt;57-75&lt;/pages&gt;&lt;volume&gt;16&lt;/volume&gt;&lt;number&gt;1&lt;/number&gt;&lt;dates&gt;&lt;year&gt;2012&lt;/year&gt;&lt;/dates&gt;&lt;isbn&gt;1363-4593&lt;/isbn&gt;&lt;urls&gt;&lt;/urls&gt;&lt;/record&gt;&lt;/Cite&gt;&lt;/EndNote&gt;</w:instrText>
      </w:r>
      <w:r w:rsidR="00686834" w:rsidRPr="00B9614C">
        <w:fldChar w:fldCharType="separate"/>
      </w:r>
      <w:r w:rsidR="00A6020C">
        <w:rPr>
          <w:noProof/>
        </w:rPr>
        <w:t>[</w:t>
      </w:r>
      <w:hyperlink w:anchor="_ENREF_22" w:tooltip="Brown, 2012 #162" w:history="1">
        <w:r w:rsidR="00A6020C">
          <w:rPr>
            <w:noProof/>
          </w:rPr>
          <w:t>22</w:t>
        </w:r>
      </w:hyperlink>
      <w:r w:rsidR="00A6020C">
        <w:rPr>
          <w:noProof/>
        </w:rPr>
        <w:t>]</w:t>
      </w:r>
      <w:r w:rsidR="00686834" w:rsidRPr="00B9614C">
        <w:fldChar w:fldCharType="end"/>
      </w:r>
      <w:r w:rsidR="008F2D66" w:rsidRPr="00B9614C">
        <w:t>.</w:t>
      </w:r>
      <w:r w:rsidRPr="00B9614C">
        <w:t xml:space="preserve"> </w:t>
      </w:r>
    </w:p>
    <w:p w:rsidR="00E255EC" w:rsidRDefault="00E255EC" w:rsidP="006A7731">
      <w:pPr>
        <w:spacing w:line="360" w:lineRule="auto"/>
        <w:jc w:val="both"/>
        <w:rPr>
          <w:iCs/>
        </w:rPr>
      </w:pPr>
    </w:p>
    <w:p w:rsidR="00D72D32" w:rsidRPr="00B9614C" w:rsidRDefault="00D72D32" w:rsidP="00A6020C">
      <w:pPr>
        <w:spacing w:line="360" w:lineRule="auto"/>
        <w:jc w:val="both"/>
      </w:pPr>
      <w:r w:rsidRPr="00B9614C">
        <w:rPr>
          <w:iCs/>
        </w:rPr>
        <w:t>This study did not record consultation data or the perspective of general practitioners on their interactions around decision making on bisphosphonates</w:t>
      </w:r>
      <w:r w:rsidRPr="00B9614C">
        <w:t xml:space="preserve">. In depth sociolinguistic research has highlighted that patients talk and deploy different discourses and narratives depending on both the context and on the interactional resources available to them </w:t>
      </w:r>
      <w:r w:rsidR="00686834" w:rsidRPr="00B9614C">
        <w:fldChar w:fldCharType="begin"/>
      </w:r>
      <w:r w:rsidR="00A6020C">
        <w:instrText xml:space="preserve"> ADDIN EN.CITE &lt;EndNote&gt;&lt;Cite&gt;&lt;Author&gt;Murdoch&lt;/Author&gt;&lt;Year&gt;2013&lt;/Year&gt;&lt;RecNum&gt;160&lt;/RecNum&gt;&lt;DisplayText&gt;[23]&lt;/DisplayText&gt;&lt;record&gt;&lt;rec-number&gt;160&lt;/rec-number&gt;&lt;foreign-keys&gt;&lt;key app="EN" db-id="frw0wf09qsav0qer2zlx2v2ff9srazx5x2ae"&gt;160&lt;/key&gt;&lt;/foreign-keys&gt;&lt;ref-type name="Journal Article"&gt;17&lt;/ref-type&gt;&lt;contributors&gt;&lt;authors&gt;&lt;author&gt;Murdoch, Jamie&lt;/author&gt;&lt;author&gt;Salter, Charlotte&lt;/author&gt;&lt;author&gt;Cross, Jane&lt;/author&gt;&lt;author&gt;Smith, Jane&lt;/author&gt;&lt;author&gt;Poland, Fiona&lt;/author&gt;&lt;/authors&gt;&lt;/contributors&gt;&lt;titles&gt;&lt;title&gt;Resisting medications: moral discourses and performances in illness narratives&lt;/title&gt;&lt;secondary-title&gt;Sociology of Health &amp;amp; Illness&lt;/secondary-title&gt;&lt;/titles&gt;&lt;periodical&gt;&lt;full-title&gt;Sociology of Health &amp;amp; Illness&lt;/full-title&gt;&lt;/periodical&gt;&lt;pages&gt;449-464&lt;/pages&gt;&lt;volume&gt;35&lt;/volume&gt;&lt;number&gt;3&lt;/number&gt;&lt;keywords&gt;&lt;keyword&gt;communication&lt;/keyword&gt;&lt;keyword&gt;medications&lt;/keyword&gt;&lt;keyword&gt;narrative&lt;/keyword&gt;&lt;keyword&gt;performance&lt;/keyword&gt;&lt;keyword&gt;discourse&lt;/keyword&gt;&lt;/keywords&gt;&lt;dates&gt;&lt;year&gt;2013&lt;/year&gt;&lt;/dates&gt;&lt;publisher&gt;Blackwell Publishing Ltd&lt;/publisher&gt;&lt;isbn&gt;1467-9566&lt;/isbn&gt;&lt;urls&gt;&lt;related-urls&gt;&lt;url&gt;http://dx.doi.org/10.1111/j.1467-9566.2012.01499.x&lt;/url&gt;&lt;/related-urls&gt;&lt;/urls&gt;&lt;electronic-resource-num&gt;10.1111/j.1467-9566.2012.01499.x&lt;/electronic-resource-num&gt;&lt;/record&gt;&lt;/Cite&gt;&lt;/EndNote&gt;</w:instrText>
      </w:r>
      <w:r w:rsidR="00686834" w:rsidRPr="00B9614C">
        <w:fldChar w:fldCharType="separate"/>
      </w:r>
      <w:r w:rsidR="00A6020C">
        <w:rPr>
          <w:noProof/>
        </w:rPr>
        <w:t>[</w:t>
      </w:r>
      <w:hyperlink w:anchor="_ENREF_23" w:tooltip="Murdoch, 2013 #160" w:history="1">
        <w:r w:rsidR="00A6020C">
          <w:rPr>
            <w:noProof/>
          </w:rPr>
          <w:t>23</w:t>
        </w:r>
      </w:hyperlink>
      <w:r w:rsidR="00A6020C">
        <w:rPr>
          <w:noProof/>
        </w:rPr>
        <w:t>]</w:t>
      </w:r>
      <w:r w:rsidR="00686834" w:rsidRPr="00B9614C">
        <w:fldChar w:fldCharType="end"/>
      </w:r>
      <w:r w:rsidR="00CC7815" w:rsidRPr="00B9614C">
        <w:t>,</w:t>
      </w:r>
      <w:r w:rsidR="00131D45" w:rsidRPr="00B9614C">
        <w:t xml:space="preserve"> </w:t>
      </w:r>
      <w:r w:rsidR="00686834" w:rsidRPr="00B9614C">
        <w:fldChar w:fldCharType="begin"/>
      </w:r>
      <w:r w:rsidR="00A6020C">
        <w:instrText xml:space="preserve"> ADDIN EN.CITE &lt;EndNote&gt;&lt;Cite&gt;&lt;Author&gt;Salter&lt;/Author&gt;&lt;Year&gt;2007&lt;/Year&gt;&lt;RecNum&gt;165&lt;/RecNum&gt;&lt;DisplayText&gt;[24]&lt;/DisplayText&gt;&lt;record&gt;&lt;rec-number&gt;165&lt;/rec-number&gt;&lt;foreign-keys&gt;&lt;key app="EN" db-id="frw0wf09qsav0qer2zlx2v2ff9srazx5x2ae"&gt;165&lt;/key&gt;&lt;/foreign-keys&gt;&lt;ref-type name="Journal Article"&gt;17&lt;/ref-type&gt;&lt;contributors&gt;&lt;authors&gt;&lt;author&gt;Salter, Charlotte&lt;/author&gt;&lt;author&gt;Holland, Richard&lt;/author&gt;&lt;author&gt;Harvey, Ian&lt;/author&gt;&lt;author&gt;Henwood, Karen&lt;/author&gt;&lt;/authors&gt;&lt;/contributors&gt;&lt;titles&gt;&lt;title&gt;“I haven&amp;apos;t even phoned my doctor yet.” The advice giving role of the pharmacist during consultations for medication review with patients aged 80 or more: qualitative discourse analysis&lt;/title&gt;&lt;secondary-title&gt;BMJ&lt;/secondary-title&gt;&lt;/titles&gt;&lt;periodical&gt;&lt;full-title&gt;Bmj&lt;/full-title&gt;&lt;/periodical&gt;&lt;pages&gt;1101&lt;/pages&gt;&lt;volume&gt;334&lt;/volume&gt;&lt;number&gt;7603&lt;/number&gt;&lt;dates&gt;&lt;year&gt;2007&lt;/year&gt;&lt;/dates&gt;&lt;isbn&gt;0959-8138&lt;/isbn&gt;&lt;urls&gt;&lt;/urls&gt;&lt;/record&gt;&lt;/Cite&gt;&lt;/EndNote&gt;</w:instrText>
      </w:r>
      <w:r w:rsidR="00686834" w:rsidRPr="00B9614C">
        <w:fldChar w:fldCharType="separate"/>
      </w:r>
      <w:r w:rsidR="00A6020C">
        <w:rPr>
          <w:noProof/>
        </w:rPr>
        <w:t>[</w:t>
      </w:r>
      <w:hyperlink w:anchor="_ENREF_24" w:tooltip="Salter, 2007 #165" w:history="1">
        <w:r w:rsidR="00A6020C">
          <w:rPr>
            <w:noProof/>
          </w:rPr>
          <w:t>24</w:t>
        </w:r>
      </w:hyperlink>
      <w:r w:rsidR="00A6020C">
        <w:rPr>
          <w:noProof/>
        </w:rPr>
        <w:t>]</w:t>
      </w:r>
      <w:r w:rsidR="00686834" w:rsidRPr="00B9614C">
        <w:fldChar w:fldCharType="end"/>
      </w:r>
      <w:r w:rsidR="00131D45" w:rsidRPr="00B9614C">
        <w:t>,</w:t>
      </w:r>
      <w:r w:rsidR="008F2D66" w:rsidRPr="00B9614C">
        <w:t xml:space="preserve"> </w:t>
      </w:r>
      <w:r w:rsidR="00686834" w:rsidRPr="00B9614C">
        <w:fldChar w:fldCharType="begin"/>
      </w:r>
      <w:r w:rsidR="00A6020C">
        <w:instrText xml:space="preserve"> ADDIN EN.CITE &lt;EndNote&gt;&lt;Cite&gt;&lt;Author&gt;Britten&lt;/Author&gt;&lt;Year&gt;2004&lt;/Year&gt;&lt;RecNum&gt;163&lt;/RecNum&gt;&lt;DisplayText&gt;[25]&lt;/DisplayText&gt;&lt;record&gt;&lt;rec-number&gt;163&lt;/rec-number&gt;&lt;foreign-keys&gt;&lt;key app="EN" db-id="frw0wf09qsav0qer2zlx2v2ff9srazx5x2ae"&gt;163&lt;/key&gt;&lt;/foreign-keys&gt;&lt;ref-type name="Journal Article"&gt;17&lt;/ref-type&gt;&lt;contributors&gt;&lt;authors&gt;&lt;author&gt;Britten, Nicky&lt;/author&gt;&lt;author&gt;Stevenson, Fiona&lt;/author&gt;&lt;author&gt;Gafaranga, Joseph&lt;/author&gt;&lt;author&gt;Barry, Christine&lt;/author&gt;&lt;author&gt;Bradley, Colin&lt;/author&gt;&lt;/authors&gt;&lt;/contributors&gt;&lt;titles&gt;&lt;title&gt;The expression of aversion to medicines in general practice consultations&lt;/title&gt;&lt;secondary-title&gt;Social science &amp;amp; medicine&lt;/secondary-title&gt;&lt;/titles&gt;&lt;periodical&gt;&lt;full-title&gt;Social Science &amp;amp; Medicine&lt;/full-title&gt;&lt;/periodical&gt;&lt;pages&gt;1495-1503&lt;/pages&gt;&lt;volume&gt;59&lt;/volume&gt;&lt;number&gt;7&lt;/number&gt;&lt;dates&gt;&lt;year&gt;2004&lt;/year&gt;&lt;/dates&gt;&lt;isbn&gt;0277-9536&lt;/isbn&gt;&lt;urls&gt;&lt;/urls&gt;&lt;/record&gt;&lt;/Cite&gt;&lt;/EndNote&gt;</w:instrText>
      </w:r>
      <w:r w:rsidR="00686834" w:rsidRPr="00B9614C">
        <w:fldChar w:fldCharType="separate"/>
      </w:r>
      <w:r w:rsidR="00A6020C">
        <w:rPr>
          <w:noProof/>
        </w:rPr>
        <w:t>[</w:t>
      </w:r>
      <w:hyperlink w:anchor="_ENREF_25" w:tooltip="Britten, 2004 #163" w:history="1">
        <w:r w:rsidR="00A6020C">
          <w:rPr>
            <w:noProof/>
          </w:rPr>
          <w:t>25</w:t>
        </w:r>
      </w:hyperlink>
      <w:r w:rsidR="00A6020C">
        <w:rPr>
          <w:noProof/>
        </w:rPr>
        <w:t>]</w:t>
      </w:r>
      <w:r w:rsidR="00686834" w:rsidRPr="00B9614C">
        <w:fldChar w:fldCharType="end"/>
      </w:r>
      <w:r w:rsidR="008F2D66" w:rsidRPr="00B9614C">
        <w:t xml:space="preserve">, </w:t>
      </w:r>
      <w:r w:rsidR="00686834" w:rsidRPr="00B9614C">
        <w:fldChar w:fldCharType="begin"/>
      </w:r>
      <w:r w:rsidR="00A6020C">
        <w:instrText xml:space="preserve"> ADDIN EN.CITE &lt;EndNote&gt;&lt;Cite&gt;&lt;Author&gt;Murdoch&lt;/Author&gt;&lt;RecNum&gt;164&lt;/RecNum&gt;&lt;DisplayText&gt;[26]&lt;/DisplayText&gt;&lt;record&gt;&lt;rec-number&gt;164&lt;/rec-number&gt;&lt;foreign-keys&gt;&lt;key app="EN" db-id="frw0wf09qsav0qer2zlx2v2ff9srazx5x2ae"&gt;164&lt;/key&gt;&lt;/foreign-keys&gt;&lt;ref-type name="Journal Article"&gt;17&lt;/ref-type&gt;&lt;contributors&gt;&lt;authors&gt;&lt;author&gt;Murdoch, J., Salter, C., Cross, J., &amp;amp; Poland, F.&lt;/author&gt;&lt;/authors&gt;&lt;/contributors&gt;&lt;titles&gt;&lt;title&gt; Misunderstandings, communicative expectations and resources in illness narratives: Insights from beyond interview transcripts&lt;/title&gt;&lt;/titles&gt;&lt;dates&gt;&lt;pub-dates&gt;&lt;date&gt; (forthcoming)&lt;/date&gt;&lt;/pub-dates&gt;&lt;/dates&gt;&lt;urls&gt;&lt;/urls&gt;&lt;/record&gt;&lt;/Cite&gt;&lt;/EndNote&gt;</w:instrText>
      </w:r>
      <w:r w:rsidR="00686834" w:rsidRPr="00B9614C">
        <w:fldChar w:fldCharType="separate"/>
      </w:r>
      <w:r w:rsidR="00A6020C">
        <w:rPr>
          <w:noProof/>
        </w:rPr>
        <w:t>[</w:t>
      </w:r>
      <w:hyperlink w:anchor="_ENREF_26" w:tooltip="Murdoch,  #164" w:history="1">
        <w:r w:rsidR="00A6020C">
          <w:rPr>
            <w:noProof/>
          </w:rPr>
          <w:t>26</w:t>
        </w:r>
      </w:hyperlink>
      <w:r w:rsidR="00A6020C">
        <w:rPr>
          <w:noProof/>
        </w:rPr>
        <w:t>]</w:t>
      </w:r>
      <w:r w:rsidR="00686834" w:rsidRPr="00B9614C">
        <w:fldChar w:fldCharType="end"/>
      </w:r>
      <w:r w:rsidR="008F2D66" w:rsidRPr="00B9614C">
        <w:t xml:space="preserve">. </w:t>
      </w:r>
      <w:r w:rsidRPr="00B9614C">
        <w:t xml:space="preserve">Although most patients and their health care providers are likely to be keen to ensure that they utilise the outputs of modern medical advances, </w:t>
      </w:r>
      <w:r w:rsidR="00E255EC">
        <w:t>this</w:t>
      </w:r>
      <w:r w:rsidR="00E255EC" w:rsidRPr="00B9614C">
        <w:t xml:space="preserve"> </w:t>
      </w:r>
      <w:r w:rsidRPr="00B9614C">
        <w:t xml:space="preserve">is </w:t>
      </w:r>
      <w:r w:rsidR="00E255EC">
        <w:t xml:space="preserve">in the context of the </w:t>
      </w:r>
      <w:r w:rsidRPr="00B9614C">
        <w:t xml:space="preserve">increasing biomedicalisation of life, especially as people in developed countries are living longer </w:t>
      </w:r>
      <w:r w:rsidR="00686834" w:rsidRPr="00B9614C">
        <w:fldChar w:fldCharType="begin"/>
      </w:r>
      <w:r w:rsidR="00A6020C">
        <w:instrText xml:space="preserve"> ADDIN EN.CITE &lt;EndNote&gt;&lt;Cite&gt;&lt;Author&gt;Salter CI&lt;/Author&gt;&lt;Year&gt;2011&lt;/Year&gt;&lt;RecNum&gt;500&lt;/RecNum&gt;&lt;DisplayText&gt;[27]&lt;/DisplayText&gt;&lt;record&gt;&lt;rec-number&gt;500&lt;/rec-number&gt;&lt;foreign-keys&gt;&lt;key app="EN" db-id="xrv2zpa2u52t2pes5ey5vexo2sar0zs992za"&gt;500&lt;/key&gt;&lt;/foreign-keys&gt;&lt;ref-type name="Journal Article"&gt;17&lt;/ref-type&gt;&lt;contributors&gt;&lt;authors&gt;&lt;author&gt;Salter CI, Howe A, McDaid L, Lenaghan E, Blacklock J, Shepstone L&lt;/author&gt;&lt;/authors&gt;&lt;/contributors&gt;&lt;titles&gt;&lt;title&gt;Risk, significance and biomedicalisation of a new population: Older women’s experience of osteoporosis screening&amp;#xD;&lt;/title&gt;&lt;secondary-title&gt;Social Science &amp;amp; Medicine&lt;/secondary-title&gt;&lt;/titles&gt;&lt;periodical&gt;&lt;full-title&gt;Social Science &amp;amp; Medicine&lt;/full-title&gt;&lt;/periodical&gt;&lt;pages&gt;808-15&lt;/pages&gt;&lt;volume&gt;73&lt;/volume&gt;&lt;number&gt;6&lt;/number&gt;&lt;dates&gt;&lt;year&gt;2011&lt;/year&gt;&lt;/dates&gt;&lt;urls&gt;&lt;/urls&gt;&lt;electronic-resource-num&gt;doi:10.1016/j.socscimed.2011.06.030&lt;/electronic-resource-num&gt;&lt;/record&gt;&lt;/Cite&gt;&lt;/EndNote&gt;</w:instrText>
      </w:r>
      <w:r w:rsidR="00686834" w:rsidRPr="00B9614C">
        <w:fldChar w:fldCharType="separate"/>
      </w:r>
      <w:r w:rsidR="00A6020C">
        <w:rPr>
          <w:noProof/>
        </w:rPr>
        <w:t>[</w:t>
      </w:r>
      <w:hyperlink w:anchor="_ENREF_27" w:tooltip="Salter CI, 2011 #500" w:history="1">
        <w:r w:rsidR="00A6020C">
          <w:rPr>
            <w:noProof/>
          </w:rPr>
          <w:t>27</w:t>
        </w:r>
      </w:hyperlink>
      <w:r w:rsidR="00A6020C">
        <w:rPr>
          <w:noProof/>
        </w:rPr>
        <w:t>]</w:t>
      </w:r>
      <w:r w:rsidR="00686834" w:rsidRPr="00B9614C">
        <w:fldChar w:fldCharType="end"/>
      </w:r>
      <w:r w:rsidRPr="00B9614C">
        <w:t>. Whether this is framed as a sophisticated commercial exploitation of societal fear</w:t>
      </w:r>
      <w:r w:rsidR="00E255EC">
        <w:t>s</w:t>
      </w:r>
      <w:r w:rsidRPr="00B9614C">
        <w:t xml:space="preserve"> of frailty and death, or as an unpredicted consequence of applying multiple disease related guidelines without considering the overall impact, there are consequences</w:t>
      </w:r>
      <w:r w:rsidR="00E255EC">
        <w:t xml:space="preserve"> for individuals in making choices about their health-related practices each day</w:t>
      </w:r>
      <w:r w:rsidRPr="00B9614C">
        <w:t xml:space="preserve">. For example, recent authors have pointed out the likelihood of older people routinely being in receipt of multiple medications, even if they have not yet </w:t>
      </w:r>
      <w:r w:rsidR="0088184C">
        <w:t>developed any specific</w:t>
      </w:r>
      <w:r w:rsidRPr="00B9614C">
        <w:t xml:space="preserve"> disease </w:t>
      </w:r>
      <w:r w:rsidR="00686834" w:rsidRPr="00B9614C">
        <w:fldChar w:fldCharType="begin"/>
      </w:r>
      <w:r w:rsidR="00A6020C">
        <w:instrText xml:space="preserve"> ADDIN EN.CITE &lt;EndNote&gt;&lt;Cite&gt;&lt;Author&gt;Moynihan R&lt;/Author&gt;&lt;Year&gt;2012&lt;/Year&gt;&lt;RecNum&gt;21&lt;/RecNum&gt;&lt;DisplayText&gt;[28]&lt;/DisplayText&gt;&lt;record&gt;&lt;rec-number&gt;21&lt;/rec-number&gt;&lt;foreign-keys&gt;&lt;key app="EN" db-id="frw0wf09qsav0qer2zlx2v2ff9srazx5x2ae"&gt;21&lt;/key&gt;&lt;/foreign-keys&gt;&lt;ref-type name="Journal Article"&gt;17&lt;/ref-type&gt;&lt;contributors&gt;&lt;authors&gt;&lt;author&gt;Moynihan R, Doust J, Henry D&lt;/author&gt;&lt;/authors&gt;&lt;/contributors&gt;&lt;titles&gt;&lt;title&gt;Preventing overdiagnosis: How to stop harming the healthy &lt;/title&gt;&lt;secondary-title&gt;British Medical Journal&lt;/secondary-title&gt;&lt;/titles&gt;&lt;periodical&gt;&lt;full-title&gt;British Medical Journal&lt;/full-title&gt;&lt;/periodical&gt;&lt;volume&gt;244&lt;/volume&gt;&lt;number&gt;e3502&lt;/number&gt;&lt;dates&gt;&lt;year&gt;2012&lt;/year&gt;&lt;/dates&gt;&lt;urls&gt;&lt;/urls&gt;&lt;electronic-resource-num&gt;doi:10.1136/bmj.e3502&lt;/electronic-resource-num&gt;&lt;/record&gt;&lt;/Cite&gt;&lt;/EndNote&gt;</w:instrText>
      </w:r>
      <w:r w:rsidR="00686834" w:rsidRPr="00B9614C">
        <w:fldChar w:fldCharType="separate"/>
      </w:r>
      <w:r w:rsidR="00A6020C">
        <w:rPr>
          <w:noProof/>
        </w:rPr>
        <w:t>[</w:t>
      </w:r>
      <w:hyperlink w:anchor="_ENREF_28" w:tooltip="Moynihan R, 2012 #21" w:history="1">
        <w:r w:rsidR="00A6020C">
          <w:rPr>
            <w:noProof/>
          </w:rPr>
          <w:t>28</w:t>
        </w:r>
      </w:hyperlink>
      <w:r w:rsidR="00A6020C">
        <w:rPr>
          <w:noProof/>
        </w:rPr>
        <w:t>]</w:t>
      </w:r>
      <w:r w:rsidR="00686834" w:rsidRPr="00B9614C">
        <w:fldChar w:fldCharType="end"/>
      </w:r>
      <w:r w:rsidRPr="00B9614C">
        <w:t>,</w:t>
      </w:r>
      <w:r w:rsidR="00131D45" w:rsidRPr="00B9614C">
        <w:t xml:space="preserve"> </w:t>
      </w:r>
      <w:r w:rsidR="00686834" w:rsidRPr="00B9614C">
        <w:fldChar w:fldCharType="begin"/>
      </w:r>
      <w:r w:rsidR="00A6020C">
        <w:instrText xml:space="preserve"> ADDIN EN.CITE &lt;EndNote&gt;&lt;Cite&gt;&lt;Author&gt;Moynihan R&lt;/Author&gt;&lt;Year&gt;2002&lt;/Year&gt;&lt;RecNum&gt;22&lt;/RecNum&gt;&lt;DisplayText&gt;[29]&lt;/DisplayText&gt;&lt;record&gt;&lt;rec-number&gt;22&lt;/rec-number&gt;&lt;foreign-keys&gt;&lt;key app="EN" db-id="frw0wf09qsav0qer2zlx2v2ff9srazx5x2ae"&gt;22&lt;/key&gt;&lt;/foreign-keys&gt;&lt;ref-type name="Journal Article"&gt;17&lt;/ref-type&gt;&lt;contributors&gt;&lt;authors&gt;&lt;author&gt;Moynihan R, Heath I, Henry D&lt;/author&gt;&lt;/authors&gt;&lt;/contributors&gt;&lt;titles&gt;&lt;title&gt;Selling sickness: The pharmaceutical industry and disease mongering&lt;/title&gt;&lt;secondary-title&gt;British Medical Journal&lt;/secondary-title&gt;&lt;/titles&gt;&lt;periodical&gt;&lt;full-title&gt;British Medical Journal&lt;/full-title&gt;&lt;/periodical&gt;&lt;pages&gt;886-91&lt;/pages&gt;&lt;volume&gt;324&lt;/volume&gt;&lt;number&gt;7342&lt;/number&gt;&lt;dates&gt;&lt;year&gt;2002&lt;/year&gt;&lt;/dates&gt;&lt;urls&gt;&lt;/urls&gt;&lt;electronic-resource-num&gt;&amp;#xD;doi: 10.1136/bmj.324.7342.886&amp;#xD;&lt;/electronic-resource-num&gt;&lt;/record&gt;&lt;/Cite&gt;&lt;/EndNote&gt;</w:instrText>
      </w:r>
      <w:r w:rsidR="00686834" w:rsidRPr="00B9614C">
        <w:fldChar w:fldCharType="separate"/>
      </w:r>
      <w:r w:rsidR="00A6020C">
        <w:rPr>
          <w:noProof/>
        </w:rPr>
        <w:t>[</w:t>
      </w:r>
      <w:hyperlink w:anchor="_ENREF_29" w:tooltip="Moynihan R, 2002 #22" w:history="1">
        <w:r w:rsidR="00A6020C">
          <w:rPr>
            <w:noProof/>
          </w:rPr>
          <w:t>29</w:t>
        </w:r>
      </w:hyperlink>
      <w:r w:rsidR="00A6020C">
        <w:rPr>
          <w:noProof/>
        </w:rPr>
        <w:t>]</w:t>
      </w:r>
      <w:r w:rsidR="00686834" w:rsidRPr="00B9614C">
        <w:fldChar w:fldCharType="end"/>
      </w:r>
      <w:r w:rsidRPr="00B9614C">
        <w:t>. The cumulative costs of screening</w:t>
      </w:r>
      <w:r w:rsidR="0088184C">
        <w:t>s</w:t>
      </w:r>
      <w:r w:rsidRPr="00B9614C">
        <w:t>, follow-ups, treatment</w:t>
      </w:r>
      <w:r w:rsidR="0088184C">
        <w:t>s</w:t>
      </w:r>
      <w:r w:rsidRPr="00B9614C">
        <w:t xml:space="preserve"> and personal sequelae in terms of time, side effects, and perceived vulnerability or risk all need to be set against the potential benefits. The impacts of knowing that they are deemed to be at risk can move people from a narrative of their self as a healthy empowered person to one who is frail and in need of help</w:t>
      </w:r>
      <w:r w:rsidR="0088184C">
        <w:t>, which can also have unexpected consequences</w:t>
      </w:r>
      <w:r w:rsidR="007349A4">
        <w:t xml:space="preserve"> </w:t>
      </w:r>
      <w:r w:rsidR="00686834" w:rsidRPr="00B9614C">
        <w:fldChar w:fldCharType="begin"/>
      </w:r>
      <w:r w:rsidR="00A6020C">
        <w:instrText xml:space="preserve"> ADDIN EN.CITE &lt;EndNote&gt;&lt;Cite&gt;&lt;Author&gt;Salter CI&lt;/Author&gt;&lt;Year&gt;2011&lt;/Year&gt;&lt;RecNum&gt;500&lt;/RecNum&gt;&lt;DisplayText&gt;[27]&lt;/DisplayText&gt;&lt;record&gt;&lt;rec-number&gt;500&lt;/rec-number&gt;&lt;foreign-keys&gt;&lt;key app="EN" db-id="xrv2zpa2u52t2pes5ey5vexo2sar0zs992za"&gt;500&lt;/key&gt;&lt;/foreign-keys&gt;&lt;ref-type name="Journal Article"&gt;17&lt;/ref-type&gt;&lt;contributors&gt;&lt;authors&gt;&lt;author&gt;Salter CI, Howe A, McDaid L, Lenaghan E, Blacklock J, Shepstone L&lt;/author&gt;&lt;/authors&gt;&lt;/contributors&gt;&lt;titles&gt;&lt;title&gt;Risk, significance and biomedicalisation of a new population: Older women’s experience of osteoporosis screening&amp;#xD;&lt;/title&gt;&lt;secondary-title&gt;Social Science &amp;amp; Medicine&lt;/secondary-title&gt;&lt;/titles&gt;&lt;periodical&gt;&lt;full-title&gt;Social Science &amp;amp; Medicine&lt;/full-title&gt;&lt;/periodical&gt;&lt;pages&gt;808-15&lt;/pages&gt;&lt;volume&gt;73&lt;/volume&gt;&lt;number&gt;6&lt;/number&gt;&lt;dates&gt;&lt;year&gt;2011&lt;/year&gt;&lt;/dates&gt;&lt;urls&gt;&lt;/urls&gt;&lt;electronic-resource-num&gt;doi:10.1016/j.socscimed.2011.06.030&lt;/electronic-resource-num&gt;&lt;/record&gt;&lt;/Cite&gt;&lt;/EndNote&gt;</w:instrText>
      </w:r>
      <w:r w:rsidR="00686834" w:rsidRPr="00B9614C">
        <w:fldChar w:fldCharType="separate"/>
      </w:r>
      <w:r w:rsidR="00A6020C">
        <w:rPr>
          <w:noProof/>
        </w:rPr>
        <w:t>[</w:t>
      </w:r>
      <w:hyperlink w:anchor="_ENREF_27" w:tooltip="Salter CI, 2011 #500" w:history="1">
        <w:r w:rsidR="00A6020C">
          <w:rPr>
            <w:noProof/>
          </w:rPr>
          <w:t>27</w:t>
        </w:r>
      </w:hyperlink>
      <w:r w:rsidR="00A6020C">
        <w:rPr>
          <w:noProof/>
        </w:rPr>
        <w:t>]</w:t>
      </w:r>
      <w:r w:rsidR="00686834" w:rsidRPr="00B9614C">
        <w:fldChar w:fldCharType="end"/>
      </w:r>
      <w:r w:rsidRPr="00B9614C">
        <w:t>.</w:t>
      </w:r>
    </w:p>
    <w:p w:rsidR="00D72D32" w:rsidRPr="00B9614C" w:rsidRDefault="00D72D32" w:rsidP="00D72D32">
      <w:pPr>
        <w:spacing w:line="360" w:lineRule="auto"/>
        <w:jc w:val="both"/>
      </w:pPr>
    </w:p>
    <w:p w:rsidR="00D72D32" w:rsidRPr="00B9614C" w:rsidRDefault="0088184C" w:rsidP="00A6020C">
      <w:pPr>
        <w:spacing w:line="360" w:lineRule="auto"/>
        <w:jc w:val="both"/>
      </w:pPr>
      <w:r>
        <w:t>W</w:t>
      </w:r>
      <w:r w:rsidR="00D72D32" w:rsidRPr="00B9614C">
        <w:t xml:space="preserve">ithin this complex context, each patient and their doctor or nurse has to make individual decisions as to whether a risk factor should be </w:t>
      </w:r>
      <w:r w:rsidR="000577BA">
        <w:t>prioritised</w:t>
      </w:r>
      <w:r w:rsidR="000577BA" w:rsidRPr="00B9614C">
        <w:t xml:space="preserve"> </w:t>
      </w:r>
      <w:r w:rsidR="00D72D32" w:rsidRPr="00B9614C">
        <w:t xml:space="preserve">or treated once detected. General practitioners are probably the medical professionals who are most aware of the extent to which the uptake of any new test or treatment is dependent on the beliefs, understanding, needs and expectations of the individual in front of them. It is a tenet of their discipline and training that any new health issue needs to be debated in the context of the person’s whole </w:t>
      </w:r>
      <w:r w:rsidR="006D4457">
        <w:t>life context</w:t>
      </w:r>
      <w:r w:rsidR="00D72D32" w:rsidRPr="00B9614C">
        <w:t>, while maximising health gain and minimising adverse consequences</w:t>
      </w:r>
      <w:r w:rsidR="006D4457">
        <w:t xml:space="preserve"> of any intervention</w:t>
      </w:r>
      <w:r w:rsidR="00D72D32" w:rsidRPr="00B9614C">
        <w:t xml:space="preserve">. It is the skill of a general practitioner to enable patients to make considered judgements in </w:t>
      </w:r>
      <w:r w:rsidR="006D4457">
        <w:t>the face of these multiple choices</w:t>
      </w:r>
      <w:r w:rsidR="00D72D32" w:rsidRPr="00B9614C">
        <w:t xml:space="preserve">. However, both the literature and our interviews suggest that preventive health measures often pose a challenge in time limited appointments, which may have influenced </w:t>
      </w:r>
      <w:r w:rsidR="006D4457">
        <w:t xml:space="preserve">the decision made in </w:t>
      </w:r>
      <w:r w:rsidR="00D72D32" w:rsidRPr="00B9614C">
        <w:t xml:space="preserve">some </w:t>
      </w:r>
      <w:r w:rsidR="006D4457">
        <w:t xml:space="preserve">clinical </w:t>
      </w:r>
      <w:r w:rsidR="00D72D32" w:rsidRPr="00B9614C">
        <w:t>encounters</w:t>
      </w:r>
      <w:r w:rsidR="006A7731" w:rsidRPr="00B9614C">
        <w:t xml:space="preserve"> </w:t>
      </w:r>
      <w:r w:rsidR="00686834" w:rsidRPr="00B9614C">
        <w:fldChar w:fldCharType="begin"/>
      </w:r>
      <w:r w:rsidR="00A6020C">
        <w:instrText xml:space="preserve"> ADDIN EN.CITE &lt;EndNote&gt;&lt;Cite&gt;&lt;Author&gt;Mirand AL&lt;/Author&gt;&lt;Year&gt;2003&lt;/Year&gt;&lt;RecNum&gt;2&lt;/RecNum&gt;&lt;DisplayText&gt;[30]&lt;/DisplayText&gt;&lt;record&gt;&lt;rec-number&gt;2&lt;/rec-number&gt;&lt;foreign-keys&gt;&lt;key app="EN" db-id="xr55f550gs59ajev293vsx92w0dpvfz2rxv2"&gt;2&lt;/key&gt;&lt;/foreign-keys&gt;&lt;ref-type name="Journal Article"&gt;17&lt;/ref-type&gt;&lt;contributors&gt;&lt;authors&gt;&lt;author&gt;Mirand AL, Beehler G, Kuo CL, Mahoney MC.&lt;/author&gt;&lt;/authors&gt;&lt;/contributors&gt;&lt;titles&gt;&lt;title&gt;Explaining the de-prioritization of primary prevention: Physicians&amp;apos; perceptions of their role in the delivery of primary care.  &lt;/title&gt;&lt;secondary-title&gt;BMC Public Health&lt;/secondary-title&gt;&lt;/titles&gt;&lt;periodical&gt;&lt;full-title&gt;BMC Public Health&lt;/full-title&gt;&lt;/periodical&gt;&lt;pages&gt;1-15&lt;/pages&gt;&lt;volume&gt;3&lt;/volume&gt;&lt;dates&gt;&lt;year&gt;2003&lt;/year&gt;&lt;/dates&gt;&lt;urls&gt;&lt;/urls&gt;&lt;/record&gt;&lt;/Cite&gt;&lt;/EndNote&gt;</w:instrText>
      </w:r>
      <w:r w:rsidR="00686834" w:rsidRPr="00B9614C">
        <w:fldChar w:fldCharType="separate"/>
      </w:r>
      <w:r w:rsidR="00A6020C">
        <w:rPr>
          <w:noProof/>
        </w:rPr>
        <w:t>[</w:t>
      </w:r>
      <w:hyperlink w:anchor="_ENREF_30" w:tooltip="Mirand AL, 2003 #2" w:history="1">
        <w:r w:rsidR="00A6020C">
          <w:rPr>
            <w:noProof/>
          </w:rPr>
          <w:t>30</w:t>
        </w:r>
      </w:hyperlink>
      <w:r w:rsidR="00A6020C">
        <w:rPr>
          <w:noProof/>
        </w:rPr>
        <w:t>]</w:t>
      </w:r>
      <w:r w:rsidR="00686834" w:rsidRPr="00B9614C">
        <w:fldChar w:fldCharType="end"/>
      </w:r>
      <w:r w:rsidR="006A7731" w:rsidRPr="00B9614C">
        <w:t xml:space="preserve">, </w:t>
      </w:r>
      <w:r w:rsidR="00686834" w:rsidRPr="00B9614C">
        <w:fldChar w:fldCharType="begin"/>
      </w:r>
      <w:r w:rsidR="00A6020C">
        <w:instrText xml:space="preserve"> ADDIN EN.CITE &lt;EndNote&gt;&lt;Cite&gt;&lt;Author&gt;Williams SJ&lt;/Author&gt;&lt;Year&gt;2008&lt;/Year&gt;&lt;RecNum&gt;3&lt;/RecNum&gt;&lt;DisplayText&gt;[31]&lt;/DisplayText&gt;&lt;record&gt;&lt;rec-number&gt;3&lt;/rec-number&gt;&lt;foreign-keys&gt;&lt;key app="EN" db-id="xr55f550gs59ajev293vsx92w0dpvfz2rxv2"&gt;3&lt;/key&gt;&lt;/foreign-keys&gt;&lt;ref-type name="Journal Article"&gt;17&lt;/ref-type&gt;&lt;contributors&gt;&lt;authors&gt;&lt;author&gt;Williams SJ, Calnan M.&lt;/author&gt;&lt;/authors&gt;&lt;/contributors&gt;&lt;titles&gt;&lt;title&gt;Perspectives on prevention: The views of general practitioners.&lt;/title&gt;&lt;secondary-title&gt;Sociol Health Ill&lt;/secondary-title&gt;&lt;/titles&gt;&lt;periodical&gt;&lt;full-title&gt;Sociol Health Ill&lt;/full-title&gt;&lt;/periodical&gt;&lt;pages&gt;372.393&lt;/pages&gt;&lt;volume&gt;16&lt;/volume&gt;&lt;dates&gt;&lt;year&gt;2008&lt;/year&gt;&lt;/dates&gt;&lt;urls&gt;&lt;/urls&gt;&lt;/record&gt;&lt;/Cite&gt;&lt;/EndNote&gt;</w:instrText>
      </w:r>
      <w:r w:rsidR="00686834" w:rsidRPr="00B9614C">
        <w:fldChar w:fldCharType="separate"/>
      </w:r>
      <w:r w:rsidR="00A6020C">
        <w:rPr>
          <w:noProof/>
        </w:rPr>
        <w:t>[</w:t>
      </w:r>
      <w:hyperlink w:anchor="_ENREF_31" w:tooltip="Williams SJ, 2008 #3" w:history="1">
        <w:r w:rsidR="00A6020C">
          <w:rPr>
            <w:noProof/>
          </w:rPr>
          <w:t>31</w:t>
        </w:r>
      </w:hyperlink>
      <w:r w:rsidR="00A6020C">
        <w:rPr>
          <w:noProof/>
        </w:rPr>
        <w:t>]</w:t>
      </w:r>
      <w:r w:rsidR="00686834" w:rsidRPr="00B9614C">
        <w:fldChar w:fldCharType="end"/>
      </w:r>
      <w:r w:rsidR="006A7731" w:rsidRPr="00B9614C">
        <w:t xml:space="preserve">, </w:t>
      </w:r>
      <w:r w:rsidR="00686834" w:rsidRPr="00B9614C">
        <w:fldChar w:fldCharType="begin"/>
      </w:r>
      <w:r w:rsidR="00A6020C">
        <w:instrText xml:space="preserve"> ADDIN EN.CITE &lt;EndNote&gt;&lt;Cite&gt;&lt;Author&gt;Poole KES&lt;/Author&gt;&lt;Year&gt;2006&lt;/Year&gt;&lt;RecNum&gt;4&lt;/RecNum&gt;&lt;DisplayText&gt;[32]&lt;/DisplayText&gt;&lt;record&gt;&lt;rec-number&gt;4&lt;/rec-number&gt;&lt;foreign-keys&gt;&lt;key app="EN" db-id="xr55f550gs59ajev293vsx92w0dpvfz2rxv2"&gt;4&lt;/key&gt;&lt;/foreign-keys&gt;&lt;ref-type name="Journal Article"&gt;17&lt;/ref-type&gt;&lt;contributors&gt;&lt;authors&gt;&lt;author&gt;Poole KES, Compston JE.&lt;/author&gt;&lt;/authors&gt;&lt;/contributors&gt;&lt;titles&gt;&lt;title&gt;Osteoporosis and its management.&lt;/title&gt;&lt;secondary-title&gt;BMJ &lt;/secondary-title&gt;&lt;/titles&gt;&lt;periodical&gt;&lt;full-title&gt;BMJ&lt;/full-title&gt;&lt;/periodical&gt;&lt;volume&gt;333&lt;/volume&gt;&lt;number&gt;1251-1260&lt;/number&gt;&lt;dates&gt;&lt;year&gt;2006&lt;/year&gt;&lt;/dates&gt;&lt;urls&gt;&lt;/urls&gt;&lt;/record&gt;&lt;/Cite&gt;&lt;/EndNote&gt;</w:instrText>
      </w:r>
      <w:r w:rsidR="00686834" w:rsidRPr="00B9614C">
        <w:fldChar w:fldCharType="separate"/>
      </w:r>
      <w:r w:rsidR="00A6020C">
        <w:rPr>
          <w:noProof/>
        </w:rPr>
        <w:t>[</w:t>
      </w:r>
      <w:hyperlink w:anchor="_ENREF_32" w:tooltip="Poole KES, 2006 #4" w:history="1">
        <w:r w:rsidR="00A6020C">
          <w:rPr>
            <w:noProof/>
          </w:rPr>
          <w:t>32</w:t>
        </w:r>
      </w:hyperlink>
      <w:r w:rsidR="00A6020C">
        <w:rPr>
          <w:noProof/>
        </w:rPr>
        <w:t>]</w:t>
      </w:r>
      <w:r w:rsidR="00686834" w:rsidRPr="00B9614C">
        <w:fldChar w:fldCharType="end"/>
      </w:r>
      <w:r w:rsidR="006A7731" w:rsidRPr="00B9614C">
        <w:t xml:space="preserve">. </w:t>
      </w:r>
      <w:r w:rsidR="00D72D32" w:rsidRPr="00B9614C">
        <w:t>Furthermore, the fact that this was a research study may also have influenced overall uptake and follow-up in clinical practice.  More research is needed on the effectiveness and efficacy of secondary prevention and the role of healthcare providers in this field.</w:t>
      </w:r>
    </w:p>
    <w:p w:rsidR="00D72D32" w:rsidRPr="00B9614C" w:rsidRDefault="00D72D32" w:rsidP="00D72D32">
      <w:pPr>
        <w:spacing w:line="360" w:lineRule="auto"/>
        <w:jc w:val="both"/>
      </w:pPr>
    </w:p>
    <w:p w:rsidR="00FE0D96" w:rsidRPr="00B9614C" w:rsidRDefault="00FE0D96" w:rsidP="00D72D32">
      <w:pPr>
        <w:spacing w:line="360" w:lineRule="auto"/>
      </w:pPr>
      <w:r w:rsidRPr="00B9614C">
        <w:rPr>
          <w:rFonts w:asciiTheme="majorBidi" w:eastAsiaTheme="minorEastAsia" w:hAnsiTheme="majorBidi" w:cstheme="majorBidi"/>
          <w:b/>
          <w:lang w:eastAsia="zh-CN"/>
        </w:rPr>
        <w:t>Acknowledgements</w:t>
      </w:r>
    </w:p>
    <w:p w:rsidR="00FE0D96" w:rsidRPr="00B9614C" w:rsidRDefault="00FE0D96" w:rsidP="00473D55">
      <w:pPr>
        <w:spacing w:line="360" w:lineRule="auto"/>
        <w:jc w:val="both"/>
        <w:rPr>
          <w:rFonts w:asciiTheme="majorBidi" w:eastAsiaTheme="minorEastAsia" w:hAnsiTheme="majorBidi" w:cstheme="majorBidi"/>
          <w:lang w:eastAsia="zh-CN"/>
        </w:rPr>
      </w:pPr>
      <w:r w:rsidRPr="00B9614C">
        <w:rPr>
          <w:rFonts w:asciiTheme="majorBidi" w:eastAsiaTheme="minorEastAsia" w:hAnsiTheme="majorBidi" w:cstheme="majorBidi"/>
          <w:lang w:eastAsia="zh-CN"/>
        </w:rPr>
        <w:t xml:space="preserve">We would like to acknowledge the staff and researchers of the </w:t>
      </w:r>
      <w:r w:rsidRPr="00B9614C">
        <w:rPr>
          <w:rFonts w:asciiTheme="majorBidi" w:hAnsiTheme="majorBidi" w:cstheme="majorBidi"/>
        </w:rPr>
        <w:t>Screening for Osteoporosis in Older women for the Prevention of fracture</w:t>
      </w:r>
      <w:r w:rsidR="00DE43A2" w:rsidRPr="00B9614C">
        <w:rPr>
          <w:rFonts w:asciiTheme="majorBidi" w:hAnsiTheme="majorBidi" w:cstheme="majorBidi"/>
        </w:rPr>
        <w:t xml:space="preserve"> Trial </w:t>
      </w:r>
      <w:r w:rsidRPr="00B9614C">
        <w:rPr>
          <w:rFonts w:asciiTheme="majorBidi" w:eastAsiaTheme="minorEastAsia" w:hAnsiTheme="majorBidi" w:cstheme="majorBidi"/>
          <w:lang w:eastAsia="zh-CN"/>
        </w:rPr>
        <w:t>from which this study grew, and the patients who were willing to undertake both studies. We also wish to thank our patient and public involvement leads from the NHS Norfolk ‘PPIRes’ panel, for their excellent guidance and input.</w:t>
      </w:r>
    </w:p>
    <w:p w:rsidR="004C153D" w:rsidRPr="00B9614C" w:rsidRDefault="004C153D" w:rsidP="00473D55">
      <w:pPr>
        <w:spacing w:line="360" w:lineRule="auto"/>
        <w:jc w:val="both"/>
      </w:pPr>
    </w:p>
    <w:p w:rsidR="00470A13" w:rsidRPr="00470A13" w:rsidRDefault="00470A13" w:rsidP="00470A13">
      <w:pPr>
        <w:spacing w:line="360" w:lineRule="auto"/>
        <w:rPr>
          <w:b/>
          <w:bCs/>
        </w:rPr>
      </w:pPr>
      <w:r w:rsidRPr="00470A13">
        <w:rPr>
          <w:b/>
          <w:bCs/>
        </w:rPr>
        <w:t xml:space="preserve">Disclaimer </w:t>
      </w:r>
    </w:p>
    <w:p w:rsidR="00470A13" w:rsidRPr="00BD1C4C" w:rsidRDefault="00470A13" w:rsidP="00470A13">
      <w:pPr>
        <w:spacing w:line="360" w:lineRule="auto"/>
      </w:pPr>
      <w:r w:rsidRPr="00BD1C4C">
        <w:t xml:space="preserve">This paper outlines independent research funded by the National Institute for Health Research (NIHR) under its Research for Patient Benefit Programme (RfPB) </w:t>
      </w:r>
      <w:r>
        <w:rPr>
          <w:lang w:eastAsia="zh-CN"/>
        </w:rPr>
        <w:t>RfPB PB-PG-0807-14068</w:t>
      </w:r>
      <w:r w:rsidRPr="00BD1C4C">
        <w:t>. The views expressed are those of the authors and not necessarily those of the NHS, the NIHR or the Department of Health. The funders had no role in study design, data collection and analysis, decision to publish, or preparation of the manuscript.</w:t>
      </w:r>
    </w:p>
    <w:p w:rsidR="00470A13" w:rsidRDefault="00470A13" w:rsidP="00470A13">
      <w:pPr>
        <w:spacing w:line="360" w:lineRule="auto"/>
      </w:pPr>
    </w:p>
    <w:p w:rsidR="00D72D32" w:rsidRPr="00B9614C" w:rsidRDefault="00D72D32">
      <w:pPr>
        <w:rPr>
          <w:rFonts w:asciiTheme="majorBidi" w:hAnsiTheme="majorBidi" w:cstheme="majorBidi"/>
          <w:b/>
        </w:rPr>
      </w:pPr>
      <w:r w:rsidRPr="00B9614C">
        <w:rPr>
          <w:rFonts w:asciiTheme="majorBidi" w:hAnsiTheme="majorBidi" w:cstheme="majorBidi"/>
          <w:b/>
        </w:rPr>
        <w:br w:type="page"/>
      </w:r>
    </w:p>
    <w:p w:rsidR="0054471F" w:rsidRPr="00B9614C" w:rsidRDefault="00697CC0" w:rsidP="00473D55">
      <w:pPr>
        <w:spacing w:line="360" w:lineRule="auto"/>
        <w:jc w:val="both"/>
        <w:rPr>
          <w:rFonts w:asciiTheme="majorBidi" w:hAnsiTheme="majorBidi" w:cstheme="majorBidi"/>
          <w:b/>
        </w:rPr>
      </w:pPr>
      <w:r w:rsidRPr="00B9614C">
        <w:rPr>
          <w:rFonts w:asciiTheme="majorBidi" w:hAnsiTheme="majorBidi" w:cstheme="majorBidi"/>
          <w:b/>
        </w:rPr>
        <w:t>References</w:t>
      </w:r>
    </w:p>
    <w:p w:rsidR="00DD1A58" w:rsidRPr="00B9614C" w:rsidRDefault="00DD1A58" w:rsidP="00473D55">
      <w:pPr>
        <w:spacing w:line="360" w:lineRule="auto"/>
        <w:jc w:val="both"/>
        <w:rPr>
          <w:rFonts w:asciiTheme="majorBidi" w:hAnsiTheme="majorBidi" w:cstheme="majorBidi"/>
          <w:b/>
        </w:rPr>
      </w:pPr>
    </w:p>
    <w:p w:rsidR="00A6020C" w:rsidRDefault="00686834" w:rsidP="00A6020C">
      <w:pPr>
        <w:ind w:left="720" w:hanging="720"/>
        <w:jc w:val="both"/>
        <w:rPr>
          <w:noProof/>
        </w:rPr>
      </w:pPr>
      <w:r w:rsidRPr="00B9614C">
        <w:fldChar w:fldCharType="begin"/>
      </w:r>
      <w:r w:rsidR="00B94D04" w:rsidRPr="00B9614C">
        <w:instrText xml:space="preserve"> ADDIN EN.REFLIST </w:instrText>
      </w:r>
      <w:r w:rsidRPr="00B9614C">
        <w:fldChar w:fldCharType="separate"/>
      </w:r>
      <w:bookmarkStart w:id="1" w:name="_ENREF_1"/>
      <w:r w:rsidR="00A6020C">
        <w:rPr>
          <w:noProof/>
        </w:rPr>
        <w:t>1. Kanis JA (2002) Diagnosis of osteoporosis and assessment of fracture risk. Lancet 359: 1929-1936.</w:t>
      </w:r>
      <w:bookmarkEnd w:id="1"/>
    </w:p>
    <w:p w:rsidR="00A6020C" w:rsidRDefault="00A6020C" w:rsidP="00A6020C">
      <w:pPr>
        <w:ind w:left="720" w:hanging="720"/>
        <w:jc w:val="both"/>
        <w:rPr>
          <w:noProof/>
        </w:rPr>
      </w:pPr>
      <w:bookmarkStart w:id="2" w:name="_ENREF_2"/>
      <w:r>
        <w:rPr>
          <w:noProof/>
        </w:rPr>
        <w:t>2. WHO (2003) Prevention and Management of osteoporosis. Geneva: WHO.</w:t>
      </w:r>
      <w:bookmarkEnd w:id="2"/>
    </w:p>
    <w:p w:rsidR="00A6020C" w:rsidRDefault="00A6020C" w:rsidP="00A6020C">
      <w:pPr>
        <w:ind w:left="720" w:hanging="720"/>
        <w:jc w:val="both"/>
        <w:rPr>
          <w:noProof/>
        </w:rPr>
      </w:pPr>
      <w:bookmarkStart w:id="3" w:name="_ENREF_3"/>
      <w:r>
        <w:rPr>
          <w:noProof/>
        </w:rPr>
        <w:t>3. Verdijk NA, Romeijnders AC, Ruskus JJ, Van Der Sluijs C, Pop VJ (2009) Validation of the Dutch guidelines for dual X-ray absorptiometry measurement. The British Journal of General Practice 59: 256-260.</w:t>
      </w:r>
      <w:bookmarkEnd w:id="3"/>
    </w:p>
    <w:p w:rsidR="00A6020C" w:rsidRDefault="00A6020C" w:rsidP="00A6020C">
      <w:pPr>
        <w:ind w:left="720" w:hanging="720"/>
        <w:jc w:val="both"/>
        <w:rPr>
          <w:noProof/>
        </w:rPr>
      </w:pPr>
      <w:bookmarkStart w:id="4" w:name="_ENREF_4"/>
      <w:r>
        <w:rPr>
          <w:noProof/>
        </w:rPr>
        <w:t>4. (SIGN) SIGN (2003) Management of osteoporosis risk.</w:t>
      </w:r>
      <w:bookmarkEnd w:id="4"/>
    </w:p>
    <w:p w:rsidR="00A6020C" w:rsidRDefault="00A6020C" w:rsidP="00A6020C">
      <w:pPr>
        <w:ind w:left="720" w:hanging="720"/>
        <w:jc w:val="both"/>
        <w:rPr>
          <w:noProof/>
        </w:rPr>
      </w:pPr>
      <w:bookmarkStart w:id="5" w:name="_ENREF_5"/>
      <w:r>
        <w:rPr>
          <w:noProof/>
        </w:rPr>
        <w:t>5. NICE (2012) Osteoporosis: Assessing the risk of fragility fracture</w:t>
      </w:r>
    </w:p>
    <w:p w:rsidR="00A6020C" w:rsidRDefault="00A6020C" w:rsidP="00A6020C">
      <w:pPr>
        <w:ind w:left="720" w:hanging="720"/>
        <w:jc w:val="both"/>
        <w:rPr>
          <w:noProof/>
        </w:rPr>
      </w:pPr>
      <w:r>
        <w:rPr>
          <w:noProof/>
        </w:rPr>
        <w:t>London: NICE.</w:t>
      </w:r>
      <w:bookmarkEnd w:id="5"/>
    </w:p>
    <w:p w:rsidR="00A6020C" w:rsidRDefault="00A6020C" w:rsidP="00A6020C">
      <w:pPr>
        <w:ind w:left="720" w:hanging="720"/>
        <w:jc w:val="both"/>
        <w:rPr>
          <w:noProof/>
        </w:rPr>
      </w:pPr>
      <w:bookmarkStart w:id="6" w:name="_ENREF_6"/>
      <w:r>
        <w:rPr>
          <w:noProof/>
        </w:rPr>
        <w:t>6. WHO Fracture Risk Assessment Tool.</w:t>
      </w:r>
      <w:bookmarkEnd w:id="6"/>
    </w:p>
    <w:p w:rsidR="00A6020C" w:rsidRDefault="00A6020C" w:rsidP="00A6020C">
      <w:pPr>
        <w:ind w:left="720" w:hanging="720"/>
        <w:jc w:val="both"/>
        <w:rPr>
          <w:noProof/>
        </w:rPr>
      </w:pPr>
      <w:bookmarkStart w:id="7" w:name="_ENREF_7"/>
      <w:r>
        <w:rPr>
          <w:noProof/>
        </w:rPr>
        <w:t>7. Kanis J, Glüer CC (2000) An update on the diagnosis and assessment of osteoporosis with densitometry. Osteoporosis International 11: 192-202.</w:t>
      </w:r>
      <w:bookmarkEnd w:id="7"/>
    </w:p>
    <w:p w:rsidR="00A6020C" w:rsidRDefault="00A6020C" w:rsidP="00A6020C">
      <w:pPr>
        <w:ind w:left="720" w:hanging="720"/>
        <w:jc w:val="both"/>
        <w:rPr>
          <w:noProof/>
        </w:rPr>
      </w:pPr>
      <w:bookmarkStart w:id="8" w:name="_ENREF_8"/>
      <w:r>
        <w:rPr>
          <w:noProof/>
        </w:rPr>
        <w:t>8. Marshall IJ WC, McKevitt C (2012) Lay perspectives on hypertension and drug adherence: systematic review of qualitative research British Medical Journal 345.</w:t>
      </w:r>
      <w:bookmarkEnd w:id="8"/>
    </w:p>
    <w:p w:rsidR="00A6020C" w:rsidRDefault="00A6020C" w:rsidP="00A6020C">
      <w:pPr>
        <w:ind w:left="720" w:hanging="720"/>
        <w:jc w:val="both"/>
        <w:rPr>
          <w:noProof/>
        </w:rPr>
      </w:pPr>
      <w:bookmarkStart w:id="9" w:name="_ENREF_9"/>
      <w:r>
        <w:rPr>
          <w:noProof/>
        </w:rPr>
        <w:t>9. Solomon DH AJ, Katz JN, Finklestein JS, Arnold M, Polinski JM, Brookhart MA. (2005) Compliance with osteoporosis medications Arch Intern Med 165: 2414-2419.</w:t>
      </w:r>
      <w:bookmarkEnd w:id="9"/>
    </w:p>
    <w:p w:rsidR="00A6020C" w:rsidRDefault="00A6020C" w:rsidP="00A6020C">
      <w:pPr>
        <w:ind w:left="720" w:hanging="720"/>
        <w:jc w:val="both"/>
        <w:rPr>
          <w:noProof/>
        </w:rPr>
      </w:pPr>
      <w:bookmarkStart w:id="10" w:name="_ENREF_10"/>
      <w:r>
        <w:rPr>
          <w:noProof/>
        </w:rPr>
        <w:t>10. Recker RR  GR, MacCosbe PE (2005) Effect of dosing frequency on bisphosphonate medication adherence in a large longitudinal cohort of women  Mayo Clin Proc 80: 856-861.</w:t>
      </w:r>
      <w:bookmarkEnd w:id="10"/>
    </w:p>
    <w:p w:rsidR="00A6020C" w:rsidRDefault="00A6020C" w:rsidP="00A6020C">
      <w:pPr>
        <w:ind w:left="720" w:hanging="720"/>
        <w:jc w:val="both"/>
        <w:rPr>
          <w:noProof/>
        </w:rPr>
      </w:pPr>
      <w:bookmarkStart w:id="11" w:name="_ENREF_11"/>
      <w:r>
        <w:rPr>
          <w:noProof/>
        </w:rPr>
        <w:t>11. Rossini M BG, Di Munno O, Giannini S, Minisula S, Sinigaglia L, Adam S. (2006) Determinants of adherence to osteoporosis treatment in clinical practice Osteoporosis International 17: 941-921.</w:t>
      </w:r>
      <w:bookmarkEnd w:id="11"/>
    </w:p>
    <w:p w:rsidR="00A6020C" w:rsidRDefault="00A6020C" w:rsidP="00A6020C">
      <w:pPr>
        <w:ind w:left="720" w:hanging="720"/>
        <w:jc w:val="both"/>
        <w:rPr>
          <w:noProof/>
        </w:rPr>
      </w:pPr>
      <w:bookmarkStart w:id="12" w:name="_ENREF_12"/>
      <w:r>
        <w:rPr>
          <w:noProof/>
        </w:rPr>
        <w:t>12. (IOF) IOF (2005) The adherence gap: Why osteoporosis patients don’t continue with treatment</w:t>
      </w:r>
    </w:p>
    <w:p w:rsidR="00A6020C" w:rsidRDefault="00A6020C" w:rsidP="00A6020C">
      <w:pPr>
        <w:ind w:left="720" w:hanging="720"/>
        <w:jc w:val="both"/>
        <w:rPr>
          <w:noProof/>
        </w:rPr>
      </w:pPr>
      <w:r>
        <w:rPr>
          <w:noProof/>
        </w:rPr>
        <w:t>Nyon: IOF.</w:t>
      </w:r>
      <w:bookmarkEnd w:id="12"/>
    </w:p>
    <w:p w:rsidR="00A6020C" w:rsidRDefault="00A6020C" w:rsidP="00A6020C">
      <w:pPr>
        <w:ind w:left="720" w:hanging="720"/>
        <w:jc w:val="both"/>
        <w:rPr>
          <w:noProof/>
        </w:rPr>
      </w:pPr>
      <w:bookmarkStart w:id="13" w:name="_ENREF_13"/>
      <w:r>
        <w:rPr>
          <w:noProof/>
        </w:rPr>
        <w:t>13. Pound P BN, Morgan M, Yardley L, Pope C, Daker-White G, Campbell R. (2005) Resisting medicines: A synthesis of qualitative studies of medicine taking. Social Science &amp; Medicine 61: 133-155.</w:t>
      </w:r>
      <w:bookmarkEnd w:id="13"/>
    </w:p>
    <w:p w:rsidR="00A6020C" w:rsidRDefault="00A6020C" w:rsidP="00A6020C">
      <w:pPr>
        <w:ind w:left="720" w:hanging="720"/>
        <w:jc w:val="both"/>
        <w:rPr>
          <w:noProof/>
        </w:rPr>
      </w:pPr>
      <w:bookmarkStart w:id="14" w:name="_ENREF_14"/>
      <w:r>
        <w:rPr>
          <w:noProof/>
        </w:rPr>
        <w:t>14. Brookhart MA AJ, Katz JN, Finklestein JS, Arnold M, Polinski JM, Patrick AR, Mogun H, Solomon DH. (2007) Gaps in treatment among users of osteoporosis medications: the dynamics of noncompliance Am J Med 120: 251-260.</w:t>
      </w:r>
      <w:bookmarkEnd w:id="14"/>
    </w:p>
    <w:p w:rsidR="00A6020C" w:rsidRDefault="00A6020C" w:rsidP="00A6020C">
      <w:pPr>
        <w:ind w:left="720" w:hanging="720"/>
        <w:jc w:val="both"/>
        <w:rPr>
          <w:noProof/>
        </w:rPr>
      </w:pPr>
      <w:bookmarkStart w:id="15" w:name="_ENREF_15"/>
      <w:r>
        <w:rPr>
          <w:noProof/>
        </w:rPr>
        <w:t>15. Pickney CS AJ (2005) Correlation between patient recall of bone densitometry results and subsequent treatment adherence Osteoporosis International 16: 1156-1160.</w:t>
      </w:r>
      <w:bookmarkEnd w:id="15"/>
    </w:p>
    <w:p w:rsidR="00A6020C" w:rsidRDefault="00A6020C" w:rsidP="00A6020C">
      <w:pPr>
        <w:ind w:left="720" w:hanging="720"/>
        <w:jc w:val="both"/>
        <w:rPr>
          <w:noProof/>
        </w:rPr>
      </w:pPr>
      <w:bookmarkStart w:id="16" w:name="_ENREF_16"/>
      <w:r>
        <w:rPr>
          <w:noProof/>
        </w:rPr>
        <w:t>16. L. S A Pragmatic Randomised Clinical Trail of the Effectiveness and Cost Effectiveness of Targeted Population Screening for Low Bone Mineral Density in the Prevention of next of Femur Fractures: ISRCTN 11021925.</w:t>
      </w:r>
      <w:bookmarkEnd w:id="16"/>
    </w:p>
    <w:p w:rsidR="00A6020C" w:rsidRDefault="00A6020C" w:rsidP="00A6020C">
      <w:pPr>
        <w:ind w:left="720" w:hanging="720"/>
        <w:jc w:val="both"/>
        <w:rPr>
          <w:noProof/>
        </w:rPr>
      </w:pPr>
      <w:bookmarkStart w:id="17" w:name="_ENREF_17"/>
      <w:r>
        <w:rPr>
          <w:noProof/>
        </w:rPr>
        <w:t>17. Shepstone L FR, Lenaghan E, Harvey I, Cooper C, Gittoes N, Heawood A, Peters T, O'Neill T, Torgerson D, Holland R, Howe A, Marshall T, Kanis J, McCloskey L. (2012) A pragmatic randomised controlled trial of the effectiveness and cost-effectiveness of screening older women for the prevention of fractures: Rationale, design and methods for the SCOOP study Osteoporosis International 23: 2507-2515.</w:t>
      </w:r>
      <w:bookmarkEnd w:id="17"/>
    </w:p>
    <w:p w:rsidR="00A6020C" w:rsidRDefault="00A6020C" w:rsidP="00A6020C">
      <w:pPr>
        <w:ind w:left="720" w:hanging="720"/>
        <w:jc w:val="both"/>
        <w:rPr>
          <w:noProof/>
        </w:rPr>
      </w:pPr>
      <w:bookmarkStart w:id="18" w:name="_ENREF_18"/>
      <w:r>
        <w:rPr>
          <w:noProof/>
        </w:rPr>
        <w:t>18. Ritchie J LJ (2003) Qualitative research practice: A guide for social science students and researchers. London: Sage Publications.</w:t>
      </w:r>
      <w:bookmarkEnd w:id="18"/>
    </w:p>
    <w:p w:rsidR="00A6020C" w:rsidRDefault="00A6020C" w:rsidP="00A6020C">
      <w:pPr>
        <w:ind w:left="720" w:hanging="720"/>
        <w:jc w:val="both"/>
        <w:rPr>
          <w:noProof/>
        </w:rPr>
      </w:pPr>
      <w:bookmarkStart w:id="19" w:name="_ENREF_19"/>
      <w:r>
        <w:rPr>
          <w:noProof/>
        </w:rPr>
        <w:t>19. Hodgetts D, Chamberlain K, Gabe J, Dew K, Radley A, et al. (2011) Emplacement and everyday use of medications in domestic dwellings. Health &amp; Place 17: 353-360.</w:t>
      </w:r>
      <w:bookmarkEnd w:id="19"/>
    </w:p>
    <w:p w:rsidR="00A6020C" w:rsidRDefault="00A6020C" w:rsidP="00A6020C">
      <w:pPr>
        <w:ind w:left="720" w:hanging="720"/>
        <w:jc w:val="both"/>
        <w:rPr>
          <w:noProof/>
        </w:rPr>
      </w:pPr>
      <w:bookmarkStart w:id="20" w:name="_ENREF_20"/>
      <w:r>
        <w:rPr>
          <w:noProof/>
        </w:rPr>
        <w:t>20. Cohen D, McCubbin M, Collin J, Pérodeau G (2001) Medications as social phenomena. Health: 5: 441-469.</w:t>
      </w:r>
      <w:bookmarkEnd w:id="20"/>
    </w:p>
    <w:p w:rsidR="00A6020C" w:rsidRDefault="00A6020C" w:rsidP="00A6020C">
      <w:pPr>
        <w:ind w:left="720" w:hanging="720"/>
        <w:jc w:val="both"/>
        <w:rPr>
          <w:noProof/>
        </w:rPr>
      </w:pPr>
      <w:bookmarkStart w:id="21" w:name="_ENREF_21"/>
      <w:r>
        <w:rPr>
          <w:noProof/>
        </w:rPr>
        <w:t>21. Shoemaker SJ, Ramalho de Oliveira D, Alves M, Ekstrand M (2011) The medication experience: Preliminary evidence of its value for patient education and counseling on chronic medications. Patient education and counseling 83: 443-450.</w:t>
      </w:r>
      <w:bookmarkEnd w:id="21"/>
    </w:p>
    <w:p w:rsidR="00A6020C" w:rsidRDefault="00A6020C" w:rsidP="00A6020C">
      <w:pPr>
        <w:ind w:left="720" w:hanging="720"/>
        <w:jc w:val="both"/>
        <w:rPr>
          <w:noProof/>
        </w:rPr>
      </w:pPr>
      <w:bookmarkStart w:id="22" w:name="_ENREF_22"/>
      <w:r>
        <w:rPr>
          <w:noProof/>
        </w:rPr>
        <w:t>22. Brown P, Calnan M (2012) Braving a faceless new world? Conceptualizing trust in the pharmaceutical industry and its products. Health: 16: 57-75.</w:t>
      </w:r>
      <w:bookmarkEnd w:id="22"/>
    </w:p>
    <w:p w:rsidR="00A6020C" w:rsidRDefault="00A6020C" w:rsidP="00A6020C">
      <w:pPr>
        <w:ind w:left="720" w:hanging="720"/>
        <w:jc w:val="both"/>
        <w:rPr>
          <w:noProof/>
        </w:rPr>
      </w:pPr>
      <w:bookmarkStart w:id="23" w:name="_ENREF_23"/>
      <w:r>
        <w:rPr>
          <w:noProof/>
        </w:rPr>
        <w:t>23. Murdoch J, Salter C, Cross J, Smith J, Poland F (2013) Resisting medications: moral discourses and performances in illness narratives. Sociology of Health &amp; Illness 35: 449-464.</w:t>
      </w:r>
      <w:bookmarkEnd w:id="23"/>
    </w:p>
    <w:p w:rsidR="00A6020C" w:rsidRDefault="00A6020C" w:rsidP="00A6020C">
      <w:pPr>
        <w:ind w:left="720" w:hanging="720"/>
        <w:jc w:val="both"/>
        <w:rPr>
          <w:noProof/>
        </w:rPr>
      </w:pPr>
      <w:bookmarkStart w:id="24" w:name="_ENREF_24"/>
      <w:r>
        <w:rPr>
          <w:noProof/>
        </w:rPr>
        <w:t>24. Salter C, Holland R, Harvey I, Henwood K (2007) “I haven't even phoned my doctor yet.” The advice giving role of the pharmacist during consultations for medication review with patients aged 80 or more: qualitative discourse analysis. BMJ 334: 1101.</w:t>
      </w:r>
      <w:bookmarkEnd w:id="24"/>
    </w:p>
    <w:p w:rsidR="00A6020C" w:rsidRDefault="00A6020C" w:rsidP="00A6020C">
      <w:pPr>
        <w:ind w:left="720" w:hanging="720"/>
        <w:jc w:val="both"/>
        <w:rPr>
          <w:noProof/>
        </w:rPr>
      </w:pPr>
      <w:bookmarkStart w:id="25" w:name="_ENREF_25"/>
      <w:r>
        <w:rPr>
          <w:noProof/>
        </w:rPr>
        <w:t>25. Britten N, Stevenson F, Gafaranga J, Barry C, Bradley C (2004) The expression of aversion to medicines in general practice consultations. Social science &amp; medicine 59: 1495-1503.</w:t>
      </w:r>
      <w:bookmarkEnd w:id="25"/>
    </w:p>
    <w:p w:rsidR="00A6020C" w:rsidRDefault="00A6020C" w:rsidP="00A6020C">
      <w:pPr>
        <w:ind w:left="720" w:hanging="720"/>
        <w:jc w:val="both"/>
        <w:rPr>
          <w:noProof/>
        </w:rPr>
      </w:pPr>
      <w:bookmarkStart w:id="26" w:name="_ENREF_26"/>
      <w:r>
        <w:rPr>
          <w:noProof/>
        </w:rPr>
        <w:t>26. Murdoch J, Salter, C., Cross, J., &amp; Poland, F. Misunderstandings, communicative expectations and resources in illness narratives: Insights from beyond interview transcripts.</w:t>
      </w:r>
      <w:bookmarkEnd w:id="26"/>
    </w:p>
    <w:p w:rsidR="00A6020C" w:rsidRDefault="00A6020C" w:rsidP="00A6020C">
      <w:pPr>
        <w:ind w:left="720" w:hanging="720"/>
        <w:jc w:val="both"/>
        <w:rPr>
          <w:noProof/>
        </w:rPr>
      </w:pPr>
      <w:bookmarkStart w:id="27" w:name="_ENREF_27"/>
      <w:r>
        <w:rPr>
          <w:noProof/>
        </w:rPr>
        <w:t>27. Salter CI HA, McDaid L, Lenaghan E, Blacklock J, Shepstone L (2011) Risk, significance and biomedicalisation of a new population: Older women’s experience of osteoporosis screening</w:t>
      </w:r>
    </w:p>
    <w:p w:rsidR="00A6020C" w:rsidRDefault="00A6020C" w:rsidP="00A6020C">
      <w:pPr>
        <w:ind w:left="720" w:hanging="720"/>
        <w:jc w:val="both"/>
        <w:rPr>
          <w:noProof/>
        </w:rPr>
      </w:pPr>
      <w:r>
        <w:rPr>
          <w:noProof/>
        </w:rPr>
        <w:t>Social Science &amp; Medicine 73: 808-815.</w:t>
      </w:r>
      <w:bookmarkEnd w:id="27"/>
    </w:p>
    <w:p w:rsidR="00A6020C" w:rsidRDefault="00A6020C" w:rsidP="00A6020C">
      <w:pPr>
        <w:ind w:left="720" w:hanging="720"/>
        <w:jc w:val="both"/>
        <w:rPr>
          <w:noProof/>
        </w:rPr>
      </w:pPr>
      <w:bookmarkStart w:id="28" w:name="_ENREF_28"/>
      <w:r>
        <w:rPr>
          <w:noProof/>
        </w:rPr>
        <w:t>28. Moynihan R DJ, Henry D (2012) Preventing overdiagnosis: How to stop harming the healthy British Medical Journal 244.</w:t>
      </w:r>
      <w:bookmarkEnd w:id="28"/>
    </w:p>
    <w:p w:rsidR="00A6020C" w:rsidRDefault="00A6020C" w:rsidP="00A6020C">
      <w:pPr>
        <w:ind w:left="720" w:hanging="720"/>
        <w:jc w:val="both"/>
        <w:rPr>
          <w:noProof/>
        </w:rPr>
      </w:pPr>
      <w:bookmarkStart w:id="29" w:name="_ENREF_29"/>
      <w:r>
        <w:rPr>
          <w:noProof/>
        </w:rPr>
        <w:t>29. Moynihan R HI, Henry D (2002) Selling sickness: The pharmaceutical industry and disease mongering. British Medical Journal 324: 886-891.</w:t>
      </w:r>
      <w:bookmarkEnd w:id="29"/>
    </w:p>
    <w:p w:rsidR="00A6020C" w:rsidRDefault="00A6020C" w:rsidP="00A6020C">
      <w:pPr>
        <w:ind w:left="720" w:hanging="720"/>
        <w:jc w:val="both"/>
        <w:rPr>
          <w:noProof/>
        </w:rPr>
      </w:pPr>
      <w:bookmarkStart w:id="30" w:name="_ENREF_30"/>
      <w:r>
        <w:rPr>
          <w:noProof/>
        </w:rPr>
        <w:t>30. Mirand AL BG, Kuo CL, Mahoney MC. (2003) Explaining the de-prioritization of primary prevention: Physicians' perceptions of their role in the delivery of primary care.  . BMC Public Health 3: 1-15.</w:t>
      </w:r>
      <w:bookmarkEnd w:id="30"/>
    </w:p>
    <w:p w:rsidR="00A6020C" w:rsidRDefault="00A6020C" w:rsidP="00A6020C">
      <w:pPr>
        <w:ind w:left="720" w:hanging="720"/>
        <w:jc w:val="both"/>
        <w:rPr>
          <w:noProof/>
        </w:rPr>
      </w:pPr>
      <w:bookmarkStart w:id="31" w:name="_ENREF_31"/>
      <w:r>
        <w:rPr>
          <w:noProof/>
        </w:rPr>
        <w:t>31. Williams SJ CM (2008) Perspectives on prevention: The views of general practitioners. Sociol Health Ill 16: 372.393.</w:t>
      </w:r>
      <w:bookmarkEnd w:id="31"/>
    </w:p>
    <w:p w:rsidR="00A6020C" w:rsidRDefault="00A6020C" w:rsidP="00A6020C">
      <w:pPr>
        <w:ind w:left="720" w:hanging="720"/>
        <w:jc w:val="both"/>
        <w:rPr>
          <w:noProof/>
        </w:rPr>
      </w:pPr>
      <w:bookmarkStart w:id="32" w:name="_ENREF_32"/>
      <w:r>
        <w:rPr>
          <w:noProof/>
        </w:rPr>
        <w:t>32. Poole KES CJ (2006) Osteoporosis and its management. BMJ 333.</w:t>
      </w:r>
      <w:bookmarkEnd w:id="32"/>
    </w:p>
    <w:p w:rsidR="00A6020C" w:rsidRDefault="00A6020C" w:rsidP="00A6020C">
      <w:pPr>
        <w:jc w:val="both"/>
        <w:rPr>
          <w:noProof/>
        </w:rPr>
      </w:pPr>
    </w:p>
    <w:p w:rsidR="00DD1A58" w:rsidRPr="00B9614C" w:rsidRDefault="00686834" w:rsidP="00EE05AA">
      <w:pPr>
        <w:adjustRightInd w:val="0"/>
        <w:jc w:val="both"/>
      </w:pPr>
      <w:r w:rsidRPr="00B9614C">
        <w:fldChar w:fldCharType="end"/>
      </w:r>
    </w:p>
    <w:p w:rsidR="006E1590" w:rsidRPr="00B9614C" w:rsidRDefault="006E1590" w:rsidP="00473D55">
      <w:pPr>
        <w:jc w:val="both"/>
      </w:pPr>
    </w:p>
    <w:p w:rsidR="006E1590" w:rsidRPr="00B9614C" w:rsidRDefault="006E1590" w:rsidP="00473D55">
      <w:pPr>
        <w:jc w:val="both"/>
      </w:pPr>
      <w:r w:rsidRPr="00B9614C">
        <w:br w:type="page"/>
      </w:r>
    </w:p>
    <w:tbl>
      <w:tblPr>
        <w:tblStyle w:val="TableGrid"/>
        <w:tblW w:w="9600" w:type="dxa"/>
        <w:tblInd w:w="-34" w:type="dxa"/>
        <w:tblLook w:val="00A0" w:firstRow="1" w:lastRow="0" w:firstColumn="1" w:lastColumn="0" w:noHBand="0" w:noVBand="0"/>
      </w:tblPr>
      <w:tblGrid>
        <w:gridCol w:w="5387"/>
        <w:gridCol w:w="2213"/>
        <w:gridCol w:w="2000"/>
      </w:tblGrid>
      <w:tr w:rsidR="00B9614C" w:rsidRPr="00B9614C" w:rsidTr="007F273F">
        <w:trPr>
          <w:trHeight w:val="506"/>
        </w:trPr>
        <w:tc>
          <w:tcPr>
            <w:tcW w:w="9600" w:type="dxa"/>
            <w:gridSpan w:val="3"/>
            <w:tcBorders>
              <w:top w:val="single" w:sz="4" w:space="0" w:color="auto"/>
              <w:left w:val="nil"/>
              <w:bottom w:val="single" w:sz="4" w:space="0" w:color="BFBFBF" w:themeColor="background1" w:themeShade="BF"/>
              <w:right w:val="nil"/>
            </w:tcBorders>
            <w:shd w:val="clear" w:color="auto" w:fill="BFBFBF" w:themeFill="background1" w:themeFillShade="BF"/>
            <w:hideMark/>
          </w:tcPr>
          <w:p w:rsidR="006E1590" w:rsidRPr="00B9614C" w:rsidRDefault="006E1590" w:rsidP="00473D55">
            <w:pPr>
              <w:jc w:val="both"/>
              <w:rPr>
                <w:rFonts w:asciiTheme="majorBidi" w:hAnsiTheme="majorBidi" w:cstheme="majorBidi"/>
                <w:sz w:val="23"/>
                <w:szCs w:val="23"/>
              </w:rPr>
            </w:pPr>
            <w:r w:rsidRPr="00B9614C">
              <w:rPr>
                <w:rFonts w:asciiTheme="majorBidi" w:hAnsiTheme="majorBidi" w:cstheme="majorBidi"/>
                <w:sz w:val="23"/>
                <w:szCs w:val="23"/>
              </w:rPr>
              <w:t>Table 1: Sample characteristics using pre-collected trial data</w:t>
            </w:r>
          </w:p>
          <w:p w:rsidR="006E1590" w:rsidRPr="00B9614C" w:rsidRDefault="006E1590" w:rsidP="00473D55">
            <w:pPr>
              <w:jc w:val="both"/>
              <w:rPr>
                <w:rFonts w:asciiTheme="majorBidi" w:hAnsiTheme="majorBidi" w:cstheme="majorBidi"/>
                <w:sz w:val="23"/>
                <w:szCs w:val="23"/>
              </w:rPr>
            </w:pPr>
          </w:p>
        </w:tc>
      </w:tr>
      <w:tr w:rsidR="00B9614C" w:rsidRPr="00B9614C" w:rsidTr="007F273F">
        <w:trPr>
          <w:trHeight w:val="169"/>
        </w:trPr>
        <w:tc>
          <w:tcPr>
            <w:tcW w:w="5387" w:type="dxa"/>
            <w:tcBorders>
              <w:top w:val="single" w:sz="4" w:space="0" w:color="BFBFBF" w:themeColor="background1" w:themeShade="BF"/>
              <w:left w:val="nil"/>
              <w:bottom w:val="single" w:sz="4" w:space="0" w:color="auto"/>
              <w:right w:val="single" w:sz="4" w:space="0" w:color="BFBFBF" w:themeColor="background1" w:themeShade="BF"/>
            </w:tcBorders>
            <w:shd w:val="clear" w:color="auto" w:fill="BFBFBF" w:themeFill="background1" w:themeFillShade="BF"/>
            <w:hideMark/>
          </w:tcPr>
          <w:p w:rsidR="006E1590" w:rsidRPr="00B9614C" w:rsidRDefault="006E1590" w:rsidP="00473D55">
            <w:pPr>
              <w:jc w:val="both"/>
              <w:rPr>
                <w:rFonts w:asciiTheme="majorBidi" w:hAnsiTheme="majorBidi" w:cstheme="majorBidi"/>
                <w:noProof/>
                <w:sz w:val="23"/>
                <w:szCs w:val="23"/>
              </w:rPr>
            </w:pPr>
            <w:r w:rsidRPr="00B9614C">
              <w:rPr>
                <w:rFonts w:asciiTheme="majorBidi" w:hAnsiTheme="majorBidi" w:cstheme="majorBidi"/>
                <w:sz w:val="23"/>
                <w:szCs w:val="23"/>
              </w:rPr>
              <w:t>Sample Characteristic</w:t>
            </w:r>
          </w:p>
        </w:tc>
        <w:tc>
          <w:tcPr>
            <w:tcW w:w="22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hideMark/>
          </w:tcPr>
          <w:p w:rsidR="006E1590" w:rsidRPr="00B9614C" w:rsidRDefault="006E1590" w:rsidP="00473D55">
            <w:pPr>
              <w:jc w:val="both"/>
              <w:rPr>
                <w:rFonts w:asciiTheme="majorBidi" w:hAnsiTheme="majorBidi" w:cstheme="majorBidi"/>
                <w:sz w:val="23"/>
                <w:szCs w:val="23"/>
              </w:rPr>
            </w:pPr>
            <w:r w:rsidRPr="00B9614C">
              <w:rPr>
                <w:rFonts w:asciiTheme="majorBidi" w:hAnsiTheme="majorBidi" w:cstheme="majorBidi"/>
                <w:sz w:val="23"/>
                <w:szCs w:val="23"/>
              </w:rPr>
              <w:t>Category</w:t>
            </w:r>
          </w:p>
        </w:tc>
        <w:tc>
          <w:tcPr>
            <w:tcW w:w="2000" w:type="dxa"/>
            <w:tcBorders>
              <w:top w:val="single" w:sz="4" w:space="0" w:color="BFBFBF" w:themeColor="background1" w:themeShade="BF"/>
              <w:left w:val="single" w:sz="4" w:space="0" w:color="BFBFBF" w:themeColor="background1" w:themeShade="BF"/>
              <w:bottom w:val="single" w:sz="4" w:space="0" w:color="auto"/>
              <w:right w:val="nil"/>
            </w:tcBorders>
            <w:shd w:val="clear" w:color="auto" w:fill="BFBFBF" w:themeFill="background1" w:themeFillShade="BF"/>
            <w:hideMark/>
          </w:tcPr>
          <w:p w:rsidR="006E1590" w:rsidRPr="00B9614C" w:rsidRDefault="006E1590" w:rsidP="00473D55">
            <w:pPr>
              <w:jc w:val="both"/>
              <w:rPr>
                <w:rFonts w:asciiTheme="majorBidi" w:hAnsiTheme="majorBidi" w:cstheme="majorBidi"/>
                <w:sz w:val="23"/>
                <w:szCs w:val="23"/>
              </w:rPr>
            </w:pPr>
            <w:r w:rsidRPr="00B9614C">
              <w:rPr>
                <w:rFonts w:asciiTheme="majorBidi" w:hAnsiTheme="majorBidi" w:cstheme="majorBidi"/>
                <w:sz w:val="23"/>
                <w:szCs w:val="23"/>
              </w:rPr>
              <w:t>Number (%)</w:t>
            </w:r>
          </w:p>
        </w:tc>
      </w:tr>
      <w:tr w:rsidR="00B9614C" w:rsidRPr="00B9614C" w:rsidTr="007F273F">
        <w:trPr>
          <w:trHeight w:val="294"/>
        </w:trPr>
        <w:tc>
          <w:tcPr>
            <w:tcW w:w="5387" w:type="dxa"/>
            <w:tcBorders>
              <w:top w:val="single" w:sz="4" w:space="0" w:color="auto"/>
              <w:left w:val="nil"/>
              <w:bottom w:val="single" w:sz="4" w:space="0" w:color="auto"/>
              <w:right w:val="single" w:sz="4" w:space="0" w:color="auto"/>
            </w:tcBorders>
            <w:hideMark/>
          </w:tcPr>
          <w:p w:rsidR="006E1590" w:rsidRPr="00B9614C" w:rsidRDefault="006E1590" w:rsidP="00473D55">
            <w:pPr>
              <w:spacing w:before="60" w:after="60"/>
              <w:jc w:val="both"/>
              <w:rPr>
                <w:rFonts w:asciiTheme="majorBidi" w:hAnsiTheme="majorBidi" w:cstheme="majorBidi"/>
                <w:sz w:val="23"/>
                <w:szCs w:val="23"/>
              </w:rPr>
            </w:pPr>
            <w:r w:rsidRPr="00B9614C">
              <w:rPr>
                <w:rFonts w:asciiTheme="majorBidi" w:hAnsiTheme="majorBidi" w:cstheme="majorBidi"/>
                <w:sz w:val="23"/>
                <w:szCs w:val="23"/>
              </w:rPr>
              <w:t>Self-reported adherence status given on phone at recruitment</w:t>
            </w:r>
          </w:p>
        </w:tc>
        <w:tc>
          <w:tcPr>
            <w:tcW w:w="2213" w:type="dxa"/>
            <w:tcBorders>
              <w:top w:val="single" w:sz="4" w:space="0" w:color="auto"/>
              <w:left w:val="single" w:sz="4" w:space="0" w:color="auto"/>
              <w:bottom w:val="single" w:sz="4" w:space="0" w:color="auto"/>
              <w:right w:val="single" w:sz="4" w:space="0" w:color="auto"/>
            </w:tcBorders>
            <w:hideMark/>
          </w:tcPr>
          <w:p w:rsidR="006E1590" w:rsidRPr="00B9614C" w:rsidRDefault="006E1590" w:rsidP="00473D55">
            <w:pPr>
              <w:spacing w:before="60" w:after="60"/>
              <w:jc w:val="both"/>
              <w:rPr>
                <w:rFonts w:asciiTheme="majorBidi" w:hAnsiTheme="majorBidi" w:cstheme="majorBidi"/>
                <w:sz w:val="23"/>
                <w:szCs w:val="23"/>
              </w:rPr>
            </w:pPr>
            <w:r w:rsidRPr="00B9614C">
              <w:rPr>
                <w:rFonts w:asciiTheme="majorBidi" w:hAnsiTheme="majorBidi" w:cstheme="majorBidi"/>
                <w:sz w:val="23"/>
                <w:szCs w:val="23"/>
              </w:rPr>
              <w:t>Adherent</w:t>
            </w:r>
          </w:p>
          <w:p w:rsidR="006E1590" w:rsidRPr="00B9614C" w:rsidRDefault="006E1590" w:rsidP="00473D55">
            <w:pPr>
              <w:spacing w:before="60" w:after="60"/>
              <w:jc w:val="both"/>
              <w:rPr>
                <w:rFonts w:asciiTheme="majorBidi" w:hAnsiTheme="majorBidi" w:cstheme="majorBidi"/>
                <w:sz w:val="23"/>
                <w:szCs w:val="23"/>
              </w:rPr>
            </w:pPr>
            <w:r w:rsidRPr="00B9614C">
              <w:rPr>
                <w:rFonts w:asciiTheme="majorBidi" w:hAnsiTheme="majorBidi" w:cstheme="majorBidi"/>
                <w:sz w:val="23"/>
                <w:szCs w:val="23"/>
              </w:rPr>
              <w:t>Non-adherent</w:t>
            </w:r>
          </w:p>
        </w:tc>
        <w:tc>
          <w:tcPr>
            <w:tcW w:w="2000" w:type="dxa"/>
            <w:tcBorders>
              <w:top w:val="single" w:sz="4" w:space="0" w:color="auto"/>
              <w:left w:val="single" w:sz="4" w:space="0" w:color="auto"/>
              <w:bottom w:val="single" w:sz="4" w:space="0" w:color="auto"/>
              <w:right w:val="nil"/>
            </w:tcBorders>
            <w:hideMark/>
          </w:tcPr>
          <w:p w:rsidR="006E1590" w:rsidRPr="00B9614C" w:rsidRDefault="006E1590" w:rsidP="00473D55">
            <w:pPr>
              <w:spacing w:before="60" w:after="60"/>
              <w:jc w:val="both"/>
              <w:rPr>
                <w:rFonts w:asciiTheme="majorBidi" w:hAnsiTheme="majorBidi" w:cstheme="majorBidi"/>
                <w:sz w:val="23"/>
                <w:szCs w:val="23"/>
              </w:rPr>
            </w:pPr>
            <w:r w:rsidRPr="00B9614C">
              <w:rPr>
                <w:rFonts w:asciiTheme="majorBidi" w:hAnsiTheme="majorBidi" w:cstheme="majorBidi"/>
                <w:sz w:val="23"/>
                <w:szCs w:val="23"/>
              </w:rPr>
              <w:t>19 (63)</w:t>
            </w:r>
          </w:p>
          <w:p w:rsidR="006E1590" w:rsidRPr="00B9614C" w:rsidRDefault="006E1590" w:rsidP="00473D55">
            <w:pPr>
              <w:spacing w:before="60" w:after="60"/>
              <w:jc w:val="both"/>
              <w:rPr>
                <w:rFonts w:asciiTheme="majorBidi" w:hAnsiTheme="majorBidi" w:cstheme="majorBidi"/>
                <w:sz w:val="23"/>
                <w:szCs w:val="23"/>
              </w:rPr>
            </w:pPr>
            <w:r w:rsidRPr="00B9614C">
              <w:rPr>
                <w:rFonts w:asciiTheme="majorBidi" w:hAnsiTheme="majorBidi" w:cstheme="majorBidi"/>
                <w:sz w:val="23"/>
                <w:szCs w:val="23"/>
              </w:rPr>
              <w:t>11 (37)</w:t>
            </w:r>
          </w:p>
        </w:tc>
      </w:tr>
      <w:tr w:rsidR="00B9614C" w:rsidRPr="00B9614C" w:rsidTr="007F273F">
        <w:trPr>
          <w:trHeight w:val="387"/>
        </w:trPr>
        <w:tc>
          <w:tcPr>
            <w:tcW w:w="5387" w:type="dxa"/>
            <w:tcBorders>
              <w:top w:val="single" w:sz="4" w:space="0" w:color="auto"/>
              <w:left w:val="nil"/>
              <w:bottom w:val="single" w:sz="4" w:space="0" w:color="auto"/>
              <w:right w:val="single" w:sz="4" w:space="0" w:color="auto"/>
            </w:tcBorders>
            <w:hideMark/>
          </w:tcPr>
          <w:p w:rsidR="006E1590" w:rsidRPr="00B9614C" w:rsidRDefault="006E1590" w:rsidP="00473D55">
            <w:pPr>
              <w:spacing w:before="60" w:after="60"/>
              <w:jc w:val="both"/>
              <w:rPr>
                <w:rFonts w:asciiTheme="majorBidi" w:hAnsiTheme="majorBidi" w:cstheme="majorBidi"/>
                <w:sz w:val="23"/>
                <w:szCs w:val="23"/>
              </w:rPr>
            </w:pPr>
            <w:r w:rsidRPr="00B9614C">
              <w:rPr>
                <w:rFonts w:asciiTheme="majorBidi" w:hAnsiTheme="majorBidi" w:cstheme="majorBidi"/>
                <w:sz w:val="23"/>
                <w:szCs w:val="23"/>
              </w:rPr>
              <w:t>Age</w:t>
            </w:r>
          </w:p>
        </w:tc>
        <w:tc>
          <w:tcPr>
            <w:tcW w:w="2213" w:type="dxa"/>
            <w:tcBorders>
              <w:top w:val="single" w:sz="4" w:space="0" w:color="auto"/>
              <w:left w:val="single" w:sz="4" w:space="0" w:color="auto"/>
              <w:bottom w:val="single" w:sz="4" w:space="0" w:color="auto"/>
              <w:right w:val="single" w:sz="4" w:space="0" w:color="auto"/>
            </w:tcBorders>
            <w:hideMark/>
          </w:tcPr>
          <w:p w:rsidR="006E1590" w:rsidRPr="00B9614C" w:rsidRDefault="006E1590" w:rsidP="00473D55">
            <w:pPr>
              <w:spacing w:before="60" w:after="60"/>
              <w:jc w:val="both"/>
              <w:rPr>
                <w:rFonts w:asciiTheme="majorBidi" w:hAnsiTheme="majorBidi" w:cstheme="majorBidi"/>
                <w:sz w:val="23"/>
                <w:szCs w:val="23"/>
              </w:rPr>
            </w:pPr>
            <w:r w:rsidRPr="00B9614C">
              <w:rPr>
                <w:rFonts w:asciiTheme="majorBidi" w:hAnsiTheme="majorBidi" w:cstheme="majorBidi"/>
                <w:sz w:val="23"/>
                <w:szCs w:val="23"/>
              </w:rPr>
              <w:t>70 – 74</w:t>
            </w:r>
          </w:p>
          <w:p w:rsidR="006E1590" w:rsidRPr="00B9614C" w:rsidRDefault="006E1590" w:rsidP="00473D55">
            <w:pPr>
              <w:spacing w:before="60" w:after="60"/>
              <w:jc w:val="both"/>
              <w:rPr>
                <w:rFonts w:asciiTheme="majorBidi" w:hAnsiTheme="majorBidi" w:cstheme="majorBidi"/>
                <w:sz w:val="23"/>
                <w:szCs w:val="23"/>
              </w:rPr>
            </w:pPr>
            <w:r w:rsidRPr="00B9614C">
              <w:rPr>
                <w:rFonts w:asciiTheme="majorBidi" w:hAnsiTheme="majorBidi" w:cstheme="majorBidi"/>
                <w:sz w:val="23"/>
                <w:szCs w:val="23"/>
              </w:rPr>
              <w:t>75 – 79</w:t>
            </w:r>
          </w:p>
          <w:p w:rsidR="006E1590" w:rsidRPr="00B9614C" w:rsidRDefault="006E1590" w:rsidP="00473D55">
            <w:pPr>
              <w:spacing w:before="60" w:after="60"/>
              <w:jc w:val="both"/>
              <w:rPr>
                <w:rFonts w:asciiTheme="majorBidi" w:hAnsiTheme="majorBidi" w:cstheme="majorBidi"/>
                <w:sz w:val="23"/>
                <w:szCs w:val="23"/>
              </w:rPr>
            </w:pPr>
            <w:r w:rsidRPr="00B9614C">
              <w:rPr>
                <w:rFonts w:asciiTheme="majorBidi" w:hAnsiTheme="majorBidi" w:cstheme="majorBidi"/>
                <w:sz w:val="23"/>
                <w:szCs w:val="23"/>
              </w:rPr>
              <w:t>80+</w:t>
            </w:r>
          </w:p>
        </w:tc>
        <w:tc>
          <w:tcPr>
            <w:tcW w:w="2000" w:type="dxa"/>
            <w:tcBorders>
              <w:top w:val="single" w:sz="4" w:space="0" w:color="auto"/>
              <w:left w:val="single" w:sz="4" w:space="0" w:color="auto"/>
              <w:bottom w:val="single" w:sz="4" w:space="0" w:color="auto"/>
              <w:right w:val="nil"/>
            </w:tcBorders>
            <w:hideMark/>
          </w:tcPr>
          <w:p w:rsidR="006E1590" w:rsidRPr="00B9614C" w:rsidRDefault="006E1590" w:rsidP="00473D55">
            <w:pPr>
              <w:spacing w:before="60" w:after="60"/>
              <w:jc w:val="both"/>
              <w:rPr>
                <w:rFonts w:asciiTheme="majorBidi" w:hAnsiTheme="majorBidi" w:cstheme="majorBidi"/>
                <w:sz w:val="23"/>
                <w:szCs w:val="23"/>
              </w:rPr>
            </w:pPr>
            <w:r w:rsidRPr="00B9614C">
              <w:rPr>
                <w:rFonts w:asciiTheme="majorBidi" w:hAnsiTheme="majorBidi" w:cstheme="majorBidi"/>
                <w:sz w:val="23"/>
                <w:szCs w:val="23"/>
              </w:rPr>
              <w:t xml:space="preserve">  9 (30)</w:t>
            </w:r>
          </w:p>
          <w:p w:rsidR="006E1590" w:rsidRPr="00B9614C" w:rsidRDefault="006E1590" w:rsidP="00473D55">
            <w:pPr>
              <w:spacing w:before="60" w:after="60"/>
              <w:jc w:val="both"/>
              <w:rPr>
                <w:rFonts w:asciiTheme="majorBidi" w:hAnsiTheme="majorBidi" w:cstheme="majorBidi"/>
                <w:sz w:val="23"/>
                <w:szCs w:val="23"/>
              </w:rPr>
            </w:pPr>
            <w:r w:rsidRPr="00B9614C">
              <w:rPr>
                <w:rFonts w:asciiTheme="majorBidi" w:hAnsiTheme="majorBidi" w:cstheme="majorBidi"/>
                <w:sz w:val="23"/>
                <w:szCs w:val="23"/>
              </w:rPr>
              <w:t>10 (33)</w:t>
            </w:r>
          </w:p>
          <w:p w:rsidR="006E1590" w:rsidRPr="00B9614C" w:rsidRDefault="006E1590" w:rsidP="00473D55">
            <w:pPr>
              <w:spacing w:before="60" w:after="60"/>
              <w:jc w:val="both"/>
              <w:rPr>
                <w:rFonts w:asciiTheme="majorBidi" w:hAnsiTheme="majorBidi" w:cstheme="majorBidi"/>
                <w:sz w:val="23"/>
                <w:szCs w:val="23"/>
              </w:rPr>
            </w:pPr>
            <w:r w:rsidRPr="00B9614C">
              <w:rPr>
                <w:rFonts w:asciiTheme="majorBidi" w:hAnsiTheme="majorBidi" w:cstheme="majorBidi"/>
                <w:sz w:val="23"/>
                <w:szCs w:val="23"/>
              </w:rPr>
              <w:t>11 (37)</w:t>
            </w:r>
          </w:p>
        </w:tc>
      </w:tr>
      <w:tr w:rsidR="00B9614C" w:rsidRPr="00B9614C" w:rsidTr="007F273F">
        <w:trPr>
          <w:trHeight w:val="180"/>
        </w:trPr>
        <w:tc>
          <w:tcPr>
            <w:tcW w:w="5387" w:type="dxa"/>
            <w:tcBorders>
              <w:top w:val="single" w:sz="4" w:space="0" w:color="auto"/>
              <w:left w:val="nil"/>
              <w:bottom w:val="single" w:sz="4" w:space="0" w:color="auto"/>
              <w:right w:val="single" w:sz="4" w:space="0" w:color="auto"/>
            </w:tcBorders>
            <w:hideMark/>
          </w:tcPr>
          <w:p w:rsidR="006E1590" w:rsidRPr="00B9614C" w:rsidRDefault="006E1590" w:rsidP="00473D55">
            <w:pPr>
              <w:spacing w:before="60" w:after="60"/>
              <w:jc w:val="both"/>
              <w:rPr>
                <w:rFonts w:asciiTheme="majorBidi" w:hAnsiTheme="majorBidi" w:cstheme="majorBidi"/>
                <w:sz w:val="23"/>
                <w:szCs w:val="23"/>
              </w:rPr>
            </w:pPr>
            <w:r w:rsidRPr="00B9614C">
              <w:rPr>
                <w:rFonts w:asciiTheme="majorBidi" w:hAnsiTheme="majorBidi" w:cstheme="majorBidi"/>
                <w:sz w:val="23"/>
                <w:szCs w:val="23"/>
              </w:rPr>
              <w:t>GP practice</w:t>
            </w:r>
          </w:p>
        </w:tc>
        <w:tc>
          <w:tcPr>
            <w:tcW w:w="2213" w:type="dxa"/>
            <w:tcBorders>
              <w:top w:val="single" w:sz="4" w:space="0" w:color="auto"/>
              <w:left w:val="single" w:sz="4" w:space="0" w:color="auto"/>
              <w:bottom w:val="single" w:sz="4" w:space="0" w:color="auto"/>
              <w:right w:val="single" w:sz="4" w:space="0" w:color="auto"/>
            </w:tcBorders>
            <w:hideMark/>
          </w:tcPr>
          <w:p w:rsidR="006E1590" w:rsidRPr="00B9614C" w:rsidRDefault="006E1590" w:rsidP="00473D55">
            <w:pPr>
              <w:spacing w:before="60" w:after="60"/>
              <w:jc w:val="both"/>
              <w:rPr>
                <w:rFonts w:asciiTheme="majorBidi" w:hAnsiTheme="majorBidi" w:cstheme="majorBidi"/>
                <w:sz w:val="23"/>
                <w:szCs w:val="23"/>
              </w:rPr>
            </w:pPr>
            <w:r w:rsidRPr="00B9614C">
              <w:rPr>
                <w:rFonts w:asciiTheme="majorBidi" w:hAnsiTheme="majorBidi" w:cstheme="majorBidi"/>
                <w:sz w:val="23"/>
                <w:szCs w:val="23"/>
              </w:rPr>
              <w:t>Urban</w:t>
            </w:r>
          </w:p>
          <w:p w:rsidR="006E1590" w:rsidRPr="00B9614C" w:rsidRDefault="006E1590" w:rsidP="00473D55">
            <w:pPr>
              <w:spacing w:before="60" w:after="60"/>
              <w:jc w:val="both"/>
              <w:rPr>
                <w:rFonts w:asciiTheme="majorBidi" w:hAnsiTheme="majorBidi" w:cstheme="majorBidi"/>
                <w:sz w:val="23"/>
                <w:szCs w:val="23"/>
              </w:rPr>
            </w:pPr>
            <w:r w:rsidRPr="00B9614C">
              <w:rPr>
                <w:rFonts w:asciiTheme="majorBidi" w:hAnsiTheme="majorBidi" w:cstheme="majorBidi"/>
                <w:sz w:val="23"/>
                <w:szCs w:val="23"/>
              </w:rPr>
              <w:t>Rural</w:t>
            </w:r>
          </w:p>
        </w:tc>
        <w:tc>
          <w:tcPr>
            <w:tcW w:w="2000" w:type="dxa"/>
            <w:tcBorders>
              <w:top w:val="single" w:sz="4" w:space="0" w:color="auto"/>
              <w:left w:val="single" w:sz="4" w:space="0" w:color="auto"/>
              <w:bottom w:val="single" w:sz="4" w:space="0" w:color="auto"/>
              <w:right w:val="nil"/>
            </w:tcBorders>
            <w:hideMark/>
          </w:tcPr>
          <w:p w:rsidR="006E1590" w:rsidRPr="00B9614C" w:rsidRDefault="006E1590" w:rsidP="00473D55">
            <w:pPr>
              <w:spacing w:before="60" w:after="60"/>
              <w:jc w:val="both"/>
              <w:rPr>
                <w:rFonts w:asciiTheme="majorBidi" w:hAnsiTheme="majorBidi" w:cstheme="majorBidi"/>
                <w:sz w:val="23"/>
                <w:szCs w:val="23"/>
              </w:rPr>
            </w:pPr>
            <w:r w:rsidRPr="00B9614C">
              <w:rPr>
                <w:rFonts w:asciiTheme="majorBidi" w:hAnsiTheme="majorBidi" w:cstheme="majorBidi"/>
                <w:sz w:val="23"/>
                <w:szCs w:val="23"/>
              </w:rPr>
              <w:t>14 (47)</w:t>
            </w:r>
          </w:p>
          <w:p w:rsidR="006E1590" w:rsidRPr="00B9614C" w:rsidRDefault="006E1590" w:rsidP="00473D55">
            <w:pPr>
              <w:spacing w:before="60" w:after="60"/>
              <w:jc w:val="both"/>
              <w:rPr>
                <w:rFonts w:asciiTheme="majorBidi" w:hAnsiTheme="majorBidi" w:cstheme="majorBidi"/>
                <w:sz w:val="23"/>
                <w:szCs w:val="23"/>
              </w:rPr>
            </w:pPr>
            <w:r w:rsidRPr="00B9614C">
              <w:rPr>
                <w:rFonts w:asciiTheme="majorBidi" w:hAnsiTheme="majorBidi" w:cstheme="majorBidi"/>
                <w:sz w:val="23"/>
                <w:szCs w:val="23"/>
              </w:rPr>
              <w:t>16 (53)</w:t>
            </w:r>
          </w:p>
        </w:tc>
      </w:tr>
      <w:tr w:rsidR="00B9614C" w:rsidRPr="00B9614C" w:rsidTr="007F273F">
        <w:trPr>
          <w:trHeight w:val="1812"/>
        </w:trPr>
        <w:tc>
          <w:tcPr>
            <w:tcW w:w="5387" w:type="dxa"/>
            <w:tcBorders>
              <w:top w:val="single" w:sz="4" w:space="0" w:color="auto"/>
              <w:left w:val="nil"/>
              <w:bottom w:val="single" w:sz="4" w:space="0" w:color="auto"/>
              <w:right w:val="single" w:sz="4" w:space="0" w:color="auto"/>
            </w:tcBorders>
            <w:hideMark/>
          </w:tcPr>
          <w:p w:rsidR="006E1590" w:rsidRPr="00B9614C" w:rsidRDefault="006E1590" w:rsidP="00473D55">
            <w:pPr>
              <w:spacing w:before="60" w:after="60"/>
              <w:jc w:val="both"/>
              <w:rPr>
                <w:rFonts w:asciiTheme="majorBidi" w:hAnsiTheme="majorBidi" w:cstheme="majorBidi"/>
                <w:sz w:val="23"/>
                <w:szCs w:val="23"/>
              </w:rPr>
            </w:pPr>
            <w:r w:rsidRPr="00B9614C">
              <w:rPr>
                <w:rFonts w:asciiTheme="majorBidi" w:hAnsiTheme="majorBidi" w:cstheme="majorBidi"/>
                <w:sz w:val="23"/>
                <w:szCs w:val="23"/>
              </w:rPr>
              <w:t>Social class</w:t>
            </w:r>
          </w:p>
        </w:tc>
        <w:tc>
          <w:tcPr>
            <w:tcW w:w="2213" w:type="dxa"/>
            <w:tcBorders>
              <w:top w:val="single" w:sz="4" w:space="0" w:color="auto"/>
              <w:left w:val="single" w:sz="4" w:space="0" w:color="auto"/>
              <w:bottom w:val="single" w:sz="4" w:space="0" w:color="auto"/>
              <w:right w:val="single" w:sz="4" w:space="0" w:color="auto"/>
            </w:tcBorders>
            <w:hideMark/>
          </w:tcPr>
          <w:p w:rsidR="006E1590" w:rsidRPr="00B9614C" w:rsidRDefault="006E1590" w:rsidP="00473D55">
            <w:pPr>
              <w:spacing w:before="60" w:after="60"/>
              <w:jc w:val="both"/>
              <w:rPr>
                <w:rFonts w:asciiTheme="majorBidi" w:hAnsiTheme="majorBidi" w:cstheme="majorBidi"/>
                <w:sz w:val="23"/>
                <w:szCs w:val="23"/>
                <w:lang w:val="da-DK"/>
              </w:rPr>
            </w:pPr>
            <w:r w:rsidRPr="00B9614C">
              <w:rPr>
                <w:rFonts w:asciiTheme="majorBidi" w:hAnsiTheme="majorBidi" w:cstheme="majorBidi"/>
                <w:sz w:val="23"/>
                <w:szCs w:val="23"/>
                <w:lang w:val="da-DK"/>
              </w:rPr>
              <w:t>I</w:t>
            </w:r>
          </w:p>
          <w:p w:rsidR="006E1590" w:rsidRPr="00B9614C" w:rsidRDefault="006E1590" w:rsidP="00473D55">
            <w:pPr>
              <w:spacing w:before="60" w:after="60"/>
              <w:jc w:val="both"/>
              <w:rPr>
                <w:rFonts w:asciiTheme="majorBidi" w:hAnsiTheme="majorBidi" w:cstheme="majorBidi"/>
                <w:sz w:val="23"/>
                <w:szCs w:val="23"/>
                <w:lang w:val="da-DK"/>
              </w:rPr>
            </w:pPr>
            <w:r w:rsidRPr="00B9614C">
              <w:rPr>
                <w:rFonts w:asciiTheme="majorBidi" w:hAnsiTheme="majorBidi" w:cstheme="majorBidi"/>
                <w:sz w:val="23"/>
                <w:szCs w:val="23"/>
                <w:lang w:val="da-DK"/>
              </w:rPr>
              <w:t>II</w:t>
            </w:r>
          </w:p>
          <w:p w:rsidR="006E1590" w:rsidRPr="00B9614C" w:rsidRDefault="006E1590" w:rsidP="00473D55">
            <w:pPr>
              <w:spacing w:before="60" w:after="60"/>
              <w:jc w:val="both"/>
              <w:rPr>
                <w:rFonts w:asciiTheme="majorBidi" w:hAnsiTheme="majorBidi" w:cstheme="majorBidi"/>
                <w:sz w:val="23"/>
                <w:szCs w:val="23"/>
                <w:lang w:val="da-DK"/>
              </w:rPr>
            </w:pPr>
            <w:r w:rsidRPr="00B9614C">
              <w:rPr>
                <w:rFonts w:asciiTheme="majorBidi" w:hAnsiTheme="majorBidi" w:cstheme="majorBidi"/>
                <w:sz w:val="23"/>
                <w:szCs w:val="23"/>
                <w:lang w:val="da-DK"/>
              </w:rPr>
              <w:t>IIIN</w:t>
            </w:r>
          </w:p>
          <w:p w:rsidR="006E1590" w:rsidRPr="00B9614C" w:rsidRDefault="006E1590" w:rsidP="00473D55">
            <w:pPr>
              <w:spacing w:before="60" w:after="60"/>
              <w:jc w:val="both"/>
              <w:rPr>
                <w:rFonts w:asciiTheme="majorBidi" w:hAnsiTheme="majorBidi" w:cstheme="majorBidi"/>
                <w:sz w:val="23"/>
                <w:szCs w:val="23"/>
                <w:lang w:val="da-DK"/>
              </w:rPr>
            </w:pPr>
            <w:r w:rsidRPr="00B9614C">
              <w:rPr>
                <w:rFonts w:asciiTheme="majorBidi" w:hAnsiTheme="majorBidi" w:cstheme="majorBidi"/>
                <w:sz w:val="23"/>
                <w:szCs w:val="23"/>
                <w:lang w:val="da-DK"/>
              </w:rPr>
              <w:t>IIIM</w:t>
            </w:r>
          </w:p>
          <w:p w:rsidR="006E1590" w:rsidRPr="00B9614C" w:rsidRDefault="006E1590" w:rsidP="00473D55">
            <w:pPr>
              <w:spacing w:before="60" w:after="60"/>
              <w:jc w:val="both"/>
              <w:rPr>
                <w:rFonts w:asciiTheme="majorBidi" w:hAnsiTheme="majorBidi" w:cstheme="majorBidi"/>
                <w:sz w:val="23"/>
                <w:szCs w:val="23"/>
                <w:lang w:val="da-DK"/>
              </w:rPr>
            </w:pPr>
            <w:r w:rsidRPr="00B9614C">
              <w:rPr>
                <w:rFonts w:asciiTheme="majorBidi" w:hAnsiTheme="majorBidi" w:cstheme="majorBidi"/>
                <w:sz w:val="23"/>
                <w:szCs w:val="23"/>
                <w:lang w:val="da-DK"/>
              </w:rPr>
              <w:t>IV</w:t>
            </w:r>
          </w:p>
          <w:p w:rsidR="006E1590" w:rsidRPr="00B9614C" w:rsidRDefault="006E1590" w:rsidP="00473D55">
            <w:pPr>
              <w:spacing w:before="60" w:after="60"/>
              <w:jc w:val="both"/>
              <w:rPr>
                <w:rFonts w:asciiTheme="majorBidi" w:hAnsiTheme="majorBidi" w:cstheme="majorBidi"/>
                <w:sz w:val="23"/>
                <w:szCs w:val="23"/>
                <w:lang w:val="da-DK"/>
              </w:rPr>
            </w:pPr>
            <w:r w:rsidRPr="00B9614C">
              <w:rPr>
                <w:rFonts w:asciiTheme="majorBidi" w:hAnsiTheme="majorBidi" w:cstheme="majorBidi"/>
                <w:sz w:val="23"/>
                <w:szCs w:val="23"/>
                <w:lang w:val="da-DK"/>
              </w:rPr>
              <w:t>V</w:t>
            </w:r>
          </w:p>
        </w:tc>
        <w:tc>
          <w:tcPr>
            <w:tcW w:w="2000" w:type="dxa"/>
            <w:tcBorders>
              <w:top w:val="single" w:sz="4" w:space="0" w:color="auto"/>
              <w:left w:val="single" w:sz="4" w:space="0" w:color="auto"/>
              <w:bottom w:val="single" w:sz="4" w:space="0" w:color="auto"/>
              <w:right w:val="nil"/>
            </w:tcBorders>
            <w:hideMark/>
          </w:tcPr>
          <w:p w:rsidR="006E1590" w:rsidRPr="00B9614C" w:rsidRDefault="006E1590" w:rsidP="00473D55">
            <w:pPr>
              <w:spacing w:before="60" w:after="60"/>
              <w:jc w:val="both"/>
              <w:rPr>
                <w:rFonts w:asciiTheme="majorBidi" w:hAnsiTheme="majorBidi" w:cstheme="majorBidi"/>
                <w:sz w:val="23"/>
                <w:szCs w:val="23"/>
              </w:rPr>
            </w:pPr>
            <w:r w:rsidRPr="00B9614C">
              <w:rPr>
                <w:rFonts w:asciiTheme="majorBidi" w:hAnsiTheme="majorBidi" w:cstheme="majorBidi"/>
                <w:sz w:val="23"/>
                <w:szCs w:val="23"/>
              </w:rPr>
              <w:t xml:space="preserve">  3 (10)</w:t>
            </w:r>
          </w:p>
          <w:p w:rsidR="006E1590" w:rsidRPr="00B9614C" w:rsidRDefault="006E1590" w:rsidP="00473D55">
            <w:pPr>
              <w:spacing w:before="60" w:after="60"/>
              <w:jc w:val="both"/>
              <w:rPr>
                <w:rFonts w:asciiTheme="majorBidi" w:hAnsiTheme="majorBidi" w:cstheme="majorBidi"/>
                <w:sz w:val="23"/>
                <w:szCs w:val="23"/>
              </w:rPr>
            </w:pPr>
            <w:r w:rsidRPr="00B9614C">
              <w:rPr>
                <w:rFonts w:asciiTheme="majorBidi" w:hAnsiTheme="majorBidi" w:cstheme="majorBidi"/>
                <w:sz w:val="23"/>
                <w:szCs w:val="23"/>
              </w:rPr>
              <w:t xml:space="preserve">  6 (20)</w:t>
            </w:r>
          </w:p>
          <w:p w:rsidR="006E1590" w:rsidRPr="00B9614C" w:rsidRDefault="006E1590" w:rsidP="00473D55">
            <w:pPr>
              <w:spacing w:before="60" w:after="60"/>
              <w:jc w:val="both"/>
              <w:rPr>
                <w:rFonts w:asciiTheme="majorBidi" w:hAnsiTheme="majorBidi" w:cstheme="majorBidi"/>
                <w:sz w:val="23"/>
                <w:szCs w:val="23"/>
              </w:rPr>
            </w:pPr>
            <w:r w:rsidRPr="00B9614C">
              <w:rPr>
                <w:rFonts w:asciiTheme="majorBidi" w:hAnsiTheme="majorBidi" w:cstheme="majorBidi"/>
                <w:sz w:val="23"/>
                <w:szCs w:val="23"/>
              </w:rPr>
              <w:t xml:space="preserve">  6 (20)</w:t>
            </w:r>
          </w:p>
          <w:p w:rsidR="006E1590" w:rsidRPr="00B9614C" w:rsidRDefault="006E1590" w:rsidP="00473D55">
            <w:pPr>
              <w:spacing w:before="60" w:after="60"/>
              <w:jc w:val="both"/>
              <w:rPr>
                <w:rFonts w:asciiTheme="majorBidi" w:hAnsiTheme="majorBidi" w:cstheme="majorBidi"/>
                <w:sz w:val="23"/>
                <w:szCs w:val="23"/>
              </w:rPr>
            </w:pPr>
            <w:r w:rsidRPr="00B9614C">
              <w:rPr>
                <w:rFonts w:asciiTheme="majorBidi" w:hAnsiTheme="majorBidi" w:cstheme="majorBidi"/>
                <w:sz w:val="23"/>
                <w:szCs w:val="23"/>
              </w:rPr>
              <w:t>10 (33)</w:t>
            </w:r>
          </w:p>
          <w:p w:rsidR="006E1590" w:rsidRPr="00B9614C" w:rsidRDefault="006E1590" w:rsidP="00473D55">
            <w:pPr>
              <w:spacing w:before="60" w:after="60"/>
              <w:jc w:val="both"/>
              <w:rPr>
                <w:rFonts w:asciiTheme="majorBidi" w:hAnsiTheme="majorBidi" w:cstheme="majorBidi"/>
                <w:sz w:val="23"/>
                <w:szCs w:val="23"/>
              </w:rPr>
            </w:pPr>
            <w:r w:rsidRPr="00B9614C">
              <w:rPr>
                <w:rFonts w:asciiTheme="majorBidi" w:hAnsiTheme="majorBidi" w:cstheme="majorBidi"/>
                <w:sz w:val="23"/>
                <w:szCs w:val="23"/>
              </w:rPr>
              <w:t xml:space="preserve">  5 (17)</w:t>
            </w:r>
          </w:p>
          <w:p w:rsidR="006E1590" w:rsidRPr="00B9614C" w:rsidRDefault="006E1590" w:rsidP="00473D55">
            <w:pPr>
              <w:spacing w:before="60" w:after="60"/>
              <w:jc w:val="both"/>
              <w:rPr>
                <w:rFonts w:asciiTheme="majorBidi" w:hAnsiTheme="majorBidi" w:cstheme="majorBidi"/>
                <w:sz w:val="23"/>
                <w:szCs w:val="23"/>
              </w:rPr>
            </w:pPr>
            <w:r w:rsidRPr="00B9614C">
              <w:rPr>
                <w:rFonts w:asciiTheme="majorBidi" w:hAnsiTheme="majorBidi" w:cstheme="majorBidi"/>
                <w:sz w:val="23"/>
                <w:szCs w:val="23"/>
              </w:rPr>
              <w:t xml:space="preserve">  0</w:t>
            </w:r>
          </w:p>
        </w:tc>
      </w:tr>
    </w:tbl>
    <w:p w:rsidR="000F7A32" w:rsidRPr="00B9614C" w:rsidRDefault="000F7A32" w:rsidP="00473D55">
      <w:pPr>
        <w:jc w:val="both"/>
      </w:pPr>
    </w:p>
    <w:p w:rsidR="006E1590" w:rsidRPr="00B9614C" w:rsidRDefault="006E1590" w:rsidP="00473D55">
      <w:pPr>
        <w:jc w:val="both"/>
      </w:pPr>
    </w:p>
    <w:p w:rsidR="006E1590" w:rsidRPr="00B9614C" w:rsidRDefault="006E1590" w:rsidP="00473D55">
      <w:pPr>
        <w:jc w:val="both"/>
      </w:pPr>
    </w:p>
    <w:p w:rsidR="006E1590" w:rsidRPr="00B9614C" w:rsidRDefault="006E1590" w:rsidP="00473D55">
      <w:pPr>
        <w:jc w:val="both"/>
      </w:pPr>
    </w:p>
    <w:p w:rsidR="006E1590" w:rsidRPr="00B9614C" w:rsidRDefault="006E1590" w:rsidP="00473D55">
      <w:pPr>
        <w:jc w:val="both"/>
      </w:pPr>
    </w:p>
    <w:p w:rsidR="006E1590" w:rsidRPr="00B9614C" w:rsidRDefault="006E1590" w:rsidP="00473D55">
      <w:pPr>
        <w:jc w:val="both"/>
      </w:pPr>
    </w:p>
    <w:tbl>
      <w:tblPr>
        <w:tblStyle w:val="TableGrid"/>
        <w:tblW w:w="9606" w:type="dxa"/>
        <w:tblLook w:val="04A0" w:firstRow="1" w:lastRow="0" w:firstColumn="1" w:lastColumn="0" w:noHBand="0" w:noVBand="1"/>
      </w:tblPr>
      <w:tblGrid>
        <w:gridCol w:w="1951"/>
        <w:gridCol w:w="2430"/>
        <w:gridCol w:w="121"/>
        <w:gridCol w:w="2309"/>
        <w:gridCol w:w="243"/>
        <w:gridCol w:w="2552"/>
      </w:tblGrid>
      <w:tr w:rsidR="00B9614C" w:rsidRPr="00B9614C" w:rsidTr="007F273F">
        <w:tc>
          <w:tcPr>
            <w:tcW w:w="9606" w:type="dxa"/>
            <w:gridSpan w:val="6"/>
            <w:tcBorders>
              <w:top w:val="single" w:sz="4" w:space="0" w:color="auto"/>
              <w:left w:val="nil"/>
              <w:bottom w:val="nil"/>
              <w:right w:val="nil"/>
            </w:tcBorders>
            <w:shd w:val="clear" w:color="auto" w:fill="BFBFBF" w:themeFill="background1" w:themeFillShade="BF"/>
          </w:tcPr>
          <w:p w:rsidR="006E1590" w:rsidRPr="00B9614C" w:rsidRDefault="006E1590" w:rsidP="00473D55">
            <w:pPr>
              <w:jc w:val="both"/>
              <w:rPr>
                <w:rFonts w:asciiTheme="majorBidi" w:hAnsiTheme="majorBidi" w:cstheme="majorBidi"/>
                <w:noProof/>
              </w:rPr>
            </w:pPr>
            <w:r w:rsidRPr="00B9614C">
              <w:rPr>
                <w:rFonts w:asciiTheme="majorBidi" w:hAnsiTheme="majorBidi" w:cstheme="majorBidi"/>
                <w:noProof/>
              </w:rPr>
              <w:t>Table 2: Summary of Patterns of Adherence</w:t>
            </w:r>
          </w:p>
          <w:p w:rsidR="006E1590" w:rsidRPr="00B9614C" w:rsidRDefault="006E1590" w:rsidP="00473D55">
            <w:pPr>
              <w:jc w:val="both"/>
              <w:rPr>
                <w:rFonts w:asciiTheme="majorBidi" w:hAnsiTheme="majorBidi" w:cstheme="majorBidi"/>
              </w:rPr>
            </w:pPr>
          </w:p>
        </w:tc>
      </w:tr>
      <w:tr w:rsidR="00B9614C" w:rsidRPr="00B9614C" w:rsidTr="007F273F">
        <w:trPr>
          <w:trHeight w:val="507"/>
        </w:trPr>
        <w:tc>
          <w:tcPr>
            <w:tcW w:w="1951" w:type="dxa"/>
            <w:tcBorders>
              <w:top w:val="nil"/>
              <w:left w:val="nil"/>
              <w:bottom w:val="single" w:sz="4" w:space="0" w:color="BFBFBF" w:themeColor="background1" w:themeShade="BF"/>
              <w:right w:val="single" w:sz="4" w:space="0" w:color="BFBFBF" w:themeColor="background1" w:themeShade="BF"/>
            </w:tcBorders>
            <w:shd w:val="clear" w:color="auto" w:fill="BFBFBF" w:themeFill="background1" w:themeFillShade="BF"/>
          </w:tcPr>
          <w:p w:rsidR="006E1590" w:rsidRPr="00B9614C" w:rsidRDefault="006E1590" w:rsidP="00473D55">
            <w:pPr>
              <w:jc w:val="both"/>
              <w:rPr>
                <w:rFonts w:asciiTheme="majorBidi" w:hAnsiTheme="majorBidi" w:cstheme="majorBidi"/>
                <w:noProof/>
              </w:rPr>
            </w:pPr>
          </w:p>
        </w:tc>
        <w:tc>
          <w:tcPr>
            <w:tcW w:w="2430" w:type="dxa"/>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hideMark/>
          </w:tcPr>
          <w:p w:rsidR="006E1590" w:rsidRPr="00B9614C" w:rsidRDefault="006E1590" w:rsidP="00473D55">
            <w:pPr>
              <w:jc w:val="both"/>
              <w:rPr>
                <w:rFonts w:asciiTheme="majorBidi" w:hAnsiTheme="majorBidi" w:cstheme="majorBidi"/>
                <w:noProof/>
              </w:rPr>
            </w:pPr>
            <w:r w:rsidRPr="00B9614C">
              <w:rPr>
                <w:rFonts w:asciiTheme="majorBidi" w:hAnsiTheme="majorBidi" w:cstheme="majorBidi"/>
                <w:noProof/>
              </w:rPr>
              <w:t>Bisphosphonates</w:t>
            </w:r>
          </w:p>
          <w:p w:rsidR="006E1590" w:rsidRPr="00B9614C" w:rsidRDefault="006E1590" w:rsidP="00473D55">
            <w:pPr>
              <w:jc w:val="both"/>
              <w:rPr>
                <w:rFonts w:asciiTheme="majorBidi" w:hAnsiTheme="majorBidi" w:cstheme="majorBidi"/>
                <w:noProof/>
              </w:rPr>
            </w:pPr>
          </w:p>
          <w:p w:rsidR="006E1590" w:rsidRPr="00B9614C" w:rsidRDefault="006E1590" w:rsidP="00473D55">
            <w:pPr>
              <w:spacing w:before="120"/>
              <w:jc w:val="both"/>
              <w:rPr>
                <w:rFonts w:asciiTheme="majorBidi" w:hAnsiTheme="majorBidi" w:cstheme="majorBidi"/>
                <w:noProof/>
              </w:rPr>
            </w:pPr>
            <w:r w:rsidRPr="00B9614C">
              <w:rPr>
                <w:rFonts w:asciiTheme="majorBidi" w:hAnsiTheme="majorBidi" w:cstheme="majorBidi"/>
                <w:noProof/>
              </w:rPr>
              <w:t>N (%)</w:t>
            </w:r>
          </w:p>
        </w:tc>
        <w:tc>
          <w:tcPr>
            <w:tcW w:w="2430" w:type="dxa"/>
            <w:gridSpan w:val="2"/>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hideMark/>
          </w:tcPr>
          <w:p w:rsidR="006E1590" w:rsidRPr="00B9614C" w:rsidRDefault="006E1590" w:rsidP="00473D55">
            <w:pPr>
              <w:jc w:val="both"/>
              <w:rPr>
                <w:rFonts w:asciiTheme="majorBidi" w:hAnsiTheme="majorBidi" w:cstheme="majorBidi"/>
                <w:noProof/>
              </w:rPr>
            </w:pPr>
            <w:r w:rsidRPr="00B9614C">
              <w:rPr>
                <w:rFonts w:asciiTheme="majorBidi" w:hAnsiTheme="majorBidi" w:cstheme="majorBidi"/>
                <w:noProof/>
              </w:rPr>
              <w:t>Calcium Supplements</w:t>
            </w:r>
          </w:p>
          <w:p w:rsidR="006E1590" w:rsidRPr="00B9614C" w:rsidRDefault="006E1590" w:rsidP="00473D55">
            <w:pPr>
              <w:jc w:val="both"/>
              <w:rPr>
                <w:rFonts w:asciiTheme="majorBidi" w:hAnsiTheme="majorBidi" w:cstheme="majorBidi"/>
                <w:noProof/>
              </w:rPr>
            </w:pPr>
          </w:p>
          <w:p w:rsidR="006E1590" w:rsidRPr="00B9614C" w:rsidRDefault="006E1590" w:rsidP="00473D55">
            <w:pPr>
              <w:spacing w:before="120"/>
              <w:jc w:val="both"/>
              <w:rPr>
                <w:rFonts w:asciiTheme="majorBidi" w:hAnsiTheme="majorBidi" w:cstheme="majorBidi"/>
                <w:noProof/>
              </w:rPr>
            </w:pPr>
            <w:r w:rsidRPr="00B9614C">
              <w:rPr>
                <w:rFonts w:asciiTheme="majorBidi" w:hAnsiTheme="majorBidi" w:cstheme="majorBidi"/>
                <w:noProof/>
              </w:rPr>
              <w:t>N (%)</w:t>
            </w:r>
          </w:p>
        </w:tc>
        <w:tc>
          <w:tcPr>
            <w:tcW w:w="2795" w:type="dxa"/>
            <w:gridSpan w:val="2"/>
            <w:tcBorders>
              <w:top w:val="nil"/>
              <w:left w:val="single" w:sz="4" w:space="0" w:color="BFBFBF" w:themeColor="background1" w:themeShade="BF"/>
              <w:bottom w:val="single" w:sz="4" w:space="0" w:color="BFBFBF" w:themeColor="background1" w:themeShade="BF"/>
              <w:right w:val="nil"/>
            </w:tcBorders>
            <w:shd w:val="clear" w:color="auto" w:fill="BFBFBF" w:themeFill="background1" w:themeFillShade="BF"/>
            <w:hideMark/>
          </w:tcPr>
          <w:p w:rsidR="006E1590" w:rsidRPr="00B9614C" w:rsidRDefault="006E1590" w:rsidP="00473D55">
            <w:pPr>
              <w:jc w:val="both"/>
              <w:rPr>
                <w:rFonts w:asciiTheme="majorBidi" w:hAnsiTheme="majorBidi" w:cstheme="majorBidi"/>
                <w:noProof/>
              </w:rPr>
            </w:pPr>
            <w:r w:rsidRPr="00B9614C">
              <w:rPr>
                <w:rFonts w:asciiTheme="majorBidi" w:hAnsiTheme="majorBidi" w:cstheme="majorBidi"/>
                <w:noProof/>
              </w:rPr>
              <w:t>Bisphosphonates &amp; Calcium Supplements</w:t>
            </w:r>
          </w:p>
          <w:p w:rsidR="006E1590" w:rsidRPr="00B9614C" w:rsidRDefault="006E1590" w:rsidP="00473D55">
            <w:pPr>
              <w:spacing w:before="120"/>
              <w:jc w:val="both"/>
              <w:rPr>
                <w:rFonts w:asciiTheme="majorBidi" w:hAnsiTheme="majorBidi" w:cstheme="majorBidi"/>
                <w:noProof/>
              </w:rPr>
            </w:pPr>
            <w:r w:rsidRPr="00B9614C">
              <w:rPr>
                <w:rFonts w:asciiTheme="majorBidi" w:hAnsiTheme="majorBidi" w:cstheme="majorBidi"/>
                <w:noProof/>
              </w:rPr>
              <w:t>N (%)</w:t>
            </w:r>
          </w:p>
        </w:tc>
      </w:tr>
      <w:tr w:rsidR="00B9614C" w:rsidRPr="00B9614C" w:rsidTr="007F273F">
        <w:trPr>
          <w:trHeight w:val="1592"/>
        </w:trPr>
        <w:tc>
          <w:tcPr>
            <w:tcW w:w="1951" w:type="dxa"/>
            <w:tcBorders>
              <w:top w:val="single" w:sz="4" w:space="0" w:color="auto"/>
              <w:left w:val="nil"/>
              <w:right w:val="single" w:sz="4" w:space="0" w:color="auto"/>
            </w:tcBorders>
            <w:hideMark/>
          </w:tcPr>
          <w:p w:rsidR="006E1590" w:rsidRPr="00B9614C" w:rsidRDefault="006E1590" w:rsidP="00473D55">
            <w:pPr>
              <w:spacing w:before="60" w:after="60"/>
              <w:jc w:val="both"/>
              <w:rPr>
                <w:rFonts w:asciiTheme="majorBidi" w:hAnsiTheme="majorBidi" w:cstheme="majorBidi"/>
                <w:b/>
                <w:noProof/>
              </w:rPr>
            </w:pPr>
            <w:r w:rsidRPr="00B9614C">
              <w:rPr>
                <w:rFonts w:asciiTheme="majorBidi" w:hAnsiTheme="majorBidi" w:cstheme="majorBidi"/>
                <w:b/>
                <w:noProof/>
              </w:rPr>
              <w:t>Phase 1</w:t>
            </w:r>
          </w:p>
          <w:p w:rsidR="006E1590" w:rsidRPr="00B9614C" w:rsidRDefault="006E1590" w:rsidP="00473D55">
            <w:pPr>
              <w:spacing w:before="60" w:after="60"/>
              <w:jc w:val="both"/>
              <w:rPr>
                <w:rFonts w:asciiTheme="majorBidi" w:hAnsiTheme="majorBidi" w:cstheme="majorBidi"/>
                <w:b/>
                <w:noProof/>
              </w:rPr>
            </w:pPr>
            <w:r w:rsidRPr="00B9614C">
              <w:rPr>
                <w:rFonts w:asciiTheme="majorBidi" w:hAnsiTheme="majorBidi" w:cstheme="majorBidi"/>
                <w:noProof/>
              </w:rPr>
              <w:t>Adherent</w:t>
            </w:r>
          </w:p>
          <w:p w:rsidR="006E1590" w:rsidRPr="00B9614C" w:rsidRDefault="006E1590" w:rsidP="00473D55">
            <w:pPr>
              <w:spacing w:before="60" w:after="60"/>
              <w:jc w:val="both"/>
              <w:rPr>
                <w:rFonts w:asciiTheme="majorBidi" w:hAnsiTheme="majorBidi" w:cstheme="majorBidi"/>
                <w:b/>
                <w:noProof/>
              </w:rPr>
            </w:pPr>
            <w:r w:rsidRPr="00B9614C">
              <w:rPr>
                <w:rFonts w:asciiTheme="majorBidi" w:hAnsiTheme="majorBidi" w:cstheme="majorBidi"/>
                <w:noProof/>
              </w:rPr>
              <w:t>Non-adherent</w:t>
            </w:r>
          </w:p>
          <w:p w:rsidR="006E1590" w:rsidRPr="00B9614C" w:rsidRDefault="006E1590" w:rsidP="00473D55">
            <w:pPr>
              <w:spacing w:before="60" w:after="60"/>
              <w:jc w:val="both"/>
              <w:rPr>
                <w:rFonts w:asciiTheme="majorBidi" w:hAnsiTheme="majorBidi" w:cstheme="majorBidi"/>
                <w:b/>
                <w:noProof/>
              </w:rPr>
            </w:pPr>
            <w:r w:rsidRPr="00B9614C">
              <w:rPr>
                <w:rFonts w:asciiTheme="majorBidi" w:hAnsiTheme="majorBidi" w:cstheme="majorBidi"/>
                <w:noProof/>
              </w:rPr>
              <w:t>Not prescribed</w:t>
            </w:r>
          </w:p>
          <w:p w:rsidR="006E1590" w:rsidRPr="00B9614C" w:rsidRDefault="006E1590" w:rsidP="00473D55">
            <w:pPr>
              <w:spacing w:before="60" w:after="60"/>
              <w:jc w:val="both"/>
              <w:rPr>
                <w:rFonts w:asciiTheme="majorBidi" w:hAnsiTheme="majorBidi" w:cstheme="majorBidi"/>
                <w:b/>
                <w:noProof/>
              </w:rPr>
            </w:pPr>
            <w:r w:rsidRPr="00B9614C">
              <w:rPr>
                <w:rFonts w:asciiTheme="majorBidi" w:hAnsiTheme="majorBidi" w:cstheme="majorBidi"/>
                <w:noProof/>
              </w:rPr>
              <w:t>Total</w:t>
            </w:r>
          </w:p>
        </w:tc>
        <w:tc>
          <w:tcPr>
            <w:tcW w:w="2551" w:type="dxa"/>
            <w:gridSpan w:val="2"/>
            <w:tcBorders>
              <w:top w:val="single" w:sz="4" w:space="0" w:color="auto"/>
              <w:left w:val="single" w:sz="4" w:space="0" w:color="auto"/>
              <w:right w:val="single" w:sz="4" w:space="0" w:color="auto"/>
            </w:tcBorders>
          </w:tcPr>
          <w:p w:rsidR="006E1590" w:rsidRPr="00B9614C" w:rsidRDefault="006E1590" w:rsidP="00473D55">
            <w:pPr>
              <w:spacing w:before="60" w:after="60"/>
              <w:jc w:val="both"/>
              <w:rPr>
                <w:rFonts w:asciiTheme="majorBidi" w:hAnsiTheme="majorBidi" w:cstheme="majorBidi"/>
                <w:noProof/>
              </w:rPr>
            </w:pPr>
          </w:p>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20 (67)</w:t>
            </w:r>
          </w:p>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10 (33)</w:t>
            </w:r>
          </w:p>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w:t>
            </w:r>
          </w:p>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30 (100)</w:t>
            </w:r>
          </w:p>
        </w:tc>
        <w:tc>
          <w:tcPr>
            <w:tcW w:w="2552" w:type="dxa"/>
            <w:gridSpan w:val="2"/>
            <w:tcBorders>
              <w:top w:val="single" w:sz="4" w:space="0" w:color="auto"/>
              <w:left w:val="single" w:sz="4" w:space="0" w:color="auto"/>
              <w:right w:val="single" w:sz="4" w:space="0" w:color="auto"/>
            </w:tcBorders>
          </w:tcPr>
          <w:p w:rsidR="006E1590" w:rsidRPr="00B9614C" w:rsidRDefault="006E1590" w:rsidP="00473D55">
            <w:pPr>
              <w:spacing w:before="60" w:after="60"/>
              <w:jc w:val="both"/>
              <w:rPr>
                <w:rFonts w:asciiTheme="majorBidi" w:hAnsiTheme="majorBidi" w:cstheme="majorBidi"/>
                <w:noProof/>
              </w:rPr>
            </w:pPr>
          </w:p>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15 (50)</w:t>
            </w:r>
          </w:p>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10 (33)</w:t>
            </w:r>
          </w:p>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 xml:space="preserve"> 5 (17)</w:t>
            </w:r>
          </w:p>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30 (100)</w:t>
            </w:r>
          </w:p>
        </w:tc>
        <w:tc>
          <w:tcPr>
            <w:tcW w:w="2552" w:type="dxa"/>
            <w:tcBorders>
              <w:top w:val="single" w:sz="4" w:space="0" w:color="auto"/>
              <w:left w:val="single" w:sz="4" w:space="0" w:color="auto"/>
              <w:right w:val="nil"/>
            </w:tcBorders>
          </w:tcPr>
          <w:p w:rsidR="006E1590" w:rsidRPr="00B9614C" w:rsidRDefault="006E1590" w:rsidP="00473D55">
            <w:pPr>
              <w:spacing w:before="60" w:after="60"/>
              <w:jc w:val="both"/>
              <w:rPr>
                <w:rFonts w:asciiTheme="majorBidi" w:hAnsiTheme="majorBidi" w:cstheme="majorBidi"/>
                <w:noProof/>
              </w:rPr>
            </w:pPr>
          </w:p>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12 (40)</w:t>
            </w:r>
          </w:p>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13 (43)</w:t>
            </w:r>
          </w:p>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 xml:space="preserve"> 5 (17)</w:t>
            </w:r>
          </w:p>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30 (100)</w:t>
            </w:r>
          </w:p>
        </w:tc>
      </w:tr>
      <w:tr w:rsidR="006E1590" w:rsidRPr="00B9614C" w:rsidTr="007F273F">
        <w:trPr>
          <w:trHeight w:val="1532"/>
        </w:trPr>
        <w:tc>
          <w:tcPr>
            <w:tcW w:w="1951" w:type="dxa"/>
            <w:tcBorders>
              <w:top w:val="single" w:sz="4" w:space="0" w:color="auto"/>
              <w:left w:val="nil"/>
              <w:right w:val="single" w:sz="4" w:space="0" w:color="auto"/>
            </w:tcBorders>
            <w:hideMark/>
          </w:tcPr>
          <w:p w:rsidR="006E1590" w:rsidRPr="00B9614C" w:rsidRDefault="006E1590" w:rsidP="00473D55">
            <w:pPr>
              <w:spacing w:before="60" w:after="60"/>
              <w:jc w:val="both"/>
              <w:rPr>
                <w:rFonts w:asciiTheme="majorBidi" w:hAnsiTheme="majorBidi" w:cstheme="majorBidi"/>
                <w:b/>
                <w:noProof/>
              </w:rPr>
            </w:pPr>
            <w:r w:rsidRPr="00B9614C">
              <w:rPr>
                <w:rFonts w:asciiTheme="majorBidi" w:hAnsiTheme="majorBidi" w:cstheme="majorBidi"/>
                <w:b/>
                <w:noProof/>
              </w:rPr>
              <w:t>Phase 2</w:t>
            </w:r>
          </w:p>
          <w:p w:rsidR="006E1590" w:rsidRPr="00B9614C" w:rsidRDefault="006E1590" w:rsidP="00473D55">
            <w:pPr>
              <w:spacing w:before="60" w:after="60"/>
              <w:jc w:val="both"/>
              <w:rPr>
                <w:rFonts w:asciiTheme="majorBidi" w:hAnsiTheme="majorBidi" w:cstheme="majorBidi"/>
                <w:b/>
                <w:noProof/>
              </w:rPr>
            </w:pPr>
            <w:r w:rsidRPr="00B9614C">
              <w:rPr>
                <w:rFonts w:asciiTheme="majorBidi" w:hAnsiTheme="majorBidi" w:cstheme="majorBidi"/>
                <w:noProof/>
              </w:rPr>
              <w:t>Adherent</w:t>
            </w:r>
          </w:p>
          <w:p w:rsidR="006E1590" w:rsidRPr="00B9614C" w:rsidRDefault="006E1590" w:rsidP="00473D55">
            <w:pPr>
              <w:spacing w:before="60" w:after="60"/>
              <w:jc w:val="both"/>
              <w:rPr>
                <w:rFonts w:asciiTheme="majorBidi" w:hAnsiTheme="majorBidi" w:cstheme="majorBidi"/>
                <w:b/>
                <w:noProof/>
              </w:rPr>
            </w:pPr>
            <w:r w:rsidRPr="00B9614C">
              <w:rPr>
                <w:rFonts w:asciiTheme="majorBidi" w:hAnsiTheme="majorBidi" w:cstheme="majorBidi"/>
                <w:noProof/>
              </w:rPr>
              <w:t>Non-adherent</w:t>
            </w:r>
          </w:p>
          <w:p w:rsidR="006E1590" w:rsidRPr="00B9614C" w:rsidRDefault="006E1590" w:rsidP="00473D55">
            <w:pPr>
              <w:spacing w:before="60" w:after="60"/>
              <w:jc w:val="both"/>
              <w:rPr>
                <w:rFonts w:asciiTheme="majorBidi" w:hAnsiTheme="majorBidi" w:cstheme="majorBidi"/>
                <w:b/>
                <w:noProof/>
              </w:rPr>
            </w:pPr>
            <w:r w:rsidRPr="00B9614C">
              <w:rPr>
                <w:rFonts w:asciiTheme="majorBidi" w:hAnsiTheme="majorBidi" w:cstheme="majorBidi"/>
                <w:noProof/>
              </w:rPr>
              <w:t>Not prescribed</w:t>
            </w:r>
          </w:p>
          <w:p w:rsidR="006E1590" w:rsidRPr="00B9614C" w:rsidRDefault="006E1590" w:rsidP="00473D55">
            <w:pPr>
              <w:spacing w:before="60" w:after="60"/>
              <w:jc w:val="both"/>
              <w:rPr>
                <w:rFonts w:asciiTheme="majorBidi" w:hAnsiTheme="majorBidi" w:cstheme="majorBidi"/>
                <w:b/>
                <w:noProof/>
              </w:rPr>
            </w:pPr>
            <w:r w:rsidRPr="00B9614C">
              <w:rPr>
                <w:rFonts w:asciiTheme="majorBidi" w:hAnsiTheme="majorBidi" w:cstheme="majorBidi"/>
                <w:noProof/>
              </w:rPr>
              <w:t>Total</w:t>
            </w:r>
          </w:p>
        </w:tc>
        <w:tc>
          <w:tcPr>
            <w:tcW w:w="2551" w:type="dxa"/>
            <w:gridSpan w:val="2"/>
            <w:tcBorders>
              <w:top w:val="single" w:sz="4" w:space="0" w:color="auto"/>
              <w:left w:val="single" w:sz="4" w:space="0" w:color="auto"/>
              <w:right w:val="single" w:sz="4" w:space="0" w:color="auto"/>
            </w:tcBorders>
          </w:tcPr>
          <w:p w:rsidR="006E1590" w:rsidRPr="00B9614C" w:rsidRDefault="006E1590" w:rsidP="00473D55">
            <w:pPr>
              <w:spacing w:before="60" w:after="60"/>
              <w:jc w:val="both"/>
              <w:rPr>
                <w:rFonts w:asciiTheme="majorBidi" w:hAnsiTheme="majorBidi" w:cstheme="majorBidi"/>
                <w:noProof/>
              </w:rPr>
            </w:pPr>
          </w:p>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14 (56)</w:t>
            </w:r>
          </w:p>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11 (44)</w:t>
            </w:r>
          </w:p>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w:t>
            </w:r>
          </w:p>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25 (100)</w:t>
            </w:r>
          </w:p>
        </w:tc>
        <w:tc>
          <w:tcPr>
            <w:tcW w:w="2552" w:type="dxa"/>
            <w:gridSpan w:val="2"/>
            <w:tcBorders>
              <w:top w:val="single" w:sz="4" w:space="0" w:color="auto"/>
              <w:left w:val="single" w:sz="4" w:space="0" w:color="auto"/>
              <w:right w:val="single" w:sz="4" w:space="0" w:color="auto"/>
            </w:tcBorders>
          </w:tcPr>
          <w:p w:rsidR="006E1590" w:rsidRPr="00B9614C" w:rsidRDefault="006E1590" w:rsidP="00473D55">
            <w:pPr>
              <w:spacing w:before="60" w:after="60"/>
              <w:jc w:val="both"/>
              <w:rPr>
                <w:rFonts w:asciiTheme="majorBidi" w:hAnsiTheme="majorBidi" w:cstheme="majorBidi"/>
                <w:noProof/>
              </w:rPr>
            </w:pPr>
          </w:p>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12 (48)</w:t>
            </w:r>
          </w:p>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 xml:space="preserve"> 9 (36)</w:t>
            </w:r>
          </w:p>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 xml:space="preserve"> 4 (16)</w:t>
            </w:r>
          </w:p>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25 (100)</w:t>
            </w:r>
          </w:p>
        </w:tc>
        <w:tc>
          <w:tcPr>
            <w:tcW w:w="2552" w:type="dxa"/>
            <w:tcBorders>
              <w:top w:val="single" w:sz="4" w:space="0" w:color="auto"/>
              <w:left w:val="single" w:sz="4" w:space="0" w:color="auto"/>
              <w:right w:val="nil"/>
            </w:tcBorders>
          </w:tcPr>
          <w:p w:rsidR="006E1590" w:rsidRPr="00B9614C" w:rsidRDefault="006E1590" w:rsidP="00473D55">
            <w:pPr>
              <w:spacing w:before="60" w:after="60"/>
              <w:jc w:val="both"/>
              <w:rPr>
                <w:rFonts w:asciiTheme="majorBidi" w:hAnsiTheme="majorBidi" w:cstheme="majorBidi"/>
                <w:noProof/>
              </w:rPr>
            </w:pPr>
          </w:p>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 xml:space="preserve"> 9 (36)</w:t>
            </w:r>
          </w:p>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12 (48)</w:t>
            </w:r>
          </w:p>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 xml:space="preserve"> 4 (16)</w:t>
            </w:r>
          </w:p>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25 (100)</w:t>
            </w:r>
          </w:p>
        </w:tc>
      </w:tr>
    </w:tbl>
    <w:p w:rsidR="006E1590" w:rsidRPr="00B9614C" w:rsidRDefault="006E1590" w:rsidP="00473D55">
      <w:pPr>
        <w:jc w:val="both"/>
      </w:pPr>
    </w:p>
    <w:p w:rsidR="006E1590" w:rsidRPr="00B9614C" w:rsidRDefault="006E1590" w:rsidP="00473D55">
      <w:pPr>
        <w:jc w:val="both"/>
      </w:pPr>
    </w:p>
    <w:p w:rsidR="006E1590" w:rsidRPr="00B9614C" w:rsidRDefault="006E1590" w:rsidP="00473D55">
      <w:pPr>
        <w:jc w:val="both"/>
      </w:pPr>
    </w:p>
    <w:p w:rsidR="006E1590" w:rsidRPr="00B9614C" w:rsidRDefault="006E1590" w:rsidP="00473D55">
      <w:pPr>
        <w:jc w:val="both"/>
      </w:pPr>
    </w:p>
    <w:p w:rsidR="006E1590" w:rsidRPr="00B9614C" w:rsidRDefault="006E1590" w:rsidP="00473D55">
      <w:pPr>
        <w:jc w:val="both"/>
      </w:pPr>
    </w:p>
    <w:p w:rsidR="006E1590" w:rsidRPr="00B9614C" w:rsidRDefault="006E1590" w:rsidP="00473D55">
      <w:pPr>
        <w:jc w:val="both"/>
      </w:pPr>
    </w:p>
    <w:p w:rsidR="006E1590" w:rsidRPr="00B9614C" w:rsidRDefault="006E1590" w:rsidP="00473D55">
      <w:pPr>
        <w:jc w:val="both"/>
      </w:pPr>
    </w:p>
    <w:p w:rsidR="006E1590" w:rsidRPr="00B9614C" w:rsidRDefault="006E1590" w:rsidP="00473D55">
      <w:pPr>
        <w:jc w:val="both"/>
      </w:pPr>
    </w:p>
    <w:p w:rsidR="006E1590" w:rsidRPr="00B9614C" w:rsidRDefault="006E1590" w:rsidP="00473D55">
      <w:pPr>
        <w:jc w:val="both"/>
      </w:pPr>
    </w:p>
    <w:tbl>
      <w:tblPr>
        <w:tblStyle w:val="TableGrid"/>
        <w:tblW w:w="8897" w:type="dxa"/>
        <w:tblLook w:val="04A0" w:firstRow="1" w:lastRow="0" w:firstColumn="1" w:lastColumn="0" w:noHBand="0" w:noVBand="1"/>
      </w:tblPr>
      <w:tblGrid>
        <w:gridCol w:w="1730"/>
        <w:gridCol w:w="3583"/>
        <w:gridCol w:w="3584"/>
      </w:tblGrid>
      <w:tr w:rsidR="00B9614C" w:rsidRPr="00B9614C" w:rsidTr="007F273F">
        <w:tc>
          <w:tcPr>
            <w:tcW w:w="8897" w:type="dxa"/>
            <w:gridSpan w:val="3"/>
            <w:tcBorders>
              <w:top w:val="single" w:sz="4" w:space="0" w:color="auto"/>
              <w:left w:val="nil"/>
              <w:bottom w:val="nil"/>
              <w:right w:val="nil"/>
            </w:tcBorders>
            <w:shd w:val="clear" w:color="auto" w:fill="BFBFBF" w:themeFill="background1" w:themeFillShade="BF"/>
          </w:tcPr>
          <w:p w:rsidR="006E1590" w:rsidRPr="00B9614C" w:rsidRDefault="006E1590" w:rsidP="00473D55">
            <w:pPr>
              <w:jc w:val="both"/>
            </w:pPr>
            <w:r w:rsidRPr="00B9614C">
              <w:rPr>
                <w:noProof/>
              </w:rPr>
              <w:t xml:space="preserve">Table 3: </w:t>
            </w:r>
            <w:r w:rsidRPr="00B9614C">
              <w:t>Summary of Bisphosphonate medication changes and adherence for participants that experienced side effects at Phase 2 (n=18)</w:t>
            </w:r>
          </w:p>
          <w:p w:rsidR="006E1590" w:rsidRPr="00B9614C" w:rsidRDefault="006E1590" w:rsidP="00473D55">
            <w:pPr>
              <w:jc w:val="both"/>
            </w:pPr>
          </w:p>
        </w:tc>
      </w:tr>
      <w:tr w:rsidR="00B9614C" w:rsidRPr="00B9614C" w:rsidTr="007F273F">
        <w:trPr>
          <w:trHeight w:val="434"/>
        </w:trPr>
        <w:tc>
          <w:tcPr>
            <w:tcW w:w="1730" w:type="dxa"/>
            <w:tcBorders>
              <w:top w:val="nil"/>
              <w:left w:val="nil"/>
              <w:bottom w:val="single" w:sz="4" w:space="0" w:color="auto"/>
              <w:right w:val="single" w:sz="4" w:space="0" w:color="BFBFBF" w:themeColor="background1" w:themeShade="BF"/>
            </w:tcBorders>
            <w:shd w:val="clear" w:color="auto" w:fill="BFBFBF" w:themeFill="background1" w:themeFillShade="BF"/>
          </w:tcPr>
          <w:p w:rsidR="006E1590" w:rsidRPr="00B9614C" w:rsidRDefault="006E1590" w:rsidP="00473D55">
            <w:pPr>
              <w:jc w:val="both"/>
              <w:rPr>
                <w:rFonts w:asciiTheme="majorBidi" w:hAnsiTheme="majorBidi" w:cstheme="majorBidi"/>
                <w:noProof/>
              </w:rPr>
            </w:pPr>
          </w:p>
        </w:tc>
        <w:tc>
          <w:tcPr>
            <w:tcW w:w="3583" w:type="dxa"/>
            <w:tcBorders>
              <w:top w:val="nil"/>
              <w:left w:val="single" w:sz="4" w:space="0" w:color="BFBFBF" w:themeColor="background1" w:themeShade="BF"/>
              <w:bottom w:val="single" w:sz="4" w:space="0" w:color="auto"/>
              <w:right w:val="single" w:sz="4" w:space="0" w:color="BFBFBF" w:themeColor="background1" w:themeShade="BF"/>
            </w:tcBorders>
            <w:shd w:val="clear" w:color="auto" w:fill="BFBFBF" w:themeFill="background1" w:themeFillShade="BF"/>
          </w:tcPr>
          <w:p w:rsidR="006E1590" w:rsidRPr="00B9614C" w:rsidRDefault="006E1590" w:rsidP="00473D55">
            <w:pPr>
              <w:jc w:val="both"/>
              <w:rPr>
                <w:rFonts w:asciiTheme="majorBidi" w:hAnsiTheme="majorBidi" w:cstheme="majorBidi"/>
                <w:noProof/>
              </w:rPr>
            </w:pPr>
            <w:r w:rsidRPr="00B9614C">
              <w:rPr>
                <w:rFonts w:asciiTheme="majorBidi" w:hAnsiTheme="majorBidi" w:cstheme="majorBidi"/>
                <w:noProof/>
              </w:rPr>
              <w:t xml:space="preserve">Adherent </w:t>
            </w:r>
          </w:p>
        </w:tc>
        <w:tc>
          <w:tcPr>
            <w:tcW w:w="3584" w:type="dxa"/>
            <w:tcBorders>
              <w:top w:val="nil"/>
              <w:left w:val="single" w:sz="4" w:space="0" w:color="BFBFBF" w:themeColor="background1" w:themeShade="BF"/>
              <w:bottom w:val="single" w:sz="4" w:space="0" w:color="auto"/>
              <w:right w:val="nil"/>
            </w:tcBorders>
            <w:shd w:val="clear" w:color="auto" w:fill="BFBFBF" w:themeFill="background1" w:themeFillShade="BF"/>
            <w:hideMark/>
          </w:tcPr>
          <w:p w:rsidR="006E1590" w:rsidRPr="00B9614C" w:rsidRDefault="006E1590" w:rsidP="00473D55">
            <w:pPr>
              <w:jc w:val="both"/>
              <w:rPr>
                <w:rFonts w:asciiTheme="majorBidi" w:hAnsiTheme="majorBidi" w:cstheme="majorBidi"/>
                <w:noProof/>
              </w:rPr>
            </w:pPr>
            <w:r w:rsidRPr="00B9614C">
              <w:rPr>
                <w:rFonts w:asciiTheme="majorBidi" w:hAnsiTheme="majorBidi" w:cstheme="majorBidi"/>
                <w:noProof/>
              </w:rPr>
              <w:t xml:space="preserve">Non-adherent </w:t>
            </w:r>
          </w:p>
        </w:tc>
      </w:tr>
      <w:tr w:rsidR="00B9614C" w:rsidRPr="00B9614C" w:rsidTr="007F273F">
        <w:trPr>
          <w:trHeight w:val="289"/>
        </w:trPr>
        <w:tc>
          <w:tcPr>
            <w:tcW w:w="1730" w:type="dxa"/>
            <w:tcBorders>
              <w:top w:val="single" w:sz="4" w:space="0" w:color="auto"/>
              <w:left w:val="nil"/>
              <w:bottom w:val="single" w:sz="4" w:space="0" w:color="auto"/>
              <w:right w:val="single" w:sz="4" w:space="0" w:color="auto"/>
            </w:tcBorders>
            <w:hideMark/>
          </w:tcPr>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No change</w:t>
            </w:r>
          </w:p>
        </w:tc>
        <w:tc>
          <w:tcPr>
            <w:tcW w:w="3583" w:type="dxa"/>
            <w:tcBorders>
              <w:top w:val="single" w:sz="4" w:space="0" w:color="auto"/>
              <w:left w:val="single" w:sz="4" w:space="0" w:color="auto"/>
              <w:bottom w:val="single" w:sz="4" w:space="0" w:color="auto"/>
              <w:right w:val="single" w:sz="4" w:space="0" w:color="auto"/>
            </w:tcBorders>
          </w:tcPr>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2 (11)</w:t>
            </w:r>
          </w:p>
        </w:tc>
        <w:tc>
          <w:tcPr>
            <w:tcW w:w="3584" w:type="dxa"/>
            <w:tcBorders>
              <w:top w:val="single" w:sz="4" w:space="0" w:color="auto"/>
              <w:left w:val="single" w:sz="4" w:space="0" w:color="auto"/>
              <w:bottom w:val="single" w:sz="4" w:space="0" w:color="auto"/>
              <w:right w:val="nil"/>
            </w:tcBorders>
          </w:tcPr>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10 (56)</w:t>
            </w:r>
          </w:p>
        </w:tc>
      </w:tr>
      <w:tr w:rsidR="00B9614C" w:rsidRPr="00B9614C" w:rsidTr="007F273F">
        <w:trPr>
          <w:trHeight w:val="289"/>
        </w:trPr>
        <w:tc>
          <w:tcPr>
            <w:tcW w:w="1730" w:type="dxa"/>
            <w:tcBorders>
              <w:top w:val="single" w:sz="4" w:space="0" w:color="auto"/>
              <w:left w:val="nil"/>
              <w:bottom w:val="single" w:sz="4" w:space="0" w:color="auto"/>
              <w:right w:val="single" w:sz="4" w:space="0" w:color="auto"/>
            </w:tcBorders>
            <w:hideMark/>
          </w:tcPr>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Changed once</w:t>
            </w:r>
          </w:p>
        </w:tc>
        <w:tc>
          <w:tcPr>
            <w:tcW w:w="3583" w:type="dxa"/>
            <w:tcBorders>
              <w:top w:val="single" w:sz="4" w:space="0" w:color="auto"/>
              <w:left w:val="single" w:sz="4" w:space="0" w:color="auto"/>
              <w:bottom w:val="single" w:sz="4" w:space="0" w:color="auto"/>
              <w:right w:val="single" w:sz="4" w:space="0" w:color="auto"/>
            </w:tcBorders>
          </w:tcPr>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4 (22)</w:t>
            </w:r>
          </w:p>
        </w:tc>
        <w:tc>
          <w:tcPr>
            <w:tcW w:w="3584" w:type="dxa"/>
            <w:tcBorders>
              <w:top w:val="single" w:sz="4" w:space="0" w:color="auto"/>
              <w:left w:val="single" w:sz="4" w:space="0" w:color="auto"/>
              <w:bottom w:val="single" w:sz="4" w:space="0" w:color="auto"/>
              <w:right w:val="nil"/>
            </w:tcBorders>
          </w:tcPr>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0</w:t>
            </w:r>
          </w:p>
        </w:tc>
      </w:tr>
      <w:tr w:rsidR="00B9614C" w:rsidRPr="00B9614C" w:rsidTr="007F273F">
        <w:trPr>
          <w:trHeight w:val="289"/>
        </w:trPr>
        <w:tc>
          <w:tcPr>
            <w:tcW w:w="1730" w:type="dxa"/>
            <w:tcBorders>
              <w:top w:val="single" w:sz="4" w:space="0" w:color="auto"/>
              <w:left w:val="nil"/>
              <w:bottom w:val="single" w:sz="4" w:space="0" w:color="auto"/>
              <w:right w:val="single" w:sz="4" w:space="0" w:color="auto"/>
            </w:tcBorders>
            <w:hideMark/>
          </w:tcPr>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Changed twice</w:t>
            </w:r>
          </w:p>
        </w:tc>
        <w:tc>
          <w:tcPr>
            <w:tcW w:w="3583" w:type="dxa"/>
            <w:tcBorders>
              <w:top w:val="single" w:sz="4" w:space="0" w:color="auto"/>
              <w:left w:val="single" w:sz="4" w:space="0" w:color="auto"/>
              <w:bottom w:val="single" w:sz="4" w:space="0" w:color="auto"/>
              <w:right w:val="single" w:sz="4" w:space="0" w:color="auto"/>
            </w:tcBorders>
          </w:tcPr>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1 (6)</w:t>
            </w:r>
          </w:p>
        </w:tc>
        <w:tc>
          <w:tcPr>
            <w:tcW w:w="3584" w:type="dxa"/>
            <w:tcBorders>
              <w:top w:val="single" w:sz="4" w:space="0" w:color="auto"/>
              <w:left w:val="single" w:sz="4" w:space="0" w:color="auto"/>
              <w:bottom w:val="single" w:sz="4" w:space="0" w:color="auto"/>
              <w:right w:val="nil"/>
            </w:tcBorders>
          </w:tcPr>
          <w:p w:rsidR="006E1590" w:rsidRPr="00B9614C" w:rsidRDefault="006E1590" w:rsidP="00473D55">
            <w:pPr>
              <w:spacing w:before="60" w:after="60"/>
              <w:jc w:val="both"/>
              <w:rPr>
                <w:rFonts w:asciiTheme="majorBidi" w:hAnsiTheme="majorBidi" w:cstheme="majorBidi"/>
                <w:noProof/>
              </w:rPr>
            </w:pPr>
            <w:r w:rsidRPr="00B9614C">
              <w:rPr>
                <w:rFonts w:asciiTheme="majorBidi" w:hAnsiTheme="majorBidi" w:cstheme="majorBidi"/>
                <w:noProof/>
              </w:rPr>
              <w:t>1 (6)</w:t>
            </w:r>
          </w:p>
        </w:tc>
      </w:tr>
      <w:tr w:rsidR="006E1590" w:rsidRPr="00B9614C" w:rsidTr="007F273F">
        <w:trPr>
          <w:trHeight w:val="289"/>
        </w:trPr>
        <w:tc>
          <w:tcPr>
            <w:tcW w:w="1730" w:type="dxa"/>
            <w:tcBorders>
              <w:top w:val="single" w:sz="4" w:space="0" w:color="auto"/>
              <w:left w:val="nil"/>
              <w:bottom w:val="single" w:sz="4" w:space="0" w:color="auto"/>
              <w:right w:val="single" w:sz="4" w:space="0" w:color="auto"/>
            </w:tcBorders>
            <w:hideMark/>
          </w:tcPr>
          <w:p w:rsidR="006E1590" w:rsidRPr="00B9614C" w:rsidRDefault="006E1590" w:rsidP="00473D55">
            <w:pPr>
              <w:spacing w:before="60" w:after="60"/>
              <w:jc w:val="both"/>
              <w:rPr>
                <w:rFonts w:asciiTheme="majorBidi" w:hAnsiTheme="majorBidi" w:cstheme="majorBidi"/>
                <w:b/>
                <w:noProof/>
              </w:rPr>
            </w:pPr>
            <w:r w:rsidRPr="00B9614C">
              <w:rPr>
                <w:rFonts w:asciiTheme="majorBidi" w:hAnsiTheme="majorBidi" w:cstheme="majorBidi"/>
                <w:b/>
                <w:noProof/>
              </w:rPr>
              <w:t>Total</w:t>
            </w:r>
          </w:p>
        </w:tc>
        <w:tc>
          <w:tcPr>
            <w:tcW w:w="3583" w:type="dxa"/>
            <w:tcBorders>
              <w:top w:val="single" w:sz="4" w:space="0" w:color="auto"/>
              <w:left w:val="single" w:sz="4" w:space="0" w:color="auto"/>
              <w:bottom w:val="single" w:sz="4" w:space="0" w:color="auto"/>
              <w:right w:val="single" w:sz="4" w:space="0" w:color="auto"/>
            </w:tcBorders>
          </w:tcPr>
          <w:p w:rsidR="006E1590" w:rsidRPr="00B9614C" w:rsidRDefault="006E1590" w:rsidP="00473D55">
            <w:pPr>
              <w:spacing w:before="60" w:after="60"/>
              <w:jc w:val="both"/>
              <w:rPr>
                <w:rFonts w:asciiTheme="majorBidi" w:hAnsiTheme="majorBidi" w:cstheme="majorBidi"/>
                <w:b/>
                <w:noProof/>
              </w:rPr>
            </w:pPr>
            <w:r w:rsidRPr="00B9614C">
              <w:rPr>
                <w:rFonts w:asciiTheme="majorBidi" w:hAnsiTheme="majorBidi" w:cstheme="majorBidi"/>
                <w:b/>
                <w:noProof/>
              </w:rPr>
              <w:t>7 (39)</w:t>
            </w:r>
          </w:p>
        </w:tc>
        <w:tc>
          <w:tcPr>
            <w:tcW w:w="3584" w:type="dxa"/>
            <w:tcBorders>
              <w:top w:val="single" w:sz="4" w:space="0" w:color="auto"/>
              <w:left w:val="single" w:sz="4" w:space="0" w:color="auto"/>
              <w:bottom w:val="single" w:sz="4" w:space="0" w:color="auto"/>
              <w:right w:val="nil"/>
            </w:tcBorders>
          </w:tcPr>
          <w:p w:rsidR="006E1590" w:rsidRPr="00B9614C" w:rsidRDefault="006E1590" w:rsidP="00473D55">
            <w:pPr>
              <w:spacing w:before="60" w:after="60"/>
              <w:jc w:val="both"/>
              <w:rPr>
                <w:rFonts w:asciiTheme="majorBidi" w:hAnsiTheme="majorBidi" w:cstheme="majorBidi"/>
                <w:b/>
                <w:noProof/>
              </w:rPr>
            </w:pPr>
            <w:r w:rsidRPr="00B9614C">
              <w:rPr>
                <w:rFonts w:asciiTheme="majorBidi" w:hAnsiTheme="majorBidi" w:cstheme="majorBidi"/>
                <w:b/>
                <w:noProof/>
              </w:rPr>
              <w:t>11 (61)</w:t>
            </w:r>
          </w:p>
        </w:tc>
      </w:tr>
    </w:tbl>
    <w:p w:rsidR="006E1590" w:rsidRPr="00B9614C" w:rsidRDefault="006E1590" w:rsidP="00473D55">
      <w:pPr>
        <w:jc w:val="both"/>
      </w:pPr>
    </w:p>
    <w:sectPr w:rsidR="006E1590" w:rsidRPr="00B9614C" w:rsidSect="004D4DD7">
      <w:footerReference w:type="default" r:id="rId9"/>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020C" w:rsidRDefault="00A6020C" w:rsidP="00697CC0">
      <w:r>
        <w:separator/>
      </w:r>
    </w:p>
  </w:endnote>
  <w:endnote w:type="continuationSeparator" w:id="0">
    <w:p w:rsidR="00A6020C" w:rsidRDefault="00A6020C" w:rsidP="00697CC0">
      <w:r>
        <w:continuationSeparator/>
      </w:r>
    </w:p>
  </w:endnote>
  <w:endnote w:id="1">
    <w:p w:rsidR="00A6020C" w:rsidRPr="007048EC" w:rsidRDefault="00A6020C" w:rsidP="007048EC">
      <w:pPr>
        <w:rPr>
          <w:rFonts w:asciiTheme="majorBidi" w:hAnsiTheme="majorBidi" w:cstheme="majorBidi"/>
          <w:sz w:val="22"/>
          <w:szCs w:val="22"/>
        </w:rPr>
      </w:pPr>
      <w:r w:rsidRPr="007048EC">
        <w:rPr>
          <w:rStyle w:val="EndnoteReference"/>
          <w:sz w:val="22"/>
          <w:szCs w:val="22"/>
        </w:rPr>
        <w:endnoteRef/>
      </w:r>
      <w:r w:rsidRPr="007048EC">
        <w:rPr>
          <w:sz w:val="22"/>
          <w:szCs w:val="22"/>
        </w:rPr>
        <w:t xml:space="preserve"> </w:t>
      </w:r>
      <w:r w:rsidRPr="007048EC">
        <w:rPr>
          <w:rFonts w:asciiTheme="majorBidi" w:hAnsiTheme="majorBidi" w:cstheme="majorBidi"/>
          <w:sz w:val="22"/>
          <w:szCs w:val="22"/>
        </w:rPr>
        <w:t xml:space="preserve">A large scale research study called SCOOP [17] assessing the effectiveness of primary prevention is currently underway in the UK. </w:t>
      </w:r>
    </w:p>
    <w:p w:rsidR="00A6020C" w:rsidRDefault="00A6020C">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64442114"/>
      <w:docPartObj>
        <w:docPartGallery w:val="Page Numbers (Bottom of Page)"/>
        <w:docPartUnique/>
      </w:docPartObj>
    </w:sdtPr>
    <w:sdtEndPr>
      <w:rPr>
        <w:noProof/>
      </w:rPr>
    </w:sdtEndPr>
    <w:sdtContent>
      <w:p w:rsidR="00A6020C" w:rsidRDefault="00A6020C">
        <w:pPr>
          <w:pStyle w:val="Footer"/>
          <w:jc w:val="center"/>
        </w:pPr>
        <w:r>
          <w:fldChar w:fldCharType="begin"/>
        </w:r>
        <w:r>
          <w:instrText xml:space="preserve"> PAGE   \* MERGEFORMAT </w:instrText>
        </w:r>
        <w:r>
          <w:fldChar w:fldCharType="separate"/>
        </w:r>
        <w:r w:rsidR="00AC5E83">
          <w:rPr>
            <w:noProof/>
          </w:rPr>
          <w:t>3</w:t>
        </w:r>
        <w:r>
          <w:rPr>
            <w:noProof/>
          </w:rPr>
          <w:fldChar w:fldCharType="end"/>
        </w:r>
      </w:p>
    </w:sdtContent>
  </w:sdt>
  <w:p w:rsidR="00A6020C" w:rsidRDefault="00A6020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020C" w:rsidRDefault="00A6020C" w:rsidP="00697CC0">
      <w:r>
        <w:separator/>
      </w:r>
    </w:p>
  </w:footnote>
  <w:footnote w:type="continuationSeparator" w:id="0">
    <w:p w:rsidR="00A6020C" w:rsidRDefault="00A6020C" w:rsidP="00697CC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in;height:3in" o:bullet="t"/>
    </w:pict>
  </w:numPicBullet>
  <w:numPicBullet w:numPicBulletId="1">
    <w:pict>
      <v:shape id="_x0000_i1027" type="#_x0000_t75" style="width:3in;height:3in" o:bullet="t"/>
    </w:pict>
  </w:numPicBullet>
  <w:numPicBullet w:numPicBulletId="2">
    <w:pict>
      <v:shape id="_x0000_i1028" type="#_x0000_t75" style="width:3in;height:3in" o:bullet="t"/>
    </w:pict>
  </w:numPicBullet>
  <w:numPicBullet w:numPicBulletId="3">
    <w:pict>
      <v:shape id="_x0000_i1029" type="#_x0000_t75" style="width:3in;height:3in" o:bullet="t"/>
    </w:pict>
  </w:numPicBullet>
  <w:abstractNum w:abstractNumId="0">
    <w:nsid w:val="03255D84"/>
    <w:multiLevelType w:val="hybridMultilevel"/>
    <w:tmpl w:val="929257AC"/>
    <w:lvl w:ilvl="0" w:tplc="CA9A207E">
      <w:start w:val="1"/>
      <w:numFmt w:val="bullet"/>
      <w:lvlText w:val=""/>
      <w:lvlJc w:val="left"/>
      <w:pPr>
        <w:tabs>
          <w:tab w:val="num" w:pos="720"/>
        </w:tabs>
        <w:ind w:left="720" w:hanging="360"/>
      </w:pPr>
      <w:rPr>
        <w:rFonts w:ascii="Wingdings" w:hAnsi="Wingdings" w:hint="default"/>
      </w:rPr>
    </w:lvl>
    <w:lvl w:ilvl="1" w:tplc="D42C3336" w:tentative="1">
      <w:start w:val="1"/>
      <w:numFmt w:val="bullet"/>
      <w:lvlText w:val=""/>
      <w:lvlJc w:val="left"/>
      <w:pPr>
        <w:tabs>
          <w:tab w:val="num" w:pos="1440"/>
        </w:tabs>
        <w:ind w:left="1440" w:hanging="360"/>
      </w:pPr>
      <w:rPr>
        <w:rFonts w:ascii="Wingdings" w:hAnsi="Wingdings" w:hint="default"/>
      </w:rPr>
    </w:lvl>
    <w:lvl w:ilvl="2" w:tplc="0E181E3C" w:tentative="1">
      <w:start w:val="1"/>
      <w:numFmt w:val="bullet"/>
      <w:lvlText w:val=""/>
      <w:lvlJc w:val="left"/>
      <w:pPr>
        <w:tabs>
          <w:tab w:val="num" w:pos="2160"/>
        </w:tabs>
        <w:ind w:left="2160" w:hanging="360"/>
      </w:pPr>
      <w:rPr>
        <w:rFonts w:ascii="Wingdings" w:hAnsi="Wingdings" w:hint="default"/>
      </w:rPr>
    </w:lvl>
    <w:lvl w:ilvl="3" w:tplc="2C0E7A5A" w:tentative="1">
      <w:start w:val="1"/>
      <w:numFmt w:val="bullet"/>
      <w:lvlText w:val=""/>
      <w:lvlJc w:val="left"/>
      <w:pPr>
        <w:tabs>
          <w:tab w:val="num" w:pos="2880"/>
        </w:tabs>
        <w:ind w:left="2880" w:hanging="360"/>
      </w:pPr>
      <w:rPr>
        <w:rFonts w:ascii="Wingdings" w:hAnsi="Wingdings" w:hint="default"/>
      </w:rPr>
    </w:lvl>
    <w:lvl w:ilvl="4" w:tplc="3B8CF050" w:tentative="1">
      <w:start w:val="1"/>
      <w:numFmt w:val="bullet"/>
      <w:lvlText w:val=""/>
      <w:lvlJc w:val="left"/>
      <w:pPr>
        <w:tabs>
          <w:tab w:val="num" w:pos="3600"/>
        </w:tabs>
        <w:ind w:left="3600" w:hanging="360"/>
      </w:pPr>
      <w:rPr>
        <w:rFonts w:ascii="Wingdings" w:hAnsi="Wingdings" w:hint="default"/>
      </w:rPr>
    </w:lvl>
    <w:lvl w:ilvl="5" w:tplc="BBC61E56" w:tentative="1">
      <w:start w:val="1"/>
      <w:numFmt w:val="bullet"/>
      <w:lvlText w:val=""/>
      <w:lvlJc w:val="left"/>
      <w:pPr>
        <w:tabs>
          <w:tab w:val="num" w:pos="4320"/>
        </w:tabs>
        <w:ind w:left="4320" w:hanging="360"/>
      </w:pPr>
      <w:rPr>
        <w:rFonts w:ascii="Wingdings" w:hAnsi="Wingdings" w:hint="default"/>
      </w:rPr>
    </w:lvl>
    <w:lvl w:ilvl="6" w:tplc="26760064" w:tentative="1">
      <w:start w:val="1"/>
      <w:numFmt w:val="bullet"/>
      <w:lvlText w:val=""/>
      <w:lvlJc w:val="left"/>
      <w:pPr>
        <w:tabs>
          <w:tab w:val="num" w:pos="5040"/>
        </w:tabs>
        <w:ind w:left="5040" w:hanging="360"/>
      </w:pPr>
      <w:rPr>
        <w:rFonts w:ascii="Wingdings" w:hAnsi="Wingdings" w:hint="default"/>
      </w:rPr>
    </w:lvl>
    <w:lvl w:ilvl="7" w:tplc="5400065C" w:tentative="1">
      <w:start w:val="1"/>
      <w:numFmt w:val="bullet"/>
      <w:lvlText w:val=""/>
      <w:lvlJc w:val="left"/>
      <w:pPr>
        <w:tabs>
          <w:tab w:val="num" w:pos="5760"/>
        </w:tabs>
        <w:ind w:left="5760" w:hanging="360"/>
      </w:pPr>
      <w:rPr>
        <w:rFonts w:ascii="Wingdings" w:hAnsi="Wingdings" w:hint="default"/>
      </w:rPr>
    </w:lvl>
    <w:lvl w:ilvl="8" w:tplc="60F61F52" w:tentative="1">
      <w:start w:val="1"/>
      <w:numFmt w:val="bullet"/>
      <w:lvlText w:val=""/>
      <w:lvlJc w:val="left"/>
      <w:pPr>
        <w:tabs>
          <w:tab w:val="num" w:pos="6480"/>
        </w:tabs>
        <w:ind w:left="6480" w:hanging="360"/>
      </w:pPr>
      <w:rPr>
        <w:rFonts w:ascii="Wingdings" w:hAnsi="Wingdings" w:hint="default"/>
      </w:rPr>
    </w:lvl>
  </w:abstractNum>
  <w:abstractNum w:abstractNumId="1">
    <w:nsid w:val="03DF40F8"/>
    <w:multiLevelType w:val="hybridMultilevel"/>
    <w:tmpl w:val="1806F8FA"/>
    <w:lvl w:ilvl="0" w:tplc="0809000F">
      <w:start w:val="1"/>
      <w:numFmt w:val="decimal"/>
      <w:lvlText w:val="%1."/>
      <w:lvlJc w:val="left"/>
      <w:pPr>
        <w:ind w:left="720" w:hanging="360"/>
      </w:pPr>
      <w:rPr>
        <w:rFonts w:cs="Times New Roman" w:hint="default"/>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2">
    <w:nsid w:val="0458623D"/>
    <w:multiLevelType w:val="hybridMultilevel"/>
    <w:tmpl w:val="150CCF38"/>
    <w:lvl w:ilvl="0" w:tplc="1D1E8C4E">
      <w:start w:val="1"/>
      <w:numFmt w:val="bullet"/>
      <w:lvlText w:val=""/>
      <w:lvlJc w:val="left"/>
      <w:pPr>
        <w:tabs>
          <w:tab w:val="num" w:pos="720"/>
        </w:tabs>
        <w:ind w:left="720" w:hanging="360"/>
      </w:pPr>
      <w:rPr>
        <w:rFonts w:ascii="Wingdings" w:hAnsi="Wingdings" w:hint="default"/>
      </w:rPr>
    </w:lvl>
    <w:lvl w:ilvl="1" w:tplc="24542E12" w:tentative="1">
      <w:start w:val="1"/>
      <w:numFmt w:val="bullet"/>
      <w:lvlText w:val=""/>
      <w:lvlJc w:val="left"/>
      <w:pPr>
        <w:tabs>
          <w:tab w:val="num" w:pos="1440"/>
        </w:tabs>
        <w:ind w:left="1440" w:hanging="360"/>
      </w:pPr>
      <w:rPr>
        <w:rFonts w:ascii="Wingdings" w:hAnsi="Wingdings" w:hint="default"/>
      </w:rPr>
    </w:lvl>
    <w:lvl w:ilvl="2" w:tplc="ED347FDC" w:tentative="1">
      <w:start w:val="1"/>
      <w:numFmt w:val="bullet"/>
      <w:lvlText w:val=""/>
      <w:lvlJc w:val="left"/>
      <w:pPr>
        <w:tabs>
          <w:tab w:val="num" w:pos="2160"/>
        </w:tabs>
        <w:ind w:left="2160" w:hanging="360"/>
      </w:pPr>
      <w:rPr>
        <w:rFonts w:ascii="Wingdings" w:hAnsi="Wingdings" w:hint="default"/>
      </w:rPr>
    </w:lvl>
    <w:lvl w:ilvl="3" w:tplc="B79E9C0C" w:tentative="1">
      <w:start w:val="1"/>
      <w:numFmt w:val="bullet"/>
      <w:lvlText w:val=""/>
      <w:lvlJc w:val="left"/>
      <w:pPr>
        <w:tabs>
          <w:tab w:val="num" w:pos="2880"/>
        </w:tabs>
        <w:ind w:left="2880" w:hanging="360"/>
      </w:pPr>
      <w:rPr>
        <w:rFonts w:ascii="Wingdings" w:hAnsi="Wingdings" w:hint="default"/>
      </w:rPr>
    </w:lvl>
    <w:lvl w:ilvl="4" w:tplc="E4C05FBA" w:tentative="1">
      <w:start w:val="1"/>
      <w:numFmt w:val="bullet"/>
      <w:lvlText w:val=""/>
      <w:lvlJc w:val="left"/>
      <w:pPr>
        <w:tabs>
          <w:tab w:val="num" w:pos="3600"/>
        </w:tabs>
        <w:ind w:left="3600" w:hanging="360"/>
      </w:pPr>
      <w:rPr>
        <w:rFonts w:ascii="Wingdings" w:hAnsi="Wingdings" w:hint="default"/>
      </w:rPr>
    </w:lvl>
    <w:lvl w:ilvl="5" w:tplc="BA0625D6" w:tentative="1">
      <w:start w:val="1"/>
      <w:numFmt w:val="bullet"/>
      <w:lvlText w:val=""/>
      <w:lvlJc w:val="left"/>
      <w:pPr>
        <w:tabs>
          <w:tab w:val="num" w:pos="4320"/>
        </w:tabs>
        <w:ind w:left="4320" w:hanging="360"/>
      </w:pPr>
      <w:rPr>
        <w:rFonts w:ascii="Wingdings" w:hAnsi="Wingdings" w:hint="default"/>
      </w:rPr>
    </w:lvl>
    <w:lvl w:ilvl="6" w:tplc="C44C4672" w:tentative="1">
      <w:start w:val="1"/>
      <w:numFmt w:val="bullet"/>
      <w:lvlText w:val=""/>
      <w:lvlJc w:val="left"/>
      <w:pPr>
        <w:tabs>
          <w:tab w:val="num" w:pos="5040"/>
        </w:tabs>
        <w:ind w:left="5040" w:hanging="360"/>
      </w:pPr>
      <w:rPr>
        <w:rFonts w:ascii="Wingdings" w:hAnsi="Wingdings" w:hint="default"/>
      </w:rPr>
    </w:lvl>
    <w:lvl w:ilvl="7" w:tplc="F9C6CAEA" w:tentative="1">
      <w:start w:val="1"/>
      <w:numFmt w:val="bullet"/>
      <w:lvlText w:val=""/>
      <w:lvlJc w:val="left"/>
      <w:pPr>
        <w:tabs>
          <w:tab w:val="num" w:pos="5760"/>
        </w:tabs>
        <w:ind w:left="5760" w:hanging="360"/>
      </w:pPr>
      <w:rPr>
        <w:rFonts w:ascii="Wingdings" w:hAnsi="Wingdings" w:hint="default"/>
      </w:rPr>
    </w:lvl>
    <w:lvl w:ilvl="8" w:tplc="2B1AEA8A" w:tentative="1">
      <w:start w:val="1"/>
      <w:numFmt w:val="bullet"/>
      <w:lvlText w:val=""/>
      <w:lvlJc w:val="left"/>
      <w:pPr>
        <w:tabs>
          <w:tab w:val="num" w:pos="6480"/>
        </w:tabs>
        <w:ind w:left="6480" w:hanging="360"/>
      </w:pPr>
      <w:rPr>
        <w:rFonts w:ascii="Wingdings" w:hAnsi="Wingdings" w:hint="default"/>
      </w:rPr>
    </w:lvl>
  </w:abstractNum>
  <w:abstractNum w:abstractNumId="3">
    <w:nsid w:val="0AEA5C4B"/>
    <w:multiLevelType w:val="multilevel"/>
    <w:tmpl w:val="C964BDE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2"/>
      <w:lvlJc w:val="left"/>
      <w:pPr>
        <w:tabs>
          <w:tab w:val="num" w:pos="1440"/>
        </w:tabs>
        <w:ind w:left="1440" w:hanging="360"/>
      </w:pPr>
      <w:rPr>
        <w:rFonts w:ascii="Wingdings" w:hAnsi="Wingdings" w:hint="default"/>
        <w:sz w:val="20"/>
      </w:rPr>
    </w:lvl>
    <w:lvl w:ilvl="2" w:tentative="1">
      <w:start w:val="1"/>
      <w:numFmt w:val="bullet"/>
      <w:lvlText w:val=""/>
      <w:lvlPicBulletId w:val="3"/>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BA97C63"/>
    <w:multiLevelType w:val="multilevel"/>
    <w:tmpl w:val="4DEE29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EE34150"/>
    <w:multiLevelType w:val="hybridMultilevel"/>
    <w:tmpl w:val="314EC45A"/>
    <w:lvl w:ilvl="0" w:tplc="61A2F888">
      <w:numFmt w:val="bullet"/>
      <w:lvlText w:val=""/>
      <w:lvlJc w:val="left"/>
      <w:pPr>
        <w:ind w:left="720" w:hanging="360"/>
      </w:pPr>
      <w:rPr>
        <w:rFonts w:ascii="Wingdings" w:eastAsia="Times New Roman"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7B12423"/>
    <w:multiLevelType w:val="hybridMultilevel"/>
    <w:tmpl w:val="1806F8FA"/>
    <w:lvl w:ilvl="0" w:tplc="0809000F">
      <w:start w:val="1"/>
      <w:numFmt w:val="decimal"/>
      <w:lvlText w:val="%1."/>
      <w:lvlJc w:val="left"/>
      <w:pPr>
        <w:ind w:left="720" w:hanging="360"/>
      </w:pPr>
      <w:rPr>
        <w:rFonts w:cs="Times New Roman" w:hint="default"/>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7">
    <w:nsid w:val="1F7F15E0"/>
    <w:multiLevelType w:val="hybridMultilevel"/>
    <w:tmpl w:val="0CCC39A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F0F6736"/>
    <w:multiLevelType w:val="hybridMultilevel"/>
    <w:tmpl w:val="F294D7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475F4701"/>
    <w:multiLevelType w:val="hybridMultilevel"/>
    <w:tmpl w:val="5980E772"/>
    <w:lvl w:ilvl="0" w:tplc="B66AB0FA">
      <w:start w:val="1"/>
      <w:numFmt w:val="bullet"/>
      <w:lvlText w:val=""/>
      <w:lvlJc w:val="left"/>
      <w:pPr>
        <w:tabs>
          <w:tab w:val="num" w:pos="720"/>
        </w:tabs>
        <w:ind w:left="720" w:hanging="360"/>
      </w:pPr>
      <w:rPr>
        <w:rFonts w:ascii="Wingdings" w:hAnsi="Wingdings" w:hint="default"/>
      </w:rPr>
    </w:lvl>
    <w:lvl w:ilvl="1" w:tplc="FA3A3F5C" w:tentative="1">
      <w:start w:val="1"/>
      <w:numFmt w:val="bullet"/>
      <w:lvlText w:val=""/>
      <w:lvlJc w:val="left"/>
      <w:pPr>
        <w:tabs>
          <w:tab w:val="num" w:pos="1440"/>
        </w:tabs>
        <w:ind w:left="1440" w:hanging="360"/>
      </w:pPr>
      <w:rPr>
        <w:rFonts w:ascii="Wingdings" w:hAnsi="Wingdings" w:hint="default"/>
      </w:rPr>
    </w:lvl>
    <w:lvl w:ilvl="2" w:tplc="3B4A15CC" w:tentative="1">
      <w:start w:val="1"/>
      <w:numFmt w:val="bullet"/>
      <w:lvlText w:val=""/>
      <w:lvlJc w:val="left"/>
      <w:pPr>
        <w:tabs>
          <w:tab w:val="num" w:pos="2160"/>
        </w:tabs>
        <w:ind w:left="2160" w:hanging="360"/>
      </w:pPr>
      <w:rPr>
        <w:rFonts w:ascii="Wingdings" w:hAnsi="Wingdings" w:hint="default"/>
      </w:rPr>
    </w:lvl>
    <w:lvl w:ilvl="3" w:tplc="95FC62A4" w:tentative="1">
      <w:start w:val="1"/>
      <w:numFmt w:val="bullet"/>
      <w:lvlText w:val=""/>
      <w:lvlJc w:val="left"/>
      <w:pPr>
        <w:tabs>
          <w:tab w:val="num" w:pos="2880"/>
        </w:tabs>
        <w:ind w:left="2880" w:hanging="360"/>
      </w:pPr>
      <w:rPr>
        <w:rFonts w:ascii="Wingdings" w:hAnsi="Wingdings" w:hint="default"/>
      </w:rPr>
    </w:lvl>
    <w:lvl w:ilvl="4" w:tplc="A2228B1C" w:tentative="1">
      <w:start w:val="1"/>
      <w:numFmt w:val="bullet"/>
      <w:lvlText w:val=""/>
      <w:lvlJc w:val="left"/>
      <w:pPr>
        <w:tabs>
          <w:tab w:val="num" w:pos="3600"/>
        </w:tabs>
        <w:ind w:left="3600" w:hanging="360"/>
      </w:pPr>
      <w:rPr>
        <w:rFonts w:ascii="Wingdings" w:hAnsi="Wingdings" w:hint="default"/>
      </w:rPr>
    </w:lvl>
    <w:lvl w:ilvl="5" w:tplc="36D28C06" w:tentative="1">
      <w:start w:val="1"/>
      <w:numFmt w:val="bullet"/>
      <w:lvlText w:val=""/>
      <w:lvlJc w:val="left"/>
      <w:pPr>
        <w:tabs>
          <w:tab w:val="num" w:pos="4320"/>
        </w:tabs>
        <w:ind w:left="4320" w:hanging="360"/>
      </w:pPr>
      <w:rPr>
        <w:rFonts w:ascii="Wingdings" w:hAnsi="Wingdings" w:hint="default"/>
      </w:rPr>
    </w:lvl>
    <w:lvl w:ilvl="6" w:tplc="4C70F028" w:tentative="1">
      <w:start w:val="1"/>
      <w:numFmt w:val="bullet"/>
      <w:lvlText w:val=""/>
      <w:lvlJc w:val="left"/>
      <w:pPr>
        <w:tabs>
          <w:tab w:val="num" w:pos="5040"/>
        </w:tabs>
        <w:ind w:left="5040" w:hanging="360"/>
      </w:pPr>
      <w:rPr>
        <w:rFonts w:ascii="Wingdings" w:hAnsi="Wingdings" w:hint="default"/>
      </w:rPr>
    </w:lvl>
    <w:lvl w:ilvl="7" w:tplc="B2F285DA" w:tentative="1">
      <w:start w:val="1"/>
      <w:numFmt w:val="bullet"/>
      <w:lvlText w:val=""/>
      <w:lvlJc w:val="left"/>
      <w:pPr>
        <w:tabs>
          <w:tab w:val="num" w:pos="5760"/>
        </w:tabs>
        <w:ind w:left="5760" w:hanging="360"/>
      </w:pPr>
      <w:rPr>
        <w:rFonts w:ascii="Wingdings" w:hAnsi="Wingdings" w:hint="default"/>
      </w:rPr>
    </w:lvl>
    <w:lvl w:ilvl="8" w:tplc="5B5A1258" w:tentative="1">
      <w:start w:val="1"/>
      <w:numFmt w:val="bullet"/>
      <w:lvlText w:val=""/>
      <w:lvlJc w:val="left"/>
      <w:pPr>
        <w:tabs>
          <w:tab w:val="num" w:pos="6480"/>
        </w:tabs>
        <w:ind w:left="6480" w:hanging="360"/>
      </w:pPr>
      <w:rPr>
        <w:rFonts w:ascii="Wingdings" w:hAnsi="Wingdings" w:hint="default"/>
      </w:rPr>
    </w:lvl>
  </w:abstractNum>
  <w:abstractNum w:abstractNumId="10">
    <w:nsid w:val="481A54A5"/>
    <w:multiLevelType w:val="hybridMultilevel"/>
    <w:tmpl w:val="EF7E52D8"/>
    <w:lvl w:ilvl="0" w:tplc="0809000F">
      <w:start w:val="1"/>
      <w:numFmt w:val="decimal"/>
      <w:lvlText w:val="%1."/>
      <w:lvlJc w:val="left"/>
      <w:pPr>
        <w:ind w:left="502"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1">
    <w:nsid w:val="53BA564D"/>
    <w:multiLevelType w:val="hybridMultilevel"/>
    <w:tmpl w:val="3F064B80"/>
    <w:lvl w:ilvl="0" w:tplc="E5A2F638">
      <w:start w:val="1"/>
      <w:numFmt w:val="bullet"/>
      <w:lvlText w:val=""/>
      <w:lvlJc w:val="left"/>
      <w:pPr>
        <w:tabs>
          <w:tab w:val="num" w:pos="720"/>
        </w:tabs>
        <w:ind w:left="720" w:hanging="360"/>
      </w:pPr>
      <w:rPr>
        <w:rFonts w:ascii="Wingdings" w:hAnsi="Wingdings" w:hint="default"/>
      </w:rPr>
    </w:lvl>
    <w:lvl w:ilvl="1" w:tplc="75163AE4" w:tentative="1">
      <w:start w:val="1"/>
      <w:numFmt w:val="bullet"/>
      <w:lvlText w:val=""/>
      <w:lvlJc w:val="left"/>
      <w:pPr>
        <w:tabs>
          <w:tab w:val="num" w:pos="1440"/>
        </w:tabs>
        <w:ind w:left="1440" w:hanging="360"/>
      </w:pPr>
      <w:rPr>
        <w:rFonts w:ascii="Wingdings" w:hAnsi="Wingdings" w:hint="default"/>
      </w:rPr>
    </w:lvl>
    <w:lvl w:ilvl="2" w:tplc="8C24C2E6" w:tentative="1">
      <w:start w:val="1"/>
      <w:numFmt w:val="bullet"/>
      <w:lvlText w:val=""/>
      <w:lvlJc w:val="left"/>
      <w:pPr>
        <w:tabs>
          <w:tab w:val="num" w:pos="2160"/>
        </w:tabs>
        <w:ind w:left="2160" w:hanging="360"/>
      </w:pPr>
      <w:rPr>
        <w:rFonts w:ascii="Wingdings" w:hAnsi="Wingdings" w:hint="default"/>
      </w:rPr>
    </w:lvl>
    <w:lvl w:ilvl="3" w:tplc="ADB8EEB0" w:tentative="1">
      <w:start w:val="1"/>
      <w:numFmt w:val="bullet"/>
      <w:lvlText w:val=""/>
      <w:lvlJc w:val="left"/>
      <w:pPr>
        <w:tabs>
          <w:tab w:val="num" w:pos="2880"/>
        </w:tabs>
        <w:ind w:left="2880" w:hanging="360"/>
      </w:pPr>
      <w:rPr>
        <w:rFonts w:ascii="Wingdings" w:hAnsi="Wingdings" w:hint="default"/>
      </w:rPr>
    </w:lvl>
    <w:lvl w:ilvl="4" w:tplc="66B46D28" w:tentative="1">
      <w:start w:val="1"/>
      <w:numFmt w:val="bullet"/>
      <w:lvlText w:val=""/>
      <w:lvlJc w:val="left"/>
      <w:pPr>
        <w:tabs>
          <w:tab w:val="num" w:pos="3600"/>
        </w:tabs>
        <w:ind w:left="3600" w:hanging="360"/>
      </w:pPr>
      <w:rPr>
        <w:rFonts w:ascii="Wingdings" w:hAnsi="Wingdings" w:hint="default"/>
      </w:rPr>
    </w:lvl>
    <w:lvl w:ilvl="5" w:tplc="F342D1C4" w:tentative="1">
      <w:start w:val="1"/>
      <w:numFmt w:val="bullet"/>
      <w:lvlText w:val=""/>
      <w:lvlJc w:val="left"/>
      <w:pPr>
        <w:tabs>
          <w:tab w:val="num" w:pos="4320"/>
        </w:tabs>
        <w:ind w:left="4320" w:hanging="360"/>
      </w:pPr>
      <w:rPr>
        <w:rFonts w:ascii="Wingdings" w:hAnsi="Wingdings" w:hint="default"/>
      </w:rPr>
    </w:lvl>
    <w:lvl w:ilvl="6" w:tplc="E6C0F130" w:tentative="1">
      <w:start w:val="1"/>
      <w:numFmt w:val="bullet"/>
      <w:lvlText w:val=""/>
      <w:lvlJc w:val="left"/>
      <w:pPr>
        <w:tabs>
          <w:tab w:val="num" w:pos="5040"/>
        </w:tabs>
        <w:ind w:left="5040" w:hanging="360"/>
      </w:pPr>
      <w:rPr>
        <w:rFonts w:ascii="Wingdings" w:hAnsi="Wingdings" w:hint="default"/>
      </w:rPr>
    </w:lvl>
    <w:lvl w:ilvl="7" w:tplc="61325542" w:tentative="1">
      <w:start w:val="1"/>
      <w:numFmt w:val="bullet"/>
      <w:lvlText w:val=""/>
      <w:lvlJc w:val="left"/>
      <w:pPr>
        <w:tabs>
          <w:tab w:val="num" w:pos="5760"/>
        </w:tabs>
        <w:ind w:left="5760" w:hanging="360"/>
      </w:pPr>
      <w:rPr>
        <w:rFonts w:ascii="Wingdings" w:hAnsi="Wingdings" w:hint="default"/>
      </w:rPr>
    </w:lvl>
    <w:lvl w:ilvl="8" w:tplc="58BCA67E" w:tentative="1">
      <w:start w:val="1"/>
      <w:numFmt w:val="bullet"/>
      <w:lvlText w:val=""/>
      <w:lvlJc w:val="left"/>
      <w:pPr>
        <w:tabs>
          <w:tab w:val="num" w:pos="6480"/>
        </w:tabs>
        <w:ind w:left="6480" w:hanging="360"/>
      </w:pPr>
      <w:rPr>
        <w:rFonts w:ascii="Wingdings" w:hAnsi="Wingdings" w:hint="default"/>
      </w:rPr>
    </w:lvl>
  </w:abstractNum>
  <w:abstractNum w:abstractNumId="12">
    <w:nsid w:val="548E1234"/>
    <w:multiLevelType w:val="hybridMultilevel"/>
    <w:tmpl w:val="0CFC718A"/>
    <w:lvl w:ilvl="0" w:tplc="778461D2">
      <w:numFmt w:val="bullet"/>
      <w:lvlText w:val=""/>
      <w:lvlJc w:val="left"/>
      <w:pPr>
        <w:ind w:left="720" w:hanging="360"/>
      </w:pPr>
      <w:rPr>
        <w:rFonts w:ascii="Wingdings" w:eastAsia="Times New Roman"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7B455AA"/>
    <w:multiLevelType w:val="hybridMultilevel"/>
    <w:tmpl w:val="5CFA74D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nsid w:val="597940F7"/>
    <w:multiLevelType w:val="multilevel"/>
    <w:tmpl w:val="EBB8A55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0"/>
      <w:lvlJc w:val="left"/>
      <w:pPr>
        <w:tabs>
          <w:tab w:val="num" w:pos="1440"/>
        </w:tabs>
        <w:ind w:left="1440" w:hanging="360"/>
      </w:pPr>
      <w:rPr>
        <w:rFonts w:ascii="Wingdings" w:hAnsi="Wingdings" w:hint="default"/>
        <w:sz w:val="20"/>
      </w:rPr>
    </w:lvl>
    <w:lvl w:ilvl="2" w:tentative="1">
      <w:start w:val="1"/>
      <w:numFmt w:val="bullet"/>
      <w:lvlText w:val=""/>
      <w:lvlPicBulletId w:val="1"/>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A237292"/>
    <w:multiLevelType w:val="hybridMultilevel"/>
    <w:tmpl w:val="B2AABDFA"/>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4"/>
  </w:num>
  <w:num w:numId="2">
    <w:abstractNumId w:val="3"/>
  </w:num>
  <w:num w:numId="3">
    <w:abstractNumId w:val="12"/>
  </w:num>
  <w:num w:numId="4">
    <w:abstractNumId w:val="5"/>
  </w:num>
  <w:num w:numId="5">
    <w:abstractNumId w:val="15"/>
  </w:num>
  <w:num w:numId="6">
    <w:abstractNumId w:val="6"/>
  </w:num>
  <w:num w:numId="7">
    <w:abstractNumId w:val="13"/>
  </w:num>
  <w:num w:numId="8">
    <w:abstractNumId w:val="9"/>
  </w:num>
  <w:num w:numId="9">
    <w:abstractNumId w:val="2"/>
  </w:num>
  <w:num w:numId="10">
    <w:abstractNumId w:val="11"/>
  </w:num>
  <w:num w:numId="11">
    <w:abstractNumId w:val="0"/>
  </w:num>
  <w:num w:numId="12">
    <w:abstractNumId w:val="1"/>
  </w:num>
  <w:num w:numId="13">
    <w:abstractNumId w:val="10"/>
  </w:num>
  <w:num w:numId="14">
    <w:abstractNumId w:val="4"/>
  </w:num>
  <w:num w:numId="15">
    <w:abstractNumId w:val="8"/>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PLo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frw0wf09qsav0qer2zlx2v2ff9srazx5x2ae&quot;&gt;ATOMMasterFile&lt;record-ids&gt;&lt;item&gt;1&lt;/item&gt;&lt;item&gt;2&lt;/item&gt;&lt;item&gt;4&lt;/item&gt;&lt;item&gt;5&lt;/item&gt;&lt;item&gt;6&lt;/item&gt;&lt;item&gt;8&lt;/item&gt;&lt;item&gt;9&lt;/item&gt;&lt;item&gt;10&lt;/item&gt;&lt;item&gt;11&lt;/item&gt;&lt;item&gt;13&lt;/item&gt;&lt;item&gt;14&lt;/item&gt;&lt;item&gt;15&lt;/item&gt;&lt;item&gt;16&lt;/item&gt;&lt;item&gt;17&lt;/item&gt;&lt;item&gt;18&lt;/item&gt;&lt;item&gt;21&lt;/item&gt;&lt;item&gt;22&lt;/item&gt;&lt;item&gt;32&lt;/item&gt;&lt;item&gt;49&lt;/item&gt;&lt;item&gt;157&lt;/item&gt;&lt;item&gt;159&lt;/item&gt;&lt;item&gt;160&lt;/item&gt;&lt;item&gt;161&lt;/item&gt;&lt;item&gt;162&lt;/item&gt;&lt;item&gt;163&lt;/item&gt;&lt;item&gt;164&lt;/item&gt;&lt;item&gt;165&lt;/item&gt;&lt;/record-ids&gt;&lt;/item&gt;&lt;/Libraries&gt;"/>
  </w:docVars>
  <w:rsids>
    <w:rsidRoot w:val="00697CC0"/>
    <w:rsid w:val="00023239"/>
    <w:rsid w:val="0004749A"/>
    <w:rsid w:val="000544D0"/>
    <w:rsid w:val="00055B1E"/>
    <w:rsid w:val="000577BA"/>
    <w:rsid w:val="000B515D"/>
    <w:rsid w:val="000B7262"/>
    <w:rsid w:val="000C3670"/>
    <w:rsid w:val="000C4DA6"/>
    <w:rsid w:val="000D49A3"/>
    <w:rsid w:val="000F7A32"/>
    <w:rsid w:val="001004F9"/>
    <w:rsid w:val="00126D56"/>
    <w:rsid w:val="00131D45"/>
    <w:rsid w:val="00134F62"/>
    <w:rsid w:val="00146BB6"/>
    <w:rsid w:val="001538B4"/>
    <w:rsid w:val="00170D18"/>
    <w:rsid w:val="001812A5"/>
    <w:rsid w:val="001B3DC4"/>
    <w:rsid w:val="001C1BB0"/>
    <w:rsid w:val="001C3A06"/>
    <w:rsid w:val="001D3B46"/>
    <w:rsid w:val="001E5968"/>
    <w:rsid w:val="001F4321"/>
    <w:rsid w:val="0026206C"/>
    <w:rsid w:val="00270473"/>
    <w:rsid w:val="00273393"/>
    <w:rsid w:val="00281359"/>
    <w:rsid w:val="002B7EC2"/>
    <w:rsid w:val="002D15EE"/>
    <w:rsid w:val="002E23D9"/>
    <w:rsid w:val="002E5C63"/>
    <w:rsid w:val="00305133"/>
    <w:rsid w:val="00323462"/>
    <w:rsid w:val="00345FCC"/>
    <w:rsid w:val="00351086"/>
    <w:rsid w:val="00361461"/>
    <w:rsid w:val="00365452"/>
    <w:rsid w:val="0039429E"/>
    <w:rsid w:val="003A3A70"/>
    <w:rsid w:val="003A4AE7"/>
    <w:rsid w:val="003B36AB"/>
    <w:rsid w:val="003C5F8E"/>
    <w:rsid w:val="003C6F52"/>
    <w:rsid w:val="003D63FC"/>
    <w:rsid w:val="003E3B79"/>
    <w:rsid w:val="003E58F0"/>
    <w:rsid w:val="00402579"/>
    <w:rsid w:val="004105CC"/>
    <w:rsid w:val="0041420D"/>
    <w:rsid w:val="00455807"/>
    <w:rsid w:val="00462534"/>
    <w:rsid w:val="00470A13"/>
    <w:rsid w:val="00471A25"/>
    <w:rsid w:val="00473D55"/>
    <w:rsid w:val="00476543"/>
    <w:rsid w:val="00483A81"/>
    <w:rsid w:val="004B7E4D"/>
    <w:rsid w:val="004C153D"/>
    <w:rsid w:val="004D4DD7"/>
    <w:rsid w:val="005019F9"/>
    <w:rsid w:val="00501C6D"/>
    <w:rsid w:val="005222B5"/>
    <w:rsid w:val="00523BF5"/>
    <w:rsid w:val="005248EE"/>
    <w:rsid w:val="005307FB"/>
    <w:rsid w:val="00534855"/>
    <w:rsid w:val="00542A60"/>
    <w:rsid w:val="0054471F"/>
    <w:rsid w:val="0055124A"/>
    <w:rsid w:val="00592348"/>
    <w:rsid w:val="005A31FE"/>
    <w:rsid w:val="005A4065"/>
    <w:rsid w:val="005A4C0A"/>
    <w:rsid w:val="005B6D3C"/>
    <w:rsid w:val="005C510B"/>
    <w:rsid w:val="005E5E03"/>
    <w:rsid w:val="005E6D4F"/>
    <w:rsid w:val="005E71F8"/>
    <w:rsid w:val="005F3F5A"/>
    <w:rsid w:val="005F47D9"/>
    <w:rsid w:val="005F7E03"/>
    <w:rsid w:val="00610A55"/>
    <w:rsid w:val="00622851"/>
    <w:rsid w:val="00622B6C"/>
    <w:rsid w:val="00627673"/>
    <w:rsid w:val="00633FEF"/>
    <w:rsid w:val="00637976"/>
    <w:rsid w:val="00672A29"/>
    <w:rsid w:val="00676A40"/>
    <w:rsid w:val="00686834"/>
    <w:rsid w:val="00693B18"/>
    <w:rsid w:val="006949E5"/>
    <w:rsid w:val="00697CC0"/>
    <w:rsid w:val="006A7731"/>
    <w:rsid w:val="006B235B"/>
    <w:rsid w:val="006C2335"/>
    <w:rsid w:val="006D4457"/>
    <w:rsid w:val="006D5704"/>
    <w:rsid w:val="006E1590"/>
    <w:rsid w:val="006E5D52"/>
    <w:rsid w:val="007048EC"/>
    <w:rsid w:val="00704B3C"/>
    <w:rsid w:val="00707E92"/>
    <w:rsid w:val="00710262"/>
    <w:rsid w:val="00716B5F"/>
    <w:rsid w:val="007349A4"/>
    <w:rsid w:val="00744ECD"/>
    <w:rsid w:val="007469B9"/>
    <w:rsid w:val="00746EA9"/>
    <w:rsid w:val="0076531C"/>
    <w:rsid w:val="00773E5C"/>
    <w:rsid w:val="007823BA"/>
    <w:rsid w:val="00786049"/>
    <w:rsid w:val="00791099"/>
    <w:rsid w:val="007A21C9"/>
    <w:rsid w:val="007B12A7"/>
    <w:rsid w:val="007B7EA5"/>
    <w:rsid w:val="007F273F"/>
    <w:rsid w:val="00810E69"/>
    <w:rsid w:val="00843E21"/>
    <w:rsid w:val="0084679F"/>
    <w:rsid w:val="00850070"/>
    <w:rsid w:val="008759A6"/>
    <w:rsid w:val="0088184C"/>
    <w:rsid w:val="008A12A0"/>
    <w:rsid w:val="008A7DBE"/>
    <w:rsid w:val="008C36C1"/>
    <w:rsid w:val="008E601C"/>
    <w:rsid w:val="008F2D66"/>
    <w:rsid w:val="008F3692"/>
    <w:rsid w:val="0090446A"/>
    <w:rsid w:val="009062BB"/>
    <w:rsid w:val="009160B6"/>
    <w:rsid w:val="0091706D"/>
    <w:rsid w:val="00920552"/>
    <w:rsid w:val="00944948"/>
    <w:rsid w:val="00953889"/>
    <w:rsid w:val="0095406A"/>
    <w:rsid w:val="009617A1"/>
    <w:rsid w:val="0096229C"/>
    <w:rsid w:val="009751ED"/>
    <w:rsid w:val="009805D5"/>
    <w:rsid w:val="009875D0"/>
    <w:rsid w:val="009A5957"/>
    <w:rsid w:val="009D511A"/>
    <w:rsid w:val="009E77E0"/>
    <w:rsid w:val="009F167D"/>
    <w:rsid w:val="00A24D7F"/>
    <w:rsid w:val="00A3434C"/>
    <w:rsid w:val="00A4644E"/>
    <w:rsid w:val="00A6020C"/>
    <w:rsid w:val="00A621C2"/>
    <w:rsid w:val="00A66C4F"/>
    <w:rsid w:val="00A763B0"/>
    <w:rsid w:val="00A84027"/>
    <w:rsid w:val="00A94253"/>
    <w:rsid w:val="00A9694D"/>
    <w:rsid w:val="00AA293A"/>
    <w:rsid w:val="00AA4185"/>
    <w:rsid w:val="00AA4867"/>
    <w:rsid w:val="00AA4C65"/>
    <w:rsid w:val="00AC2654"/>
    <w:rsid w:val="00AC5E83"/>
    <w:rsid w:val="00AD0264"/>
    <w:rsid w:val="00AD429D"/>
    <w:rsid w:val="00B011FD"/>
    <w:rsid w:val="00B233A2"/>
    <w:rsid w:val="00B2473E"/>
    <w:rsid w:val="00B64DD6"/>
    <w:rsid w:val="00B76C79"/>
    <w:rsid w:val="00B85DDA"/>
    <w:rsid w:val="00B93C89"/>
    <w:rsid w:val="00B94D04"/>
    <w:rsid w:val="00B9614C"/>
    <w:rsid w:val="00BC0AC7"/>
    <w:rsid w:val="00BC2E1D"/>
    <w:rsid w:val="00BE1DB9"/>
    <w:rsid w:val="00BE3929"/>
    <w:rsid w:val="00BE3F70"/>
    <w:rsid w:val="00BF38A7"/>
    <w:rsid w:val="00BF778D"/>
    <w:rsid w:val="00C06702"/>
    <w:rsid w:val="00C26E8B"/>
    <w:rsid w:val="00C43128"/>
    <w:rsid w:val="00C626CD"/>
    <w:rsid w:val="00C67044"/>
    <w:rsid w:val="00C856B3"/>
    <w:rsid w:val="00C87C34"/>
    <w:rsid w:val="00CB295F"/>
    <w:rsid w:val="00CC2F09"/>
    <w:rsid w:val="00CC7815"/>
    <w:rsid w:val="00CE09C1"/>
    <w:rsid w:val="00CF7A29"/>
    <w:rsid w:val="00D44252"/>
    <w:rsid w:val="00D46B58"/>
    <w:rsid w:val="00D47AF1"/>
    <w:rsid w:val="00D72D32"/>
    <w:rsid w:val="00D74666"/>
    <w:rsid w:val="00D81DC9"/>
    <w:rsid w:val="00D848DC"/>
    <w:rsid w:val="00DA0869"/>
    <w:rsid w:val="00DA0F7C"/>
    <w:rsid w:val="00DA7488"/>
    <w:rsid w:val="00DB5D1B"/>
    <w:rsid w:val="00DD16D0"/>
    <w:rsid w:val="00DD1A58"/>
    <w:rsid w:val="00DE43A2"/>
    <w:rsid w:val="00E12D3B"/>
    <w:rsid w:val="00E132A8"/>
    <w:rsid w:val="00E13B29"/>
    <w:rsid w:val="00E255EC"/>
    <w:rsid w:val="00E31C50"/>
    <w:rsid w:val="00E31E86"/>
    <w:rsid w:val="00E34383"/>
    <w:rsid w:val="00E523CF"/>
    <w:rsid w:val="00E5651E"/>
    <w:rsid w:val="00E70D5C"/>
    <w:rsid w:val="00E972EB"/>
    <w:rsid w:val="00EA2AB6"/>
    <w:rsid w:val="00EC6B43"/>
    <w:rsid w:val="00EE05AA"/>
    <w:rsid w:val="00EE6293"/>
    <w:rsid w:val="00EF2172"/>
    <w:rsid w:val="00F04F47"/>
    <w:rsid w:val="00F3100A"/>
    <w:rsid w:val="00F31B6E"/>
    <w:rsid w:val="00F421A7"/>
    <w:rsid w:val="00F65AD9"/>
    <w:rsid w:val="00FA25DB"/>
    <w:rsid w:val="00FA5316"/>
    <w:rsid w:val="00FD1D41"/>
    <w:rsid w:val="00FD56CB"/>
    <w:rsid w:val="00FE0831"/>
    <w:rsid w:val="00FE0D96"/>
    <w:rsid w:val="00FE1711"/>
    <w:rsid w:val="00FF47D5"/>
    <w:rsid w:val="00FF695C"/>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GB"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footer" w:uiPriority="99"/>
    <w:lsdException w:name="caption" w:semiHidden="1" w:unhideWhenUsed="1" w:qFormat="1"/>
    <w:lsdException w:name="footnote reference" w:uiPriority="99"/>
    <w:lsdException w:name="endnote text" w:uiPriority="99"/>
    <w:lsdException w:name="Title" w:qFormat="1"/>
    <w:lsdException w:name="Subtitle" w:qFormat="1"/>
    <w:lsdException w:name="Hyperlink" w:uiPriority="99"/>
    <w:lsdException w:name="Strong" w:uiPriority="22" w:qFormat="1"/>
    <w:lsdException w:name="Emphasis" w:uiPriority="20" w:qFormat="1"/>
    <w:lsdException w:name="Plain Text" w:uiPriority="99"/>
    <w:lsdException w:name="Normal (Web)" w:uiPriority="99"/>
    <w:lsdException w:name="HTML Cite" w:uiPriority="99"/>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97CC0"/>
    <w:rPr>
      <w:rFonts w:eastAsia="Times New Roman"/>
      <w:sz w:val="24"/>
      <w:szCs w:val="24"/>
      <w:lang w:eastAsia="en-GB"/>
    </w:rPr>
  </w:style>
  <w:style w:type="paragraph" w:styleId="Heading1">
    <w:name w:val="heading 1"/>
    <w:basedOn w:val="Normal"/>
    <w:next w:val="Normal"/>
    <w:link w:val="Heading1Char"/>
    <w:qFormat/>
    <w:rsid w:val="00697CC0"/>
    <w:pPr>
      <w:keepNext/>
      <w:spacing w:before="240" w:after="60"/>
      <w:outlineLvl w:val="0"/>
    </w:pPr>
    <w:rPr>
      <w:rFonts w:ascii="Arial" w:hAnsi="Arial" w:cs="Arial"/>
      <w:b/>
      <w:bCs/>
      <w:kern w:val="32"/>
      <w:sz w:val="32"/>
      <w:szCs w:val="32"/>
    </w:rPr>
  </w:style>
  <w:style w:type="paragraph" w:styleId="Heading3">
    <w:name w:val="heading 3"/>
    <w:basedOn w:val="Normal"/>
    <w:link w:val="Heading3Char"/>
    <w:uiPriority w:val="9"/>
    <w:qFormat/>
    <w:rsid w:val="00697CC0"/>
    <w:pPr>
      <w:spacing w:before="100" w:beforeAutospacing="1" w:after="100" w:afterAutospacing="1" w:line="300" w:lineRule="atLeast"/>
      <w:outlineLvl w:val="2"/>
    </w:pPr>
    <w:rPr>
      <w:rFonts w:ascii="Arial" w:hAnsi="Arial"/>
      <w:b/>
      <w:bCs/>
      <w:color w:val="333333"/>
      <w:sz w:val="30"/>
      <w:szCs w:val="30"/>
    </w:rPr>
  </w:style>
  <w:style w:type="paragraph" w:styleId="Heading4">
    <w:name w:val="heading 4"/>
    <w:basedOn w:val="Normal"/>
    <w:next w:val="Normal"/>
    <w:link w:val="Heading4Char"/>
    <w:semiHidden/>
    <w:unhideWhenUsed/>
    <w:qFormat/>
    <w:rsid w:val="00697CC0"/>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97CC0"/>
    <w:rPr>
      <w:rFonts w:ascii="Arial" w:eastAsia="Times New Roman" w:hAnsi="Arial" w:cs="Arial"/>
      <w:b/>
      <w:bCs/>
      <w:kern w:val="32"/>
      <w:sz w:val="32"/>
      <w:szCs w:val="32"/>
      <w:lang w:eastAsia="en-GB"/>
    </w:rPr>
  </w:style>
  <w:style w:type="character" w:customStyle="1" w:styleId="Heading3Char">
    <w:name w:val="Heading 3 Char"/>
    <w:basedOn w:val="DefaultParagraphFont"/>
    <w:link w:val="Heading3"/>
    <w:uiPriority w:val="9"/>
    <w:rsid w:val="00697CC0"/>
    <w:rPr>
      <w:rFonts w:ascii="Arial" w:eastAsia="Times New Roman" w:hAnsi="Arial"/>
      <w:b/>
      <w:bCs/>
      <w:color w:val="333333"/>
      <w:sz w:val="30"/>
      <w:szCs w:val="30"/>
      <w:lang w:eastAsia="en-GB"/>
    </w:rPr>
  </w:style>
  <w:style w:type="character" w:customStyle="1" w:styleId="Heading4Char">
    <w:name w:val="Heading 4 Char"/>
    <w:basedOn w:val="DefaultParagraphFont"/>
    <w:link w:val="Heading4"/>
    <w:semiHidden/>
    <w:rsid w:val="00697CC0"/>
    <w:rPr>
      <w:rFonts w:asciiTheme="majorHAnsi" w:eastAsiaTheme="majorEastAsia" w:hAnsiTheme="majorHAnsi" w:cstheme="majorBidi"/>
      <w:b/>
      <w:bCs/>
      <w:i/>
      <w:iCs/>
      <w:color w:val="4F81BD" w:themeColor="accent1"/>
      <w:sz w:val="24"/>
      <w:szCs w:val="24"/>
      <w:lang w:eastAsia="en-GB"/>
    </w:rPr>
  </w:style>
  <w:style w:type="character" w:styleId="Hyperlink">
    <w:name w:val="Hyperlink"/>
    <w:uiPriority w:val="99"/>
    <w:unhideWhenUsed/>
    <w:rsid w:val="00697CC0"/>
    <w:rPr>
      <w:strike w:val="0"/>
      <w:dstrike w:val="0"/>
      <w:color w:val="0000FF"/>
      <w:u w:val="none"/>
      <w:effect w:val="none"/>
    </w:rPr>
  </w:style>
  <w:style w:type="paragraph" w:styleId="NormalWeb">
    <w:name w:val="Normal (Web)"/>
    <w:basedOn w:val="Normal"/>
    <w:uiPriority w:val="99"/>
    <w:unhideWhenUsed/>
    <w:rsid w:val="00697CC0"/>
    <w:pPr>
      <w:spacing w:before="100" w:beforeAutospacing="1" w:after="100" w:afterAutospacing="1"/>
    </w:pPr>
    <w:rPr>
      <w:sz w:val="21"/>
      <w:szCs w:val="21"/>
    </w:rPr>
  </w:style>
  <w:style w:type="character" w:styleId="Emphasis">
    <w:name w:val="Emphasis"/>
    <w:uiPriority w:val="20"/>
    <w:qFormat/>
    <w:rsid w:val="00697CC0"/>
    <w:rPr>
      <w:i/>
      <w:iCs/>
    </w:rPr>
  </w:style>
  <w:style w:type="character" w:styleId="Strong">
    <w:name w:val="Strong"/>
    <w:uiPriority w:val="22"/>
    <w:qFormat/>
    <w:rsid w:val="00697CC0"/>
    <w:rPr>
      <w:b/>
      <w:bCs/>
    </w:rPr>
  </w:style>
  <w:style w:type="paragraph" w:styleId="FootnoteText">
    <w:name w:val="footnote text"/>
    <w:basedOn w:val="Normal"/>
    <w:link w:val="FootnoteTextChar"/>
    <w:uiPriority w:val="99"/>
    <w:rsid w:val="00697CC0"/>
    <w:rPr>
      <w:sz w:val="20"/>
      <w:szCs w:val="20"/>
    </w:rPr>
  </w:style>
  <w:style w:type="character" w:customStyle="1" w:styleId="FootnoteTextChar">
    <w:name w:val="Footnote Text Char"/>
    <w:basedOn w:val="DefaultParagraphFont"/>
    <w:link w:val="FootnoteText"/>
    <w:uiPriority w:val="99"/>
    <w:rsid w:val="00697CC0"/>
    <w:rPr>
      <w:rFonts w:eastAsia="Times New Roman"/>
      <w:lang w:eastAsia="en-GB"/>
    </w:rPr>
  </w:style>
  <w:style w:type="character" w:styleId="FootnoteReference">
    <w:name w:val="footnote reference"/>
    <w:uiPriority w:val="99"/>
    <w:rsid w:val="00697CC0"/>
    <w:rPr>
      <w:vertAlign w:val="superscript"/>
    </w:rPr>
  </w:style>
  <w:style w:type="paragraph" w:styleId="EndnoteText">
    <w:name w:val="endnote text"/>
    <w:basedOn w:val="Normal"/>
    <w:link w:val="EndnoteTextChar"/>
    <w:uiPriority w:val="99"/>
    <w:rsid w:val="00697CC0"/>
    <w:rPr>
      <w:sz w:val="20"/>
      <w:szCs w:val="20"/>
    </w:rPr>
  </w:style>
  <w:style w:type="character" w:customStyle="1" w:styleId="EndnoteTextChar">
    <w:name w:val="Endnote Text Char"/>
    <w:basedOn w:val="DefaultParagraphFont"/>
    <w:link w:val="EndnoteText"/>
    <w:uiPriority w:val="99"/>
    <w:rsid w:val="00697CC0"/>
    <w:rPr>
      <w:rFonts w:eastAsia="Times New Roman"/>
      <w:lang w:eastAsia="en-GB"/>
    </w:rPr>
  </w:style>
  <w:style w:type="character" w:styleId="EndnoteReference">
    <w:name w:val="endnote reference"/>
    <w:rsid w:val="00697CC0"/>
    <w:rPr>
      <w:vertAlign w:val="superscript"/>
    </w:rPr>
  </w:style>
  <w:style w:type="character" w:styleId="HTMLCite">
    <w:name w:val="HTML Cite"/>
    <w:uiPriority w:val="99"/>
    <w:rsid w:val="00697CC0"/>
    <w:rPr>
      <w:i/>
      <w:iCs/>
    </w:rPr>
  </w:style>
  <w:style w:type="character" w:customStyle="1" w:styleId="slug-pub-date-pop">
    <w:name w:val="slug-pub-date-pop"/>
    <w:basedOn w:val="DefaultParagraphFont"/>
    <w:rsid w:val="00697CC0"/>
  </w:style>
  <w:style w:type="character" w:customStyle="1" w:styleId="pop-slug-vol">
    <w:name w:val="pop-slug-vol"/>
    <w:basedOn w:val="DefaultParagraphFont"/>
    <w:rsid w:val="00697CC0"/>
  </w:style>
  <w:style w:type="character" w:customStyle="1" w:styleId="slug-doi">
    <w:name w:val="slug-doi"/>
    <w:basedOn w:val="DefaultParagraphFont"/>
    <w:rsid w:val="00697CC0"/>
  </w:style>
  <w:style w:type="character" w:customStyle="1" w:styleId="slug-ahead-of-print-date">
    <w:name w:val="slug-ahead-of-print-date"/>
    <w:basedOn w:val="DefaultParagraphFont"/>
    <w:rsid w:val="00697CC0"/>
  </w:style>
  <w:style w:type="character" w:customStyle="1" w:styleId="pop-cite">
    <w:name w:val="pop-cite"/>
    <w:basedOn w:val="DefaultParagraphFont"/>
    <w:rsid w:val="00697CC0"/>
  </w:style>
  <w:style w:type="character" w:customStyle="1" w:styleId="slug-pop-date">
    <w:name w:val="slug-pop-date"/>
    <w:basedOn w:val="DefaultParagraphFont"/>
    <w:rsid w:val="00697CC0"/>
  </w:style>
  <w:style w:type="character" w:customStyle="1" w:styleId="pop-slug">
    <w:name w:val="pop-slug"/>
    <w:basedOn w:val="DefaultParagraphFont"/>
    <w:rsid w:val="00697CC0"/>
  </w:style>
  <w:style w:type="character" w:styleId="CommentReference">
    <w:name w:val="annotation reference"/>
    <w:rsid w:val="00697CC0"/>
    <w:rPr>
      <w:rFonts w:cs="Times New Roman"/>
      <w:sz w:val="16"/>
      <w:szCs w:val="16"/>
    </w:rPr>
  </w:style>
  <w:style w:type="paragraph" w:styleId="CommentText">
    <w:name w:val="annotation text"/>
    <w:basedOn w:val="Normal"/>
    <w:link w:val="CommentTextChar"/>
    <w:rsid w:val="00697CC0"/>
    <w:pPr>
      <w:spacing w:after="200" w:line="276" w:lineRule="auto"/>
    </w:pPr>
    <w:rPr>
      <w:rFonts w:ascii="Calibri" w:hAnsi="Calibri" w:cs="Calibri"/>
      <w:sz w:val="20"/>
      <w:szCs w:val="20"/>
    </w:rPr>
  </w:style>
  <w:style w:type="character" w:customStyle="1" w:styleId="CommentTextChar">
    <w:name w:val="Comment Text Char"/>
    <w:basedOn w:val="DefaultParagraphFont"/>
    <w:link w:val="CommentText"/>
    <w:rsid w:val="00697CC0"/>
    <w:rPr>
      <w:rFonts w:ascii="Calibri" w:eastAsia="Times New Roman" w:hAnsi="Calibri" w:cs="Calibri"/>
      <w:lang w:eastAsia="en-GB"/>
    </w:rPr>
  </w:style>
  <w:style w:type="paragraph" w:styleId="BalloonText">
    <w:name w:val="Balloon Text"/>
    <w:basedOn w:val="Normal"/>
    <w:link w:val="BalloonTextChar"/>
    <w:rsid w:val="00697CC0"/>
    <w:rPr>
      <w:rFonts w:ascii="Tahoma" w:hAnsi="Tahoma" w:cs="Tahoma"/>
      <w:sz w:val="16"/>
      <w:szCs w:val="16"/>
    </w:rPr>
  </w:style>
  <w:style w:type="character" w:customStyle="1" w:styleId="BalloonTextChar">
    <w:name w:val="Balloon Text Char"/>
    <w:basedOn w:val="DefaultParagraphFont"/>
    <w:link w:val="BalloonText"/>
    <w:rsid w:val="00697CC0"/>
    <w:rPr>
      <w:rFonts w:ascii="Tahoma" w:eastAsia="Times New Roman" w:hAnsi="Tahoma" w:cs="Tahoma"/>
      <w:sz w:val="16"/>
      <w:szCs w:val="16"/>
      <w:lang w:eastAsia="en-GB"/>
    </w:rPr>
  </w:style>
  <w:style w:type="paragraph" w:styleId="CommentSubject">
    <w:name w:val="annotation subject"/>
    <w:basedOn w:val="CommentText"/>
    <w:next w:val="CommentText"/>
    <w:link w:val="CommentSubjectChar"/>
    <w:rsid w:val="00697CC0"/>
    <w:pPr>
      <w:spacing w:after="0" w:line="240" w:lineRule="auto"/>
    </w:pPr>
    <w:rPr>
      <w:rFonts w:ascii="Times New Roman" w:hAnsi="Times New Roman" w:cs="Times New Roman"/>
      <w:b/>
      <w:bCs/>
    </w:rPr>
  </w:style>
  <w:style w:type="character" w:customStyle="1" w:styleId="CommentSubjectChar">
    <w:name w:val="Comment Subject Char"/>
    <w:basedOn w:val="CommentTextChar"/>
    <w:link w:val="CommentSubject"/>
    <w:rsid w:val="00697CC0"/>
    <w:rPr>
      <w:rFonts w:ascii="Calibri" w:eastAsia="Times New Roman" w:hAnsi="Calibri" w:cs="Calibri"/>
      <w:b/>
      <w:bCs/>
      <w:lang w:eastAsia="en-GB"/>
    </w:rPr>
  </w:style>
  <w:style w:type="paragraph" w:styleId="ListParagraph">
    <w:name w:val="List Paragraph"/>
    <w:basedOn w:val="Normal"/>
    <w:uiPriority w:val="99"/>
    <w:qFormat/>
    <w:rsid w:val="00697CC0"/>
    <w:pPr>
      <w:spacing w:after="200" w:line="276" w:lineRule="auto"/>
      <w:ind w:left="720"/>
    </w:pPr>
    <w:rPr>
      <w:rFonts w:ascii="Calibri" w:hAnsi="Calibri" w:cs="Calibri"/>
      <w:sz w:val="22"/>
      <w:szCs w:val="22"/>
    </w:rPr>
  </w:style>
  <w:style w:type="character" w:customStyle="1" w:styleId="doi">
    <w:name w:val="doi"/>
    <w:rsid w:val="00697CC0"/>
  </w:style>
  <w:style w:type="character" w:customStyle="1" w:styleId="value">
    <w:name w:val="value"/>
    <w:rsid w:val="00697CC0"/>
  </w:style>
  <w:style w:type="character" w:customStyle="1" w:styleId="label1">
    <w:name w:val="label1"/>
    <w:rsid w:val="00697CC0"/>
  </w:style>
  <w:style w:type="paragraph" w:styleId="Header">
    <w:name w:val="header"/>
    <w:basedOn w:val="Normal"/>
    <w:link w:val="HeaderChar"/>
    <w:rsid w:val="00697CC0"/>
    <w:pPr>
      <w:tabs>
        <w:tab w:val="center" w:pos="4513"/>
        <w:tab w:val="right" w:pos="9026"/>
      </w:tabs>
    </w:pPr>
  </w:style>
  <w:style w:type="character" w:customStyle="1" w:styleId="HeaderChar">
    <w:name w:val="Header Char"/>
    <w:basedOn w:val="DefaultParagraphFont"/>
    <w:link w:val="Header"/>
    <w:rsid w:val="00697CC0"/>
    <w:rPr>
      <w:rFonts w:eastAsia="Times New Roman"/>
      <w:sz w:val="24"/>
      <w:szCs w:val="24"/>
      <w:lang w:eastAsia="en-GB"/>
    </w:rPr>
  </w:style>
  <w:style w:type="paragraph" w:styleId="Footer">
    <w:name w:val="footer"/>
    <w:basedOn w:val="Normal"/>
    <w:link w:val="FooterChar"/>
    <w:uiPriority w:val="99"/>
    <w:rsid w:val="00697CC0"/>
    <w:pPr>
      <w:tabs>
        <w:tab w:val="center" w:pos="4513"/>
        <w:tab w:val="right" w:pos="9026"/>
      </w:tabs>
    </w:pPr>
  </w:style>
  <w:style w:type="character" w:customStyle="1" w:styleId="FooterChar">
    <w:name w:val="Footer Char"/>
    <w:basedOn w:val="DefaultParagraphFont"/>
    <w:link w:val="Footer"/>
    <w:uiPriority w:val="99"/>
    <w:rsid w:val="00697CC0"/>
    <w:rPr>
      <w:rFonts w:eastAsia="Times New Roman"/>
      <w:sz w:val="24"/>
      <w:szCs w:val="24"/>
      <w:lang w:eastAsia="en-GB"/>
    </w:rPr>
  </w:style>
  <w:style w:type="table" w:styleId="TableGrid">
    <w:name w:val="Table Grid"/>
    <w:basedOn w:val="TableNormal"/>
    <w:uiPriority w:val="59"/>
    <w:rsid w:val="00697CC0"/>
    <w:rPr>
      <w:rFonts w:eastAsia="Times New Roman"/>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97CC0"/>
  </w:style>
  <w:style w:type="character" w:customStyle="1" w:styleId="name">
    <w:name w:val="name"/>
    <w:basedOn w:val="DefaultParagraphFont"/>
    <w:rsid w:val="00697CC0"/>
  </w:style>
  <w:style w:type="character" w:customStyle="1" w:styleId="contrib-role">
    <w:name w:val="contrib-role"/>
    <w:basedOn w:val="DefaultParagraphFont"/>
    <w:rsid w:val="00697CC0"/>
  </w:style>
  <w:style w:type="paragraph" w:styleId="PlainText">
    <w:name w:val="Plain Text"/>
    <w:basedOn w:val="Normal"/>
    <w:link w:val="PlainTextChar"/>
    <w:uiPriority w:val="99"/>
    <w:unhideWhenUsed/>
    <w:rsid w:val="00697CC0"/>
    <w:rPr>
      <w:rFonts w:ascii="Consolas" w:eastAsiaTheme="minorHAnsi" w:hAnsi="Consolas"/>
      <w:sz w:val="21"/>
      <w:szCs w:val="21"/>
    </w:rPr>
  </w:style>
  <w:style w:type="character" w:customStyle="1" w:styleId="PlainTextChar">
    <w:name w:val="Plain Text Char"/>
    <w:basedOn w:val="DefaultParagraphFont"/>
    <w:link w:val="PlainText"/>
    <w:uiPriority w:val="99"/>
    <w:rsid w:val="00697CC0"/>
    <w:rPr>
      <w:rFonts w:ascii="Consolas" w:eastAsiaTheme="minorHAnsi" w:hAnsi="Consolas"/>
      <w:sz w:val="21"/>
      <w:szCs w:val="21"/>
      <w:lang w:eastAsia="en-GB"/>
    </w:rPr>
  </w:style>
  <w:style w:type="character" w:customStyle="1" w:styleId="ref-journal">
    <w:name w:val="ref-journal"/>
    <w:basedOn w:val="DefaultParagraphFont"/>
    <w:rsid w:val="001E5968"/>
  </w:style>
  <w:style w:type="character" w:customStyle="1" w:styleId="ref-vol">
    <w:name w:val="ref-vol"/>
    <w:basedOn w:val="DefaultParagraphFont"/>
    <w:rsid w:val="001E5968"/>
  </w:style>
  <w:style w:type="character" w:customStyle="1" w:styleId="st1">
    <w:name w:val="st1"/>
    <w:basedOn w:val="DefaultParagraphFont"/>
    <w:rsid w:val="008A12A0"/>
  </w:style>
  <w:style w:type="character" w:customStyle="1" w:styleId="ft">
    <w:name w:val="ft"/>
    <w:basedOn w:val="DefaultParagraphFont"/>
    <w:rsid w:val="008A12A0"/>
  </w:style>
  <w:style w:type="character" w:customStyle="1" w:styleId="googqs-tidbit">
    <w:name w:val="goog_qs-tidbit"/>
    <w:basedOn w:val="DefaultParagraphFont"/>
    <w:rsid w:val="004105C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GB"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footer" w:uiPriority="99"/>
    <w:lsdException w:name="caption" w:semiHidden="1" w:unhideWhenUsed="1" w:qFormat="1"/>
    <w:lsdException w:name="footnote reference" w:uiPriority="99"/>
    <w:lsdException w:name="endnote text" w:uiPriority="99"/>
    <w:lsdException w:name="Title" w:qFormat="1"/>
    <w:lsdException w:name="Subtitle" w:qFormat="1"/>
    <w:lsdException w:name="Hyperlink" w:uiPriority="99"/>
    <w:lsdException w:name="Strong" w:uiPriority="22" w:qFormat="1"/>
    <w:lsdException w:name="Emphasis" w:uiPriority="20" w:qFormat="1"/>
    <w:lsdException w:name="Plain Text" w:uiPriority="99"/>
    <w:lsdException w:name="Normal (Web)" w:uiPriority="99"/>
    <w:lsdException w:name="HTML Cite" w:uiPriority="99"/>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97CC0"/>
    <w:rPr>
      <w:rFonts w:eastAsia="Times New Roman"/>
      <w:sz w:val="24"/>
      <w:szCs w:val="24"/>
      <w:lang w:eastAsia="en-GB"/>
    </w:rPr>
  </w:style>
  <w:style w:type="paragraph" w:styleId="Heading1">
    <w:name w:val="heading 1"/>
    <w:basedOn w:val="Normal"/>
    <w:next w:val="Normal"/>
    <w:link w:val="Heading1Char"/>
    <w:qFormat/>
    <w:rsid w:val="00697CC0"/>
    <w:pPr>
      <w:keepNext/>
      <w:spacing w:before="240" w:after="60"/>
      <w:outlineLvl w:val="0"/>
    </w:pPr>
    <w:rPr>
      <w:rFonts w:ascii="Arial" w:hAnsi="Arial" w:cs="Arial"/>
      <w:b/>
      <w:bCs/>
      <w:kern w:val="32"/>
      <w:sz w:val="32"/>
      <w:szCs w:val="32"/>
    </w:rPr>
  </w:style>
  <w:style w:type="paragraph" w:styleId="Heading3">
    <w:name w:val="heading 3"/>
    <w:basedOn w:val="Normal"/>
    <w:link w:val="Heading3Char"/>
    <w:uiPriority w:val="9"/>
    <w:qFormat/>
    <w:rsid w:val="00697CC0"/>
    <w:pPr>
      <w:spacing w:before="100" w:beforeAutospacing="1" w:after="100" w:afterAutospacing="1" w:line="300" w:lineRule="atLeast"/>
      <w:outlineLvl w:val="2"/>
    </w:pPr>
    <w:rPr>
      <w:rFonts w:ascii="Arial" w:hAnsi="Arial"/>
      <w:b/>
      <w:bCs/>
      <w:color w:val="333333"/>
      <w:sz w:val="30"/>
      <w:szCs w:val="30"/>
    </w:rPr>
  </w:style>
  <w:style w:type="paragraph" w:styleId="Heading4">
    <w:name w:val="heading 4"/>
    <w:basedOn w:val="Normal"/>
    <w:next w:val="Normal"/>
    <w:link w:val="Heading4Char"/>
    <w:semiHidden/>
    <w:unhideWhenUsed/>
    <w:qFormat/>
    <w:rsid w:val="00697CC0"/>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97CC0"/>
    <w:rPr>
      <w:rFonts w:ascii="Arial" w:eastAsia="Times New Roman" w:hAnsi="Arial" w:cs="Arial"/>
      <w:b/>
      <w:bCs/>
      <w:kern w:val="32"/>
      <w:sz w:val="32"/>
      <w:szCs w:val="32"/>
      <w:lang w:eastAsia="en-GB"/>
    </w:rPr>
  </w:style>
  <w:style w:type="character" w:customStyle="1" w:styleId="Heading3Char">
    <w:name w:val="Heading 3 Char"/>
    <w:basedOn w:val="DefaultParagraphFont"/>
    <w:link w:val="Heading3"/>
    <w:uiPriority w:val="9"/>
    <w:rsid w:val="00697CC0"/>
    <w:rPr>
      <w:rFonts w:ascii="Arial" w:eastAsia="Times New Roman" w:hAnsi="Arial"/>
      <w:b/>
      <w:bCs/>
      <w:color w:val="333333"/>
      <w:sz w:val="30"/>
      <w:szCs w:val="30"/>
      <w:lang w:eastAsia="en-GB"/>
    </w:rPr>
  </w:style>
  <w:style w:type="character" w:customStyle="1" w:styleId="Heading4Char">
    <w:name w:val="Heading 4 Char"/>
    <w:basedOn w:val="DefaultParagraphFont"/>
    <w:link w:val="Heading4"/>
    <w:semiHidden/>
    <w:rsid w:val="00697CC0"/>
    <w:rPr>
      <w:rFonts w:asciiTheme="majorHAnsi" w:eastAsiaTheme="majorEastAsia" w:hAnsiTheme="majorHAnsi" w:cstheme="majorBidi"/>
      <w:b/>
      <w:bCs/>
      <w:i/>
      <w:iCs/>
      <w:color w:val="4F81BD" w:themeColor="accent1"/>
      <w:sz w:val="24"/>
      <w:szCs w:val="24"/>
      <w:lang w:eastAsia="en-GB"/>
    </w:rPr>
  </w:style>
  <w:style w:type="character" w:styleId="Hyperlink">
    <w:name w:val="Hyperlink"/>
    <w:uiPriority w:val="99"/>
    <w:unhideWhenUsed/>
    <w:rsid w:val="00697CC0"/>
    <w:rPr>
      <w:strike w:val="0"/>
      <w:dstrike w:val="0"/>
      <w:color w:val="0000FF"/>
      <w:u w:val="none"/>
      <w:effect w:val="none"/>
    </w:rPr>
  </w:style>
  <w:style w:type="paragraph" w:styleId="NormalWeb">
    <w:name w:val="Normal (Web)"/>
    <w:basedOn w:val="Normal"/>
    <w:uiPriority w:val="99"/>
    <w:unhideWhenUsed/>
    <w:rsid w:val="00697CC0"/>
    <w:pPr>
      <w:spacing w:before="100" w:beforeAutospacing="1" w:after="100" w:afterAutospacing="1"/>
    </w:pPr>
    <w:rPr>
      <w:sz w:val="21"/>
      <w:szCs w:val="21"/>
    </w:rPr>
  </w:style>
  <w:style w:type="character" w:styleId="Emphasis">
    <w:name w:val="Emphasis"/>
    <w:uiPriority w:val="20"/>
    <w:qFormat/>
    <w:rsid w:val="00697CC0"/>
    <w:rPr>
      <w:i/>
      <w:iCs/>
    </w:rPr>
  </w:style>
  <w:style w:type="character" w:styleId="Strong">
    <w:name w:val="Strong"/>
    <w:uiPriority w:val="22"/>
    <w:qFormat/>
    <w:rsid w:val="00697CC0"/>
    <w:rPr>
      <w:b/>
      <w:bCs/>
    </w:rPr>
  </w:style>
  <w:style w:type="paragraph" w:styleId="FootnoteText">
    <w:name w:val="footnote text"/>
    <w:basedOn w:val="Normal"/>
    <w:link w:val="FootnoteTextChar"/>
    <w:uiPriority w:val="99"/>
    <w:rsid w:val="00697CC0"/>
    <w:rPr>
      <w:sz w:val="20"/>
      <w:szCs w:val="20"/>
    </w:rPr>
  </w:style>
  <w:style w:type="character" w:customStyle="1" w:styleId="FootnoteTextChar">
    <w:name w:val="Footnote Text Char"/>
    <w:basedOn w:val="DefaultParagraphFont"/>
    <w:link w:val="FootnoteText"/>
    <w:uiPriority w:val="99"/>
    <w:rsid w:val="00697CC0"/>
    <w:rPr>
      <w:rFonts w:eastAsia="Times New Roman"/>
      <w:lang w:eastAsia="en-GB"/>
    </w:rPr>
  </w:style>
  <w:style w:type="character" w:styleId="FootnoteReference">
    <w:name w:val="footnote reference"/>
    <w:uiPriority w:val="99"/>
    <w:rsid w:val="00697CC0"/>
    <w:rPr>
      <w:vertAlign w:val="superscript"/>
    </w:rPr>
  </w:style>
  <w:style w:type="paragraph" w:styleId="EndnoteText">
    <w:name w:val="endnote text"/>
    <w:basedOn w:val="Normal"/>
    <w:link w:val="EndnoteTextChar"/>
    <w:uiPriority w:val="99"/>
    <w:rsid w:val="00697CC0"/>
    <w:rPr>
      <w:sz w:val="20"/>
      <w:szCs w:val="20"/>
    </w:rPr>
  </w:style>
  <w:style w:type="character" w:customStyle="1" w:styleId="EndnoteTextChar">
    <w:name w:val="Endnote Text Char"/>
    <w:basedOn w:val="DefaultParagraphFont"/>
    <w:link w:val="EndnoteText"/>
    <w:uiPriority w:val="99"/>
    <w:rsid w:val="00697CC0"/>
    <w:rPr>
      <w:rFonts w:eastAsia="Times New Roman"/>
      <w:lang w:eastAsia="en-GB"/>
    </w:rPr>
  </w:style>
  <w:style w:type="character" w:styleId="EndnoteReference">
    <w:name w:val="endnote reference"/>
    <w:rsid w:val="00697CC0"/>
    <w:rPr>
      <w:vertAlign w:val="superscript"/>
    </w:rPr>
  </w:style>
  <w:style w:type="character" w:styleId="HTMLCite">
    <w:name w:val="HTML Cite"/>
    <w:uiPriority w:val="99"/>
    <w:rsid w:val="00697CC0"/>
    <w:rPr>
      <w:i/>
      <w:iCs/>
    </w:rPr>
  </w:style>
  <w:style w:type="character" w:customStyle="1" w:styleId="slug-pub-date-pop">
    <w:name w:val="slug-pub-date-pop"/>
    <w:basedOn w:val="DefaultParagraphFont"/>
    <w:rsid w:val="00697CC0"/>
  </w:style>
  <w:style w:type="character" w:customStyle="1" w:styleId="pop-slug-vol">
    <w:name w:val="pop-slug-vol"/>
    <w:basedOn w:val="DefaultParagraphFont"/>
    <w:rsid w:val="00697CC0"/>
  </w:style>
  <w:style w:type="character" w:customStyle="1" w:styleId="slug-doi">
    <w:name w:val="slug-doi"/>
    <w:basedOn w:val="DefaultParagraphFont"/>
    <w:rsid w:val="00697CC0"/>
  </w:style>
  <w:style w:type="character" w:customStyle="1" w:styleId="slug-ahead-of-print-date">
    <w:name w:val="slug-ahead-of-print-date"/>
    <w:basedOn w:val="DefaultParagraphFont"/>
    <w:rsid w:val="00697CC0"/>
  </w:style>
  <w:style w:type="character" w:customStyle="1" w:styleId="pop-cite">
    <w:name w:val="pop-cite"/>
    <w:basedOn w:val="DefaultParagraphFont"/>
    <w:rsid w:val="00697CC0"/>
  </w:style>
  <w:style w:type="character" w:customStyle="1" w:styleId="slug-pop-date">
    <w:name w:val="slug-pop-date"/>
    <w:basedOn w:val="DefaultParagraphFont"/>
    <w:rsid w:val="00697CC0"/>
  </w:style>
  <w:style w:type="character" w:customStyle="1" w:styleId="pop-slug">
    <w:name w:val="pop-slug"/>
    <w:basedOn w:val="DefaultParagraphFont"/>
    <w:rsid w:val="00697CC0"/>
  </w:style>
  <w:style w:type="character" w:styleId="CommentReference">
    <w:name w:val="annotation reference"/>
    <w:rsid w:val="00697CC0"/>
    <w:rPr>
      <w:rFonts w:cs="Times New Roman"/>
      <w:sz w:val="16"/>
      <w:szCs w:val="16"/>
    </w:rPr>
  </w:style>
  <w:style w:type="paragraph" w:styleId="CommentText">
    <w:name w:val="annotation text"/>
    <w:basedOn w:val="Normal"/>
    <w:link w:val="CommentTextChar"/>
    <w:rsid w:val="00697CC0"/>
    <w:pPr>
      <w:spacing w:after="200" w:line="276" w:lineRule="auto"/>
    </w:pPr>
    <w:rPr>
      <w:rFonts w:ascii="Calibri" w:hAnsi="Calibri" w:cs="Calibri"/>
      <w:sz w:val="20"/>
      <w:szCs w:val="20"/>
    </w:rPr>
  </w:style>
  <w:style w:type="character" w:customStyle="1" w:styleId="CommentTextChar">
    <w:name w:val="Comment Text Char"/>
    <w:basedOn w:val="DefaultParagraphFont"/>
    <w:link w:val="CommentText"/>
    <w:rsid w:val="00697CC0"/>
    <w:rPr>
      <w:rFonts w:ascii="Calibri" w:eastAsia="Times New Roman" w:hAnsi="Calibri" w:cs="Calibri"/>
      <w:lang w:eastAsia="en-GB"/>
    </w:rPr>
  </w:style>
  <w:style w:type="paragraph" w:styleId="BalloonText">
    <w:name w:val="Balloon Text"/>
    <w:basedOn w:val="Normal"/>
    <w:link w:val="BalloonTextChar"/>
    <w:rsid w:val="00697CC0"/>
    <w:rPr>
      <w:rFonts w:ascii="Tahoma" w:hAnsi="Tahoma" w:cs="Tahoma"/>
      <w:sz w:val="16"/>
      <w:szCs w:val="16"/>
    </w:rPr>
  </w:style>
  <w:style w:type="character" w:customStyle="1" w:styleId="BalloonTextChar">
    <w:name w:val="Balloon Text Char"/>
    <w:basedOn w:val="DefaultParagraphFont"/>
    <w:link w:val="BalloonText"/>
    <w:rsid w:val="00697CC0"/>
    <w:rPr>
      <w:rFonts w:ascii="Tahoma" w:eastAsia="Times New Roman" w:hAnsi="Tahoma" w:cs="Tahoma"/>
      <w:sz w:val="16"/>
      <w:szCs w:val="16"/>
      <w:lang w:eastAsia="en-GB"/>
    </w:rPr>
  </w:style>
  <w:style w:type="paragraph" w:styleId="CommentSubject">
    <w:name w:val="annotation subject"/>
    <w:basedOn w:val="CommentText"/>
    <w:next w:val="CommentText"/>
    <w:link w:val="CommentSubjectChar"/>
    <w:rsid w:val="00697CC0"/>
    <w:pPr>
      <w:spacing w:after="0" w:line="240" w:lineRule="auto"/>
    </w:pPr>
    <w:rPr>
      <w:rFonts w:ascii="Times New Roman" w:hAnsi="Times New Roman" w:cs="Times New Roman"/>
      <w:b/>
      <w:bCs/>
    </w:rPr>
  </w:style>
  <w:style w:type="character" w:customStyle="1" w:styleId="CommentSubjectChar">
    <w:name w:val="Comment Subject Char"/>
    <w:basedOn w:val="CommentTextChar"/>
    <w:link w:val="CommentSubject"/>
    <w:rsid w:val="00697CC0"/>
    <w:rPr>
      <w:rFonts w:ascii="Calibri" w:eastAsia="Times New Roman" w:hAnsi="Calibri" w:cs="Calibri"/>
      <w:b/>
      <w:bCs/>
      <w:lang w:eastAsia="en-GB"/>
    </w:rPr>
  </w:style>
  <w:style w:type="paragraph" w:styleId="ListParagraph">
    <w:name w:val="List Paragraph"/>
    <w:basedOn w:val="Normal"/>
    <w:uiPriority w:val="99"/>
    <w:qFormat/>
    <w:rsid w:val="00697CC0"/>
    <w:pPr>
      <w:spacing w:after="200" w:line="276" w:lineRule="auto"/>
      <w:ind w:left="720"/>
    </w:pPr>
    <w:rPr>
      <w:rFonts w:ascii="Calibri" w:hAnsi="Calibri" w:cs="Calibri"/>
      <w:sz w:val="22"/>
      <w:szCs w:val="22"/>
    </w:rPr>
  </w:style>
  <w:style w:type="character" w:customStyle="1" w:styleId="doi">
    <w:name w:val="doi"/>
    <w:rsid w:val="00697CC0"/>
  </w:style>
  <w:style w:type="character" w:customStyle="1" w:styleId="value">
    <w:name w:val="value"/>
    <w:rsid w:val="00697CC0"/>
  </w:style>
  <w:style w:type="character" w:customStyle="1" w:styleId="label1">
    <w:name w:val="label1"/>
    <w:rsid w:val="00697CC0"/>
  </w:style>
  <w:style w:type="paragraph" w:styleId="Header">
    <w:name w:val="header"/>
    <w:basedOn w:val="Normal"/>
    <w:link w:val="HeaderChar"/>
    <w:rsid w:val="00697CC0"/>
    <w:pPr>
      <w:tabs>
        <w:tab w:val="center" w:pos="4513"/>
        <w:tab w:val="right" w:pos="9026"/>
      </w:tabs>
    </w:pPr>
  </w:style>
  <w:style w:type="character" w:customStyle="1" w:styleId="HeaderChar">
    <w:name w:val="Header Char"/>
    <w:basedOn w:val="DefaultParagraphFont"/>
    <w:link w:val="Header"/>
    <w:rsid w:val="00697CC0"/>
    <w:rPr>
      <w:rFonts w:eastAsia="Times New Roman"/>
      <w:sz w:val="24"/>
      <w:szCs w:val="24"/>
      <w:lang w:eastAsia="en-GB"/>
    </w:rPr>
  </w:style>
  <w:style w:type="paragraph" w:styleId="Footer">
    <w:name w:val="footer"/>
    <w:basedOn w:val="Normal"/>
    <w:link w:val="FooterChar"/>
    <w:uiPriority w:val="99"/>
    <w:rsid w:val="00697CC0"/>
    <w:pPr>
      <w:tabs>
        <w:tab w:val="center" w:pos="4513"/>
        <w:tab w:val="right" w:pos="9026"/>
      </w:tabs>
    </w:pPr>
  </w:style>
  <w:style w:type="character" w:customStyle="1" w:styleId="FooterChar">
    <w:name w:val="Footer Char"/>
    <w:basedOn w:val="DefaultParagraphFont"/>
    <w:link w:val="Footer"/>
    <w:uiPriority w:val="99"/>
    <w:rsid w:val="00697CC0"/>
    <w:rPr>
      <w:rFonts w:eastAsia="Times New Roman"/>
      <w:sz w:val="24"/>
      <w:szCs w:val="24"/>
      <w:lang w:eastAsia="en-GB"/>
    </w:rPr>
  </w:style>
  <w:style w:type="table" w:styleId="TableGrid">
    <w:name w:val="Table Grid"/>
    <w:basedOn w:val="TableNormal"/>
    <w:uiPriority w:val="59"/>
    <w:rsid w:val="00697CC0"/>
    <w:rPr>
      <w:rFonts w:eastAsia="Times New Roman"/>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97CC0"/>
  </w:style>
  <w:style w:type="character" w:customStyle="1" w:styleId="name">
    <w:name w:val="name"/>
    <w:basedOn w:val="DefaultParagraphFont"/>
    <w:rsid w:val="00697CC0"/>
  </w:style>
  <w:style w:type="character" w:customStyle="1" w:styleId="contrib-role">
    <w:name w:val="contrib-role"/>
    <w:basedOn w:val="DefaultParagraphFont"/>
    <w:rsid w:val="00697CC0"/>
  </w:style>
  <w:style w:type="paragraph" w:styleId="PlainText">
    <w:name w:val="Plain Text"/>
    <w:basedOn w:val="Normal"/>
    <w:link w:val="PlainTextChar"/>
    <w:uiPriority w:val="99"/>
    <w:unhideWhenUsed/>
    <w:rsid w:val="00697CC0"/>
    <w:rPr>
      <w:rFonts w:ascii="Consolas" w:eastAsiaTheme="minorHAnsi" w:hAnsi="Consolas"/>
      <w:sz w:val="21"/>
      <w:szCs w:val="21"/>
    </w:rPr>
  </w:style>
  <w:style w:type="character" w:customStyle="1" w:styleId="PlainTextChar">
    <w:name w:val="Plain Text Char"/>
    <w:basedOn w:val="DefaultParagraphFont"/>
    <w:link w:val="PlainText"/>
    <w:uiPriority w:val="99"/>
    <w:rsid w:val="00697CC0"/>
    <w:rPr>
      <w:rFonts w:ascii="Consolas" w:eastAsiaTheme="minorHAnsi" w:hAnsi="Consolas"/>
      <w:sz w:val="21"/>
      <w:szCs w:val="21"/>
      <w:lang w:eastAsia="en-GB"/>
    </w:rPr>
  </w:style>
  <w:style w:type="character" w:customStyle="1" w:styleId="ref-journal">
    <w:name w:val="ref-journal"/>
    <w:basedOn w:val="DefaultParagraphFont"/>
    <w:rsid w:val="001E5968"/>
  </w:style>
  <w:style w:type="character" w:customStyle="1" w:styleId="ref-vol">
    <w:name w:val="ref-vol"/>
    <w:basedOn w:val="DefaultParagraphFont"/>
    <w:rsid w:val="001E5968"/>
  </w:style>
  <w:style w:type="character" w:customStyle="1" w:styleId="st1">
    <w:name w:val="st1"/>
    <w:basedOn w:val="DefaultParagraphFont"/>
    <w:rsid w:val="008A12A0"/>
  </w:style>
  <w:style w:type="character" w:customStyle="1" w:styleId="ft">
    <w:name w:val="ft"/>
    <w:basedOn w:val="DefaultParagraphFont"/>
    <w:rsid w:val="008A12A0"/>
  </w:style>
  <w:style w:type="character" w:customStyle="1" w:styleId="googqs-tidbit">
    <w:name w:val="goog_qs-tidbit"/>
    <w:basedOn w:val="DefaultParagraphFont"/>
    <w:rsid w:val="004105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433114">
      <w:bodyDiv w:val="1"/>
      <w:marLeft w:val="0"/>
      <w:marRight w:val="0"/>
      <w:marTop w:val="0"/>
      <w:marBottom w:val="0"/>
      <w:divBdr>
        <w:top w:val="none" w:sz="0" w:space="0" w:color="auto"/>
        <w:left w:val="none" w:sz="0" w:space="0" w:color="auto"/>
        <w:bottom w:val="none" w:sz="0" w:space="0" w:color="auto"/>
        <w:right w:val="none" w:sz="0" w:space="0" w:color="auto"/>
      </w:divBdr>
    </w:div>
    <w:div w:id="338193684">
      <w:bodyDiv w:val="1"/>
      <w:marLeft w:val="0"/>
      <w:marRight w:val="0"/>
      <w:marTop w:val="0"/>
      <w:marBottom w:val="0"/>
      <w:divBdr>
        <w:top w:val="none" w:sz="0" w:space="0" w:color="auto"/>
        <w:left w:val="none" w:sz="0" w:space="0" w:color="auto"/>
        <w:bottom w:val="none" w:sz="0" w:space="0" w:color="auto"/>
        <w:right w:val="none" w:sz="0" w:space="0" w:color="auto"/>
      </w:divBdr>
    </w:div>
    <w:div w:id="593979057">
      <w:bodyDiv w:val="1"/>
      <w:marLeft w:val="0"/>
      <w:marRight w:val="0"/>
      <w:marTop w:val="0"/>
      <w:marBottom w:val="0"/>
      <w:divBdr>
        <w:top w:val="none" w:sz="0" w:space="0" w:color="auto"/>
        <w:left w:val="none" w:sz="0" w:space="0" w:color="auto"/>
        <w:bottom w:val="none" w:sz="0" w:space="0" w:color="auto"/>
        <w:right w:val="none" w:sz="0" w:space="0" w:color="auto"/>
      </w:divBdr>
    </w:div>
    <w:div w:id="1455251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F4910A-75EF-4B64-ACDB-A465A0BDAE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E9231792</Template>
  <TotalTime>0</TotalTime>
  <Pages>22</Pages>
  <Words>10508</Words>
  <Characters>59900</Characters>
  <Application>Microsoft Office Word</Application>
  <DocSecurity>0</DocSecurity>
  <Lines>499</Lines>
  <Paragraphs>140</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70268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wk016</dc:creator>
  <cp:lastModifiedBy>wk016</cp:lastModifiedBy>
  <cp:revision>2</cp:revision>
  <dcterms:created xsi:type="dcterms:W3CDTF">2013-11-05T16:02:00Z</dcterms:created>
  <dcterms:modified xsi:type="dcterms:W3CDTF">2013-11-05T16:02:00Z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-1040381428</vt:i4>
  </property>
  <property fmtid="{D5CDD505-2E9C-101B-9397-08002B2CF9AE}" pid="3" name="_NewReviewCycle">
    <vt:lpwstr/>
  </property>
  <property fmtid="{D5CDD505-2E9C-101B-9397-08002B2CF9AE}" pid="4" name="_EmailSubject">
    <vt:lpwstr>PLOS ONE Decision: Revise [PONE-D-13-30915R1]</vt:lpwstr>
  </property>
  <property fmtid="{D5CDD505-2E9C-101B-9397-08002B2CF9AE}" pid="5" name="_AuthorEmail">
    <vt:lpwstr>C.Salter@uea.ac.uk</vt:lpwstr>
  </property>
  <property fmtid="{D5CDD505-2E9C-101B-9397-08002B2CF9AE}" pid="6" name="_AuthorEmailDisplayName">
    <vt:lpwstr>Charlotte Salter (MED)</vt:lpwstr>
  </property>
  <property fmtid="{D5CDD505-2E9C-101B-9397-08002B2CF9AE}" pid="7" name="_PreviousAdHocReviewCycleID">
    <vt:i4>-1975677745</vt:i4>
  </property>
  <property fmtid="{D5CDD505-2E9C-101B-9397-08002B2CF9AE}" pid="8" name="_ReviewingToolsShownOnce">
    <vt:lpwstr/>
  </property>
</Properties>
</file>