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docProps/custom.xml" ContentType="application/vnd.openxmlformats-officedocument.custom-properti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1F7D" w:rsidRPr="00C84485" w:rsidRDefault="009A3E03" w:rsidP="00064491">
      <w:pPr>
        <w:jc w:val="center"/>
        <w:rPr>
          <w:rFonts w:ascii="Arial" w:hAnsi="Arial" w:cs="Arial"/>
          <w:b/>
          <w:sz w:val="24"/>
          <w:szCs w:val="28"/>
        </w:rPr>
      </w:pPr>
      <w:r w:rsidRPr="00C84485">
        <w:rPr>
          <w:rFonts w:ascii="Arial" w:hAnsi="Arial" w:cs="Arial"/>
          <w:b/>
          <w:sz w:val="24"/>
          <w:szCs w:val="28"/>
        </w:rPr>
        <w:t xml:space="preserve">Environmental Risk </w:t>
      </w:r>
      <w:r w:rsidR="00CE5B7C">
        <w:rPr>
          <w:rFonts w:ascii="Arial" w:hAnsi="Arial" w:cs="Arial"/>
          <w:b/>
          <w:sz w:val="24"/>
          <w:szCs w:val="28"/>
        </w:rPr>
        <w:t>Factors for IBD: microbes, diet</w:t>
      </w:r>
      <w:r w:rsidRPr="00C84485">
        <w:rPr>
          <w:rFonts w:ascii="Arial" w:hAnsi="Arial" w:cs="Arial"/>
          <w:b/>
          <w:sz w:val="24"/>
          <w:szCs w:val="28"/>
        </w:rPr>
        <w:t xml:space="preserve"> and the appendix </w:t>
      </w:r>
    </w:p>
    <w:p w:rsidR="00141F7D" w:rsidRPr="00C84485" w:rsidRDefault="00141F7D" w:rsidP="00064491">
      <w:pPr>
        <w:jc w:val="center"/>
        <w:rPr>
          <w:rFonts w:ascii="Arial" w:hAnsi="Arial" w:cs="Arial"/>
          <w:sz w:val="24"/>
        </w:rPr>
      </w:pPr>
    </w:p>
    <w:p w:rsidR="00141F7D" w:rsidRPr="00C84485" w:rsidRDefault="00141F7D" w:rsidP="00064491">
      <w:pPr>
        <w:jc w:val="center"/>
        <w:rPr>
          <w:rFonts w:ascii="Arial" w:hAnsi="Arial" w:cs="Arial"/>
          <w:sz w:val="24"/>
          <w:szCs w:val="24"/>
          <w:vertAlign w:val="superscript"/>
        </w:rPr>
      </w:pPr>
      <w:r w:rsidRPr="00C84485">
        <w:rPr>
          <w:rFonts w:ascii="Arial" w:hAnsi="Arial" w:cs="Arial"/>
          <w:sz w:val="24"/>
          <w:szCs w:val="24"/>
        </w:rPr>
        <w:t>Alastair JM Watson</w:t>
      </w:r>
      <w:r w:rsidR="00245A49" w:rsidRPr="00C84485">
        <w:rPr>
          <w:rFonts w:ascii="Arial" w:hAnsi="Arial" w:cs="Arial"/>
          <w:sz w:val="24"/>
          <w:szCs w:val="24"/>
        </w:rPr>
        <w:t>*</w:t>
      </w:r>
      <w:r w:rsidR="00424E03" w:rsidRPr="00C84485">
        <w:rPr>
          <w:rFonts w:ascii="Arial" w:hAnsi="Arial" w:cs="Arial"/>
          <w:sz w:val="24"/>
          <w:szCs w:val="24"/>
        </w:rPr>
        <w:t xml:space="preserve">, </w:t>
      </w:r>
      <w:r w:rsidR="009A3E03" w:rsidRPr="00C84485">
        <w:rPr>
          <w:rFonts w:ascii="Arial" w:hAnsi="Arial" w:cs="Arial"/>
          <w:sz w:val="24"/>
          <w:szCs w:val="24"/>
        </w:rPr>
        <w:t>Andrew R Hart</w:t>
      </w:r>
    </w:p>
    <w:p w:rsidR="00141F7D" w:rsidRPr="00C84485" w:rsidRDefault="009A3E03" w:rsidP="00064491">
      <w:pPr>
        <w:ind w:left="720"/>
        <w:rPr>
          <w:rFonts w:ascii="Arial" w:hAnsi="Arial" w:cs="Arial"/>
          <w:sz w:val="24"/>
          <w:szCs w:val="24"/>
        </w:rPr>
      </w:pPr>
      <w:r w:rsidRPr="00C84485">
        <w:rPr>
          <w:rFonts w:ascii="Arial" w:hAnsi="Arial" w:cs="Arial"/>
          <w:sz w:val="24"/>
          <w:szCs w:val="24"/>
        </w:rPr>
        <w:t>Norwich Medical School, University of East Anglia, Norwich</w:t>
      </w:r>
      <w:r w:rsidR="00064491" w:rsidRPr="00C84485">
        <w:rPr>
          <w:rFonts w:ascii="Arial" w:hAnsi="Arial" w:cs="Arial"/>
          <w:sz w:val="24"/>
          <w:szCs w:val="24"/>
        </w:rPr>
        <w:t xml:space="preserve">, </w:t>
      </w:r>
      <w:r w:rsidRPr="00C84485">
        <w:rPr>
          <w:rFonts w:ascii="Arial" w:hAnsi="Arial" w:cs="Arial"/>
          <w:sz w:val="24"/>
          <w:szCs w:val="24"/>
        </w:rPr>
        <w:t>NR4 7TJ</w:t>
      </w:r>
      <w:r w:rsidR="00141F7D" w:rsidRPr="00C84485">
        <w:rPr>
          <w:rFonts w:ascii="Arial" w:hAnsi="Arial" w:cs="Arial"/>
          <w:sz w:val="24"/>
          <w:szCs w:val="24"/>
        </w:rPr>
        <w:t>, England</w:t>
      </w:r>
      <w:r w:rsidR="00B41CA9">
        <w:rPr>
          <w:rFonts w:ascii="Arial" w:hAnsi="Arial" w:cs="Arial"/>
          <w:sz w:val="24"/>
          <w:szCs w:val="24"/>
        </w:rPr>
        <w:t>.</w:t>
      </w:r>
    </w:p>
    <w:p w:rsidR="00141F7D" w:rsidRPr="00C84485" w:rsidRDefault="00141F7D" w:rsidP="003F6AB2">
      <w:pPr>
        <w:rPr>
          <w:rFonts w:ascii="Arial" w:hAnsi="Arial" w:cs="Arial"/>
          <w:sz w:val="24"/>
        </w:rPr>
      </w:pPr>
    </w:p>
    <w:p w:rsidR="00141F7D" w:rsidRPr="00C84485" w:rsidRDefault="00141F7D" w:rsidP="003F6AB2">
      <w:pPr>
        <w:rPr>
          <w:rFonts w:ascii="Arial" w:hAnsi="Arial" w:cs="Arial"/>
          <w:sz w:val="24"/>
        </w:rPr>
      </w:pPr>
    </w:p>
    <w:p w:rsidR="00141F7D" w:rsidRPr="00C84485" w:rsidRDefault="00141F7D" w:rsidP="003F6AB2">
      <w:pPr>
        <w:jc w:val="center"/>
        <w:rPr>
          <w:rFonts w:ascii="Arial" w:hAnsi="Arial" w:cs="Arial"/>
          <w:b/>
          <w:i/>
          <w:sz w:val="24"/>
          <w:szCs w:val="24"/>
        </w:rPr>
      </w:pPr>
      <w:r w:rsidRPr="00C84485">
        <w:rPr>
          <w:rFonts w:ascii="Arial" w:hAnsi="Arial" w:cs="Arial"/>
          <w:b/>
          <w:i/>
          <w:sz w:val="24"/>
          <w:szCs w:val="24"/>
        </w:rPr>
        <w:t xml:space="preserve">A commissioned </w:t>
      </w:r>
      <w:r w:rsidR="00064491" w:rsidRPr="00C84485">
        <w:rPr>
          <w:rFonts w:ascii="Arial" w:hAnsi="Arial" w:cs="Arial"/>
          <w:b/>
          <w:i/>
          <w:sz w:val="24"/>
          <w:szCs w:val="24"/>
        </w:rPr>
        <w:t xml:space="preserve">Selected Summary </w:t>
      </w:r>
      <w:r w:rsidRPr="00C84485">
        <w:rPr>
          <w:rFonts w:ascii="Arial" w:hAnsi="Arial" w:cs="Arial"/>
          <w:b/>
          <w:i/>
          <w:sz w:val="24"/>
          <w:szCs w:val="24"/>
        </w:rPr>
        <w:t>for G</w:t>
      </w:r>
      <w:r w:rsidR="00064491" w:rsidRPr="00C84485">
        <w:rPr>
          <w:rFonts w:ascii="Arial" w:hAnsi="Arial" w:cs="Arial"/>
          <w:b/>
          <w:i/>
          <w:sz w:val="24"/>
          <w:szCs w:val="24"/>
        </w:rPr>
        <w:t>astroenterology</w:t>
      </w:r>
      <w:r w:rsidRPr="00C84485">
        <w:rPr>
          <w:rFonts w:ascii="Arial" w:hAnsi="Arial" w:cs="Arial"/>
          <w:b/>
          <w:i/>
          <w:sz w:val="24"/>
          <w:szCs w:val="24"/>
        </w:rPr>
        <w:t xml:space="preserve"> on </w:t>
      </w:r>
    </w:p>
    <w:p w:rsidR="00141F7D" w:rsidRPr="00C84485" w:rsidRDefault="00141F7D" w:rsidP="00A2530E">
      <w:pPr>
        <w:autoSpaceDE w:val="0"/>
        <w:autoSpaceDN w:val="0"/>
        <w:adjustRightInd w:val="0"/>
        <w:spacing w:after="0" w:line="240" w:lineRule="auto"/>
        <w:rPr>
          <w:rFonts w:ascii="Arial" w:hAnsi="Arial" w:cs="Arial"/>
          <w:bCs/>
          <w:sz w:val="24"/>
          <w:szCs w:val="24"/>
        </w:rPr>
      </w:pPr>
      <w:r w:rsidRPr="00C84485">
        <w:rPr>
          <w:rFonts w:ascii="Arial" w:hAnsi="Arial" w:cs="Arial"/>
          <w:b/>
          <w:i/>
          <w:sz w:val="24"/>
          <w:szCs w:val="24"/>
        </w:rPr>
        <w:t>“</w:t>
      </w:r>
      <w:r w:rsidR="00A2530E" w:rsidRPr="00C84485">
        <w:rPr>
          <w:rFonts w:ascii="Arial" w:hAnsi="Arial" w:cs="Arial"/>
          <w:bCs/>
          <w:sz w:val="24"/>
          <w:szCs w:val="24"/>
        </w:rPr>
        <w:t xml:space="preserve">Antibiotic use and inflammatory bowel diseases in childhood. </w:t>
      </w:r>
      <w:r w:rsidR="00A2530E" w:rsidRPr="00C84485">
        <w:rPr>
          <w:rFonts w:ascii="Arial" w:hAnsi="Arial" w:cs="Arial"/>
          <w:sz w:val="24"/>
          <w:szCs w:val="24"/>
        </w:rPr>
        <w:t>Anders Hviid, Henrik Svanström, Morten Frisch</w:t>
      </w:r>
      <w:r w:rsidR="00A2530E" w:rsidRPr="00C84485">
        <w:rPr>
          <w:rFonts w:ascii="Arial" w:hAnsi="Arial" w:cs="Arial"/>
          <w:bCs/>
          <w:sz w:val="24"/>
          <w:szCs w:val="24"/>
        </w:rPr>
        <w:t xml:space="preserve">. </w:t>
      </w:r>
      <w:r w:rsidR="00A2530E" w:rsidRPr="00C84485">
        <w:rPr>
          <w:rFonts w:ascii="Arial" w:hAnsi="Arial" w:cs="Arial"/>
          <w:iCs/>
          <w:sz w:val="24"/>
          <w:szCs w:val="24"/>
        </w:rPr>
        <w:t>Gut</w:t>
      </w:r>
      <w:r w:rsidR="00A2530E" w:rsidRPr="00C84485">
        <w:rPr>
          <w:rFonts w:ascii="Arial" w:hAnsi="Arial" w:cs="Arial"/>
          <w:sz w:val="24"/>
          <w:szCs w:val="24"/>
        </w:rPr>
        <w:t xml:space="preserve"> 2011</w:t>
      </w:r>
      <w:proofErr w:type="gramStart"/>
      <w:r w:rsidR="00A2530E" w:rsidRPr="00C84485">
        <w:rPr>
          <w:rFonts w:ascii="Arial" w:hAnsi="Arial" w:cs="Arial"/>
          <w:sz w:val="24"/>
          <w:szCs w:val="24"/>
        </w:rPr>
        <w:t>;</w:t>
      </w:r>
      <w:r w:rsidR="00A2530E" w:rsidRPr="00C84485">
        <w:rPr>
          <w:rFonts w:ascii="Arial" w:hAnsi="Arial" w:cs="Arial"/>
          <w:bCs/>
          <w:sz w:val="24"/>
          <w:szCs w:val="24"/>
        </w:rPr>
        <w:t>60</w:t>
      </w:r>
      <w:r w:rsidR="00A2530E" w:rsidRPr="00C84485">
        <w:rPr>
          <w:rFonts w:ascii="Arial" w:hAnsi="Arial" w:cs="Arial"/>
          <w:sz w:val="24"/>
          <w:szCs w:val="24"/>
        </w:rPr>
        <w:t>:49</w:t>
      </w:r>
      <w:proofErr w:type="gramEnd"/>
      <w:r w:rsidR="00A2530E" w:rsidRPr="00C84485">
        <w:rPr>
          <w:rFonts w:ascii="Arial" w:hAnsi="Arial" w:cs="Arial"/>
          <w:sz w:val="24"/>
          <w:szCs w:val="24"/>
        </w:rPr>
        <w:t>-54</w:t>
      </w:r>
      <w:r w:rsidR="00B41CA9">
        <w:rPr>
          <w:rFonts w:ascii="Arial" w:hAnsi="Arial" w:cs="Arial"/>
          <w:sz w:val="24"/>
          <w:szCs w:val="24"/>
        </w:rPr>
        <w:t>.</w:t>
      </w:r>
      <w:r w:rsidRPr="00C84485">
        <w:rPr>
          <w:rFonts w:ascii="Arial" w:hAnsi="Arial" w:cs="Arial"/>
          <w:b/>
          <w:i/>
          <w:sz w:val="24"/>
          <w:szCs w:val="24"/>
          <w:lang w:val="de-DE"/>
        </w:rPr>
        <w:t>”</w:t>
      </w:r>
    </w:p>
    <w:p w:rsidR="00141F7D" w:rsidRPr="00C84485" w:rsidRDefault="00141F7D" w:rsidP="003F6AB2">
      <w:pPr>
        <w:jc w:val="center"/>
        <w:rPr>
          <w:rFonts w:ascii="Arial" w:hAnsi="Arial" w:cs="Arial"/>
          <w:b/>
          <w:sz w:val="24"/>
          <w:szCs w:val="24"/>
          <w:lang w:val="de-DE"/>
        </w:rPr>
      </w:pPr>
    </w:p>
    <w:p w:rsidR="00141F7D" w:rsidRPr="00C84485" w:rsidRDefault="00141F7D" w:rsidP="003F6AB2">
      <w:pPr>
        <w:rPr>
          <w:rFonts w:ascii="Arial" w:hAnsi="Arial" w:cs="Arial"/>
          <w:sz w:val="24"/>
          <w:szCs w:val="24"/>
        </w:rPr>
      </w:pPr>
      <w:r w:rsidRPr="00C84485">
        <w:rPr>
          <w:rFonts w:ascii="Arial" w:hAnsi="Arial" w:cs="Arial"/>
          <w:sz w:val="24"/>
          <w:szCs w:val="24"/>
        </w:rPr>
        <w:t>Words:</w:t>
      </w:r>
      <w:r w:rsidR="00064491" w:rsidRPr="00C84485">
        <w:rPr>
          <w:rFonts w:ascii="Arial" w:hAnsi="Arial" w:cs="Arial"/>
          <w:sz w:val="24"/>
          <w:szCs w:val="24"/>
        </w:rPr>
        <w:tab/>
      </w:r>
      <w:r w:rsidR="00DF3CD9" w:rsidRPr="00BD45D7">
        <w:rPr>
          <w:rFonts w:ascii="Arial" w:hAnsi="Arial" w:cs="Arial"/>
          <w:sz w:val="24"/>
          <w:szCs w:val="24"/>
        </w:rPr>
        <w:t>15</w:t>
      </w:r>
      <w:r w:rsidR="00DF3CD9">
        <w:rPr>
          <w:rFonts w:ascii="Arial" w:hAnsi="Arial" w:cs="Arial"/>
          <w:sz w:val="24"/>
          <w:szCs w:val="24"/>
        </w:rPr>
        <w:t>62</w:t>
      </w:r>
    </w:p>
    <w:p w:rsidR="00141F7D" w:rsidRPr="00C84485" w:rsidRDefault="00141F7D" w:rsidP="003F6AB2">
      <w:pPr>
        <w:rPr>
          <w:rFonts w:ascii="Arial" w:hAnsi="Arial" w:cs="Arial"/>
          <w:sz w:val="24"/>
          <w:szCs w:val="24"/>
        </w:rPr>
      </w:pPr>
      <w:r w:rsidRPr="00C84485">
        <w:rPr>
          <w:rFonts w:ascii="Arial" w:hAnsi="Arial" w:cs="Arial"/>
          <w:sz w:val="24"/>
          <w:szCs w:val="24"/>
        </w:rPr>
        <w:t>Figures:</w:t>
      </w:r>
      <w:r w:rsidRPr="00C84485">
        <w:rPr>
          <w:rFonts w:ascii="Arial" w:hAnsi="Arial" w:cs="Arial"/>
          <w:sz w:val="24"/>
          <w:szCs w:val="24"/>
        </w:rPr>
        <w:tab/>
        <w:t>0</w:t>
      </w:r>
    </w:p>
    <w:p w:rsidR="00141F7D" w:rsidRPr="00C84485" w:rsidRDefault="00141F7D" w:rsidP="003F6AB2">
      <w:pPr>
        <w:rPr>
          <w:rFonts w:ascii="Arial" w:hAnsi="Arial" w:cs="Arial"/>
          <w:sz w:val="24"/>
          <w:szCs w:val="24"/>
        </w:rPr>
      </w:pPr>
      <w:r w:rsidRPr="00C84485">
        <w:rPr>
          <w:rFonts w:ascii="Arial" w:hAnsi="Arial" w:cs="Arial"/>
          <w:sz w:val="24"/>
          <w:szCs w:val="24"/>
        </w:rPr>
        <w:t>References:</w:t>
      </w:r>
      <w:r w:rsidRPr="00C84485">
        <w:rPr>
          <w:rFonts w:ascii="Arial" w:hAnsi="Arial" w:cs="Arial"/>
          <w:sz w:val="24"/>
          <w:szCs w:val="24"/>
        </w:rPr>
        <w:tab/>
      </w:r>
      <w:r w:rsidR="00CE68CA" w:rsidRPr="00C84485">
        <w:rPr>
          <w:rFonts w:ascii="Arial" w:hAnsi="Arial" w:cs="Arial"/>
          <w:sz w:val="24"/>
          <w:szCs w:val="24"/>
        </w:rPr>
        <w:t xml:space="preserve">0 </w:t>
      </w:r>
      <w:r w:rsidR="00EF5324" w:rsidRPr="00C84485">
        <w:rPr>
          <w:rFonts w:ascii="Arial" w:hAnsi="Arial" w:cs="Arial"/>
          <w:sz w:val="24"/>
          <w:szCs w:val="24"/>
        </w:rPr>
        <w:tab/>
      </w:r>
      <w:r w:rsidR="00CE68CA" w:rsidRPr="00C84485">
        <w:rPr>
          <w:rFonts w:ascii="Arial" w:hAnsi="Arial" w:cs="Arial"/>
          <w:sz w:val="24"/>
          <w:szCs w:val="24"/>
        </w:rPr>
        <w:t>(All citations embedded in text)</w:t>
      </w:r>
    </w:p>
    <w:p w:rsidR="00141F7D" w:rsidRPr="00C84485" w:rsidRDefault="00141F7D" w:rsidP="006646F0">
      <w:pPr>
        <w:spacing w:after="0"/>
        <w:rPr>
          <w:sz w:val="24"/>
        </w:rPr>
      </w:pPr>
    </w:p>
    <w:p w:rsidR="00141F7D" w:rsidRPr="00C84485" w:rsidRDefault="00141F7D" w:rsidP="006646F0">
      <w:pPr>
        <w:spacing w:after="0"/>
        <w:rPr>
          <w:sz w:val="24"/>
        </w:rPr>
      </w:pPr>
    </w:p>
    <w:p w:rsidR="00141F7D" w:rsidRPr="00C84485" w:rsidRDefault="00141F7D" w:rsidP="006646F0">
      <w:pPr>
        <w:spacing w:after="0"/>
        <w:rPr>
          <w:sz w:val="24"/>
        </w:rPr>
      </w:pPr>
    </w:p>
    <w:p w:rsidR="00141F7D" w:rsidRPr="00C84485" w:rsidRDefault="00141F7D" w:rsidP="006646F0">
      <w:pPr>
        <w:spacing w:after="0"/>
        <w:rPr>
          <w:sz w:val="24"/>
        </w:rPr>
      </w:pPr>
    </w:p>
    <w:p w:rsidR="00141F7D" w:rsidRPr="00C84485" w:rsidRDefault="00141F7D" w:rsidP="006646F0">
      <w:pPr>
        <w:spacing w:after="0"/>
        <w:rPr>
          <w:sz w:val="24"/>
        </w:rPr>
      </w:pPr>
    </w:p>
    <w:p w:rsidR="00141F7D" w:rsidRPr="00C84485" w:rsidRDefault="00141F7D" w:rsidP="006646F0">
      <w:pPr>
        <w:spacing w:after="0"/>
        <w:rPr>
          <w:sz w:val="24"/>
        </w:rPr>
      </w:pPr>
    </w:p>
    <w:p w:rsidR="00141F7D" w:rsidRPr="00C84485" w:rsidRDefault="00141F7D" w:rsidP="006646F0">
      <w:pPr>
        <w:spacing w:after="0"/>
        <w:rPr>
          <w:sz w:val="24"/>
        </w:rPr>
      </w:pPr>
    </w:p>
    <w:p w:rsidR="00141F7D" w:rsidRPr="00C84485" w:rsidRDefault="00141F7D" w:rsidP="006646F0">
      <w:pPr>
        <w:spacing w:after="0"/>
        <w:rPr>
          <w:sz w:val="24"/>
        </w:rPr>
      </w:pPr>
    </w:p>
    <w:p w:rsidR="00141F7D" w:rsidRPr="00C84485" w:rsidRDefault="00141F7D" w:rsidP="006646F0">
      <w:pPr>
        <w:spacing w:after="0"/>
        <w:rPr>
          <w:rFonts w:ascii="Arial" w:hAnsi="Arial" w:cs="Arial"/>
          <w:sz w:val="24"/>
          <w:szCs w:val="24"/>
        </w:rPr>
      </w:pPr>
      <w:r w:rsidRPr="00C84485">
        <w:rPr>
          <w:rFonts w:ascii="Arial" w:hAnsi="Arial" w:cs="Arial"/>
          <w:sz w:val="24"/>
          <w:szCs w:val="24"/>
        </w:rPr>
        <w:t>*Address for correspondence</w:t>
      </w:r>
    </w:p>
    <w:p w:rsidR="00A2530E" w:rsidRPr="00C84485" w:rsidRDefault="00A2530E" w:rsidP="00A2530E">
      <w:pPr>
        <w:spacing w:after="0"/>
        <w:rPr>
          <w:rFonts w:ascii="Arial" w:hAnsi="Arial" w:cs="Arial"/>
          <w:sz w:val="24"/>
          <w:szCs w:val="24"/>
        </w:rPr>
      </w:pPr>
      <w:r w:rsidRPr="00C84485">
        <w:rPr>
          <w:rFonts w:ascii="Arial" w:hAnsi="Arial" w:cs="Arial"/>
          <w:sz w:val="24"/>
          <w:szCs w:val="24"/>
        </w:rPr>
        <w:t>Professor Alastair J.M. Watson M.D. F.R.C.P.(Lond) DipABRSM</w:t>
      </w:r>
    </w:p>
    <w:p w:rsidR="00A2530E" w:rsidRPr="00C84485" w:rsidRDefault="00A2530E" w:rsidP="00A2530E">
      <w:pPr>
        <w:spacing w:after="0"/>
        <w:rPr>
          <w:rFonts w:ascii="Arial" w:hAnsi="Arial" w:cs="Arial"/>
          <w:sz w:val="24"/>
          <w:szCs w:val="24"/>
        </w:rPr>
      </w:pPr>
      <w:r w:rsidRPr="00C84485">
        <w:rPr>
          <w:rFonts w:ascii="Arial" w:hAnsi="Arial" w:cs="Arial"/>
          <w:sz w:val="24"/>
          <w:szCs w:val="24"/>
        </w:rPr>
        <w:t>Norwich Medical School</w:t>
      </w:r>
    </w:p>
    <w:p w:rsidR="00A2530E" w:rsidRPr="00C84485" w:rsidRDefault="00A2530E" w:rsidP="00A2530E">
      <w:pPr>
        <w:spacing w:after="0"/>
        <w:rPr>
          <w:rFonts w:ascii="Arial" w:hAnsi="Arial" w:cs="Arial"/>
          <w:sz w:val="24"/>
          <w:szCs w:val="24"/>
        </w:rPr>
      </w:pPr>
      <w:r w:rsidRPr="00C84485">
        <w:rPr>
          <w:rFonts w:ascii="Arial" w:hAnsi="Arial" w:cs="Arial"/>
          <w:sz w:val="24"/>
          <w:szCs w:val="24"/>
        </w:rPr>
        <w:t>Rm 2.14 Elizabeth Fry Building</w:t>
      </w:r>
    </w:p>
    <w:p w:rsidR="00A2530E" w:rsidRPr="00C84485" w:rsidRDefault="00A2530E" w:rsidP="00A2530E">
      <w:pPr>
        <w:spacing w:after="0"/>
        <w:rPr>
          <w:rFonts w:ascii="Arial" w:hAnsi="Arial" w:cs="Arial"/>
          <w:sz w:val="24"/>
          <w:szCs w:val="24"/>
        </w:rPr>
      </w:pPr>
      <w:r w:rsidRPr="00C84485">
        <w:rPr>
          <w:rFonts w:ascii="Arial" w:hAnsi="Arial" w:cs="Arial"/>
          <w:sz w:val="24"/>
          <w:szCs w:val="24"/>
        </w:rPr>
        <w:t>University of East Anglia, </w:t>
      </w:r>
    </w:p>
    <w:p w:rsidR="00A2530E" w:rsidRPr="00C84485" w:rsidRDefault="00A2530E" w:rsidP="00A2530E">
      <w:pPr>
        <w:spacing w:after="0"/>
        <w:rPr>
          <w:rFonts w:ascii="Arial" w:hAnsi="Arial" w:cs="Arial"/>
          <w:sz w:val="24"/>
          <w:szCs w:val="24"/>
        </w:rPr>
      </w:pPr>
      <w:r w:rsidRPr="00C84485">
        <w:rPr>
          <w:rFonts w:ascii="Arial" w:hAnsi="Arial" w:cs="Arial"/>
          <w:sz w:val="24"/>
          <w:szCs w:val="24"/>
        </w:rPr>
        <w:t>Norwich NR4 7TJ </w:t>
      </w:r>
    </w:p>
    <w:p w:rsidR="00A2530E" w:rsidRPr="00C84485" w:rsidRDefault="00A2530E" w:rsidP="00A2530E">
      <w:pPr>
        <w:spacing w:after="0"/>
        <w:rPr>
          <w:rFonts w:ascii="Arial" w:hAnsi="Arial" w:cs="Arial"/>
          <w:sz w:val="24"/>
          <w:szCs w:val="24"/>
        </w:rPr>
      </w:pPr>
      <w:r w:rsidRPr="00C84485">
        <w:rPr>
          <w:rFonts w:ascii="Arial" w:hAnsi="Arial" w:cs="Arial"/>
          <w:sz w:val="24"/>
          <w:szCs w:val="24"/>
        </w:rPr>
        <w:t>Office: +(0)1603 597266</w:t>
      </w:r>
    </w:p>
    <w:p w:rsidR="00A2530E" w:rsidRPr="00C84485" w:rsidRDefault="00A2530E" w:rsidP="00A2530E">
      <w:pPr>
        <w:spacing w:after="0"/>
        <w:rPr>
          <w:rFonts w:ascii="Arial" w:hAnsi="Arial" w:cs="Arial"/>
          <w:sz w:val="24"/>
          <w:szCs w:val="24"/>
        </w:rPr>
      </w:pPr>
      <w:r w:rsidRPr="00C84485">
        <w:rPr>
          <w:rFonts w:ascii="Arial" w:hAnsi="Arial" w:cs="Arial"/>
          <w:sz w:val="24"/>
          <w:szCs w:val="24"/>
        </w:rPr>
        <w:t>Secretary:+(0)1603 592693</w:t>
      </w:r>
    </w:p>
    <w:p w:rsidR="00A2530E" w:rsidRPr="00C84485" w:rsidRDefault="00A2530E" w:rsidP="00A2530E">
      <w:pPr>
        <w:spacing w:after="0"/>
        <w:rPr>
          <w:rFonts w:ascii="Arial" w:hAnsi="Arial" w:cs="Arial"/>
          <w:sz w:val="24"/>
          <w:szCs w:val="24"/>
        </w:rPr>
      </w:pPr>
      <w:r w:rsidRPr="00C84485">
        <w:rPr>
          <w:rFonts w:ascii="Arial" w:hAnsi="Arial" w:cs="Arial"/>
          <w:sz w:val="24"/>
          <w:szCs w:val="24"/>
        </w:rPr>
        <w:t>Fax: +(0)1603 593233</w:t>
      </w:r>
    </w:p>
    <w:p w:rsidR="00A2530E" w:rsidRPr="00C84485" w:rsidRDefault="00A2530E" w:rsidP="00A2530E">
      <w:pPr>
        <w:spacing w:after="0"/>
        <w:rPr>
          <w:rFonts w:ascii="Arial" w:hAnsi="Arial" w:cs="Arial"/>
          <w:sz w:val="24"/>
          <w:szCs w:val="24"/>
        </w:rPr>
      </w:pPr>
      <w:r w:rsidRPr="00C84485">
        <w:rPr>
          <w:rFonts w:ascii="Arial" w:hAnsi="Arial" w:cs="Arial"/>
          <w:sz w:val="24"/>
          <w:szCs w:val="24"/>
        </w:rPr>
        <w:t>email: alastair.watson@uea.ac.uk </w:t>
      </w:r>
    </w:p>
    <w:p w:rsidR="00A2530E" w:rsidRPr="00C84485" w:rsidRDefault="00A2530E" w:rsidP="00A2530E">
      <w:pPr>
        <w:spacing w:after="0"/>
        <w:rPr>
          <w:rFonts w:ascii="Arial" w:hAnsi="Arial" w:cs="Arial"/>
          <w:sz w:val="24"/>
          <w:szCs w:val="24"/>
        </w:rPr>
      </w:pPr>
    </w:p>
    <w:p w:rsidR="00141F7D" w:rsidRPr="00C84485" w:rsidRDefault="00141F7D" w:rsidP="00A2530E">
      <w:pPr>
        <w:spacing w:after="0"/>
        <w:rPr>
          <w:rFonts w:ascii="Arial" w:hAnsi="Arial" w:cs="Arial"/>
          <w:sz w:val="24"/>
          <w:szCs w:val="24"/>
        </w:rPr>
      </w:pPr>
    </w:p>
    <w:p w:rsidR="00C84485" w:rsidRDefault="00DF6569" w:rsidP="00BD45D7">
      <w:pPr>
        <w:spacing w:after="0"/>
        <w:jc w:val="both"/>
        <w:rPr>
          <w:rFonts w:ascii="Arial" w:hAnsi="Arial" w:cs="Arial"/>
          <w:sz w:val="24"/>
          <w:szCs w:val="24"/>
        </w:rPr>
      </w:pPr>
      <w:r w:rsidRPr="00C84485">
        <w:rPr>
          <w:rFonts w:ascii="Arial" w:hAnsi="Arial" w:cs="Arial"/>
          <w:i/>
          <w:sz w:val="24"/>
          <w:szCs w:val="24"/>
        </w:rPr>
        <w:t>Anders Hviid, Henrik Svanström, Morten Frisch</w:t>
      </w:r>
      <w:r w:rsidRPr="00C84485">
        <w:rPr>
          <w:rFonts w:ascii="Arial" w:hAnsi="Arial" w:cs="Arial"/>
          <w:bCs/>
          <w:i/>
          <w:sz w:val="24"/>
          <w:szCs w:val="24"/>
        </w:rPr>
        <w:t>.</w:t>
      </w:r>
      <w:r w:rsidRPr="00C84485">
        <w:rPr>
          <w:rFonts w:ascii="Arial" w:hAnsi="Arial" w:cs="Arial"/>
          <w:bCs/>
          <w:sz w:val="24"/>
          <w:szCs w:val="24"/>
        </w:rPr>
        <w:t xml:space="preserve"> </w:t>
      </w:r>
      <w:r w:rsidR="003E5FAB" w:rsidRPr="00C84485">
        <w:rPr>
          <w:rFonts w:ascii="Arial" w:hAnsi="Arial" w:cs="Arial"/>
          <w:bCs/>
          <w:sz w:val="24"/>
          <w:szCs w:val="24"/>
        </w:rPr>
        <w:t xml:space="preserve">(Department of Epidemiology Research, Artillerivej 5, 2300 Copenhagen S, Denmark) Antibiotic use and inflammatory bowel diseases in childhood. </w:t>
      </w:r>
      <w:r w:rsidRPr="00C84485">
        <w:rPr>
          <w:rFonts w:ascii="Arial" w:hAnsi="Arial" w:cs="Arial"/>
          <w:iCs/>
          <w:sz w:val="24"/>
          <w:szCs w:val="24"/>
        </w:rPr>
        <w:t>Gut</w:t>
      </w:r>
      <w:r w:rsidRPr="00C84485">
        <w:rPr>
          <w:rFonts w:ascii="Arial" w:hAnsi="Arial" w:cs="Arial"/>
          <w:sz w:val="24"/>
          <w:szCs w:val="24"/>
        </w:rPr>
        <w:t xml:space="preserve"> 2011</w:t>
      </w:r>
      <w:proofErr w:type="gramStart"/>
      <w:r w:rsidRPr="00C84485">
        <w:rPr>
          <w:rFonts w:ascii="Arial" w:hAnsi="Arial" w:cs="Arial"/>
          <w:sz w:val="24"/>
          <w:szCs w:val="24"/>
        </w:rPr>
        <w:t>;</w:t>
      </w:r>
      <w:r w:rsidRPr="00C84485">
        <w:rPr>
          <w:rFonts w:ascii="Arial" w:hAnsi="Arial" w:cs="Arial"/>
          <w:bCs/>
          <w:sz w:val="24"/>
          <w:szCs w:val="24"/>
        </w:rPr>
        <w:t>60</w:t>
      </w:r>
      <w:r w:rsidRPr="00C84485">
        <w:rPr>
          <w:rFonts w:ascii="Arial" w:hAnsi="Arial" w:cs="Arial"/>
          <w:sz w:val="24"/>
          <w:szCs w:val="24"/>
        </w:rPr>
        <w:t>:49</w:t>
      </w:r>
      <w:proofErr w:type="gramEnd"/>
      <w:r w:rsidRPr="00C84485">
        <w:rPr>
          <w:rFonts w:ascii="Arial" w:hAnsi="Arial" w:cs="Arial"/>
          <w:sz w:val="24"/>
          <w:szCs w:val="24"/>
        </w:rPr>
        <w:t>-54</w:t>
      </w:r>
      <w:r w:rsidR="00B41CA9">
        <w:rPr>
          <w:rFonts w:ascii="Arial" w:hAnsi="Arial" w:cs="Arial"/>
          <w:sz w:val="24"/>
          <w:szCs w:val="24"/>
        </w:rPr>
        <w:t>.</w:t>
      </w:r>
    </w:p>
    <w:p w:rsidR="00C84485" w:rsidRDefault="00C84485" w:rsidP="00BD45D7">
      <w:pPr>
        <w:spacing w:after="0"/>
        <w:jc w:val="both"/>
        <w:rPr>
          <w:rFonts w:ascii="Arial" w:hAnsi="Arial" w:cs="Arial"/>
          <w:sz w:val="24"/>
          <w:szCs w:val="24"/>
        </w:rPr>
      </w:pPr>
    </w:p>
    <w:p w:rsidR="00983A2C" w:rsidRDefault="00C84485" w:rsidP="00BD45D7">
      <w:pPr>
        <w:spacing w:after="0"/>
        <w:jc w:val="both"/>
        <w:rPr>
          <w:rFonts w:ascii="Arial" w:hAnsi="Arial" w:cs="Arial"/>
          <w:sz w:val="24"/>
          <w:szCs w:val="24"/>
        </w:rPr>
      </w:pPr>
      <w:r>
        <w:rPr>
          <w:rFonts w:ascii="Arial" w:hAnsi="Arial" w:cs="Arial"/>
          <w:sz w:val="24"/>
          <w:szCs w:val="24"/>
        </w:rPr>
        <w:t xml:space="preserve">A number of lines of evidence suggest that changes in the composition of the gut microbiota is linked to the development of inflammatory bowel disease (IBD). </w:t>
      </w:r>
      <w:r w:rsidR="005343C4">
        <w:rPr>
          <w:rFonts w:ascii="Arial" w:hAnsi="Arial" w:cs="Arial"/>
          <w:sz w:val="24"/>
          <w:szCs w:val="24"/>
        </w:rPr>
        <w:t xml:space="preserve">As antibiotics can perturb the gut microbiota the authors hypothesized that antibiotic use might be associated with the onset </w:t>
      </w:r>
      <w:r w:rsidR="00983A2C">
        <w:rPr>
          <w:rFonts w:ascii="Arial" w:hAnsi="Arial" w:cs="Arial"/>
          <w:sz w:val="24"/>
          <w:szCs w:val="24"/>
        </w:rPr>
        <w:t>of IBD. The authors focused on I</w:t>
      </w:r>
      <w:r w:rsidR="005343C4">
        <w:rPr>
          <w:rFonts w:ascii="Arial" w:hAnsi="Arial" w:cs="Arial"/>
          <w:sz w:val="24"/>
          <w:szCs w:val="24"/>
        </w:rPr>
        <w:t xml:space="preserve">BD in </w:t>
      </w:r>
      <w:r w:rsidR="00983A2C">
        <w:rPr>
          <w:rFonts w:ascii="Arial" w:hAnsi="Arial" w:cs="Arial"/>
          <w:sz w:val="24"/>
          <w:szCs w:val="24"/>
        </w:rPr>
        <w:t xml:space="preserve">childhood as the </w:t>
      </w:r>
      <w:r w:rsidR="005343C4">
        <w:rPr>
          <w:rFonts w:ascii="Arial" w:hAnsi="Arial" w:cs="Arial"/>
          <w:sz w:val="24"/>
          <w:szCs w:val="24"/>
        </w:rPr>
        <w:t xml:space="preserve">development of the gut immune </w:t>
      </w:r>
      <w:r w:rsidR="00983A2C">
        <w:rPr>
          <w:rFonts w:ascii="Arial" w:hAnsi="Arial" w:cs="Arial"/>
          <w:sz w:val="24"/>
          <w:szCs w:val="24"/>
        </w:rPr>
        <w:t xml:space="preserve">system </w:t>
      </w:r>
      <w:r w:rsidR="005343C4">
        <w:rPr>
          <w:rFonts w:ascii="Arial" w:hAnsi="Arial" w:cs="Arial"/>
          <w:sz w:val="24"/>
          <w:szCs w:val="24"/>
        </w:rPr>
        <w:t>occurs in early childhood</w:t>
      </w:r>
      <w:r w:rsidR="00983A2C">
        <w:rPr>
          <w:rFonts w:ascii="Arial" w:hAnsi="Arial" w:cs="Arial"/>
          <w:sz w:val="24"/>
          <w:szCs w:val="24"/>
        </w:rPr>
        <w:t xml:space="preserve"> and is influenced by the gut microbiota</w:t>
      </w:r>
      <w:r w:rsidR="005343C4">
        <w:rPr>
          <w:rFonts w:ascii="Arial" w:hAnsi="Arial" w:cs="Arial"/>
          <w:sz w:val="24"/>
          <w:szCs w:val="24"/>
        </w:rPr>
        <w:t xml:space="preserve">. Thus an association between antibiotic use and the onset of IBD is likely </w:t>
      </w:r>
      <w:r w:rsidR="00983A2C">
        <w:rPr>
          <w:rFonts w:ascii="Arial" w:hAnsi="Arial" w:cs="Arial"/>
          <w:sz w:val="24"/>
          <w:szCs w:val="24"/>
        </w:rPr>
        <w:t xml:space="preserve">to </w:t>
      </w:r>
      <w:r w:rsidR="005343C4">
        <w:rPr>
          <w:rFonts w:ascii="Arial" w:hAnsi="Arial" w:cs="Arial"/>
          <w:sz w:val="24"/>
          <w:szCs w:val="24"/>
        </w:rPr>
        <w:t>be most apparent in childhood.</w:t>
      </w:r>
    </w:p>
    <w:p w:rsidR="00983A2C" w:rsidRDefault="00983A2C" w:rsidP="00BD45D7">
      <w:pPr>
        <w:spacing w:after="0"/>
        <w:jc w:val="both"/>
        <w:rPr>
          <w:rFonts w:ascii="Arial" w:hAnsi="Arial" w:cs="Arial"/>
          <w:sz w:val="24"/>
          <w:szCs w:val="24"/>
        </w:rPr>
      </w:pPr>
    </w:p>
    <w:p w:rsidR="00217E29" w:rsidRDefault="00983A2C" w:rsidP="00BD45D7">
      <w:pPr>
        <w:spacing w:after="0"/>
        <w:jc w:val="both"/>
        <w:rPr>
          <w:rFonts w:ascii="Arial" w:hAnsi="Arial" w:cs="Arial"/>
          <w:sz w:val="24"/>
          <w:szCs w:val="24"/>
        </w:rPr>
      </w:pPr>
      <w:r>
        <w:rPr>
          <w:rFonts w:ascii="Arial" w:hAnsi="Arial" w:cs="Arial"/>
          <w:sz w:val="24"/>
          <w:szCs w:val="24"/>
        </w:rPr>
        <w:t xml:space="preserve">The authors undertook a cohort study of the association </w:t>
      </w:r>
      <w:r w:rsidR="004969E5">
        <w:rPr>
          <w:rFonts w:ascii="Arial" w:hAnsi="Arial" w:cs="Arial"/>
          <w:sz w:val="24"/>
          <w:szCs w:val="24"/>
        </w:rPr>
        <w:t>between antibiotic use and IBD in 577627 Danish children identified in the D</w:t>
      </w:r>
      <w:r w:rsidR="0097341B">
        <w:rPr>
          <w:rFonts w:ascii="Arial" w:hAnsi="Arial" w:cs="Arial"/>
          <w:sz w:val="24"/>
          <w:szCs w:val="24"/>
        </w:rPr>
        <w:t xml:space="preserve">anish Civil Registration </w:t>
      </w:r>
      <w:proofErr w:type="gramStart"/>
      <w:r w:rsidR="0097341B">
        <w:rPr>
          <w:rFonts w:ascii="Arial" w:hAnsi="Arial" w:cs="Arial"/>
          <w:sz w:val="24"/>
          <w:szCs w:val="24"/>
        </w:rPr>
        <w:t xml:space="preserve">System </w:t>
      </w:r>
      <w:r w:rsidR="00211036">
        <w:rPr>
          <w:rFonts w:ascii="Arial" w:hAnsi="Arial" w:cs="Arial"/>
          <w:sz w:val="24"/>
          <w:szCs w:val="24"/>
        </w:rPr>
        <w:t xml:space="preserve"> born</w:t>
      </w:r>
      <w:proofErr w:type="gramEnd"/>
      <w:r w:rsidR="00211036">
        <w:rPr>
          <w:rFonts w:ascii="Arial" w:hAnsi="Arial" w:cs="Arial"/>
          <w:sz w:val="24"/>
          <w:szCs w:val="24"/>
        </w:rPr>
        <w:t xml:space="preserve"> between 1995 and 2003</w:t>
      </w:r>
      <w:r w:rsidR="0097341B">
        <w:rPr>
          <w:rFonts w:ascii="Arial" w:hAnsi="Arial" w:cs="Arial"/>
          <w:sz w:val="24"/>
          <w:szCs w:val="24"/>
        </w:rPr>
        <w:t>.</w:t>
      </w:r>
      <w:r w:rsidR="00675506">
        <w:rPr>
          <w:rFonts w:ascii="Arial" w:hAnsi="Arial" w:cs="Arial"/>
          <w:sz w:val="24"/>
          <w:szCs w:val="24"/>
        </w:rPr>
        <w:t xml:space="preserve"> Information on the prescribed antibiotics was obtained from the Danish Drug Prescription </w:t>
      </w:r>
      <w:r w:rsidR="00333C94">
        <w:rPr>
          <w:rFonts w:ascii="Arial" w:hAnsi="Arial" w:cs="Arial"/>
          <w:sz w:val="24"/>
          <w:szCs w:val="24"/>
        </w:rPr>
        <w:t>Registry that</w:t>
      </w:r>
      <w:r w:rsidR="00675506">
        <w:rPr>
          <w:rFonts w:ascii="Arial" w:hAnsi="Arial" w:cs="Arial"/>
          <w:sz w:val="24"/>
          <w:szCs w:val="24"/>
        </w:rPr>
        <w:t xml:space="preserve"> was established in 1994</w:t>
      </w:r>
      <w:r w:rsidR="00B41CA9">
        <w:rPr>
          <w:rFonts w:ascii="Arial" w:hAnsi="Arial" w:cs="Arial"/>
          <w:sz w:val="24"/>
          <w:szCs w:val="24"/>
        </w:rPr>
        <w:t>,</w:t>
      </w:r>
      <w:r w:rsidR="00675506">
        <w:rPr>
          <w:rFonts w:ascii="Arial" w:hAnsi="Arial" w:cs="Arial"/>
          <w:sz w:val="24"/>
          <w:szCs w:val="24"/>
        </w:rPr>
        <w:t xml:space="preserve"> to record all prescriptions at an individual level from pharmacies and hospitals. From this </w:t>
      </w:r>
      <w:r w:rsidR="00211036">
        <w:rPr>
          <w:rFonts w:ascii="Arial" w:hAnsi="Arial" w:cs="Arial"/>
          <w:sz w:val="24"/>
          <w:szCs w:val="24"/>
        </w:rPr>
        <w:t xml:space="preserve">database </w:t>
      </w:r>
      <w:r w:rsidR="00675506">
        <w:rPr>
          <w:rFonts w:ascii="Arial" w:hAnsi="Arial" w:cs="Arial"/>
          <w:sz w:val="24"/>
          <w:szCs w:val="24"/>
        </w:rPr>
        <w:t xml:space="preserve">all antibiotic prescriptions for the cohort children </w:t>
      </w:r>
      <w:proofErr w:type="gramStart"/>
      <w:r w:rsidR="00675506">
        <w:rPr>
          <w:rFonts w:ascii="Arial" w:hAnsi="Arial" w:cs="Arial"/>
          <w:sz w:val="24"/>
          <w:szCs w:val="24"/>
        </w:rPr>
        <w:t>between 1995 – 2004</w:t>
      </w:r>
      <w:proofErr w:type="gramEnd"/>
      <w:r w:rsidR="00211036">
        <w:rPr>
          <w:rFonts w:ascii="Arial" w:hAnsi="Arial" w:cs="Arial"/>
          <w:sz w:val="24"/>
          <w:szCs w:val="24"/>
        </w:rPr>
        <w:t xml:space="preserve"> w</w:t>
      </w:r>
      <w:r w:rsidR="00B41CA9">
        <w:rPr>
          <w:rFonts w:ascii="Arial" w:hAnsi="Arial" w:cs="Arial"/>
          <w:sz w:val="24"/>
          <w:szCs w:val="24"/>
        </w:rPr>
        <w:t>ere</w:t>
      </w:r>
      <w:r w:rsidR="00333C94">
        <w:rPr>
          <w:rFonts w:ascii="Arial" w:hAnsi="Arial" w:cs="Arial"/>
          <w:sz w:val="24"/>
          <w:szCs w:val="24"/>
        </w:rPr>
        <w:t xml:space="preserve"> </w:t>
      </w:r>
      <w:r w:rsidR="00211036">
        <w:rPr>
          <w:rFonts w:ascii="Arial" w:hAnsi="Arial" w:cs="Arial"/>
          <w:sz w:val="24"/>
          <w:szCs w:val="24"/>
        </w:rPr>
        <w:t>obtained</w:t>
      </w:r>
      <w:r w:rsidR="00675506">
        <w:rPr>
          <w:rFonts w:ascii="Arial" w:hAnsi="Arial" w:cs="Arial"/>
          <w:sz w:val="24"/>
          <w:szCs w:val="24"/>
        </w:rPr>
        <w:t xml:space="preserve">. </w:t>
      </w:r>
      <w:r w:rsidR="004019FD">
        <w:rPr>
          <w:rFonts w:ascii="Arial" w:hAnsi="Arial" w:cs="Arial"/>
          <w:sz w:val="24"/>
          <w:szCs w:val="24"/>
        </w:rPr>
        <w:t xml:space="preserve">Antibiotics were classified as extended spectrum penicillins, penicillin V, macrolides and other systemic antibiotics. </w:t>
      </w:r>
    </w:p>
    <w:p w:rsidR="00217E29" w:rsidRDefault="00217E29" w:rsidP="00BD45D7">
      <w:pPr>
        <w:spacing w:after="0"/>
        <w:jc w:val="both"/>
        <w:rPr>
          <w:rFonts w:ascii="Arial" w:hAnsi="Arial" w:cs="Arial"/>
          <w:sz w:val="24"/>
          <w:szCs w:val="24"/>
        </w:rPr>
      </w:pPr>
    </w:p>
    <w:p w:rsidR="002E6267" w:rsidRDefault="00217E29" w:rsidP="00BD45D7">
      <w:pPr>
        <w:spacing w:after="0"/>
        <w:jc w:val="both"/>
        <w:rPr>
          <w:rFonts w:ascii="Arial" w:hAnsi="Arial" w:cs="Arial"/>
          <w:sz w:val="24"/>
          <w:szCs w:val="24"/>
        </w:rPr>
      </w:pPr>
      <w:r>
        <w:rPr>
          <w:rFonts w:ascii="Arial" w:hAnsi="Arial" w:cs="Arial"/>
          <w:sz w:val="24"/>
          <w:szCs w:val="24"/>
        </w:rPr>
        <w:t>During the 3173117 person years of follow-up 50 cases of Crohn’s disease (CD) and 67 cases of Ulcerative colitis (UC)</w:t>
      </w:r>
      <w:r w:rsidR="00716E62">
        <w:rPr>
          <w:rFonts w:ascii="Arial" w:hAnsi="Arial" w:cs="Arial"/>
          <w:sz w:val="24"/>
          <w:szCs w:val="24"/>
        </w:rPr>
        <w:t xml:space="preserve"> were identified</w:t>
      </w:r>
      <w:r>
        <w:rPr>
          <w:rFonts w:ascii="Arial" w:hAnsi="Arial" w:cs="Arial"/>
          <w:sz w:val="24"/>
          <w:szCs w:val="24"/>
        </w:rPr>
        <w:t>.</w:t>
      </w:r>
      <w:r w:rsidR="00716E62">
        <w:rPr>
          <w:rFonts w:ascii="Arial" w:hAnsi="Arial" w:cs="Arial"/>
          <w:sz w:val="24"/>
          <w:szCs w:val="24"/>
        </w:rPr>
        <w:t xml:space="preserve"> The mean age at presentation to hospital was 3.3 </w:t>
      </w:r>
      <w:r w:rsidR="00211036">
        <w:rPr>
          <w:rFonts w:ascii="Arial" w:hAnsi="Arial" w:cs="Arial"/>
          <w:sz w:val="24"/>
          <w:szCs w:val="24"/>
        </w:rPr>
        <w:t xml:space="preserve">years </w:t>
      </w:r>
      <w:r w:rsidR="00716E62">
        <w:rPr>
          <w:rFonts w:ascii="Arial" w:hAnsi="Arial" w:cs="Arial"/>
          <w:sz w:val="24"/>
          <w:szCs w:val="24"/>
        </w:rPr>
        <w:t>for CD</w:t>
      </w:r>
      <w:r>
        <w:rPr>
          <w:rFonts w:ascii="Arial" w:hAnsi="Arial" w:cs="Arial"/>
          <w:sz w:val="24"/>
          <w:szCs w:val="24"/>
        </w:rPr>
        <w:t xml:space="preserve"> </w:t>
      </w:r>
      <w:r w:rsidR="00716E62">
        <w:rPr>
          <w:rFonts w:ascii="Arial" w:hAnsi="Arial" w:cs="Arial"/>
          <w:sz w:val="24"/>
          <w:szCs w:val="24"/>
        </w:rPr>
        <w:t xml:space="preserve">and 3.5 </w:t>
      </w:r>
      <w:r w:rsidR="00594741">
        <w:rPr>
          <w:rFonts w:ascii="Arial" w:hAnsi="Arial" w:cs="Arial"/>
          <w:sz w:val="24"/>
          <w:szCs w:val="24"/>
        </w:rPr>
        <w:t xml:space="preserve">years </w:t>
      </w:r>
      <w:r w:rsidR="00716E62">
        <w:rPr>
          <w:rFonts w:ascii="Arial" w:hAnsi="Arial" w:cs="Arial"/>
          <w:sz w:val="24"/>
          <w:szCs w:val="24"/>
        </w:rPr>
        <w:t xml:space="preserve">for UC. </w:t>
      </w:r>
      <w:r w:rsidR="002422FD">
        <w:rPr>
          <w:rFonts w:ascii="Arial" w:hAnsi="Arial" w:cs="Arial"/>
          <w:sz w:val="24"/>
          <w:szCs w:val="24"/>
        </w:rPr>
        <w:t>85%</w:t>
      </w:r>
      <w:r>
        <w:rPr>
          <w:rFonts w:ascii="Arial" w:hAnsi="Arial" w:cs="Arial"/>
          <w:sz w:val="24"/>
          <w:szCs w:val="24"/>
        </w:rPr>
        <w:t xml:space="preserve"> </w:t>
      </w:r>
      <w:r w:rsidR="002422FD">
        <w:rPr>
          <w:rFonts w:ascii="Arial" w:hAnsi="Arial" w:cs="Arial"/>
          <w:sz w:val="24"/>
          <w:szCs w:val="24"/>
        </w:rPr>
        <w:t>of the children had received at least one course of antibiotics with the median number of course</w:t>
      </w:r>
      <w:r w:rsidR="00211036">
        <w:rPr>
          <w:rFonts w:ascii="Arial" w:hAnsi="Arial" w:cs="Arial"/>
          <w:sz w:val="24"/>
          <w:szCs w:val="24"/>
        </w:rPr>
        <w:t>s</w:t>
      </w:r>
      <w:r w:rsidR="002422FD">
        <w:rPr>
          <w:rFonts w:ascii="Arial" w:hAnsi="Arial" w:cs="Arial"/>
          <w:sz w:val="24"/>
          <w:szCs w:val="24"/>
        </w:rPr>
        <w:t xml:space="preserve"> received being 3. The relative</w:t>
      </w:r>
      <w:r w:rsidR="0074723D">
        <w:rPr>
          <w:rFonts w:ascii="Arial" w:hAnsi="Arial" w:cs="Arial"/>
          <w:sz w:val="24"/>
          <w:szCs w:val="24"/>
        </w:rPr>
        <w:t xml:space="preserve"> risk of developing IBD was 1.8</w:t>
      </w:r>
      <w:r w:rsidR="00594741">
        <w:rPr>
          <w:rFonts w:ascii="Arial" w:hAnsi="Arial" w:cs="Arial"/>
          <w:sz w:val="24"/>
          <w:szCs w:val="24"/>
        </w:rPr>
        <w:t xml:space="preserve"> (95% CI 1.08 – 3.15)</w:t>
      </w:r>
      <w:r w:rsidR="0074723D">
        <w:rPr>
          <w:rFonts w:ascii="Arial" w:hAnsi="Arial" w:cs="Arial"/>
          <w:sz w:val="24"/>
          <w:szCs w:val="24"/>
        </w:rPr>
        <w:t xml:space="preserve"> in antibiotics users and was greatest in the 3-month period following antibiotic usage (relative risk</w:t>
      </w:r>
      <w:r w:rsidR="00B41CA9">
        <w:rPr>
          <w:rFonts w:ascii="Arial" w:hAnsi="Arial" w:cs="Arial"/>
          <w:sz w:val="24"/>
          <w:szCs w:val="24"/>
        </w:rPr>
        <w:t>=</w:t>
      </w:r>
      <w:r w:rsidR="0074723D">
        <w:rPr>
          <w:rFonts w:ascii="Arial" w:hAnsi="Arial" w:cs="Arial"/>
          <w:sz w:val="24"/>
          <w:szCs w:val="24"/>
        </w:rPr>
        <w:t>2.4</w:t>
      </w:r>
      <w:r w:rsidR="00594741">
        <w:rPr>
          <w:rFonts w:ascii="Arial" w:hAnsi="Arial" w:cs="Arial"/>
          <w:sz w:val="24"/>
          <w:szCs w:val="24"/>
        </w:rPr>
        <w:t>, 95%</w:t>
      </w:r>
      <w:r w:rsidR="00333C94">
        <w:rPr>
          <w:rFonts w:ascii="Arial" w:hAnsi="Arial" w:cs="Arial"/>
          <w:sz w:val="24"/>
          <w:szCs w:val="24"/>
        </w:rPr>
        <w:t xml:space="preserve"> </w:t>
      </w:r>
      <w:r w:rsidR="00594741">
        <w:rPr>
          <w:rFonts w:ascii="Arial" w:hAnsi="Arial" w:cs="Arial"/>
          <w:sz w:val="24"/>
          <w:szCs w:val="24"/>
        </w:rPr>
        <w:t>CI</w:t>
      </w:r>
      <w:r w:rsidR="00B41CA9">
        <w:rPr>
          <w:rFonts w:ascii="Arial" w:hAnsi="Arial" w:cs="Arial"/>
          <w:sz w:val="24"/>
          <w:szCs w:val="24"/>
        </w:rPr>
        <w:t>=</w:t>
      </w:r>
      <w:r w:rsidR="00594741">
        <w:rPr>
          <w:rFonts w:ascii="Arial" w:hAnsi="Arial" w:cs="Arial"/>
          <w:sz w:val="24"/>
          <w:szCs w:val="24"/>
        </w:rPr>
        <w:t>1.36 – 2.53</w:t>
      </w:r>
      <w:r w:rsidR="0074723D">
        <w:rPr>
          <w:rFonts w:ascii="Arial" w:hAnsi="Arial" w:cs="Arial"/>
          <w:sz w:val="24"/>
          <w:szCs w:val="24"/>
        </w:rPr>
        <w:t>).  When CD and UC were con</w:t>
      </w:r>
      <w:r w:rsidR="003027B0">
        <w:rPr>
          <w:rFonts w:ascii="Arial" w:hAnsi="Arial" w:cs="Arial"/>
          <w:sz w:val="24"/>
          <w:szCs w:val="24"/>
        </w:rPr>
        <w:t>si</w:t>
      </w:r>
      <w:r w:rsidR="0074723D">
        <w:rPr>
          <w:rFonts w:ascii="Arial" w:hAnsi="Arial" w:cs="Arial"/>
          <w:sz w:val="24"/>
          <w:szCs w:val="24"/>
        </w:rPr>
        <w:t>dered separately</w:t>
      </w:r>
      <w:r w:rsidR="00DB10FF">
        <w:rPr>
          <w:rFonts w:ascii="Arial" w:hAnsi="Arial" w:cs="Arial"/>
          <w:sz w:val="24"/>
          <w:szCs w:val="24"/>
        </w:rPr>
        <w:t>,</w:t>
      </w:r>
      <w:r w:rsidR="0074723D">
        <w:rPr>
          <w:rFonts w:ascii="Arial" w:hAnsi="Arial" w:cs="Arial"/>
          <w:sz w:val="24"/>
          <w:szCs w:val="24"/>
        </w:rPr>
        <w:t xml:space="preserve"> the risk of antibiotic use was confined to CD. </w:t>
      </w:r>
      <w:r w:rsidR="00577855">
        <w:rPr>
          <w:rFonts w:ascii="Arial" w:hAnsi="Arial" w:cs="Arial"/>
          <w:sz w:val="24"/>
          <w:szCs w:val="24"/>
        </w:rPr>
        <w:t>Importantly, antibiotic use was not associated with an increased risk of UC (</w:t>
      </w:r>
      <w:r w:rsidR="00B41CA9">
        <w:rPr>
          <w:rFonts w:ascii="Arial" w:hAnsi="Arial" w:cs="Arial"/>
          <w:sz w:val="24"/>
          <w:szCs w:val="24"/>
        </w:rPr>
        <w:t>RR=</w:t>
      </w:r>
      <w:r w:rsidR="00577855">
        <w:rPr>
          <w:rFonts w:ascii="Arial" w:hAnsi="Arial" w:cs="Arial"/>
          <w:sz w:val="24"/>
          <w:szCs w:val="24"/>
        </w:rPr>
        <w:t xml:space="preserve">1.2, </w:t>
      </w:r>
      <w:r w:rsidR="00594741">
        <w:rPr>
          <w:rFonts w:ascii="Arial" w:hAnsi="Arial" w:cs="Arial"/>
          <w:sz w:val="24"/>
          <w:szCs w:val="24"/>
        </w:rPr>
        <w:t>95%</w:t>
      </w:r>
      <w:r w:rsidR="00333C94">
        <w:rPr>
          <w:rFonts w:ascii="Arial" w:hAnsi="Arial" w:cs="Arial"/>
          <w:sz w:val="24"/>
          <w:szCs w:val="24"/>
        </w:rPr>
        <w:t xml:space="preserve"> </w:t>
      </w:r>
      <w:r w:rsidR="00594741">
        <w:rPr>
          <w:rFonts w:ascii="Arial" w:hAnsi="Arial" w:cs="Arial"/>
          <w:sz w:val="24"/>
          <w:szCs w:val="24"/>
        </w:rPr>
        <w:t>CI</w:t>
      </w:r>
      <w:r w:rsidR="00B41CA9">
        <w:rPr>
          <w:rFonts w:ascii="Arial" w:hAnsi="Arial" w:cs="Arial"/>
          <w:sz w:val="24"/>
          <w:szCs w:val="24"/>
        </w:rPr>
        <w:t>=</w:t>
      </w:r>
      <w:r w:rsidR="00577855">
        <w:rPr>
          <w:rFonts w:ascii="Arial" w:hAnsi="Arial" w:cs="Arial"/>
          <w:sz w:val="24"/>
          <w:szCs w:val="24"/>
        </w:rPr>
        <w:t>0.6</w:t>
      </w:r>
      <w:r w:rsidR="00594741">
        <w:rPr>
          <w:rFonts w:ascii="Arial" w:hAnsi="Arial" w:cs="Arial"/>
          <w:sz w:val="24"/>
          <w:szCs w:val="24"/>
        </w:rPr>
        <w:t>1 - 2.38</w:t>
      </w:r>
      <w:r w:rsidR="00577855">
        <w:rPr>
          <w:rFonts w:ascii="Arial" w:hAnsi="Arial" w:cs="Arial"/>
          <w:sz w:val="24"/>
          <w:szCs w:val="24"/>
        </w:rPr>
        <w:t xml:space="preserve">). </w:t>
      </w:r>
      <w:r w:rsidR="0074723D">
        <w:rPr>
          <w:rFonts w:ascii="Arial" w:hAnsi="Arial" w:cs="Arial"/>
          <w:sz w:val="24"/>
          <w:szCs w:val="24"/>
        </w:rPr>
        <w:t xml:space="preserve">Antibiotic use was associated with a relative risk of 3.4 </w:t>
      </w:r>
      <w:r w:rsidR="00594741">
        <w:rPr>
          <w:rFonts w:ascii="Arial" w:hAnsi="Arial" w:cs="Arial"/>
          <w:sz w:val="24"/>
          <w:szCs w:val="24"/>
        </w:rPr>
        <w:t>(95% CI</w:t>
      </w:r>
      <w:r w:rsidR="00B41CA9">
        <w:rPr>
          <w:rFonts w:ascii="Arial" w:hAnsi="Arial" w:cs="Arial"/>
          <w:sz w:val="24"/>
          <w:szCs w:val="24"/>
        </w:rPr>
        <w:t>=</w:t>
      </w:r>
      <w:r w:rsidR="00594741">
        <w:rPr>
          <w:rFonts w:ascii="Arial" w:hAnsi="Arial" w:cs="Arial"/>
          <w:sz w:val="24"/>
          <w:szCs w:val="24"/>
        </w:rPr>
        <w:t xml:space="preserve">1.45 – 8.02) </w:t>
      </w:r>
      <w:r w:rsidR="0074723D">
        <w:rPr>
          <w:rFonts w:ascii="Arial" w:hAnsi="Arial" w:cs="Arial"/>
          <w:sz w:val="24"/>
          <w:szCs w:val="24"/>
        </w:rPr>
        <w:t>for the subsequen</w:t>
      </w:r>
      <w:r w:rsidR="00671B3F">
        <w:rPr>
          <w:rFonts w:ascii="Arial" w:hAnsi="Arial" w:cs="Arial"/>
          <w:sz w:val="24"/>
          <w:szCs w:val="24"/>
        </w:rPr>
        <w:t>t development of CD</w:t>
      </w:r>
      <w:r w:rsidR="00211036">
        <w:rPr>
          <w:rFonts w:ascii="Arial" w:hAnsi="Arial" w:cs="Arial"/>
          <w:sz w:val="24"/>
          <w:szCs w:val="24"/>
        </w:rPr>
        <w:t>.</w:t>
      </w:r>
      <w:r w:rsidR="00671B3F">
        <w:rPr>
          <w:rFonts w:ascii="Arial" w:hAnsi="Arial" w:cs="Arial"/>
          <w:sz w:val="24"/>
          <w:szCs w:val="24"/>
        </w:rPr>
        <w:t xml:space="preserve"> </w:t>
      </w:r>
      <w:r w:rsidR="00211036" w:rsidRPr="00211036">
        <w:rPr>
          <w:rFonts w:ascii="Arial" w:hAnsi="Arial" w:cs="Arial"/>
          <w:sz w:val="24"/>
          <w:szCs w:val="24"/>
        </w:rPr>
        <w:t>The authors calculated there was a</w:t>
      </w:r>
      <w:r w:rsidR="00211036">
        <w:rPr>
          <w:rFonts w:ascii="Arial" w:hAnsi="Arial" w:cs="Arial"/>
          <w:sz w:val="24"/>
          <w:szCs w:val="24"/>
        </w:rPr>
        <w:t>n</w:t>
      </w:r>
      <w:r w:rsidR="00211036" w:rsidRPr="00211036">
        <w:rPr>
          <w:rFonts w:ascii="Arial" w:hAnsi="Arial" w:cs="Arial"/>
          <w:sz w:val="24"/>
          <w:szCs w:val="24"/>
        </w:rPr>
        <w:t xml:space="preserve"> 18% increase in the risk of developing Crohn’s for each course of antibiotics. </w:t>
      </w:r>
      <w:r w:rsidR="00671B3F">
        <w:rPr>
          <w:rFonts w:ascii="Arial" w:hAnsi="Arial" w:cs="Arial"/>
          <w:sz w:val="24"/>
          <w:szCs w:val="24"/>
        </w:rPr>
        <w:t xml:space="preserve">In the first 3-months after </w:t>
      </w:r>
      <w:r w:rsidR="00B41CA9">
        <w:rPr>
          <w:rFonts w:ascii="Arial" w:hAnsi="Arial" w:cs="Arial"/>
          <w:sz w:val="24"/>
          <w:szCs w:val="24"/>
        </w:rPr>
        <w:t>each</w:t>
      </w:r>
      <w:r w:rsidR="00671B3F">
        <w:rPr>
          <w:rFonts w:ascii="Arial" w:hAnsi="Arial" w:cs="Arial"/>
          <w:sz w:val="24"/>
          <w:szCs w:val="24"/>
        </w:rPr>
        <w:t xml:space="preserve"> course the</w:t>
      </w:r>
      <w:r w:rsidR="00211036">
        <w:rPr>
          <w:rFonts w:ascii="Arial" w:hAnsi="Arial" w:cs="Arial"/>
          <w:sz w:val="24"/>
          <w:szCs w:val="24"/>
        </w:rPr>
        <w:t xml:space="preserve"> relative risk of developing CD</w:t>
      </w:r>
      <w:r w:rsidR="00671B3F">
        <w:rPr>
          <w:rFonts w:ascii="Arial" w:hAnsi="Arial" w:cs="Arial"/>
          <w:sz w:val="24"/>
          <w:szCs w:val="24"/>
        </w:rPr>
        <w:t xml:space="preserve"> was 4.4</w:t>
      </w:r>
      <w:r w:rsidR="00594741">
        <w:rPr>
          <w:rFonts w:ascii="Arial" w:hAnsi="Arial" w:cs="Arial"/>
          <w:sz w:val="24"/>
          <w:szCs w:val="24"/>
        </w:rPr>
        <w:t xml:space="preserve"> (95% CI</w:t>
      </w:r>
      <w:r w:rsidR="00B41CA9">
        <w:rPr>
          <w:rFonts w:ascii="Arial" w:hAnsi="Arial" w:cs="Arial"/>
          <w:sz w:val="24"/>
          <w:szCs w:val="24"/>
        </w:rPr>
        <w:t>=</w:t>
      </w:r>
      <w:r w:rsidR="00594741">
        <w:rPr>
          <w:rFonts w:ascii="Arial" w:hAnsi="Arial" w:cs="Arial"/>
          <w:sz w:val="24"/>
          <w:szCs w:val="24"/>
        </w:rPr>
        <w:t>1.88 – 10.44)</w:t>
      </w:r>
      <w:r w:rsidR="00671B3F">
        <w:rPr>
          <w:rFonts w:ascii="Arial" w:hAnsi="Arial" w:cs="Arial"/>
          <w:sz w:val="24"/>
          <w:szCs w:val="24"/>
        </w:rPr>
        <w:t xml:space="preserve">. In children </w:t>
      </w:r>
      <w:r w:rsidR="00211036">
        <w:rPr>
          <w:rFonts w:ascii="Arial" w:hAnsi="Arial" w:cs="Arial"/>
          <w:sz w:val="24"/>
          <w:szCs w:val="24"/>
        </w:rPr>
        <w:t>who</w:t>
      </w:r>
      <w:r w:rsidR="00671B3F">
        <w:rPr>
          <w:rFonts w:ascii="Arial" w:hAnsi="Arial" w:cs="Arial"/>
          <w:sz w:val="24"/>
          <w:szCs w:val="24"/>
        </w:rPr>
        <w:t xml:space="preserve"> had more than 7 courses of antibiotics the relative risk of CD rose to </w:t>
      </w:r>
      <w:r w:rsidR="00671B3F">
        <w:rPr>
          <w:rFonts w:ascii="Arial" w:hAnsi="Arial" w:cs="Arial"/>
          <w:sz w:val="24"/>
          <w:szCs w:val="24"/>
        </w:rPr>
        <w:t>a spectacular</w:t>
      </w:r>
      <w:r w:rsidR="00671B3F">
        <w:rPr>
          <w:rFonts w:ascii="Arial" w:hAnsi="Arial" w:cs="Arial"/>
          <w:sz w:val="24"/>
          <w:szCs w:val="24"/>
        </w:rPr>
        <w:t xml:space="preserve"> 7.3 (</w:t>
      </w:r>
      <w:r w:rsidR="00594741">
        <w:rPr>
          <w:rFonts w:ascii="Arial" w:hAnsi="Arial" w:cs="Arial"/>
          <w:sz w:val="24"/>
          <w:szCs w:val="24"/>
        </w:rPr>
        <w:t>95% CI</w:t>
      </w:r>
      <w:r w:rsidR="00B41CA9">
        <w:rPr>
          <w:rFonts w:ascii="Arial" w:hAnsi="Arial" w:cs="Arial"/>
          <w:sz w:val="24"/>
          <w:szCs w:val="24"/>
        </w:rPr>
        <w:t>=</w:t>
      </w:r>
      <w:r w:rsidR="00671B3F">
        <w:rPr>
          <w:rFonts w:ascii="Arial" w:hAnsi="Arial" w:cs="Arial"/>
          <w:sz w:val="24"/>
          <w:szCs w:val="24"/>
        </w:rPr>
        <w:t>2.1</w:t>
      </w:r>
      <w:r w:rsidR="00594741">
        <w:rPr>
          <w:rFonts w:ascii="Arial" w:hAnsi="Arial" w:cs="Arial"/>
          <w:sz w:val="24"/>
          <w:szCs w:val="24"/>
        </w:rPr>
        <w:t>4 – 24.99</w:t>
      </w:r>
      <w:r w:rsidR="00671B3F">
        <w:rPr>
          <w:rFonts w:ascii="Arial" w:hAnsi="Arial" w:cs="Arial"/>
          <w:sz w:val="24"/>
          <w:szCs w:val="24"/>
        </w:rPr>
        <w:t xml:space="preserve">).  </w:t>
      </w:r>
      <w:r w:rsidR="008D07A7">
        <w:rPr>
          <w:rFonts w:ascii="Arial" w:hAnsi="Arial" w:cs="Arial"/>
          <w:sz w:val="24"/>
          <w:szCs w:val="24"/>
        </w:rPr>
        <w:t xml:space="preserve">The risk of CD was highest following </w:t>
      </w:r>
      <w:r w:rsidR="00B865E0">
        <w:rPr>
          <w:rFonts w:ascii="Arial" w:hAnsi="Arial" w:cs="Arial"/>
          <w:sz w:val="24"/>
          <w:szCs w:val="24"/>
        </w:rPr>
        <w:t>Penicillin</w:t>
      </w:r>
      <w:r w:rsidR="00FF7192">
        <w:rPr>
          <w:rFonts w:ascii="Arial" w:hAnsi="Arial" w:cs="Arial"/>
          <w:sz w:val="24"/>
          <w:szCs w:val="24"/>
        </w:rPr>
        <w:t xml:space="preserve"> V (RR</w:t>
      </w:r>
      <w:r w:rsidR="00B41CA9">
        <w:rPr>
          <w:rFonts w:ascii="Arial" w:hAnsi="Arial" w:cs="Arial"/>
          <w:sz w:val="24"/>
          <w:szCs w:val="24"/>
        </w:rPr>
        <w:t>=</w:t>
      </w:r>
      <w:r w:rsidR="00FF7192">
        <w:rPr>
          <w:rFonts w:ascii="Arial" w:hAnsi="Arial" w:cs="Arial"/>
          <w:sz w:val="24"/>
          <w:szCs w:val="24"/>
        </w:rPr>
        <w:t>2.9</w:t>
      </w:r>
      <w:r w:rsidR="00594741">
        <w:rPr>
          <w:rFonts w:ascii="Arial" w:hAnsi="Arial" w:cs="Arial"/>
          <w:sz w:val="24"/>
          <w:szCs w:val="24"/>
        </w:rPr>
        <w:t>, 95%CI</w:t>
      </w:r>
      <w:r w:rsidR="00B41CA9">
        <w:rPr>
          <w:rFonts w:ascii="Arial" w:hAnsi="Arial" w:cs="Arial"/>
          <w:sz w:val="24"/>
          <w:szCs w:val="24"/>
        </w:rPr>
        <w:t>=</w:t>
      </w:r>
      <w:r w:rsidR="00594741">
        <w:rPr>
          <w:rFonts w:ascii="Arial" w:hAnsi="Arial" w:cs="Arial"/>
          <w:sz w:val="24"/>
          <w:szCs w:val="24"/>
        </w:rPr>
        <w:t>1.22 – 6.97</w:t>
      </w:r>
      <w:r w:rsidR="00FF7192">
        <w:rPr>
          <w:rFonts w:ascii="Arial" w:hAnsi="Arial" w:cs="Arial"/>
          <w:sz w:val="24"/>
          <w:szCs w:val="24"/>
        </w:rPr>
        <w:t>) and extended spectrum</w:t>
      </w:r>
      <w:r w:rsidR="00B865E0">
        <w:rPr>
          <w:rFonts w:ascii="Arial" w:hAnsi="Arial" w:cs="Arial"/>
          <w:sz w:val="24"/>
          <w:szCs w:val="24"/>
        </w:rPr>
        <w:t xml:space="preserve"> penicilli</w:t>
      </w:r>
      <w:r w:rsidR="008D07A7">
        <w:rPr>
          <w:rFonts w:ascii="Arial" w:hAnsi="Arial" w:cs="Arial"/>
          <w:sz w:val="24"/>
          <w:szCs w:val="24"/>
        </w:rPr>
        <w:t>ns (RR</w:t>
      </w:r>
      <w:r w:rsidR="00B41CA9">
        <w:rPr>
          <w:rFonts w:ascii="Arial" w:hAnsi="Arial" w:cs="Arial"/>
          <w:sz w:val="24"/>
          <w:szCs w:val="24"/>
        </w:rPr>
        <w:t>=</w:t>
      </w:r>
      <w:r w:rsidR="008D07A7">
        <w:rPr>
          <w:rFonts w:ascii="Arial" w:hAnsi="Arial" w:cs="Arial"/>
          <w:sz w:val="24"/>
          <w:szCs w:val="24"/>
        </w:rPr>
        <w:t>3.1</w:t>
      </w:r>
      <w:r w:rsidR="00594741">
        <w:rPr>
          <w:rFonts w:ascii="Arial" w:hAnsi="Arial" w:cs="Arial"/>
          <w:sz w:val="24"/>
          <w:szCs w:val="24"/>
        </w:rPr>
        <w:t>, 95% CI</w:t>
      </w:r>
      <w:r w:rsidR="00B41CA9">
        <w:rPr>
          <w:rFonts w:ascii="Arial" w:hAnsi="Arial" w:cs="Arial"/>
          <w:sz w:val="24"/>
          <w:szCs w:val="24"/>
        </w:rPr>
        <w:t>=</w:t>
      </w:r>
      <w:r w:rsidR="00594741">
        <w:rPr>
          <w:rFonts w:ascii="Arial" w:hAnsi="Arial" w:cs="Arial"/>
          <w:sz w:val="24"/>
          <w:szCs w:val="24"/>
        </w:rPr>
        <w:t>1.33 – 7.40</w:t>
      </w:r>
      <w:r w:rsidR="008D07A7">
        <w:rPr>
          <w:rFonts w:ascii="Arial" w:hAnsi="Arial" w:cs="Arial"/>
          <w:sz w:val="24"/>
          <w:szCs w:val="24"/>
        </w:rPr>
        <w:t>).</w:t>
      </w:r>
      <w:r w:rsidR="00FF7192">
        <w:rPr>
          <w:rFonts w:ascii="Arial" w:hAnsi="Arial" w:cs="Arial"/>
          <w:sz w:val="24"/>
          <w:szCs w:val="24"/>
        </w:rPr>
        <w:t xml:space="preserve"> The ages at which children were most at risk was 3 – 11 months (RR</w:t>
      </w:r>
      <w:r w:rsidR="00B41CA9">
        <w:rPr>
          <w:rFonts w:ascii="Arial" w:hAnsi="Arial" w:cs="Arial"/>
          <w:sz w:val="24"/>
          <w:szCs w:val="24"/>
        </w:rPr>
        <w:t>=</w:t>
      </w:r>
      <w:r w:rsidR="00FF7192">
        <w:rPr>
          <w:rFonts w:ascii="Arial" w:hAnsi="Arial" w:cs="Arial"/>
          <w:sz w:val="24"/>
          <w:szCs w:val="24"/>
        </w:rPr>
        <w:t>3.3</w:t>
      </w:r>
      <w:r w:rsidR="00594741">
        <w:rPr>
          <w:rFonts w:ascii="Arial" w:hAnsi="Arial" w:cs="Arial"/>
          <w:sz w:val="24"/>
          <w:szCs w:val="24"/>
        </w:rPr>
        <w:t>, 95% CI</w:t>
      </w:r>
      <w:r w:rsidR="00B41CA9">
        <w:rPr>
          <w:rFonts w:ascii="Arial" w:hAnsi="Arial" w:cs="Arial"/>
          <w:sz w:val="24"/>
          <w:szCs w:val="24"/>
        </w:rPr>
        <w:t>=</w:t>
      </w:r>
      <w:r w:rsidR="00594741">
        <w:rPr>
          <w:rFonts w:ascii="Arial" w:hAnsi="Arial" w:cs="Arial"/>
          <w:sz w:val="24"/>
          <w:szCs w:val="24"/>
        </w:rPr>
        <w:t>1.15 – 9.56</w:t>
      </w:r>
      <w:r w:rsidR="00FF7192">
        <w:rPr>
          <w:rFonts w:ascii="Arial" w:hAnsi="Arial" w:cs="Arial"/>
          <w:sz w:val="24"/>
          <w:szCs w:val="24"/>
        </w:rPr>
        <w:t>) and 2 – 3 years (RR</w:t>
      </w:r>
      <w:r w:rsidR="00B41CA9">
        <w:rPr>
          <w:rFonts w:ascii="Arial" w:hAnsi="Arial" w:cs="Arial"/>
          <w:sz w:val="24"/>
          <w:szCs w:val="24"/>
        </w:rPr>
        <w:t>=</w:t>
      </w:r>
      <w:r w:rsidR="00FF7192">
        <w:rPr>
          <w:rFonts w:ascii="Arial" w:hAnsi="Arial" w:cs="Arial"/>
          <w:sz w:val="24"/>
          <w:szCs w:val="24"/>
        </w:rPr>
        <w:t>3.7</w:t>
      </w:r>
      <w:r w:rsidR="00594741">
        <w:rPr>
          <w:rFonts w:ascii="Arial" w:hAnsi="Arial" w:cs="Arial"/>
          <w:sz w:val="24"/>
          <w:szCs w:val="24"/>
        </w:rPr>
        <w:t>, 95% CI</w:t>
      </w:r>
      <w:r w:rsidR="00B41CA9">
        <w:rPr>
          <w:rFonts w:ascii="Arial" w:hAnsi="Arial" w:cs="Arial"/>
          <w:sz w:val="24"/>
          <w:szCs w:val="24"/>
        </w:rPr>
        <w:t>=</w:t>
      </w:r>
      <w:r w:rsidR="00594741">
        <w:rPr>
          <w:rFonts w:ascii="Arial" w:hAnsi="Arial" w:cs="Arial"/>
          <w:sz w:val="24"/>
          <w:szCs w:val="24"/>
        </w:rPr>
        <w:t>1.02 – 13.60</w:t>
      </w:r>
      <w:r w:rsidR="00FF7192">
        <w:rPr>
          <w:rFonts w:ascii="Arial" w:hAnsi="Arial" w:cs="Arial"/>
          <w:sz w:val="24"/>
          <w:szCs w:val="24"/>
        </w:rPr>
        <w:t xml:space="preserve">). </w:t>
      </w:r>
    </w:p>
    <w:p w:rsidR="002E6267" w:rsidRDefault="002E6267" w:rsidP="00BD45D7">
      <w:pPr>
        <w:spacing w:after="0"/>
        <w:jc w:val="both"/>
        <w:rPr>
          <w:rFonts w:ascii="Arial" w:hAnsi="Arial" w:cs="Arial"/>
          <w:sz w:val="24"/>
          <w:szCs w:val="24"/>
        </w:rPr>
      </w:pPr>
    </w:p>
    <w:p w:rsidR="000251E1" w:rsidRDefault="002E6267" w:rsidP="00BD45D7">
      <w:pPr>
        <w:spacing w:after="0"/>
        <w:jc w:val="both"/>
        <w:rPr>
          <w:rFonts w:ascii="Arial" w:hAnsi="Arial" w:cs="Arial"/>
          <w:sz w:val="24"/>
          <w:szCs w:val="24"/>
        </w:rPr>
      </w:pPr>
      <w:r>
        <w:rPr>
          <w:rFonts w:ascii="Arial" w:hAnsi="Arial" w:cs="Arial"/>
          <w:sz w:val="24"/>
          <w:szCs w:val="24"/>
        </w:rPr>
        <w:t xml:space="preserve">The authors considered a wide range of potential confounding factors including: </w:t>
      </w:r>
      <w:r w:rsidR="00FC2D9A">
        <w:rPr>
          <w:rFonts w:ascii="Arial" w:hAnsi="Arial" w:cs="Arial"/>
          <w:sz w:val="24"/>
          <w:szCs w:val="24"/>
        </w:rPr>
        <w:t>place of birth according to the degree of urbanization, mother’s age, birth weight, gestat</w:t>
      </w:r>
      <w:r w:rsidR="00183BD6">
        <w:rPr>
          <w:rFonts w:ascii="Arial" w:hAnsi="Arial" w:cs="Arial"/>
          <w:sz w:val="24"/>
          <w:szCs w:val="24"/>
        </w:rPr>
        <w:t xml:space="preserve">ional age, socioeconomic class and educational level of the mother. None of these factors were found to be significant in </w:t>
      </w:r>
      <w:r w:rsidR="00594741">
        <w:rPr>
          <w:rFonts w:ascii="Arial" w:hAnsi="Arial" w:cs="Arial"/>
          <w:sz w:val="24"/>
          <w:szCs w:val="24"/>
        </w:rPr>
        <w:t xml:space="preserve">the </w:t>
      </w:r>
      <w:r w:rsidR="00183BD6">
        <w:rPr>
          <w:rFonts w:ascii="Arial" w:hAnsi="Arial" w:cs="Arial"/>
          <w:sz w:val="24"/>
          <w:szCs w:val="24"/>
        </w:rPr>
        <w:t xml:space="preserve">univariate analysis. </w:t>
      </w:r>
    </w:p>
    <w:p w:rsidR="008D07A7" w:rsidRDefault="008D07A7" w:rsidP="00BD45D7">
      <w:pPr>
        <w:spacing w:after="0"/>
        <w:jc w:val="both"/>
        <w:rPr>
          <w:rFonts w:ascii="Arial" w:hAnsi="Arial" w:cs="Arial"/>
          <w:sz w:val="24"/>
          <w:szCs w:val="24"/>
        </w:rPr>
      </w:pPr>
    </w:p>
    <w:p w:rsidR="002D100A" w:rsidRPr="002D100A" w:rsidRDefault="002D100A" w:rsidP="00BD45D7">
      <w:pPr>
        <w:spacing w:after="0"/>
        <w:jc w:val="both"/>
        <w:rPr>
          <w:rFonts w:ascii="Arial" w:hAnsi="Arial" w:cs="Arial"/>
          <w:sz w:val="24"/>
          <w:szCs w:val="24"/>
        </w:rPr>
      </w:pPr>
      <w:r>
        <w:rPr>
          <w:rFonts w:ascii="Arial" w:hAnsi="Arial" w:cs="Arial"/>
          <w:b/>
          <w:sz w:val="24"/>
          <w:szCs w:val="24"/>
        </w:rPr>
        <w:t>Comment</w:t>
      </w:r>
    </w:p>
    <w:p w:rsidR="006A1283" w:rsidRDefault="00EE62AF" w:rsidP="00BD45D7">
      <w:pPr>
        <w:spacing w:after="0"/>
        <w:jc w:val="both"/>
        <w:rPr>
          <w:rFonts w:ascii="Arial" w:hAnsi="Arial" w:cs="Arial"/>
          <w:sz w:val="24"/>
          <w:szCs w:val="24"/>
          <w:lang w:bidi="ar-SA"/>
        </w:rPr>
      </w:pPr>
      <w:r>
        <w:rPr>
          <w:rFonts w:ascii="Arial" w:hAnsi="Arial" w:cs="Arial"/>
          <w:sz w:val="24"/>
          <w:szCs w:val="24"/>
        </w:rPr>
        <w:t>This paper provides further compelling evidence that gut microbes participate in an important way in th</w:t>
      </w:r>
      <w:r w:rsidR="00022384">
        <w:rPr>
          <w:rFonts w:ascii="Arial" w:hAnsi="Arial" w:cs="Arial"/>
          <w:sz w:val="24"/>
          <w:szCs w:val="24"/>
        </w:rPr>
        <w:t>e pathogenesis of CD</w:t>
      </w:r>
      <w:r>
        <w:rPr>
          <w:rFonts w:ascii="Arial" w:hAnsi="Arial" w:cs="Arial"/>
          <w:sz w:val="24"/>
          <w:szCs w:val="24"/>
        </w:rPr>
        <w:t xml:space="preserve">. </w:t>
      </w:r>
      <w:r w:rsidR="0070300B">
        <w:rPr>
          <w:rFonts w:ascii="Arial" w:hAnsi="Arial" w:cs="Arial"/>
          <w:sz w:val="24"/>
          <w:szCs w:val="24"/>
          <w:lang w:bidi="ar-SA"/>
        </w:rPr>
        <w:t xml:space="preserve">Although this is </w:t>
      </w:r>
      <w:r w:rsidR="003566E2">
        <w:rPr>
          <w:rFonts w:ascii="Arial" w:hAnsi="Arial" w:cs="Arial"/>
          <w:sz w:val="24"/>
          <w:szCs w:val="24"/>
          <w:lang w:bidi="ar-SA"/>
        </w:rPr>
        <w:t xml:space="preserve">not </w:t>
      </w:r>
      <w:r w:rsidR="0070300B">
        <w:rPr>
          <w:rFonts w:ascii="Arial" w:hAnsi="Arial" w:cs="Arial"/>
          <w:sz w:val="24"/>
          <w:szCs w:val="24"/>
          <w:lang w:bidi="ar-SA"/>
        </w:rPr>
        <w:t xml:space="preserve">the first prospective study </w:t>
      </w:r>
      <w:r w:rsidR="003566E2">
        <w:rPr>
          <w:rFonts w:ascii="Arial" w:hAnsi="Arial" w:cs="Arial"/>
          <w:sz w:val="24"/>
          <w:szCs w:val="24"/>
          <w:lang w:bidi="ar-SA"/>
        </w:rPr>
        <w:t>it</w:t>
      </w:r>
      <w:r w:rsidR="0070300B">
        <w:rPr>
          <w:rFonts w:ascii="Arial" w:hAnsi="Arial" w:cs="Arial"/>
          <w:sz w:val="24"/>
          <w:szCs w:val="24"/>
          <w:lang w:bidi="ar-SA"/>
        </w:rPr>
        <w:t xml:space="preserve"> is by far the largest and most statistically p</w:t>
      </w:r>
      <w:r w:rsidR="003566E2">
        <w:rPr>
          <w:rFonts w:ascii="Arial" w:hAnsi="Arial" w:cs="Arial"/>
          <w:sz w:val="24"/>
          <w:szCs w:val="24"/>
          <w:lang w:bidi="ar-SA"/>
        </w:rPr>
        <w:t xml:space="preserve">owerful </w:t>
      </w:r>
      <w:r w:rsidR="00B41CA9">
        <w:rPr>
          <w:rFonts w:ascii="Arial" w:hAnsi="Arial" w:cs="Arial"/>
          <w:sz w:val="24"/>
          <w:szCs w:val="24"/>
          <w:lang w:bidi="ar-SA"/>
        </w:rPr>
        <w:t>one</w:t>
      </w:r>
      <w:r w:rsidR="003566E2">
        <w:rPr>
          <w:rFonts w:ascii="Arial" w:hAnsi="Arial" w:cs="Arial"/>
          <w:sz w:val="24"/>
          <w:szCs w:val="24"/>
          <w:lang w:bidi="ar-SA"/>
        </w:rPr>
        <w:t xml:space="preserve"> published to date.</w:t>
      </w:r>
      <w:r w:rsidR="0070300B">
        <w:rPr>
          <w:rFonts w:ascii="Arial" w:hAnsi="Arial" w:cs="Arial"/>
          <w:sz w:val="24"/>
          <w:szCs w:val="24"/>
          <w:lang w:bidi="ar-SA"/>
        </w:rPr>
        <w:t xml:space="preserve"> Four earlier studies have reported an association between antibiotic usage and CD (Scand J Gastroenterol 1987;22:1009-24, Dig Dis Sci 1994; 39: 55-60, Gut 2004;53:246-50, Scand J Gastroenterol 2008;43:961-6). </w:t>
      </w:r>
      <w:r w:rsidR="0070300B">
        <w:rPr>
          <w:rFonts w:ascii="Arial" w:hAnsi="Arial" w:cs="Arial"/>
          <w:sz w:val="24"/>
          <w:szCs w:val="24"/>
        </w:rPr>
        <w:t>T</w:t>
      </w:r>
      <w:r>
        <w:rPr>
          <w:rFonts w:ascii="Arial" w:hAnsi="Arial" w:cs="Arial"/>
          <w:sz w:val="24"/>
          <w:szCs w:val="24"/>
        </w:rPr>
        <w:t xml:space="preserve">he finding that antibiotic usage is not associated with the onset of ulcerative colitis is an important negative finding and supports the idea that CD and UC are </w:t>
      </w:r>
      <w:r w:rsidR="00B41CA9">
        <w:rPr>
          <w:rFonts w:ascii="Arial" w:hAnsi="Arial" w:cs="Arial"/>
          <w:sz w:val="24"/>
          <w:szCs w:val="24"/>
        </w:rPr>
        <w:t xml:space="preserve">two </w:t>
      </w:r>
      <w:r>
        <w:rPr>
          <w:rFonts w:ascii="Arial" w:hAnsi="Arial" w:cs="Arial"/>
          <w:sz w:val="24"/>
          <w:szCs w:val="24"/>
        </w:rPr>
        <w:t>separate diseases with distinct pathogenic mechanisms (Gut 2008</w:t>
      </w:r>
      <w:r w:rsidR="00B41CA9">
        <w:rPr>
          <w:rFonts w:ascii="Arial" w:hAnsi="Arial" w:cs="Arial"/>
          <w:sz w:val="24"/>
          <w:szCs w:val="24"/>
        </w:rPr>
        <w:t>;</w:t>
      </w:r>
      <w:r w:rsidR="00F04231">
        <w:rPr>
          <w:rFonts w:ascii="Arial" w:hAnsi="Arial" w:cs="Arial"/>
          <w:sz w:val="24"/>
          <w:szCs w:val="24"/>
          <w:lang w:bidi="ar-SA"/>
        </w:rPr>
        <w:t xml:space="preserve">57:429-33) and supports recent observations </w:t>
      </w:r>
      <w:r w:rsidR="009636CF">
        <w:rPr>
          <w:rFonts w:ascii="Arial" w:hAnsi="Arial" w:cs="Arial"/>
          <w:sz w:val="24"/>
          <w:szCs w:val="24"/>
          <w:lang w:bidi="ar-SA"/>
        </w:rPr>
        <w:t xml:space="preserve">that </w:t>
      </w:r>
      <w:r w:rsidR="00F04231">
        <w:rPr>
          <w:rFonts w:ascii="Arial" w:hAnsi="Arial" w:cs="Arial"/>
          <w:sz w:val="24"/>
          <w:szCs w:val="24"/>
          <w:lang w:bidi="ar-SA"/>
        </w:rPr>
        <w:t>the</w:t>
      </w:r>
      <w:r w:rsidR="00562100">
        <w:rPr>
          <w:rFonts w:ascii="Arial" w:hAnsi="Arial" w:cs="Arial"/>
          <w:sz w:val="24"/>
          <w:szCs w:val="24"/>
          <w:lang w:bidi="ar-SA"/>
        </w:rPr>
        <w:t xml:space="preserve"> composition is</w:t>
      </w:r>
      <w:r w:rsidR="00F04231">
        <w:rPr>
          <w:rFonts w:ascii="Arial" w:hAnsi="Arial" w:cs="Arial"/>
          <w:sz w:val="24"/>
          <w:szCs w:val="24"/>
          <w:lang w:bidi="ar-SA"/>
        </w:rPr>
        <w:t xml:space="preserve"> gut flora is not changed in UC </w:t>
      </w:r>
      <w:r w:rsidR="00F04231">
        <w:rPr>
          <w:rFonts w:ascii="Arial" w:hAnsi="Arial" w:cs="Arial"/>
          <w:sz w:val="24"/>
          <w:szCs w:val="24"/>
        </w:rPr>
        <w:t>(Gastroenterology 2010</w:t>
      </w:r>
      <w:proofErr w:type="gramStart"/>
      <w:r w:rsidR="00F04231">
        <w:rPr>
          <w:rFonts w:ascii="Arial" w:hAnsi="Arial" w:cs="Arial"/>
          <w:sz w:val="24"/>
          <w:szCs w:val="24"/>
        </w:rPr>
        <w:t>;139:1844</w:t>
      </w:r>
      <w:proofErr w:type="gramEnd"/>
      <w:r w:rsidR="00F04231">
        <w:rPr>
          <w:rFonts w:ascii="Arial" w:hAnsi="Arial" w:cs="Arial"/>
          <w:sz w:val="24"/>
          <w:szCs w:val="24"/>
        </w:rPr>
        <w:t>-54).</w:t>
      </w:r>
      <w:r w:rsidR="00C356D0">
        <w:rPr>
          <w:rFonts w:ascii="Arial" w:hAnsi="Arial" w:cs="Arial"/>
          <w:sz w:val="24"/>
          <w:szCs w:val="24"/>
          <w:lang w:bidi="ar-SA"/>
        </w:rPr>
        <w:t xml:space="preserve"> </w:t>
      </w:r>
      <w:r w:rsidR="00022384">
        <w:rPr>
          <w:rFonts w:ascii="Arial" w:hAnsi="Arial" w:cs="Arial"/>
          <w:sz w:val="24"/>
          <w:szCs w:val="24"/>
          <w:lang w:bidi="ar-SA"/>
        </w:rPr>
        <w:t>The dataset did not permit the authors to differentiate small bow</w:t>
      </w:r>
      <w:r w:rsidR="00310050">
        <w:rPr>
          <w:rFonts w:ascii="Arial" w:hAnsi="Arial" w:cs="Arial"/>
          <w:sz w:val="24"/>
          <w:szCs w:val="24"/>
          <w:lang w:bidi="ar-SA"/>
        </w:rPr>
        <w:t xml:space="preserve">el CD from </w:t>
      </w:r>
      <w:proofErr w:type="spellStart"/>
      <w:r w:rsidR="00310050">
        <w:rPr>
          <w:rFonts w:ascii="Arial" w:hAnsi="Arial" w:cs="Arial"/>
          <w:sz w:val="24"/>
          <w:szCs w:val="24"/>
          <w:lang w:bidi="ar-SA"/>
        </w:rPr>
        <w:t>C</w:t>
      </w:r>
      <w:r w:rsidR="00B41CA9">
        <w:rPr>
          <w:rFonts w:ascii="Arial" w:hAnsi="Arial" w:cs="Arial"/>
          <w:sz w:val="24"/>
          <w:szCs w:val="24"/>
          <w:lang w:bidi="ar-SA"/>
        </w:rPr>
        <w:t>rohn’s</w:t>
      </w:r>
      <w:proofErr w:type="spellEnd"/>
      <w:r w:rsidR="00310050">
        <w:rPr>
          <w:rFonts w:ascii="Arial" w:hAnsi="Arial" w:cs="Arial"/>
          <w:sz w:val="24"/>
          <w:szCs w:val="24"/>
          <w:lang w:bidi="ar-SA"/>
        </w:rPr>
        <w:t xml:space="preserve"> colitis. T</w:t>
      </w:r>
      <w:r w:rsidR="00022384">
        <w:rPr>
          <w:rFonts w:ascii="Arial" w:hAnsi="Arial" w:cs="Arial"/>
          <w:sz w:val="24"/>
          <w:szCs w:val="24"/>
          <w:lang w:bidi="ar-SA"/>
        </w:rPr>
        <w:t>hat would have been interesting as the genetic polymorphisms recen</w:t>
      </w:r>
      <w:r w:rsidR="00310050">
        <w:rPr>
          <w:rFonts w:ascii="Arial" w:hAnsi="Arial" w:cs="Arial"/>
          <w:sz w:val="24"/>
          <w:szCs w:val="24"/>
          <w:lang w:bidi="ar-SA"/>
        </w:rPr>
        <w:t>tly identified for CD</w:t>
      </w:r>
      <w:r w:rsidR="00022384">
        <w:rPr>
          <w:rFonts w:ascii="Arial" w:hAnsi="Arial" w:cs="Arial"/>
          <w:sz w:val="24"/>
          <w:szCs w:val="24"/>
          <w:lang w:bidi="ar-SA"/>
        </w:rPr>
        <w:t xml:space="preserve"> </w:t>
      </w:r>
      <w:r w:rsidR="003566E2">
        <w:rPr>
          <w:rFonts w:ascii="Arial" w:hAnsi="Arial" w:cs="Arial"/>
          <w:sz w:val="24"/>
          <w:szCs w:val="24"/>
          <w:lang w:bidi="ar-SA"/>
        </w:rPr>
        <w:t xml:space="preserve">in general </w:t>
      </w:r>
      <w:r w:rsidR="00022384">
        <w:rPr>
          <w:rFonts w:ascii="Arial" w:hAnsi="Arial" w:cs="Arial"/>
          <w:sz w:val="24"/>
          <w:szCs w:val="24"/>
          <w:lang w:bidi="ar-SA"/>
        </w:rPr>
        <w:t>correlate more strongly with s</w:t>
      </w:r>
      <w:r w:rsidR="003566E2">
        <w:rPr>
          <w:rFonts w:ascii="Arial" w:hAnsi="Arial" w:cs="Arial"/>
          <w:sz w:val="24"/>
          <w:szCs w:val="24"/>
          <w:lang w:bidi="ar-SA"/>
        </w:rPr>
        <w:t>mall bowel disease than</w:t>
      </w:r>
      <w:r w:rsidR="00310050">
        <w:rPr>
          <w:rFonts w:ascii="Arial" w:hAnsi="Arial" w:cs="Arial"/>
          <w:sz w:val="24"/>
          <w:szCs w:val="24"/>
          <w:lang w:bidi="ar-SA"/>
        </w:rPr>
        <w:t xml:space="preserve"> colitis (Nature Genetics 2008;40:995-62)</w:t>
      </w:r>
      <w:r w:rsidR="003566E2">
        <w:rPr>
          <w:rFonts w:ascii="Arial" w:hAnsi="Arial" w:cs="Arial"/>
          <w:sz w:val="24"/>
          <w:szCs w:val="24"/>
          <w:lang w:bidi="ar-SA"/>
        </w:rPr>
        <w:t>,</w:t>
      </w:r>
      <w:r w:rsidR="00310050">
        <w:rPr>
          <w:rFonts w:ascii="Arial" w:hAnsi="Arial" w:cs="Arial"/>
          <w:sz w:val="24"/>
          <w:szCs w:val="24"/>
          <w:lang w:bidi="ar-SA"/>
        </w:rPr>
        <w:t xml:space="preserve"> raising the possibility of differences in pathogenic mechanisms. </w:t>
      </w:r>
    </w:p>
    <w:p w:rsidR="00022384" w:rsidRDefault="00022384" w:rsidP="00BD45D7">
      <w:pPr>
        <w:spacing w:after="0"/>
        <w:jc w:val="both"/>
        <w:rPr>
          <w:rFonts w:ascii="Arial" w:hAnsi="Arial" w:cs="Arial"/>
          <w:sz w:val="24"/>
          <w:szCs w:val="24"/>
        </w:rPr>
      </w:pPr>
    </w:p>
    <w:p w:rsidR="00022384" w:rsidRPr="000D2487" w:rsidRDefault="00B93500" w:rsidP="00BD45D7">
      <w:pPr>
        <w:jc w:val="both"/>
        <w:rPr>
          <w:rFonts w:ascii="Arial" w:hAnsi="Arial" w:cs="Arial"/>
          <w:sz w:val="24"/>
          <w:szCs w:val="24"/>
          <w:lang w:val="en-GB"/>
        </w:rPr>
      </w:pPr>
      <w:r>
        <w:rPr>
          <w:rFonts w:ascii="Arial" w:hAnsi="Arial" w:cs="Arial"/>
          <w:sz w:val="24"/>
          <w:szCs w:val="24"/>
        </w:rPr>
        <w:t xml:space="preserve">Antibiotics have widespread effects on the gut microbiota which are </w:t>
      </w:r>
      <w:r w:rsidR="0074018A">
        <w:rPr>
          <w:rFonts w:ascii="Arial" w:hAnsi="Arial" w:cs="Arial"/>
          <w:sz w:val="24"/>
          <w:szCs w:val="24"/>
        </w:rPr>
        <w:t>unpredictable and vary markedly between individuals</w:t>
      </w:r>
      <w:r w:rsidR="000D2487">
        <w:rPr>
          <w:rFonts w:ascii="Arial" w:hAnsi="Arial" w:cs="Arial"/>
          <w:sz w:val="24"/>
          <w:szCs w:val="24"/>
        </w:rPr>
        <w:t xml:space="preserve"> (</w:t>
      </w:r>
      <w:r w:rsidR="000D2487" w:rsidRPr="000D2487">
        <w:rPr>
          <w:rFonts w:ascii="Arial" w:hAnsi="Arial" w:cs="Arial"/>
          <w:sz w:val="24"/>
          <w:szCs w:val="24"/>
          <w:lang w:val="en-GB"/>
        </w:rPr>
        <w:t>PLOS Biology 2008;6:</w:t>
      </w:r>
      <w:r w:rsidR="000D2487">
        <w:rPr>
          <w:rFonts w:ascii="Arial" w:hAnsi="Arial" w:cs="Arial"/>
          <w:sz w:val="24"/>
          <w:szCs w:val="24"/>
          <w:lang w:val="en-GB"/>
        </w:rPr>
        <w:t>e</w:t>
      </w:r>
      <w:r w:rsidR="000D2487" w:rsidRPr="000D2487">
        <w:rPr>
          <w:rFonts w:ascii="Arial" w:hAnsi="Arial" w:cs="Arial"/>
          <w:sz w:val="24"/>
          <w:szCs w:val="24"/>
          <w:lang w:val="en-GB"/>
        </w:rPr>
        <w:t>208</w:t>
      </w:r>
      <w:r w:rsidR="000D2487">
        <w:rPr>
          <w:rFonts w:ascii="Arial" w:hAnsi="Arial" w:cs="Arial"/>
          <w:sz w:val="24"/>
          <w:szCs w:val="24"/>
          <w:lang w:val="en-GB"/>
        </w:rPr>
        <w:t>)</w:t>
      </w:r>
      <w:r w:rsidR="0074018A">
        <w:rPr>
          <w:rFonts w:ascii="Arial" w:hAnsi="Arial" w:cs="Arial"/>
          <w:sz w:val="24"/>
          <w:szCs w:val="24"/>
        </w:rPr>
        <w:t xml:space="preserve">. It is highly plausible that </w:t>
      </w:r>
      <w:r w:rsidR="003C3A45">
        <w:rPr>
          <w:rFonts w:ascii="Arial" w:hAnsi="Arial" w:cs="Arial"/>
          <w:sz w:val="24"/>
          <w:szCs w:val="24"/>
        </w:rPr>
        <w:t xml:space="preserve">in certain individuals </w:t>
      </w:r>
      <w:r w:rsidR="0074018A">
        <w:rPr>
          <w:rFonts w:ascii="Arial" w:hAnsi="Arial" w:cs="Arial"/>
          <w:sz w:val="24"/>
          <w:szCs w:val="24"/>
        </w:rPr>
        <w:t>antibiotic</w:t>
      </w:r>
      <w:r w:rsidR="003C3A45">
        <w:rPr>
          <w:rFonts w:ascii="Arial" w:hAnsi="Arial" w:cs="Arial"/>
          <w:sz w:val="24"/>
          <w:szCs w:val="24"/>
        </w:rPr>
        <w:t>s</w:t>
      </w:r>
      <w:r w:rsidR="0074018A">
        <w:rPr>
          <w:rFonts w:ascii="Arial" w:hAnsi="Arial" w:cs="Arial"/>
          <w:sz w:val="24"/>
          <w:szCs w:val="24"/>
        </w:rPr>
        <w:t xml:space="preserve"> could alter the community structure of the microbiota to one that promotes inflammation</w:t>
      </w:r>
      <w:r w:rsidR="00F04231">
        <w:rPr>
          <w:rFonts w:ascii="Arial" w:hAnsi="Arial" w:cs="Arial"/>
          <w:sz w:val="24"/>
          <w:szCs w:val="24"/>
        </w:rPr>
        <w:t xml:space="preserve"> (Gastroenterology 2010;139:1844-54)</w:t>
      </w:r>
      <w:r w:rsidR="0074018A">
        <w:rPr>
          <w:rFonts w:ascii="Arial" w:hAnsi="Arial" w:cs="Arial"/>
          <w:sz w:val="24"/>
          <w:szCs w:val="24"/>
        </w:rPr>
        <w:t>. The gut flora is a complex ecosystem of 10</w:t>
      </w:r>
      <w:r w:rsidR="0074018A">
        <w:rPr>
          <w:rFonts w:ascii="Arial" w:hAnsi="Arial" w:cs="Arial"/>
          <w:sz w:val="24"/>
          <w:szCs w:val="24"/>
          <w:vertAlign w:val="superscript"/>
        </w:rPr>
        <w:t>14</w:t>
      </w:r>
      <w:r w:rsidR="000D2487">
        <w:rPr>
          <w:rFonts w:ascii="Arial" w:hAnsi="Arial" w:cs="Arial"/>
          <w:sz w:val="24"/>
          <w:szCs w:val="24"/>
        </w:rPr>
        <w:t xml:space="preserve"> organisms (</w:t>
      </w:r>
      <w:r w:rsidR="000D2487">
        <w:rPr>
          <w:rFonts w:ascii="Arial" w:hAnsi="Arial" w:cs="Arial"/>
          <w:sz w:val="24"/>
          <w:szCs w:val="24"/>
          <w:lang w:bidi="ar-SA"/>
        </w:rPr>
        <w:t xml:space="preserve">J Physiol. 2009;587:4153-8). In first year of life the gut microbial communities co-evolve with </w:t>
      </w:r>
      <w:r w:rsidR="003566E2">
        <w:rPr>
          <w:rFonts w:ascii="Arial" w:hAnsi="Arial" w:cs="Arial"/>
          <w:sz w:val="24"/>
          <w:szCs w:val="24"/>
          <w:lang w:bidi="ar-SA"/>
        </w:rPr>
        <w:t xml:space="preserve">the </w:t>
      </w:r>
      <w:r w:rsidR="000D2487">
        <w:rPr>
          <w:rFonts w:ascii="Arial" w:hAnsi="Arial" w:cs="Arial"/>
          <w:sz w:val="24"/>
          <w:szCs w:val="24"/>
          <w:lang w:bidi="ar-SA"/>
        </w:rPr>
        <w:t>host gut immune system</w:t>
      </w:r>
      <w:r w:rsidR="00010D61">
        <w:rPr>
          <w:rFonts w:ascii="Arial" w:hAnsi="Arial" w:cs="Arial"/>
          <w:sz w:val="24"/>
          <w:szCs w:val="24"/>
          <w:lang w:bidi="ar-SA"/>
        </w:rPr>
        <w:t xml:space="preserve"> establishing a state of mutualism that distinguishes commensal organisms from pathogens (Nat Rev Immunol 2009;9:313-23). The importance of gut microbiota in programming the </w:t>
      </w:r>
      <w:r w:rsidR="009F34DA">
        <w:rPr>
          <w:rFonts w:ascii="Arial" w:hAnsi="Arial" w:cs="Arial"/>
          <w:sz w:val="24"/>
          <w:szCs w:val="24"/>
          <w:lang w:bidi="ar-SA"/>
        </w:rPr>
        <w:t>repertoire</w:t>
      </w:r>
      <w:r w:rsidR="00010D61">
        <w:rPr>
          <w:rFonts w:ascii="Arial" w:hAnsi="Arial" w:cs="Arial"/>
          <w:sz w:val="24"/>
          <w:szCs w:val="24"/>
          <w:lang w:bidi="ar-SA"/>
        </w:rPr>
        <w:t xml:space="preserve"> of CD4+, CD8+ and T helper responses to gut antigens </w:t>
      </w:r>
      <w:r w:rsidR="009F34DA">
        <w:rPr>
          <w:rFonts w:ascii="Arial" w:hAnsi="Arial" w:cs="Arial"/>
          <w:sz w:val="24"/>
          <w:szCs w:val="24"/>
          <w:lang w:bidi="ar-SA"/>
        </w:rPr>
        <w:t>gives biological plausibility to the hypothesis that antibiotic-induced changes to gut microbiota is pathogenic for CD (Clin Immunol 2005;117:221-30, J Immunol 2007;178:5209-16, Cell 2009;139:677-89</w:t>
      </w:r>
      <w:r w:rsidR="003C3A45">
        <w:rPr>
          <w:rFonts w:ascii="Arial" w:hAnsi="Arial" w:cs="Arial"/>
          <w:sz w:val="24"/>
          <w:szCs w:val="24"/>
          <w:lang w:bidi="ar-SA"/>
        </w:rPr>
        <w:t>, Science 2011;331:337-41</w:t>
      </w:r>
      <w:r w:rsidR="009F34DA">
        <w:rPr>
          <w:rFonts w:ascii="Arial" w:hAnsi="Arial" w:cs="Arial"/>
          <w:sz w:val="24"/>
          <w:szCs w:val="24"/>
          <w:lang w:bidi="ar-SA"/>
        </w:rPr>
        <w:t xml:space="preserve">). </w:t>
      </w:r>
      <w:r w:rsidR="004442F1">
        <w:rPr>
          <w:rFonts w:ascii="Arial" w:hAnsi="Arial" w:cs="Arial"/>
          <w:sz w:val="24"/>
          <w:szCs w:val="24"/>
          <w:lang w:bidi="ar-SA"/>
        </w:rPr>
        <w:t>However</w:t>
      </w:r>
      <w:r w:rsidR="00B41CA9">
        <w:rPr>
          <w:rFonts w:ascii="Arial" w:hAnsi="Arial" w:cs="Arial"/>
          <w:sz w:val="24"/>
          <w:szCs w:val="24"/>
          <w:lang w:bidi="ar-SA"/>
        </w:rPr>
        <w:t>,</w:t>
      </w:r>
      <w:r w:rsidR="004442F1">
        <w:rPr>
          <w:rFonts w:ascii="Arial" w:hAnsi="Arial" w:cs="Arial"/>
          <w:sz w:val="24"/>
          <w:szCs w:val="24"/>
          <w:lang w:bidi="ar-SA"/>
        </w:rPr>
        <w:t xml:space="preserve"> the mechanism</w:t>
      </w:r>
      <w:r w:rsidR="003C3A45">
        <w:rPr>
          <w:rFonts w:ascii="Arial" w:hAnsi="Arial" w:cs="Arial"/>
          <w:sz w:val="24"/>
          <w:szCs w:val="24"/>
          <w:lang w:bidi="ar-SA"/>
        </w:rPr>
        <w:t>s</w:t>
      </w:r>
      <w:r w:rsidR="004442F1">
        <w:rPr>
          <w:rFonts w:ascii="Arial" w:hAnsi="Arial" w:cs="Arial"/>
          <w:sz w:val="24"/>
          <w:szCs w:val="24"/>
          <w:lang w:bidi="ar-SA"/>
        </w:rPr>
        <w:t xml:space="preserve"> by which changes in gut microbiota trigger CD remains open. For example</w:t>
      </w:r>
      <w:r w:rsidR="005B6EA0">
        <w:rPr>
          <w:rFonts w:ascii="Arial" w:hAnsi="Arial" w:cs="Arial"/>
          <w:sz w:val="24"/>
          <w:szCs w:val="24"/>
          <w:lang w:bidi="ar-SA"/>
        </w:rPr>
        <w:t>,</w:t>
      </w:r>
      <w:r w:rsidR="004442F1">
        <w:rPr>
          <w:rFonts w:ascii="Arial" w:hAnsi="Arial" w:cs="Arial"/>
          <w:sz w:val="24"/>
          <w:szCs w:val="24"/>
          <w:lang w:bidi="ar-SA"/>
        </w:rPr>
        <w:t xml:space="preserve"> the immune responses in CD could be directed towards</w:t>
      </w:r>
      <w:r w:rsidR="005B6EA0">
        <w:rPr>
          <w:rFonts w:ascii="Arial" w:hAnsi="Arial" w:cs="Arial"/>
          <w:sz w:val="24"/>
          <w:szCs w:val="24"/>
          <w:lang w:bidi="ar-SA"/>
        </w:rPr>
        <w:t xml:space="preserve"> specific microbial antigens</w:t>
      </w:r>
      <w:r w:rsidR="003C3A45">
        <w:rPr>
          <w:rFonts w:ascii="Arial" w:hAnsi="Arial" w:cs="Arial"/>
          <w:sz w:val="24"/>
          <w:szCs w:val="24"/>
          <w:lang w:bidi="ar-SA"/>
        </w:rPr>
        <w:t>. Alternatively,</w:t>
      </w:r>
      <w:r w:rsidR="005B6EA0">
        <w:rPr>
          <w:rFonts w:ascii="Arial" w:hAnsi="Arial" w:cs="Arial"/>
          <w:sz w:val="24"/>
          <w:szCs w:val="24"/>
          <w:lang w:bidi="ar-SA"/>
        </w:rPr>
        <w:t xml:space="preserve"> </w:t>
      </w:r>
      <w:r w:rsidR="004442F1">
        <w:rPr>
          <w:rFonts w:ascii="Arial" w:hAnsi="Arial" w:cs="Arial"/>
          <w:sz w:val="24"/>
          <w:szCs w:val="24"/>
          <w:lang w:bidi="ar-SA"/>
        </w:rPr>
        <w:t>anti-inflammatory bacte</w:t>
      </w:r>
      <w:r w:rsidR="005B6EA0">
        <w:rPr>
          <w:rFonts w:ascii="Arial" w:hAnsi="Arial" w:cs="Arial"/>
          <w:sz w:val="24"/>
          <w:szCs w:val="24"/>
          <w:lang w:bidi="ar-SA"/>
        </w:rPr>
        <w:t xml:space="preserve">ria such as </w:t>
      </w:r>
      <w:r w:rsidR="005B6EA0" w:rsidRPr="003566E2">
        <w:rPr>
          <w:rFonts w:ascii="Arial" w:hAnsi="Arial" w:cs="Arial"/>
          <w:i/>
          <w:sz w:val="24"/>
          <w:szCs w:val="24"/>
          <w:lang w:bidi="ar-SA"/>
        </w:rPr>
        <w:t>Faecalibacterium prausnitzii</w:t>
      </w:r>
      <w:r w:rsidR="005B6EA0">
        <w:rPr>
          <w:rFonts w:ascii="Arial" w:hAnsi="Arial" w:cs="Arial"/>
          <w:sz w:val="24"/>
          <w:szCs w:val="24"/>
          <w:lang w:bidi="ar-SA"/>
        </w:rPr>
        <w:t>, might be reduced in number (</w:t>
      </w:r>
      <w:r w:rsidR="005B6EA0" w:rsidRPr="005B6EA0">
        <w:rPr>
          <w:rFonts w:ascii="Arial" w:hAnsi="Arial" w:cs="Arial"/>
          <w:sz w:val="24"/>
          <w:szCs w:val="24"/>
        </w:rPr>
        <w:t>PNAS 2008;105;16731-36</w:t>
      </w:r>
      <w:r w:rsidR="005B6EA0">
        <w:rPr>
          <w:rFonts w:ascii="Arial" w:hAnsi="Arial" w:cs="Arial"/>
          <w:sz w:val="24"/>
          <w:szCs w:val="24"/>
        </w:rPr>
        <w:t>). Further</w:t>
      </w:r>
      <w:r w:rsidR="00E05C38">
        <w:rPr>
          <w:rFonts w:ascii="Arial" w:hAnsi="Arial" w:cs="Arial"/>
          <w:sz w:val="24"/>
          <w:szCs w:val="24"/>
        </w:rPr>
        <w:t>more</w:t>
      </w:r>
      <w:r w:rsidR="00B41CA9">
        <w:rPr>
          <w:rFonts w:ascii="Arial" w:hAnsi="Arial" w:cs="Arial"/>
          <w:sz w:val="24"/>
          <w:szCs w:val="24"/>
        </w:rPr>
        <w:t>,</w:t>
      </w:r>
      <w:r w:rsidR="005B6EA0">
        <w:rPr>
          <w:rFonts w:ascii="Arial" w:hAnsi="Arial" w:cs="Arial"/>
          <w:sz w:val="24"/>
          <w:szCs w:val="24"/>
        </w:rPr>
        <w:t xml:space="preserve"> </w:t>
      </w:r>
      <w:r w:rsidR="00E05C38">
        <w:rPr>
          <w:rFonts w:ascii="Arial" w:hAnsi="Arial" w:cs="Arial"/>
          <w:sz w:val="24"/>
          <w:szCs w:val="24"/>
        </w:rPr>
        <w:t xml:space="preserve">infection </w:t>
      </w:r>
      <w:r w:rsidR="003C3A45">
        <w:rPr>
          <w:rFonts w:ascii="Arial" w:hAnsi="Arial" w:cs="Arial"/>
          <w:sz w:val="24"/>
          <w:szCs w:val="24"/>
        </w:rPr>
        <w:t xml:space="preserve">with </w:t>
      </w:r>
      <w:r w:rsidR="005B6EA0">
        <w:rPr>
          <w:rFonts w:ascii="Arial" w:hAnsi="Arial" w:cs="Arial"/>
          <w:sz w:val="24"/>
          <w:szCs w:val="24"/>
        </w:rPr>
        <w:t xml:space="preserve">specific single organisms such as Adherent and Invasive </w:t>
      </w:r>
      <w:r w:rsidR="005B6EA0" w:rsidRPr="003566E2">
        <w:rPr>
          <w:rFonts w:ascii="Arial" w:hAnsi="Arial" w:cs="Arial"/>
          <w:i/>
          <w:sz w:val="24"/>
          <w:szCs w:val="24"/>
        </w:rPr>
        <w:t>E coli</w:t>
      </w:r>
      <w:r w:rsidR="005B6EA0">
        <w:rPr>
          <w:rFonts w:ascii="Arial" w:hAnsi="Arial" w:cs="Arial"/>
          <w:sz w:val="24"/>
          <w:szCs w:val="24"/>
        </w:rPr>
        <w:t xml:space="preserve"> or Norovirus</w:t>
      </w:r>
      <w:r w:rsidR="00E05C38">
        <w:rPr>
          <w:rFonts w:ascii="Arial" w:hAnsi="Arial" w:cs="Arial"/>
          <w:sz w:val="24"/>
          <w:szCs w:val="24"/>
        </w:rPr>
        <w:t xml:space="preserve"> might be important for triggering disease onset or flares (</w:t>
      </w:r>
      <w:r w:rsidR="00671E47">
        <w:rPr>
          <w:rFonts w:ascii="Arial" w:hAnsi="Arial" w:cs="Arial"/>
          <w:sz w:val="24"/>
          <w:szCs w:val="24"/>
          <w:lang w:bidi="ar-SA"/>
        </w:rPr>
        <w:t>J Clin Invest. 2007</w:t>
      </w:r>
      <w:proofErr w:type="gramStart"/>
      <w:r w:rsidR="00671E47">
        <w:rPr>
          <w:rFonts w:ascii="Arial" w:hAnsi="Arial" w:cs="Arial"/>
          <w:sz w:val="24"/>
          <w:szCs w:val="24"/>
          <w:lang w:bidi="ar-SA"/>
        </w:rPr>
        <w:t>;117:1566</w:t>
      </w:r>
      <w:proofErr w:type="gramEnd"/>
      <w:r w:rsidR="00671E47">
        <w:rPr>
          <w:rFonts w:ascii="Arial" w:hAnsi="Arial" w:cs="Arial"/>
          <w:sz w:val="24"/>
          <w:szCs w:val="24"/>
          <w:lang w:bidi="ar-SA"/>
        </w:rPr>
        <w:t>-74,</w:t>
      </w:r>
      <w:r w:rsidR="00B41CA9">
        <w:rPr>
          <w:rFonts w:ascii="Arial" w:hAnsi="Arial" w:cs="Arial"/>
          <w:sz w:val="24"/>
          <w:szCs w:val="24"/>
          <w:lang w:bidi="ar-SA"/>
        </w:rPr>
        <w:t xml:space="preserve"> </w:t>
      </w:r>
      <w:r w:rsidR="00671E47">
        <w:rPr>
          <w:rFonts w:ascii="Arial" w:hAnsi="Arial" w:cs="Arial"/>
          <w:sz w:val="24"/>
          <w:szCs w:val="24"/>
          <w:lang w:bidi="ar-SA"/>
        </w:rPr>
        <w:t>Cell 2010;141:1135-45).</w:t>
      </w:r>
    </w:p>
    <w:p w:rsidR="0004799C" w:rsidRPr="004A0173" w:rsidRDefault="00452A5C" w:rsidP="00BD45D7">
      <w:pPr>
        <w:jc w:val="both"/>
        <w:rPr>
          <w:rFonts w:ascii="Arial" w:hAnsi="Arial" w:cs="Arial"/>
          <w:sz w:val="24"/>
          <w:szCs w:val="24"/>
        </w:rPr>
      </w:pPr>
      <w:r w:rsidRPr="004A0173">
        <w:rPr>
          <w:rFonts w:ascii="Arial" w:hAnsi="Arial" w:cs="Arial"/>
          <w:sz w:val="24"/>
          <w:szCs w:val="24"/>
        </w:rPr>
        <w:t xml:space="preserve">Gut microbes are not the only environmental factors know to influence inflammatory bowel disease. Smoking </w:t>
      </w:r>
      <w:r w:rsidR="003C3A45" w:rsidRPr="004A0173">
        <w:rPr>
          <w:rFonts w:ascii="Arial" w:hAnsi="Arial" w:cs="Arial"/>
          <w:sz w:val="24"/>
          <w:szCs w:val="24"/>
        </w:rPr>
        <w:t xml:space="preserve">and appendicectomy are important and there is emerging data on diet. A meta-analysis of cigarette smoking and inflammatory bowel disease reported that smoking reduced the incidence of ulcerative colitis by approximately a half, but doubled that of Crohn’s disease (Dig Dis Sci 1989;34:1841-1854). The biological mechanisms for these contrasting associations are unknown, but </w:t>
      </w:r>
      <w:r w:rsidR="00577855">
        <w:rPr>
          <w:rFonts w:ascii="Arial" w:hAnsi="Arial" w:cs="Arial"/>
          <w:sz w:val="24"/>
          <w:szCs w:val="24"/>
        </w:rPr>
        <w:t xml:space="preserve">immunological </w:t>
      </w:r>
      <w:r w:rsidR="00ED5FAB">
        <w:rPr>
          <w:rFonts w:ascii="Arial" w:hAnsi="Arial" w:cs="Arial"/>
          <w:sz w:val="24"/>
          <w:szCs w:val="24"/>
        </w:rPr>
        <w:t xml:space="preserve">and microbial </w:t>
      </w:r>
      <w:r w:rsidR="003C3A45" w:rsidRPr="004A0173">
        <w:rPr>
          <w:rFonts w:ascii="Arial" w:hAnsi="Arial" w:cs="Arial"/>
          <w:sz w:val="24"/>
          <w:szCs w:val="24"/>
        </w:rPr>
        <w:t xml:space="preserve">mechanisms are plausible as smoking has immunosuppressive effects on T-cell lymphocyte function (Mutagenesis 2011;26:43-9), which may lead to alterations in the gut microbiota. </w:t>
      </w:r>
    </w:p>
    <w:p w:rsidR="003C3A45" w:rsidRPr="004A0173" w:rsidRDefault="003C3A45" w:rsidP="00BD45D7">
      <w:pPr>
        <w:jc w:val="both"/>
        <w:rPr>
          <w:rFonts w:ascii="Arial" w:hAnsi="Arial" w:cs="Arial"/>
          <w:sz w:val="24"/>
          <w:szCs w:val="24"/>
        </w:rPr>
      </w:pPr>
      <w:r w:rsidRPr="004A0173">
        <w:rPr>
          <w:rFonts w:ascii="Arial" w:hAnsi="Arial" w:cs="Arial"/>
          <w:sz w:val="24"/>
          <w:szCs w:val="24"/>
        </w:rPr>
        <w:t xml:space="preserve">Following appendicectomy, the risk of developing ulcerative colitis is reduced by between 13%-26%, with most of the effect size </w:t>
      </w:r>
      <w:r w:rsidR="00B41CA9">
        <w:rPr>
          <w:rFonts w:ascii="Arial" w:hAnsi="Arial" w:cs="Arial"/>
          <w:sz w:val="24"/>
          <w:szCs w:val="24"/>
        </w:rPr>
        <w:t>occu</w:t>
      </w:r>
      <w:r w:rsidR="00B80773">
        <w:rPr>
          <w:rFonts w:ascii="Arial" w:hAnsi="Arial" w:cs="Arial"/>
          <w:sz w:val="24"/>
          <w:szCs w:val="24"/>
        </w:rPr>
        <w:t>r</w:t>
      </w:r>
      <w:r w:rsidR="00B41CA9">
        <w:rPr>
          <w:rFonts w:ascii="Arial" w:hAnsi="Arial" w:cs="Arial"/>
          <w:sz w:val="24"/>
          <w:szCs w:val="24"/>
        </w:rPr>
        <w:t xml:space="preserve">ring </w:t>
      </w:r>
      <w:r w:rsidRPr="004A0173">
        <w:rPr>
          <w:rFonts w:ascii="Arial" w:hAnsi="Arial" w:cs="Arial"/>
          <w:sz w:val="24"/>
          <w:szCs w:val="24"/>
        </w:rPr>
        <w:t>in patients younger than 20 years (NEJM 2001</w:t>
      </w:r>
      <w:proofErr w:type="gramStart"/>
      <w:r w:rsidR="00B41CA9">
        <w:rPr>
          <w:rFonts w:ascii="Arial" w:hAnsi="Arial" w:cs="Arial"/>
          <w:sz w:val="24"/>
          <w:szCs w:val="24"/>
        </w:rPr>
        <w:t>;</w:t>
      </w:r>
      <w:r w:rsidRPr="004A0173">
        <w:rPr>
          <w:rFonts w:ascii="Arial" w:hAnsi="Arial" w:cs="Arial"/>
          <w:sz w:val="24"/>
          <w:szCs w:val="24"/>
        </w:rPr>
        <w:t>344</w:t>
      </w:r>
      <w:r w:rsidR="00B41CA9">
        <w:rPr>
          <w:rFonts w:ascii="Arial" w:hAnsi="Arial" w:cs="Arial"/>
          <w:sz w:val="24"/>
          <w:szCs w:val="24"/>
        </w:rPr>
        <w:t>:</w:t>
      </w:r>
      <w:r w:rsidRPr="004A0173">
        <w:rPr>
          <w:rFonts w:ascii="Arial" w:hAnsi="Arial" w:cs="Arial"/>
          <w:sz w:val="24"/>
          <w:szCs w:val="24"/>
        </w:rPr>
        <w:t>808</w:t>
      </w:r>
      <w:proofErr w:type="gramEnd"/>
      <w:r w:rsidRPr="004A0173">
        <w:rPr>
          <w:rFonts w:ascii="Arial" w:hAnsi="Arial" w:cs="Arial"/>
          <w:sz w:val="24"/>
          <w:szCs w:val="24"/>
        </w:rPr>
        <w:t>-14, Surgery 2001</w:t>
      </w:r>
      <w:r w:rsidR="00B41CA9">
        <w:rPr>
          <w:rFonts w:ascii="Arial" w:hAnsi="Arial" w:cs="Arial"/>
          <w:sz w:val="24"/>
          <w:szCs w:val="24"/>
        </w:rPr>
        <w:t>;</w:t>
      </w:r>
      <w:r w:rsidRPr="004A0173">
        <w:rPr>
          <w:rFonts w:ascii="Arial" w:hAnsi="Arial" w:cs="Arial"/>
          <w:sz w:val="24"/>
          <w:szCs w:val="24"/>
        </w:rPr>
        <w:t xml:space="preserve">130:36-43). The inverse association with ulcerative colitis may be a causal one as </w:t>
      </w:r>
      <w:r w:rsidR="00BE51A3">
        <w:rPr>
          <w:rFonts w:ascii="Arial" w:hAnsi="Arial" w:cs="Arial"/>
          <w:sz w:val="24"/>
          <w:szCs w:val="24"/>
        </w:rPr>
        <w:t>it</w:t>
      </w:r>
      <w:r w:rsidRPr="004A0173">
        <w:rPr>
          <w:rFonts w:ascii="Arial" w:hAnsi="Arial" w:cs="Arial"/>
          <w:sz w:val="24"/>
          <w:szCs w:val="24"/>
        </w:rPr>
        <w:t xml:space="preserve"> is not related to surgery for non-specific abdominal pain</w:t>
      </w:r>
      <w:r w:rsidR="004A0173" w:rsidRPr="004A0173">
        <w:rPr>
          <w:rFonts w:ascii="Arial" w:hAnsi="Arial" w:cs="Arial"/>
          <w:sz w:val="24"/>
          <w:szCs w:val="24"/>
        </w:rPr>
        <w:t xml:space="preserve"> (Gut 2008</w:t>
      </w:r>
      <w:proofErr w:type="gramStart"/>
      <w:r w:rsidR="004A0173" w:rsidRPr="004A0173">
        <w:rPr>
          <w:rFonts w:ascii="Arial" w:hAnsi="Arial" w:cs="Arial"/>
          <w:sz w:val="24"/>
          <w:szCs w:val="24"/>
        </w:rPr>
        <w:t>;57:429</w:t>
      </w:r>
      <w:proofErr w:type="gramEnd"/>
      <w:r w:rsidR="004A0173" w:rsidRPr="004A0173">
        <w:rPr>
          <w:rFonts w:ascii="Arial" w:hAnsi="Arial" w:cs="Arial"/>
          <w:sz w:val="24"/>
          <w:szCs w:val="24"/>
        </w:rPr>
        <w:t>-33)</w:t>
      </w:r>
      <w:r w:rsidRPr="004A0173">
        <w:rPr>
          <w:rFonts w:ascii="Arial" w:hAnsi="Arial" w:cs="Arial"/>
          <w:sz w:val="24"/>
          <w:szCs w:val="24"/>
        </w:rPr>
        <w:t xml:space="preserve">. </w:t>
      </w:r>
      <w:r w:rsidR="004A0173" w:rsidRPr="004A0173">
        <w:rPr>
          <w:rFonts w:ascii="Arial" w:hAnsi="Arial" w:cs="Arial"/>
          <w:sz w:val="24"/>
          <w:szCs w:val="24"/>
        </w:rPr>
        <w:t>The reason that</w:t>
      </w:r>
      <w:r w:rsidRPr="004A0173">
        <w:rPr>
          <w:rFonts w:ascii="Arial" w:hAnsi="Arial" w:cs="Arial"/>
          <w:sz w:val="24"/>
          <w:szCs w:val="24"/>
        </w:rPr>
        <w:t xml:space="preserve"> Crohn’s disease is not related to appendicectomy is unknown, particularly as this operation may have an immune modulating effect and the illness has an inflammatory basis. </w:t>
      </w:r>
    </w:p>
    <w:p w:rsidR="001C1072" w:rsidRDefault="003C3A45" w:rsidP="00BD45D7">
      <w:pPr>
        <w:jc w:val="both"/>
        <w:rPr>
          <w:rFonts w:ascii="Arial" w:hAnsi="Arial" w:cs="Arial"/>
          <w:sz w:val="24"/>
          <w:szCs w:val="24"/>
        </w:rPr>
      </w:pPr>
      <w:r w:rsidRPr="004A0173">
        <w:rPr>
          <w:rFonts w:ascii="Arial" w:hAnsi="Arial" w:cs="Arial"/>
          <w:sz w:val="24"/>
          <w:szCs w:val="24"/>
        </w:rPr>
        <w:t>Dietary epidemiological studies have documented positive associations for the development of incident ulcerative colitis, with higher intakes of n-6 polyunsaturated fatty acids (n-6 PUFAs) and inverse associations with n-3 PUFAs (EJGH 2010</w:t>
      </w:r>
      <w:proofErr w:type="gramStart"/>
      <w:r w:rsidRPr="004A0173">
        <w:rPr>
          <w:rFonts w:ascii="Arial" w:hAnsi="Arial" w:cs="Arial"/>
          <w:sz w:val="24"/>
          <w:szCs w:val="24"/>
        </w:rPr>
        <w:t>;22:602</w:t>
      </w:r>
      <w:proofErr w:type="gramEnd"/>
      <w:r w:rsidRPr="004A0173">
        <w:rPr>
          <w:rFonts w:ascii="Arial" w:hAnsi="Arial" w:cs="Arial"/>
          <w:sz w:val="24"/>
          <w:szCs w:val="24"/>
        </w:rPr>
        <w:t>-606, Gut 2009</w:t>
      </w:r>
      <w:r w:rsidR="00B41CA9">
        <w:rPr>
          <w:rFonts w:ascii="Arial" w:hAnsi="Arial" w:cs="Arial"/>
          <w:sz w:val="24"/>
          <w:szCs w:val="24"/>
        </w:rPr>
        <w:t>;</w:t>
      </w:r>
      <w:r w:rsidRPr="004A0173">
        <w:rPr>
          <w:rFonts w:ascii="Arial" w:hAnsi="Arial" w:cs="Arial"/>
          <w:sz w:val="24"/>
          <w:szCs w:val="24"/>
        </w:rPr>
        <w:t>58:1606-1611, Gastroenterology 2010;139:1912-1917). N-6 PUFAs, including linoleic and arachidonic acids, found in red meat and certain cooking oils and spreads, are incorporated into colonocyte cell membranes where they are a potential source of pro-inflammatory eicosonoids. These</w:t>
      </w:r>
      <w:r w:rsidR="0028703C" w:rsidRPr="004A0173">
        <w:rPr>
          <w:rFonts w:ascii="Arial" w:hAnsi="Arial" w:cs="Arial"/>
          <w:sz w:val="24"/>
          <w:szCs w:val="24"/>
        </w:rPr>
        <w:t>,</w:t>
      </w:r>
      <w:r w:rsidRPr="004A0173">
        <w:rPr>
          <w:rFonts w:ascii="Arial" w:hAnsi="Arial" w:cs="Arial"/>
          <w:sz w:val="24"/>
          <w:szCs w:val="24"/>
        </w:rPr>
        <w:t xml:space="preserve"> including prostaglandin E</w:t>
      </w:r>
      <w:r w:rsidRPr="003566E2">
        <w:rPr>
          <w:rFonts w:ascii="Arial" w:hAnsi="Arial" w:cs="Arial"/>
          <w:sz w:val="24"/>
          <w:szCs w:val="24"/>
          <w:vertAlign w:val="subscript"/>
        </w:rPr>
        <w:t>2</w:t>
      </w:r>
      <w:r w:rsidRPr="004A0173">
        <w:rPr>
          <w:rFonts w:ascii="Arial" w:hAnsi="Arial" w:cs="Arial"/>
          <w:sz w:val="24"/>
          <w:szCs w:val="24"/>
        </w:rPr>
        <w:t xml:space="preserve"> and leukotriene B</w:t>
      </w:r>
      <w:r w:rsidRPr="003566E2">
        <w:rPr>
          <w:rFonts w:ascii="Arial" w:hAnsi="Arial" w:cs="Arial"/>
          <w:sz w:val="24"/>
          <w:szCs w:val="24"/>
          <w:vertAlign w:val="subscript"/>
        </w:rPr>
        <w:t>4</w:t>
      </w:r>
      <w:r w:rsidR="0028703C" w:rsidRPr="004A0173">
        <w:rPr>
          <w:rFonts w:ascii="Arial" w:hAnsi="Arial" w:cs="Arial"/>
          <w:sz w:val="24"/>
          <w:szCs w:val="24"/>
        </w:rPr>
        <w:t>,</w:t>
      </w:r>
      <w:r w:rsidRPr="004A0173">
        <w:rPr>
          <w:rFonts w:ascii="Arial" w:hAnsi="Arial" w:cs="Arial"/>
          <w:sz w:val="24"/>
          <w:szCs w:val="24"/>
        </w:rPr>
        <w:t xml:space="preserve"> are found in increased concentrations in the mucosa of patients </w:t>
      </w:r>
      <w:r w:rsidR="0028703C" w:rsidRPr="004A0173">
        <w:rPr>
          <w:rFonts w:ascii="Arial" w:hAnsi="Arial" w:cs="Arial"/>
          <w:sz w:val="24"/>
          <w:szCs w:val="24"/>
        </w:rPr>
        <w:t>with inflammatory bowel disease. T</w:t>
      </w:r>
      <w:r w:rsidRPr="004A0173">
        <w:rPr>
          <w:rFonts w:ascii="Arial" w:hAnsi="Arial" w:cs="Arial"/>
          <w:sz w:val="24"/>
          <w:szCs w:val="24"/>
        </w:rPr>
        <w:t xml:space="preserve">heir levels correlate with the histological severity and their formation are inhibited by the 5-amino salicyclate drugs (Gastroenterology 1978;75;638-40). The published data regarding n-6 PUFAs comes from work </w:t>
      </w:r>
      <w:r w:rsidR="00B865E0">
        <w:rPr>
          <w:rFonts w:ascii="Arial" w:hAnsi="Arial" w:cs="Arial"/>
          <w:sz w:val="24"/>
          <w:szCs w:val="24"/>
        </w:rPr>
        <w:t>where</w:t>
      </w:r>
      <w:r w:rsidRPr="004A0173">
        <w:rPr>
          <w:rFonts w:ascii="Arial" w:hAnsi="Arial" w:cs="Arial"/>
          <w:sz w:val="24"/>
          <w:szCs w:val="24"/>
        </w:rPr>
        <w:t xml:space="preserve"> both biomarker (Gastroenterology 2010</w:t>
      </w:r>
      <w:proofErr w:type="gramStart"/>
      <w:r w:rsidRPr="004A0173">
        <w:rPr>
          <w:rFonts w:ascii="Arial" w:hAnsi="Arial" w:cs="Arial"/>
          <w:sz w:val="24"/>
          <w:szCs w:val="24"/>
        </w:rPr>
        <w:t>;139:1912</w:t>
      </w:r>
      <w:proofErr w:type="gramEnd"/>
      <w:r w:rsidRPr="004A0173">
        <w:rPr>
          <w:rFonts w:ascii="Arial" w:hAnsi="Arial" w:cs="Arial"/>
          <w:sz w:val="24"/>
          <w:szCs w:val="24"/>
        </w:rPr>
        <w:t>-1917) and questionnaire data (EJGH 2010;22:602-606, Gut 2009</w:t>
      </w:r>
      <w:r w:rsidR="00B41CA9">
        <w:rPr>
          <w:rFonts w:ascii="Arial" w:hAnsi="Arial" w:cs="Arial"/>
          <w:sz w:val="24"/>
          <w:szCs w:val="24"/>
        </w:rPr>
        <w:t>;</w:t>
      </w:r>
      <w:r w:rsidRPr="004A0173">
        <w:rPr>
          <w:rFonts w:ascii="Arial" w:hAnsi="Arial" w:cs="Arial"/>
          <w:sz w:val="24"/>
          <w:szCs w:val="24"/>
        </w:rPr>
        <w:t xml:space="preserve">58:1606-1611), reflecting the intake of this macronutrient prior to </w:t>
      </w:r>
      <w:r w:rsidR="003566E2">
        <w:rPr>
          <w:rFonts w:ascii="Arial" w:hAnsi="Arial" w:cs="Arial"/>
          <w:sz w:val="24"/>
          <w:szCs w:val="24"/>
        </w:rPr>
        <w:t>the development of symptoms, were</w:t>
      </w:r>
      <w:r w:rsidRPr="004A0173">
        <w:rPr>
          <w:rFonts w:ascii="Arial" w:hAnsi="Arial" w:cs="Arial"/>
          <w:sz w:val="24"/>
          <w:szCs w:val="24"/>
        </w:rPr>
        <w:t xml:space="preserve"> asses</w:t>
      </w:r>
      <w:r w:rsidR="003566E2">
        <w:rPr>
          <w:rFonts w:ascii="Arial" w:hAnsi="Arial" w:cs="Arial"/>
          <w:sz w:val="24"/>
          <w:szCs w:val="24"/>
        </w:rPr>
        <w:t xml:space="preserve">sed. </w:t>
      </w:r>
    </w:p>
    <w:p w:rsidR="001C1072" w:rsidRDefault="003566E2" w:rsidP="00BD45D7">
      <w:pPr>
        <w:jc w:val="both"/>
        <w:rPr>
          <w:rFonts w:ascii="Arial" w:hAnsi="Arial" w:cs="Arial"/>
          <w:sz w:val="24"/>
          <w:szCs w:val="24"/>
        </w:rPr>
      </w:pPr>
      <w:r>
        <w:rPr>
          <w:rFonts w:ascii="Arial" w:hAnsi="Arial" w:cs="Arial"/>
          <w:sz w:val="24"/>
          <w:szCs w:val="24"/>
        </w:rPr>
        <w:t>N-3 PUFAs, including eicosa</w:t>
      </w:r>
      <w:r w:rsidR="003C3A45" w:rsidRPr="004A0173">
        <w:rPr>
          <w:rFonts w:ascii="Arial" w:hAnsi="Arial" w:cs="Arial"/>
          <w:sz w:val="24"/>
          <w:szCs w:val="24"/>
        </w:rPr>
        <w:t xml:space="preserve">pentaenoic (EPA) and docosahexaenoic acids (DHA) which are present in fish, have many anti-inflammatory properties, which </w:t>
      </w:r>
      <w:r w:rsidR="0028703C" w:rsidRPr="004A0173">
        <w:rPr>
          <w:rFonts w:ascii="Arial" w:hAnsi="Arial" w:cs="Arial"/>
          <w:sz w:val="24"/>
          <w:szCs w:val="24"/>
        </w:rPr>
        <w:t>may</w:t>
      </w:r>
      <w:r w:rsidR="003C3A45" w:rsidRPr="004A0173">
        <w:rPr>
          <w:rFonts w:ascii="Arial" w:hAnsi="Arial" w:cs="Arial"/>
          <w:sz w:val="24"/>
          <w:szCs w:val="24"/>
        </w:rPr>
        <w:t xml:space="preserve"> explain the documented inverse associations. A cohort study from France reported that a high protein intake, particularly animal protein, trebled the risk of developing inflammatory bowel disease, an analysis in which cases of ulcerative colitis and Crohn’s disease were combined (Am J Gastroenterol 2010;105:2195-201). </w:t>
      </w:r>
    </w:p>
    <w:p w:rsidR="003C3A45" w:rsidRPr="004A0173" w:rsidRDefault="003C3A45" w:rsidP="00BD45D7">
      <w:pPr>
        <w:jc w:val="both"/>
        <w:rPr>
          <w:rFonts w:ascii="Arial" w:hAnsi="Arial" w:cs="Arial"/>
          <w:sz w:val="24"/>
          <w:szCs w:val="24"/>
        </w:rPr>
      </w:pPr>
      <w:r w:rsidRPr="004A0173">
        <w:rPr>
          <w:rFonts w:ascii="Arial" w:hAnsi="Arial" w:cs="Arial"/>
          <w:sz w:val="24"/>
          <w:szCs w:val="24"/>
        </w:rPr>
        <w:t>This nutritional work needs to be expanded to ensure that dietary protein or PUFAs are not marker</w:t>
      </w:r>
      <w:r w:rsidR="0028703C" w:rsidRPr="004A0173">
        <w:rPr>
          <w:rFonts w:ascii="Arial" w:hAnsi="Arial" w:cs="Arial"/>
          <w:sz w:val="24"/>
          <w:szCs w:val="24"/>
        </w:rPr>
        <w:t xml:space="preserve">s of </w:t>
      </w:r>
      <w:r w:rsidRPr="004A0173">
        <w:rPr>
          <w:rFonts w:ascii="Arial" w:hAnsi="Arial" w:cs="Arial"/>
          <w:sz w:val="24"/>
          <w:szCs w:val="24"/>
        </w:rPr>
        <w:t>other aetiological agent</w:t>
      </w:r>
      <w:r w:rsidR="0028703C" w:rsidRPr="004A0173">
        <w:rPr>
          <w:rFonts w:ascii="Arial" w:hAnsi="Arial" w:cs="Arial"/>
          <w:sz w:val="24"/>
          <w:szCs w:val="24"/>
        </w:rPr>
        <w:t>s</w:t>
      </w:r>
      <w:r w:rsidRPr="004A0173">
        <w:rPr>
          <w:rFonts w:ascii="Arial" w:hAnsi="Arial" w:cs="Arial"/>
          <w:sz w:val="24"/>
          <w:szCs w:val="24"/>
        </w:rPr>
        <w:t>. In Crohn’s disease, multiple case-control studies have documented that people eating high amounts of dietary sugar have a doubling of the risk of later developing incident Crohn’s disease (Scan</w:t>
      </w:r>
      <w:r w:rsidR="00B865E0">
        <w:rPr>
          <w:rFonts w:ascii="Arial" w:hAnsi="Arial" w:cs="Arial"/>
          <w:sz w:val="24"/>
          <w:szCs w:val="24"/>
        </w:rPr>
        <w:t>d</w:t>
      </w:r>
      <w:r w:rsidRPr="004A0173">
        <w:rPr>
          <w:rFonts w:ascii="Arial" w:hAnsi="Arial" w:cs="Arial"/>
          <w:sz w:val="24"/>
          <w:szCs w:val="24"/>
        </w:rPr>
        <w:t xml:space="preserve"> J Gastroenterol 1987</w:t>
      </w:r>
      <w:r w:rsidR="003678AA">
        <w:rPr>
          <w:rFonts w:ascii="Arial" w:hAnsi="Arial" w:cs="Arial"/>
          <w:sz w:val="24"/>
          <w:szCs w:val="24"/>
        </w:rPr>
        <w:t>;</w:t>
      </w:r>
      <w:r w:rsidRPr="004A0173">
        <w:rPr>
          <w:rFonts w:ascii="Arial" w:hAnsi="Arial" w:cs="Arial"/>
          <w:sz w:val="24"/>
          <w:szCs w:val="24"/>
        </w:rPr>
        <w:t xml:space="preserve">22:385-389). However, a methodological problem with such work is recall bias for pre-symptomatic sugar intake. </w:t>
      </w:r>
      <w:r w:rsidR="00C96B34" w:rsidRPr="004A0173">
        <w:rPr>
          <w:rFonts w:ascii="Arial" w:hAnsi="Arial" w:cs="Arial"/>
          <w:sz w:val="24"/>
          <w:szCs w:val="24"/>
        </w:rPr>
        <w:t>A</w:t>
      </w:r>
      <w:r w:rsidR="00F6786C" w:rsidRPr="004A0173">
        <w:rPr>
          <w:rFonts w:ascii="Arial" w:hAnsi="Arial" w:cs="Arial"/>
          <w:sz w:val="24"/>
          <w:szCs w:val="24"/>
        </w:rPr>
        <w:t>s</w:t>
      </w:r>
      <w:r w:rsidRPr="004A0173">
        <w:rPr>
          <w:rFonts w:ascii="Arial" w:hAnsi="Arial" w:cs="Arial"/>
          <w:sz w:val="24"/>
          <w:szCs w:val="24"/>
        </w:rPr>
        <w:t xml:space="preserve"> the time since diagnosis</w:t>
      </w:r>
      <w:r w:rsidR="00F6786C" w:rsidRPr="004A0173">
        <w:rPr>
          <w:rFonts w:ascii="Arial" w:hAnsi="Arial" w:cs="Arial"/>
          <w:sz w:val="24"/>
          <w:szCs w:val="24"/>
        </w:rPr>
        <w:t xml:space="preserve"> increases</w:t>
      </w:r>
      <w:r w:rsidRPr="004A0173">
        <w:rPr>
          <w:rFonts w:ascii="Arial" w:hAnsi="Arial" w:cs="Arial"/>
          <w:sz w:val="24"/>
          <w:szCs w:val="24"/>
        </w:rPr>
        <w:t xml:space="preserve">, </w:t>
      </w:r>
      <w:r w:rsidR="00F6786C" w:rsidRPr="004A0173">
        <w:rPr>
          <w:rFonts w:ascii="Arial" w:hAnsi="Arial" w:cs="Arial"/>
          <w:sz w:val="24"/>
          <w:szCs w:val="24"/>
        </w:rPr>
        <w:t>it becomes</w:t>
      </w:r>
      <w:r w:rsidRPr="004A0173">
        <w:rPr>
          <w:rFonts w:ascii="Arial" w:hAnsi="Arial" w:cs="Arial"/>
          <w:sz w:val="24"/>
          <w:szCs w:val="24"/>
        </w:rPr>
        <w:t xml:space="preserve"> more likely </w:t>
      </w:r>
      <w:r w:rsidR="00F6786C" w:rsidRPr="004A0173">
        <w:rPr>
          <w:rFonts w:ascii="Arial" w:hAnsi="Arial" w:cs="Arial"/>
          <w:sz w:val="24"/>
          <w:szCs w:val="24"/>
        </w:rPr>
        <w:t>that</w:t>
      </w:r>
      <w:r w:rsidRPr="004A0173">
        <w:rPr>
          <w:rFonts w:ascii="Arial" w:hAnsi="Arial" w:cs="Arial"/>
          <w:sz w:val="24"/>
          <w:szCs w:val="24"/>
        </w:rPr>
        <w:t xml:space="preserve"> patients </w:t>
      </w:r>
      <w:r w:rsidR="00F6786C" w:rsidRPr="004A0173">
        <w:rPr>
          <w:rFonts w:ascii="Arial" w:hAnsi="Arial" w:cs="Arial"/>
          <w:sz w:val="24"/>
          <w:szCs w:val="24"/>
        </w:rPr>
        <w:t xml:space="preserve">will </w:t>
      </w:r>
      <w:r w:rsidR="00B865E0">
        <w:rPr>
          <w:rFonts w:ascii="Arial" w:hAnsi="Arial" w:cs="Arial"/>
          <w:sz w:val="24"/>
          <w:szCs w:val="24"/>
        </w:rPr>
        <w:t xml:space="preserve">not </w:t>
      </w:r>
      <w:r w:rsidRPr="004A0173">
        <w:rPr>
          <w:rFonts w:ascii="Arial" w:hAnsi="Arial" w:cs="Arial"/>
          <w:sz w:val="24"/>
          <w:szCs w:val="24"/>
        </w:rPr>
        <w:t xml:space="preserve">remember their pre-symptomatic intake and </w:t>
      </w:r>
      <w:r w:rsidR="00F6786C" w:rsidRPr="004A0173">
        <w:rPr>
          <w:rFonts w:ascii="Arial" w:hAnsi="Arial" w:cs="Arial"/>
          <w:sz w:val="24"/>
          <w:szCs w:val="24"/>
        </w:rPr>
        <w:t>instead</w:t>
      </w:r>
      <w:r w:rsidRPr="004A0173">
        <w:rPr>
          <w:rFonts w:ascii="Arial" w:hAnsi="Arial" w:cs="Arial"/>
          <w:sz w:val="24"/>
          <w:szCs w:val="24"/>
        </w:rPr>
        <w:t xml:space="preserve"> report their cur</w:t>
      </w:r>
      <w:r w:rsidR="00F6786C" w:rsidRPr="004A0173">
        <w:rPr>
          <w:rFonts w:ascii="Arial" w:hAnsi="Arial" w:cs="Arial"/>
          <w:sz w:val="24"/>
          <w:szCs w:val="24"/>
        </w:rPr>
        <w:t>rent symptomatic dietary intake.</w:t>
      </w:r>
      <w:r w:rsidRPr="004A0173">
        <w:rPr>
          <w:rFonts w:ascii="Arial" w:hAnsi="Arial" w:cs="Arial"/>
          <w:sz w:val="24"/>
          <w:szCs w:val="24"/>
        </w:rPr>
        <w:t xml:space="preserve"> </w:t>
      </w:r>
      <w:r w:rsidR="00F6786C" w:rsidRPr="004A0173">
        <w:rPr>
          <w:rFonts w:ascii="Arial" w:hAnsi="Arial" w:cs="Arial"/>
          <w:sz w:val="24"/>
          <w:szCs w:val="24"/>
        </w:rPr>
        <w:t>For example,</w:t>
      </w:r>
      <w:r w:rsidR="00452A5C" w:rsidRPr="004A0173">
        <w:rPr>
          <w:rFonts w:ascii="Arial" w:hAnsi="Arial" w:cs="Arial"/>
          <w:sz w:val="24"/>
          <w:szCs w:val="24"/>
        </w:rPr>
        <w:t xml:space="preserve"> </w:t>
      </w:r>
      <w:r w:rsidRPr="004A0173">
        <w:rPr>
          <w:rFonts w:ascii="Arial" w:hAnsi="Arial" w:cs="Arial"/>
          <w:sz w:val="24"/>
          <w:szCs w:val="24"/>
        </w:rPr>
        <w:t xml:space="preserve">patients with severe Crohn’s disease </w:t>
      </w:r>
      <w:r w:rsidR="00452A5C" w:rsidRPr="004A0173">
        <w:rPr>
          <w:rFonts w:ascii="Arial" w:hAnsi="Arial" w:cs="Arial"/>
          <w:sz w:val="24"/>
          <w:szCs w:val="24"/>
        </w:rPr>
        <w:t>may have a high</w:t>
      </w:r>
      <w:r w:rsidRPr="004A0173">
        <w:rPr>
          <w:rFonts w:ascii="Arial" w:hAnsi="Arial" w:cs="Arial"/>
          <w:sz w:val="24"/>
          <w:szCs w:val="24"/>
        </w:rPr>
        <w:t xml:space="preserve"> sugar intake as sugar in liquid form is more easily digested and absorbed than complex nutrients. Pre-symptomatic and post-symptomatic diet may therefore be different. The epidemiological data on diet is at an early stage, although future research into IBD aetiology may profit from considering interactions between the gut microbiology and any confirmed dietary factors.</w:t>
      </w:r>
    </w:p>
    <w:p w:rsidR="003C3A45" w:rsidRPr="00BB3156" w:rsidRDefault="00C35E64" w:rsidP="00BD45D7">
      <w:pPr>
        <w:jc w:val="both"/>
        <w:rPr>
          <w:rFonts w:ascii="Arial" w:hAnsi="Arial" w:cs="Arial"/>
          <w:sz w:val="24"/>
          <w:szCs w:val="24"/>
        </w:rPr>
      </w:pPr>
      <w:r w:rsidRPr="00BB3156">
        <w:rPr>
          <w:rFonts w:ascii="Arial" w:hAnsi="Arial" w:cs="Arial"/>
          <w:sz w:val="24"/>
          <w:szCs w:val="24"/>
        </w:rPr>
        <w:t>In summary</w:t>
      </w:r>
      <w:r w:rsidR="00B865E0">
        <w:rPr>
          <w:rFonts w:ascii="Arial" w:hAnsi="Arial" w:cs="Arial"/>
          <w:sz w:val="24"/>
          <w:szCs w:val="24"/>
        </w:rPr>
        <w:t>,</w:t>
      </w:r>
      <w:r w:rsidRPr="00BB3156">
        <w:rPr>
          <w:rFonts w:ascii="Arial" w:hAnsi="Arial" w:cs="Arial"/>
          <w:sz w:val="24"/>
          <w:szCs w:val="24"/>
        </w:rPr>
        <w:t xml:space="preserve"> this is an important paper providing powerful evidence that antibiotic usage, particularly </w:t>
      </w:r>
      <w:r w:rsidR="00B865E0" w:rsidRPr="00BB3156">
        <w:rPr>
          <w:rFonts w:ascii="Arial" w:hAnsi="Arial" w:cs="Arial"/>
          <w:sz w:val="24"/>
          <w:szCs w:val="24"/>
        </w:rPr>
        <w:t>penicillin</w:t>
      </w:r>
      <w:r w:rsidR="00B865E0">
        <w:rPr>
          <w:rFonts w:ascii="Arial" w:hAnsi="Arial" w:cs="Arial"/>
          <w:sz w:val="24"/>
          <w:szCs w:val="24"/>
        </w:rPr>
        <w:t>s</w:t>
      </w:r>
      <w:r w:rsidRPr="00BB3156">
        <w:rPr>
          <w:rFonts w:ascii="Arial" w:hAnsi="Arial" w:cs="Arial"/>
          <w:sz w:val="24"/>
          <w:szCs w:val="24"/>
        </w:rPr>
        <w:t xml:space="preserve">, in early childhood is associated with the onset of Crohn’s disease but not </w:t>
      </w:r>
      <w:r w:rsidR="003678AA">
        <w:rPr>
          <w:rFonts w:ascii="Arial" w:hAnsi="Arial" w:cs="Arial"/>
          <w:sz w:val="24"/>
          <w:szCs w:val="24"/>
        </w:rPr>
        <w:t>u</w:t>
      </w:r>
      <w:r w:rsidRPr="00BB3156">
        <w:rPr>
          <w:rFonts w:ascii="Arial" w:hAnsi="Arial" w:cs="Arial"/>
          <w:sz w:val="24"/>
          <w:szCs w:val="24"/>
        </w:rPr>
        <w:t xml:space="preserve">lcerative colitis. It is not possible to demonstrate causality or biological mechanisms from observational studies such as this </w:t>
      </w:r>
      <w:r w:rsidR="006546CD" w:rsidRPr="00BB3156">
        <w:rPr>
          <w:rFonts w:ascii="Arial" w:hAnsi="Arial" w:cs="Arial"/>
          <w:sz w:val="24"/>
          <w:szCs w:val="24"/>
        </w:rPr>
        <w:t>one;</w:t>
      </w:r>
      <w:r w:rsidRPr="00BB3156">
        <w:rPr>
          <w:rFonts w:ascii="Arial" w:hAnsi="Arial" w:cs="Arial"/>
          <w:sz w:val="24"/>
          <w:szCs w:val="24"/>
        </w:rPr>
        <w:t xml:space="preserve"> nonetheless it supports the hypothesis that alteration of gut flora by antibiotics in early childhood when the immune </w:t>
      </w:r>
      <w:r w:rsidR="00500393" w:rsidRPr="00BB3156">
        <w:rPr>
          <w:rFonts w:ascii="Arial" w:hAnsi="Arial" w:cs="Arial"/>
          <w:sz w:val="24"/>
          <w:szCs w:val="24"/>
        </w:rPr>
        <w:t>responses</w:t>
      </w:r>
      <w:r w:rsidRPr="00BB3156">
        <w:rPr>
          <w:rFonts w:ascii="Arial" w:hAnsi="Arial" w:cs="Arial"/>
          <w:sz w:val="24"/>
          <w:szCs w:val="24"/>
        </w:rPr>
        <w:t xml:space="preserve"> are becoming established</w:t>
      </w:r>
      <w:r w:rsidR="00500393" w:rsidRPr="00BB3156">
        <w:rPr>
          <w:rFonts w:ascii="Arial" w:hAnsi="Arial" w:cs="Arial"/>
          <w:sz w:val="24"/>
          <w:szCs w:val="24"/>
        </w:rPr>
        <w:t xml:space="preserve"> </w:t>
      </w:r>
      <w:r w:rsidR="003678AA">
        <w:rPr>
          <w:rFonts w:ascii="Arial" w:hAnsi="Arial" w:cs="Arial"/>
          <w:sz w:val="24"/>
          <w:szCs w:val="24"/>
        </w:rPr>
        <w:t xml:space="preserve">may </w:t>
      </w:r>
      <w:r w:rsidR="00B865E0">
        <w:rPr>
          <w:rFonts w:ascii="Arial" w:hAnsi="Arial" w:cs="Arial"/>
          <w:sz w:val="24"/>
          <w:szCs w:val="24"/>
        </w:rPr>
        <w:t xml:space="preserve">trigger </w:t>
      </w:r>
      <w:proofErr w:type="spellStart"/>
      <w:r w:rsidR="00B865E0">
        <w:rPr>
          <w:rFonts w:ascii="Arial" w:hAnsi="Arial" w:cs="Arial"/>
          <w:sz w:val="24"/>
          <w:szCs w:val="24"/>
        </w:rPr>
        <w:t>C</w:t>
      </w:r>
      <w:r w:rsidR="00500393" w:rsidRPr="00BB3156">
        <w:rPr>
          <w:rFonts w:ascii="Arial" w:hAnsi="Arial" w:cs="Arial"/>
          <w:sz w:val="24"/>
          <w:szCs w:val="24"/>
        </w:rPr>
        <w:t>rohn’s</w:t>
      </w:r>
      <w:proofErr w:type="spellEnd"/>
      <w:r w:rsidR="00500393" w:rsidRPr="00BB3156">
        <w:rPr>
          <w:rFonts w:ascii="Arial" w:hAnsi="Arial" w:cs="Arial"/>
          <w:sz w:val="24"/>
          <w:szCs w:val="24"/>
        </w:rPr>
        <w:t xml:space="preserve"> disease. It also neatly explains the remarkable increase in the incidence of childhood Crohn’s disease in recent years. For example, in Denmark the incidence of paediatric IBD has increased 15 fold in the last 30 years (Eur J Gastroenterol Hepatol 2009;21:1291-01). </w:t>
      </w:r>
      <w:r w:rsidR="00BB3156" w:rsidRPr="00BB3156">
        <w:rPr>
          <w:rFonts w:ascii="Arial" w:hAnsi="Arial" w:cs="Arial"/>
          <w:sz w:val="24"/>
          <w:szCs w:val="24"/>
        </w:rPr>
        <w:t>Unlike many other environmental factors, a</w:t>
      </w:r>
      <w:r w:rsidR="00500393" w:rsidRPr="00BB3156">
        <w:rPr>
          <w:rFonts w:ascii="Arial" w:hAnsi="Arial" w:cs="Arial"/>
          <w:sz w:val="24"/>
          <w:szCs w:val="24"/>
        </w:rPr>
        <w:t xml:space="preserve">ntibiotic usage can very rapidly </w:t>
      </w:r>
      <w:r w:rsidR="00BB3156" w:rsidRPr="00BB3156">
        <w:rPr>
          <w:rFonts w:ascii="Arial" w:hAnsi="Arial" w:cs="Arial"/>
          <w:sz w:val="24"/>
          <w:szCs w:val="24"/>
        </w:rPr>
        <w:t>change the spectrum of bacteria</w:t>
      </w:r>
      <w:r w:rsidR="00210FD5">
        <w:rPr>
          <w:rFonts w:ascii="Arial" w:hAnsi="Arial" w:cs="Arial"/>
          <w:sz w:val="24"/>
          <w:szCs w:val="24"/>
        </w:rPr>
        <w:t>l species</w:t>
      </w:r>
      <w:r w:rsidR="00500393" w:rsidRPr="00BB3156">
        <w:rPr>
          <w:rFonts w:ascii="Arial" w:hAnsi="Arial" w:cs="Arial"/>
          <w:sz w:val="24"/>
          <w:szCs w:val="24"/>
        </w:rPr>
        <w:t xml:space="preserve"> in the GI tract and so explain sudden changes in incidence</w:t>
      </w:r>
      <w:r w:rsidR="00BB3156" w:rsidRPr="00BB3156">
        <w:rPr>
          <w:rFonts w:ascii="Arial" w:hAnsi="Arial" w:cs="Arial"/>
          <w:sz w:val="24"/>
          <w:szCs w:val="24"/>
        </w:rPr>
        <w:t xml:space="preserve"> of disease.</w:t>
      </w:r>
    </w:p>
    <w:p w:rsidR="00B70B1F" w:rsidRPr="00C84485" w:rsidRDefault="00B70B1F" w:rsidP="00EF5324">
      <w:pPr>
        <w:spacing w:after="0"/>
        <w:jc w:val="both"/>
        <w:rPr>
          <w:rFonts w:ascii="Arial" w:hAnsi="Arial" w:cs="Arial"/>
          <w:sz w:val="24"/>
          <w:szCs w:val="24"/>
        </w:rPr>
      </w:pPr>
    </w:p>
    <w:sectPr w:rsidR="00B70B1F" w:rsidRPr="00C84485" w:rsidSect="00684238">
      <w:headerReference w:type="default" r:id="rId8"/>
      <w:pgSz w:w="11906" w:h="16838" w:code="9"/>
      <w:pgMar w:top="1440" w:right="1440" w:bottom="1440" w:left="1440" w:header="709" w:footer="709" w:gutter="0"/>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3C94" w:rsidRDefault="00333C94" w:rsidP="00684238">
      <w:pPr>
        <w:spacing w:after="0" w:line="240" w:lineRule="auto"/>
      </w:pPr>
      <w:r>
        <w:separator/>
      </w:r>
    </w:p>
  </w:endnote>
  <w:endnote w:type="continuationSeparator" w:id="0">
    <w:p w:rsidR="00333C94" w:rsidRDefault="00333C94" w:rsidP="006842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3C94" w:rsidRDefault="00333C94" w:rsidP="00684238">
      <w:pPr>
        <w:spacing w:after="0" w:line="240" w:lineRule="auto"/>
      </w:pPr>
      <w:r>
        <w:separator/>
      </w:r>
    </w:p>
  </w:footnote>
  <w:footnote w:type="continuationSeparator" w:id="0">
    <w:p w:rsidR="00333C94" w:rsidRDefault="00333C94" w:rsidP="00684238">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5053189"/>
      <w:docPartObj>
        <w:docPartGallery w:val="Page Numbers (Top of Page)"/>
        <w:docPartUnique/>
      </w:docPartObj>
    </w:sdtPr>
    <w:sdtContent>
      <w:p w:rsidR="00333C94" w:rsidRDefault="00333C94">
        <w:pPr>
          <w:pStyle w:val="Header"/>
          <w:jc w:val="right"/>
        </w:pPr>
        <w:r>
          <w:t xml:space="preserve">Page </w:t>
        </w:r>
        <w:r>
          <w:rPr>
            <w:b/>
            <w:sz w:val="24"/>
            <w:szCs w:val="24"/>
          </w:rPr>
          <w:fldChar w:fldCharType="begin"/>
        </w:r>
        <w:r>
          <w:rPr>
            <w:b/>
          </w:rPr>
          <w:instrText xml:space="preserve"> PAGE </w:instrText>
        </w:r>
        <w:r>
          <w:rPr>
            <w:b/>
            <w:sz w:val="24"/>
            <w:szCs w:val="24"/>
          </w:rPr>
          <w:fldChar w:fldCharType="separate"/>
        </w:r>
        <w:r w:rsidR="00DF3CD9">
          <w:rPr>
            <w:b/>
            <w:noProof/>
          </w:rPr>
          <w:t>2</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DF3CD9">
          <w:rPr>
            <w:b/>
            <w:noProof/>
          </w:rPr>
          <w:t>5</w:t>
        </w:r>
        <w:r>
          <w:rPr>
            <w:b/>
            <w:sz w:val="24"/>
            <w:szCs w:val="24"/>
          </w:rPr>
          <w:fldChar w:fldCharType="end"/>
        </w:r>
      </w:p>
    </w:sdtContent>
  </w:sdt>
  <w:p w:rsidR="00333C94" w:rsidRDefault="00333C94">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59F5453B"/>
    <w:multiLevelType w:val="hybridMultilevel"/>
    <w:tmpl w:val="7A1E6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oNotTrackMoves/>
  <w:defaultTabStop w:val="720"/>
  <w:hyphenationZone w:val="425"/>
  <w:characterSpacingControl w:val="doNotCompress"/>
  <w:footnotePr>
    <w:footnote w:id="-1"/>
    <w:footnote w:id="0"/>
  </w:footnotePr>
  <w:endnotePr>
    <w:endnote w:id="-1"/>
    <w:endnote w:id="0"/>
  </w:endnotePr>
  <w:compat>
    <w:useFELayout/>
  </w:compat>
  <w:rsids>
    <w:rsidRoot w:val="003F6AB2"/>
    <w:rsid w:val="000074D0"/>
    <w:rsid w:val="00010D61"/>
    <w:rsid w:val="00014E67"/>
    <w:rsid w:val="00022384"/>
    <w:rsid w:val="000251E1"/>
    <w:rsid w:val="000259A7"/>
    <w:rsid w:val="00034FBF"/>
    <w:rsid w:val="00044339"/>
    <w:rsid w:val="0004799C"/>
    <w:rsid w:val="0005660F"/>
    <w:rsid w:val="00061F90"/>
    <w:rsid w:val="00062FD3"/>
    <w:rsid w:val="00064491"/>
    <w:rsid w:val="00067D49"/>
    <w:rsid w:val="000804B0"/>
    <w:rsid w:val="00087521"/>
    <w:rsid w:val="000A02B5"/>
    <w:rsid w:val="000B0F2C"/>
    <w:rsid w:val="000B1775"/>
    <w:rsid w:val="000C1677"/>
    <w:rsid w:val="000D2487"/>
    <w:rsid w:val="000E629E"/>
    <w:rsid w:val="000F59DA"/>
    <w:rsid w:val="001022CD"/>
    <w:rsid w:val="00105404"/>
    <w:rsid w:val="00114FFF"/>
    <w:rsid w:val="00115211"/>
    <w:rsid w:val="0011795E"/>
    <w:rsid w:val="001219E5"/>
    <w:rsid w:val="00121C1A"/>
    <w:rsid w:val="00126CDA"/>
    <w:rsid w:val="00133545"/>
    <w:rsid w:val="00141F7D"/>
    <w:rsid w:val="00142BD9"/>
    <w:rsid w:val="001473E8"/>
    <w:rsid w:val="00165055"/>
    <w:rsid w:val="0017295D"/>
    <w:rsid w:val="00183BD6"/>
    <w:rsid w:val="00185A51"/>
    <w:rsid w:val="00190DE1"/>
    <w:rsid w:val="00196EF9"/>
    <w:rsid w:val="001B0630"/>
    <w:rsid w:val="001C1072"/>
    <w:rsid w:val="001C32F6"/>
    <w:rsid w:val="001C343A"/>
    <w:rsid w:val="001D419E"/>
    <w:rsid w:val="001F4EB5"/>
    <w:rsid w:val="00210FD5"/>
    <w:rsid w:val="00211036"/>
    <w:rsid w:val="00215428"/>
    <w:rsid w:val="00217E29"/>
    <w:rsid w:val="00220C0F"/>
    <w:rsid w:val="00222C8E"/>
    <w:rsid w:val="00233913"/>
    <w:rsid w:val="00236805"/>
    <w:rsid w:val="002414EA"/>
    <w:rsid w:val="002422FD"/>
    <w:rsid w:val="00243A0B"/>
    <w:rsid w:val="00245A49"/>
    <w:rsid w:val="0024697D"/>
    <w:rsid w:val="0024790C"/>
    <w:rsid w:val="002527C8"/>
    <w:rsid w:val="002667B1"/>
    <w:rsid w:val="00274949"/>
    <w:rsid w:val="002809B4"/>
    <w:rsid w:val="0028269A"/>
    <w:rsid w:val="0028703C"/>
    <w:rsid w:val="002A4257"/>
    <w:rsid w:val="002C0085"/>
    <w:rsid w:val="002C44C6"/>
    <w:rsid w:val="002D100A"/>
    <w:rsid w:val="002D112C"/>
    <w:rsid w:val="002D45F1"/>
    <w:rsid w:val="002D52C9"/>
    <w:rsid w:val="002E6267"/>
    <w:rsid w:val="003027B0"/>
    <w:rsid w:val="00310050"/>
    <w:rsid w:val="003116CF"/>
    <w:rsid w:val="00326B6B"/>
    <w:rsid w:val="00333C94"/>
    <w:rsid w:val="00343AD2"/>
    <w:rsid w:val="00344417"/>
    <w:rsid w:val="003472FA"/>
    <w:rsid w:val="0035585D"/>
    <w:rsid w:val="003566E2"/>
    <w:rsid w:val="00362C76"/>
    <w:rsid w:val="003678AA"/>
    <w:rsid w:val="0037221D"/>
    <w:rsid w:val="00386A7C"/>
    <w:rsid w:val="00394EFC"/>
    <w:rsid w:val="003A1EC3"/>
    <w:rsid w:val="003A68D5"/>
    <w:rsid w:val="003B19DE"/>
    <w:rsid w:val="003B42C8"/>
    <w:rsid w:val="003B6EED"/>
    <w:rsid w:val="003C3A45"/>
    <w:rsid w:val="003D7F02"/>
    <w:rsid w:val="003E5FAB"/>
    <w:rsid w:val="003F0C33"/>
    <w:rsid w:val="003F6AB2"/>
    <w:rsid w:val="004019FD"/>
    <w:rsid w:val="004043B9"/>
    <w:rsid w:val="004103E8"/>
    <w:rsid w:val="00410B79"/>
    <w:rsid w:val="00421F35"/>
    <w:rsid w:val="00422122"/>
    <w:rsid w:val="00424E03"/>
    <w:rsid w:val="00424F93"/>
    <w:rsid w:val="004268BA"/>
    <w:rsid w:val="004273AC"/>
    <w:rsid w:val="00427DDB"/>
    <w:rsid w:val="00436130"/>
    <w:rsid w:val="00440384"/>
    <w:rsid w:val="004442F1"/>
    <w:rsid w:val="0044710E"/>
    <w:rsid w:val="00452A5C"/>
    <w:rsid w:val="00455273"/>
    <w:rsid w:val="004669D5"/>
    <w:rsid w:val="00483295"/>
    <w:rsid w:val="0049378D"/>
    <w:rsid w:val="004969E5"/>
    <w:rsid w:val="004A0173"/>
    <w:rsid w:val="004A0A00"/>
    <w:rsid w:val="004A1D2E"/>
    <w:rsid w:val="004A2940"/>
    <w:rsid w:val="004A3ABA"/>
    <w:rsid w:val="004B0A64"/>
    <w:rsid w:val="004D5432"/>
    <w:rsid w:val="004D596C"/>
    <w:rsid w:val="004E20B3"/>
    <w:rsid w:val="004F458C"/>
    <w:rsid w:val="004F5E62"/>
    <w:rsid w:val="00500393"/>
    <w:rsid w:val="00501640"/>
    <w:rsid w:val="00501F56"/>
    <w:rsid w:val="005343C4"/>
    <w:rsid w:val="0055532C"/>
    <w:rsid w:val="00560996"/>
    <w:rsid w:val="00561382"/>
    <w:rsid w:val="00562100"/>
    <w:rsid w:val="005657E1"/>
    <w:rsid w:val="00567042"/>
    <w:rsid w:val="005706FD"/>
    <w:rsid w:val="00577855"/>
    <w:rsid w:val="00580ABD"/>
    <w:rsid w:val="00583AA9"/>
    <w:rsid w:val="0058536E"/>
    <w:rsid w:val="00585F37"/>
    <w:rsid w:val="00593469"/>
    <w:rsid w:val="00593931"/>
    <w:rsid w:val="00594741"/>
    <w:rsid w:val="00596506"/>
    <w:rsid w:val="005A1F35"/>
    <w:rsid w:val="005A4267"/>
    <w:rsid w:val="005A44FE"/>
    <w:rsid w:val="005B6EA0"/>
    <w:rsid w:val="005C3CD6"/>
    <w:rsid w:val="005D3583"/>
    <w:rsid w:val="005F189B"/>
    <w:rsid w:val="005F485B"/>
    <w:rsid w:val="005F4B4D"/>
    <w:rsid w:val="00600713"/>
    <w:rsid w:val="00600FFF"/>
    <w:rsid w:val="006063AE"/>
    <w:rsid w:val="00612B48"/>
    <w:rsid w:val="00615034"/>
    <w:rsid w:val="006275DD"/>
    <w:rsid w:val="006370B8"/>
    <w:rsid w:val="0063717C"/>
    <w:rsid w:val="00645776"/>
    <w:rsid w:val="00645BE3"/>
    <w:rsid w:val="00647D91"/>
    <w:rsid w:val="00650F4F"/>
    <w:rsid w:val="006546CD"/>
    <w:rsid w:val="00654DD6"/>
    <w:rsid w:val="006646F0"/>
    <w:rsid w:val="00666FC7"/>
    <w:rsid w:val="00671B3F"/>
    <w:rsid w:val="00671E47"/>
    <w:rsid w:val="00673DE4"/>
    <w:rsid w:val="00675069"/>
    <w:rsid w:val="00675506"/>
    <w:rsid w:val="00684238"/>
    <w:rsid w:val="006924BA"/>
    <w:rsid w:val="006A1283"/>
    <w:rsid w:val="006A4393"/>
    <w:rsid w:val="006A47FE"/>
    <w:rsid w:val="006A56B4"/>
    <w:rsid w:val="006B3542"/>
    <w:rsid w:val="006C309D"/>
    <w:rsid w:val="006D2CB2"/>
    <w:rsid w:val="006E251E"/>
    <w:rsid w:val="006F73C3"/>
    <w:rsid w:val="007001AA"/>
    <w:rsid w:val="0070300B"/>
    <w:rsid w:val="00707522"/>
    <w:rsid w:val="00710900"/>
    <w:rsid w:val="00710AF9"/>
    <w:rsid w:val="00713C32"/>
    <w:rsid w:val="00713E85"/>
    <w:rsid w:val="00716E62"/>
    <w:rsid w:val="0072245F"/>
    <w:rsid w:val="00723D1A"/>
    <w:rsid w:val="00733569"/>
    <w:rsid w:val="0074018A"/>
    <w:rsid w:val="0074723D"/>
    <w:rsid w:val="00751A4C"/>
    <w:rsid w:val="007621DA"/>
    <w:rsid w:val="00762D1F"/>
    <w:rsid w:val="007723B8"/>
    <w:rsid w:val="007734C0"/>
    <w:rsid w:val="0077575F"/>
    <w:rsid w:val="007C72FE"/>
    <w:rsid w:val="007D2858"/>
    <w:rsid w:val="007D2E30"/>
    <w:rsid w:val="007D6352"/>
    <w:rsid w:val="007E7771"/>
    <w:rsid w:val="007F18E2"/>
    <w:rsid w:val="007F59D6"/>
    <w:rsid w:val="0081213C"/>
    <w:rsid w:val="00823414"/>
    <w:rsid w:val="00832BF7"/>
    <w:rsid w:val="0083794B"/>
    <w:rsid w:val="00862C73"/>
    <w:rsid w:val="00863CF6"/>
    <w:rsid w:val="00865786"/>
    <w:rsid w:val="00867188"/>
    <w:rsid w:val="008723AB"/>
    <w:rsid w:val="00877480"/>
    <w:rsid w:val="00887E66"/>
    <w:rsid w:val="008A560B"/>
    <w:rsid w:val="008C514F"/>
    <w:rsid w:val="008D07A7"/>
    <w:rsid w:val="008D24A4"/>
    <w:rsid w:val="008E284F"/>
    <w:rsid w:val="008F2809"/>
    <w:rsid w:val="00915C59"/>
    <w:rsid w:val="0091711A"/>
    <w:rsid w:val="00934DB9"/>
    <w:rsid w:val="00961755"/>
    <w:rsid w:val="009636CF"/>
    <w:rsid w:val="0097341B"/>
    <w:rsid w:val="00983A2C"/>
    <w:rsid w:val="00990922"/>
    <w:rsid w:val="00994ACC"/>
    <w:rsid w:val="009A142C"/>
    <w:rsid w:val="009A3E03"/>
    <w:rsid w:val="009B19C2"/>
    <w:rsid w:val="009C72C4"/>
    <w:rsid w:val="009D0E9F"/>
    <w:rsid w:val="009D5AEB"/>
    <w:rsid w:val="009D68C4"/>
    <w:rsid w:val="009F34DA"/>
    <w:rsid w:val="009F75E9"/>
    <w:rsid w:val="00A04AC0"/>
    <w:rsid w:val="00A207B0"/>
    <w:rsid w:val="00A2530E"/>
    <w:rsid w:val="00A418CD"/>
    <w:rsid w:val="00A47C28"/>
    <w:rsid w:val="00A55440"/>
    <w:rsid w:val="00A61AC0"/>
    <w:rsid w:val="00A675C8"/>
    <w:rsid w:val="00A909D6"/>
    <w:rsid w:val="00A91C2D"/>
    <w:rsid w:val="00AA51AF"/>
    <w:rsid w:val="00AD3F41"/>
    <w:rsid w:val="00AD4FC9"/>
    <w:rsid w:val="00AD5D37"/>
    <w:rsid w:val="00B32044"/>
    <w:rsid w:val="00B41CA9"/>
    <w:rsid w:val="00B42AEC"/>
    <w:rsid w:val="00B52D66"/>
    <w:rsid w:val="00B600B3"/>
    <w:rsid w:val="00B63691"/>
    <w:rsid w:val="00B6674F"/>
    <w:rsid w:val="00B70A54"/>
    <w:rsid w:val="00B70B1F"/>
    <w:rsid w:val="00B71F5E"/>
    <w:rsid w:val="00B7661A"/>
    <w:rsid w:val="00B80500"/>
    <w:rsid w:val="00B80773"/>
    <w:rsid w:val="00B81C56"/>
    <w:rsid w:val="00B8204D"/>
    <w:rsid w:val="00B85C82"/>
    <w:rsid w:val="00B865E0"/>
    <w:rsid w:val="00B866B3"/>
    <w:rsid w:val="00B869B8"/>
    <w:rsid w:val="00B93500"/>
    <w:rsid w:val="00B951E9"/>
    <w:rsid w:val="00BB3156"/>
    <w:rsid w:val="00BB5D4F"/>
    <w:rsid w:val="00BD4497"/>
    <w:rsid w:val="00BD45D7"/>
    <w:rsid w:val="00BD5807"/>
    <w:rsid w:val="00BE51A3"/>
    <w:rsid w:val="00BE5964"/>
    <w:rsid w:val="00C04541"/>
    <w:rsid w:val="00C07F36"/>
    <w:rsid w:val="00C118BD"/>
    <w:rsid w:val="00C17A86"/>
    <w:rsid w:val="00C17D8E"/>
    <w:rsid w:val="00C356D0"/>
    <w:rsid w:val="00C35E64"/>
    <w:rsid w:val="00C55F17"/>
    <w:rsid w:val="00C60D90"/>
    <w:rsid w:val="00C62030"/>
    <w:rsid w:val="00C71540"/>
    <w:rsid w:val="00C84485"/>
    <w:rsid w:val="00C847DD"/>
    <w:rsid w:val="00C92520"/>
    <w:rsid w:val="00C96855"/>
    <w:rsid w:val="00C96B34"/>
    <w:rsid w:val="00CB23A0"/>
    <w:rsid w:val="00CB4448"/>
    <w:rsid w:val="00CD777F"/>
    <w:rsid w:val="00CD7CFB"/>
    <w:rsid w:val="00CE0262"/>
    <w:rsid w:val="00CE250A"/>
    <w:rsid w:val="00CE5225"/>
    <w:rsid w:val="00CE5B7C"/>
    <w:rsid w:val="00CE68CA"/>
    <w:rsid w:val="00CE774A"/>
    <w:rsid w:val="00CE7878"/>
    <w:rsid w:val="00CF7BDF"/>
    <w:rsid w:val="00CF7BFC"/>
    <w:rsid w:val="00D07844"/>
    <w:rsid w:val="00D13863"/>
    <w:rsid w:val="00D177E5"/>
    <w:rsid w:val="00D1780F"/>
    <w:rsid w:val="00D45D73"/>
    <w:rsid w:val="00D521B9"/>
    <w:rsid w:val="00D52A2D"/>
    <w:rsid w:val="00D67DF4"/>
    <w:rsid w:val="00D7031B"/>
    <w:rsid w:val="00D7075C"/>
    <w:rsid w:val="00D766F0"/>
    <w:rsid w:val="00D83E11"/>
    <w:rsid w:val="00D85D54"/>
    <w:rsid w:val="00D90444"/>
    <w:rsid w:val="00D97E64"/>
    <w:rsid w:val="00DB10FF"/>
    <w:rsid w:val="00DB62A6"/>
    <w:rsid w:val="00DC29D6"/>
    <w:rsid w:val="00DC4D45"/>
    <w:rsid w:val="00DD127D"/>
    <w:rsid w:val="00DD1C38"/>
    <w:rsid w:val="00DE6D28"/>
    <w:rsid w:val="00DE7FEE"/>
    <w:rsid w:val="00DF3CD9"/>
    <w:rsid w:val="00DF6569"/>
    <w:rsid w:val="00E00833"/>
    <w:rsid w:val="00E05C38"/>
    <w:rsid w:val="00E36C18"/>
    <w:rsid w:val="00E37A72"/>
    <w:rsid w:val="00E44E42"/>
    <w:rsid w:val="00E5150A"/>
    <w:rsid w:val="00E5514B"/>
    <w:rsid w:val="00E61E33"/>
    <w:rsid w:val="00E73B47"/>
    <w:rsid w:val="00E75296"/>
    <w:rsid w:val="00E75EF2"/>
    <w:rsid w:val="00E81FDF"/>
    <w:rsid w:val="00E834C3"/>
    <w:rsid w:val="00E865F9"/>
    <w:rsid w:val="00E86A8D"/>
    <w:rsid w:val="00EC2A9D"/>
    <w:rsid w:val="00ED0470"/>
    <w:rsid w:val="00ED4519"/>
    <w:rsid w:val="00ED45E6"/>
    <w:rsid w:val="00ED487B"/>
    <w:rsid w:val="00ED51AE"/>
    <w:rsid w:val="00ED5FAB"/>
    <w:rsid w:val="00ED77CD"/>
    <w:rsid w:val="00EE0AB2"/>
    <w:rsid w:val="00EE56A9"/>
    <w:rsid w:val="00EE62AF"/>
    <w:rsid w:val="00EF5324"/>
    <w:rsid w:val="00EF6133"/>
    <w:rsid w:val="00F0343B"/>
    <w:rsid w:val="00F04231"/>
    <w:rsid w:val="00F06671"/>
    <w:rsid w:val="00F151A2"/>
    <w:rsid w:val="00F347BB"/>
    <w:rsid w:val="00F41490"/>
    <w:rsid w:val="00F42710"/>
    <w:rsid w:val="00F505AC"/>
    <w:rsid w:val="00F6021F"/>
    <w:rsid w:val="00F6786C"/>
    <w:rsid w:val="00F73BB9"/>
    <w:rsid w:val="00F749AF"/>
    <w:rsid w:val="00F91C06"/>
    <w:rsid w:val="00F95AEA"/>
    <w:rsid w:val="00F96358"/>
    <w:rsid w:val="00FA672B"/>
    <w:rsid w:val="00FA6AFD"/>
    <w:rsid w:val="00FB0D06"/>
    <w:rsid w:val="00FC2D9A"/>
    <w:rsid w:val="00FF63B3"/>
    <w:rsid w:val="00FF7192"/>
    <w:rsid w:val="00FF7BFE"/>
  </w:rsids>
  <m:mathPr>
    <m:mathFont m:val="Impact"/>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0" w:defSemiHidden="0" w:defUnhideWhenUsed="0" w:defQFormat="0" w:count="276">
    <w:lsdException w:name="Normal (Web)" w:uiPriority="9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5428"/>
  </w:style>
  <w:style w:type="paragraph" w:styleId="Heading1">
    <w:name w:val="heading 1"/>
    <w:basedOn w:val="Normal"/>
    <w:next w:val="Normal"/>
    <w:link w:val="Heading1Char"/>
    <w:uiPriority w:val="9"/>
    <w:qFormat/>
    <w:rsid w:val="00215428"/>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215428"/>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215428"/>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215428"/>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215428"/>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qFormat/>
    <w:rsid w:val="00215428"/>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215428"/>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215428"/>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215428"/>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locked/>
    <w:rsid w:val="00215428"/>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locked/>
    <w:rsid w:val="00215428"/>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locked/>
    <w:rsid w:val="00215428"/>
    <w:rPr>
      <w:rFonts w:asciiTheme="majorHAnsi" w:eastAsiaTheme="majorEastAsia" w:hAnsiTheme="majorHAnsi" w:cstheme="majorBidi"/>
      <w:b/>
      <w:bCs/>
    </w:rPr>
  </w:style>
  <w:style w:type="character" w:customStyle="1" w:styleId="Heading4Char">
    <w:name w:val="Heading 4 Char"/>
    <w:basedOn w:val="DefaultParagraphFont"/>
    <w:link w:val="Heading4"/>
    <w:uiPriority w:val="9"/>
    <w:locked/>
    <w:rsid w:val="00215428"/>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locked/>
    <w:rsid w:val="00215428"/>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locked/>
    <w:rsid w:val="00215428"/>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locked/>
    <w:rsid w:val="00215428"/>
    <w:rPr>
      <w:rFonts w:asciiTheme="majorHAnsi" w:eastAsiaTheme="majorEastAsia" w:hAnsiTheme="majorHAnsi" w:cstheme="majorBidi"/>
      <w:i/>
      <w:iCs/>
    </w:rPr>
  </w:style>
  <w:style w:type="character" w:customStyle="1" w:styleId="Heading8Char">
    <w:name w:val="Heading 8 Char"/>
    <w:basedOn w:val="DefaultParagraphFont"/>
    <w:link w:val="Heading8"/>
    <w:uiPriority w:val="9"/>
    <w:locked/>
    <w:rsid w:val="00215428"/>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locked/>
    <w:rsid w:val="00215428"/>
    <w:rPr>
      <w:rFonts w:asciiTheme="majorHAnsi" w:eastAsiaTheme="majorEastAsia" w:hAnsiTheme="majorHAnsi" w:cstheme="majorBidi"/>
      <w:i/>
      <w:iCs/>
      <w:spacing w:val="5"/>
      <w:sz w:val="20"/>
      <w:szCs w:val="20"/>
    </w:rPr>
  </w:style>
  <w:style w:type="character" w:styleId="Hyperlink">
    <w:name w:val="Hyperlink"/>
    <w:basedOn w:val="DefaultParagraphFont"/>
    <w:uiPriority w:val="99"/>
    <w:rsid w:val="003F6AB2"/>
    <w:rPr>
      <w:rFonts w:cs="Times New Roman"/>
      <w:color w:val="0033CC"/>
      <w:u w:val="single"/>
    </w:rPr>
  </w:style>
  <w:style w:type="paragraph" w:styleId="Title">
    <w:name w:val="Title"/>
    <w:basedOn w:val="Normal"/>
    <w:next w:val="Normal"/>
    <w:link w:val="TitleChar"/>
    <w:uiPriority w:val="10"/>
    <w:qFormat/>
    <w:rsid w:val="00215428"/>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locked/>
    <w:rsid w:val="00215428"/>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215428"/>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locked/>
    <w:rsid w:val="00215428"/>
    <w:rPr>
      <w:rFonts w:asciiTheme="majorHAnsi" w:eastAsiaTheme="majorEastAsia" w:hAnsiTheme="majorHAnsi" w:cstheme="majorBidi"/>
      <w:i/>
      <w:iCs/>
      <w:spacing w:val="13"/>
      <w:sz w:val="24"/>
      <w:szCs w:val="24"/>
    </w:rPr>
  </w:style>
  <w:style w:type="character" w:styleId="Strong">
    <w:name w:val="Strong"/>
    <w:uiPriority w:val="22"/>
    <w:qFormat/>
    <w:rsid w:val="00215428"/>
    <w:rPr>
      <w:b/>
      <w:bCs/>
    </w:rPr>
  </w:style>
  <w:style w:type="character" w:styleId="Emphasis">
    <w:name w:val="Emphasis"/>
    <w:uiPriority w:val="20"/>
    <w:qFormat/>
    <w:rsid w:val="00215428"/>
    <w:rPr>
      <w:b/>
      <w:bCs/>
      <w:i/>
      <w:iCs/>
      <w:spacing w:val="10"/>
      <w:bdr w:val="none" w:sz="0" w:space="0" w:color="auto"/>
      <w:shd w:val="clear" w:color="auto" w:fill="auto"/>
    </w:rPr>
  </w:style>
  <w:style w:type="paragraph" w:styleId="NoSpacing">
    <w:name w:val="No Spacing"/>
    <w:basedOn w:val="Normal"/>
    <w:uiPriority w:val="1"/>
    <w:qFormat/>
    <w:rsid w:val="00215428"/>
    <w:pPr>
      <w:spacing w:after="0" w:line="240" w:lineRule="auto"/>
    </w:pPr>
  </w:style>
  <w:style w:type="paragraph" w:styleId="ListParagraph">
    <w:name w:val="List Paragraph"/>
    <w:basedOn w:val="Normal"/>
    <w:uiPriority w:val="34"/>
    <w:qFormat/>
    <w:rsid w:val="00215428"/>
    <w:pPr>
      <w:ind w:left="720"/>
      <w:contextualSpacing/>
    </w:pPr>
  </w:style>
  <w:style w:type="paragraph" w:styleId="Quote">
    <w:name w:val="Quote"/>
    <w:basedOn w:val="Normal"/>
    <w:next w:val="Normal"/>
    <w:link w:val="QuoteChar"/>
    <w:uiPriority w:val="29"/>
    <w:qFormat/>
    <w:rsid w:val="00215428"/>
    <w:pPr>
      <w:spacing w:before="200" w:after="0"/>
      <w:ind w:left="360" w:right="360"/>
    </w:pPr>
    <w:rPr>
      <w:i/>
      <w:iCs/>
    </w:rPr>
  </w:style>
  <w:style w:type="character" w:customStyle="1" w:styleId="QuoteChar">
    <w:name w:val="Quote Char"/>
    <w:basedOn w:val="DefaultParagraphFont"/>
    <w:link w:val="Quote"/>
    <w:uiPriority w:val="29"/>
    <w:locked/>
    <w:rsid w:val="00215428"/>
    <w:rPr>
      <w:i/>
      <w:iCs/>
    </w:rPr>
  </w:style>
  <w:style w:type="paragraph" w:styleId="IntenseQuote">
    <w:name w:val="Intense Quote"/>
    <w:basedOn w:val="Normal"/>
    <w:next w:val="Normal"/>
    <w:link w:val="IntenseQuoteChar"/>
    <w:uiPriority w:val="30"/>
    <w:qFormat/>
    <w:rsid w:val="00215428"/>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locked/>
    <w:rsid w:val="00215428"/>
    <w:rPr>
      <w:b/>
      <w:bCs/>
      <w:i/>
      <w:iCs/>
    </w:rPr>
  </w:style>
  <w:style w:type="character" w:styleId="SubtleEmphasis">
    <w:name w:val="Subtle Emphasis"/>
    <w:uiPriority w:val="19"/>
    <w:qFormat/>
    <w:rsid w:val="00215428"/>
    <w:rPr>
      <w:i/>
      <w:iCs/>
    </w:rPr>
  </w:style>
  <w:style w:type="character" w:styleId="IntenseEmphasis">
    <w:name w:val="Intense Emphasis"/>
    <w:uiPriority w:val="21"/>
    <w:qFormat/>
    <w:rsid w:val="00215428"/>
    <w:rPr>
      <w:b/>
      <w:bCs/>
    </w:rPr>
  </w:style>
  <w:style w:type="character" w:styleId="SubtleReference">
    <w:name w:val="Subtle Reference"/>
    <w:uiPriority w:val="31"/>
    <w:qFormat/>
    <w:rsid w:val="00215428"/>
    <w:rPr>
      <w:smallCaps/>
    </w:rPr>
  </w:style>
  <w:style w:type="character" w:styleId="IntenseReference">
    <w:name w:val="Intense Reference"/>
    <w:uiPriority w:val="32"/>
    <w:qFormat/>
    <w:rsid w:val="00215428"/>
    <w:rPr>
      <w:smallCaps/>
      <w:spacing w:val="5"/>
      <w:u w:val="single"/>
    </w:rPr>
  </w:style>
  <w:style w:type="character" w:styleId="BookTitle">
    <w:name w:val="Book Title"/>
    <w:uiPriority w:val="33"/>
    <w:qFormat/>
    <w:rsid w:val="00215428"/>
    <w:rPr>
      <w:i/>
      <w:iCs/>
      <w:smallCaps/>
      <w:spacing w:val="5"/>
    </w:rPr>
  </w:style>
  <w:style w:type="paragraph" w:styleId="TOCHeading">
    <w:name w:val="TOC Heading"/>
    <w:basedOn w:val="Heading1"/>
    <w:next w:val="Normal"/>
    <w:uiPriority w:val="39"/>
    <w:unhideWhenUsed/>
    <w:qFormat/>
    <w:rsid w:val="00215428"/>
    <w:pPr>
      <w:outlineLvl w:val="9"/>
    </w:pPr>
  </w:style>
  <w:style w:type="character" w:customStyle="1" w:styleId="ti2">
    <w:name w:val="ti2"/>
    <w:basedOn w:val="DefaultParagraphFont"/>
    <w:uiPriority w:val="99"/>
    <w:rsid w:val="00E81FDF"/>
    <w:rPr>
      <w:rFonts w:cs="Times New Roman"/>
      <w:sz w:val="22"/>
      <w:szCs w:val="22"/>
    </w:rPr>
  </w:style>
  <w:style w:type="paragraph" w:styleId="Header">
    <w:name w:val="header"/>
    <w:basedOn w:val="Normal"/>
    <w:link w:val="HeaderChar"/>
    <w:uiPriority w:val="99"/>
    <w:unhideWhenUsed/>
    <w:rsid w:val="006842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4238"/>
    <w:rPr>
      <w:lang w:val="en-GB" w:eastAsia="en-US"/>
    </w:rPr>
  </w:style>
  <w:style w:type="paragraph" w:styleId="Footer">
    <w:name w:val="footer"/>
    <w:basedOn w:val="Normal"/>
    <w:link w:val="FooterChar"/>
    <w:uiPriority w:val="99"/>
    <w:semiHidden/>
    <w:unhideWhenUsed/>
    <w:rsid w:val="0068423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684238"/>
    <w:rPr>
      <w:lang w:val="en-GB" w:eastAsia="en-US"/>
    </w:rPr>
  </w:style>
  <w:style w:type="character" w:styleId="CommentReference">
    <w:name w:val="annotation reference"/>
    <w:basedOn w:val="DefaultParagraphFont"/>
    <w:uiPriority w:val="99"/>
    <w:semiHidden/>
    <w:unhideWhenUsed/>
    <w:rsid w:val="00865786"/>
    <w:rPr>
      <w:sz w:val="16"/>
      <w:szCs w:val="16"/>
    </w:rPr>
  </w:style>
  <w:style w:type="paragraph" w:styleId="CommentText">
    <w:name w:val="annotation text"/>
    <w:basedOn w:val="Normal"/>
    <w:link w:val="CommentTextChar"/>
    <w:uiPriority w:val="99"/>
    <w:semiHidden/>
    <w:unhideWhenUsed/>
    <w:rsid w:val="00865786"/>
    <w:pPr>
      <w:spacing w:line="240" w:lineRule="auto"/>
    </w:pPr>
    <w:rPr>
      <w:sz w:val="20"/>
      <w:szCs w:val="20"/>
    </w:rPr>
  </w:style>
  <w:style w:type="character" w:customStyle="1" w:styleId="CommentTextChar">
    <w:name w:val="Comment Text Char"/>
    <w:basedOn w:val="DefaultParagraphFont"/>
    <w:link w:val="CommentText"/>
    <w:uiPriority w:val="99"/>
    <w:semiHidden/>
    <w:rsid w:val="00865786"/>
    <w:rPr>
      <w:sz w:val="20"/>
      <w:szCs w:val="20"/>
      <w:lang w:val="en-GB" w:eastAsia="en-US"/>
    </w:rPr>
  </w:style>
  <w:style w:type="paragraph" w:styleId="CommentSubject">
    <w:name w:val="annotation subject"/>
    <w:basedOn w:val="CommentText"/>
    <w:next w:val="CommentText"/>
    <w:link w:val="CommentSubjectChar"/>
    <w:uiPriority w:val="99"/>
    <w:semiHidden/>
    <w:unhideWhenUsed/>
    <w:rsid w:val="00865786"/>
    <w:rPr>
      <w:b/>
      <w:bCs/>
    </w:rPr>
  </w:style>
  <w:style w:type="character" w:customStyle="1" w:styleId="CommentSubjectChar">
    <w:name w:val="Comment Subject Char"/>
    <w:basedOn w:val="CommentTextChar"/>
    <w:link w:val="CommentSubject"/>
    <w:uiPriority w:val="99"/>
    <w:semiHidden/>
    <w:rsid w:val="00865786"/>
    <w:rPr>
      <w:b/>
      <w:bCs/>
    </w:rPr>
  </w:style>
  <w:style w:type="paragraph" w:styleId="BalloonText">
    <w:name w:val="Balloon Text"/>
    <w:basedOn w:val="Normal"/>
    <w:link w:val="BalloonTextChar"/>
    <w:uiPriority w:val="99"/>
    <w:semiHidden/>
    <w:unhideWhenUsed/>
    <w:rsid w:val="008657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5786"/>
    <w:rPr>
      <w:rFonts w:ascii="Tahoma" w:hAnsi="Tahoma" w:cs="Tahoma"/>
      <w:sz w:val="16"/>
      <w:szCs w:val="16"/>
      <w:lang w:val="en-GB" w:eastAsia="en-US"/>
    </w:rPr>
  </w:style>
  <w:style w:type="character" w:customStyle="1" w:styleId="journalname">
    <w:name w:val="journalname"/>
    <w:basedOn w:val="DefaultParagraphFont"/>
    <w:rsid w:val="00BB5D4F"/>
  </w:style>
  <w:style w:type="character" w:customStyle="1" w:styleId="ti">
    <w:name w:val="ti"/>
    <w:basedOn w:val="DefaultParagraphFont"/>
    <w:rsid w:val="007723B8"/>
  </w:style>
  <w:style w:type="paragraph" w:customStyle="1" w:styleId="title1">
    <w:name w:val="title1"/>
    <w:basedOn w:val="Normal"/>
    <w:rsid w:val="00D7031B"/>
    <w:pPr>
      <w:spacing w:before="100" w:beforeAutospacing="1" w:after="0" w:line="240" w:lineRule="auto"/>
      <w:ind w:left="825"/>
    </w:pPr>
    <w:rPr>
      <w:rFonts w:ascii="Times New Roman" w:hAnsi="Times New Roman"/>
      <w:lang w:eastAsia="en-GB"/>
    </w:rPr>
  </w:style>
  <w:style w:type="paragraph" w:customStyle="1" w:styleId="authors1">
    <w:name w:val="authors1"/>
    <w:basedOn w:val="Normal"/>
    <w:rsid w:val="00D7031B"/>
    <w:pPr>
      <w:spacing w:before="72" w:after="0" w:line="240" w:lineRule="atLeast"/>
      <w:ind w:left="825"/>
    </w:pPr>
    <w:rPr>
      <w:rFonts w:ascii="Times New Roman" w:hAnsi="Times New Roman"/>
      <w:lang w:eastAsia="en-GB"/>
    </w:rPr>
  </w:style>
  <w:style w:type="paragraph" w:customStyle="1" w:styleId="source1">
    <w:name w:val="source1"/>
    <w:basedOn w:val="Normal"/>
    <w:rsid w:val="00D7031B"/>
    <w:pPr>
      <w:spacing w:before="120" w:after="84" w:line="240" w:lineRule="atLeast"/>
      <w:ind w:left="825"/>
    </w:pPr>
    <w:rPr>
      <w:rFonts w:ascii="Times New Roman" w:hAnsi="Times New Roman"/>
      <w:sz w:val="18"/>
      <w:szCs w:val="18"/>
      <w:lang w:eastAsia="en-GB"/>
    </w:rPr>
  </w:style>
  <w:style w:type="paragraph" w:styleId="NormalWeb">
    <w:name w:val="Normal (Web)"/>
    <w:basedOn w:val="Normal"/>
    <w:uiPriority w:val="99"/>
    <w:rsid w:val="000D2487"/>
    <w:pPr>
      <w:spacing w:beforeLines="1" w:afterLines="1" w:line="240" w:lineRule="auto"/>
    </w:pPr>
    <w:rPr>
      <w:rFonts w:ascii="Times" w:hAnsi="Times" w:cs="Times New Roman"/>
      <w:sz w:val="20"/>
      <w:szCs w:val="20"/>
      <w:lang w:val="en-GB" w:bidi="ar-SA"/>
    </w:rPr>
  </w:style>
</w:styles>
</file>

<file path=word/webSettings.xml><?xml version="1.0" encoding="utf-8"?>
<w:webSettings xmlns:r="http://schemas.openxmlformats.org/officeDocument/2006/relationships" xmlns:w="http://schemas.openxmlformats.org/wordprocessingml/2006/main">
  <w:divs>
    <w:div w:id="412435481">
      <w:bodyDiv w:val="1"/>
      <w:marLeft w:val="0"/>
      <w:marRight w:val="0"/>
      <w:marTop w:val="0"/>
      <w:marBottom w:val="0"/>
      <w:divBdr>
        <w:top w:val="none" w:sz="0" w:space="0" w:color="auto"/>
        <w:left w:val="none" w:sz="0" w:space="0" w:color="auto"/>
        <w:bottom w:val="none" w:sz="0" w:space="0" w:color="auto"/>
        <w:right w:val="none" w:sz="0" w:space="0" w:color="auto"/>
      </w:divBdr>
      <w:divsChild>
        <w:div w:id="1143696639">
          <w:marLeft w:val="120"/>
          <w:marRight w:val="120"/>
          <w:marTop w:val="0"/>
          <w:marBottom w:val="0"/>
          <w:divBdr>
            <w:top w:val="none" w:sz="0" w:space="0" w:color="auto"/>
            <w:left w:val="none" w:sz="0" w:space="0" w:color="auto"/>
            <w:bottom w:val="none" w:sz="0" w:space="0" w:color="auto"/>
            <w:right w:val="none" w:sz="0" w:space="0" w:color="auto"/>
          </w:divBdr>
          <w:divsChild>
            <w:div w:id="1752852072">
              <w:marLeft w:val="0"/>
              <w:marRight w:val="0"/>
              <w:marTop w:val="0"/>
              <w:marBottom w:val="0"/>
              <w:divBdr>
                <w:top w:val="none" w:sz="0" w:space="0" w:color="auto"/>
                <w:left w:val="none" w:sz="0" w:space="0" w:color="auto"/>
                <w:bottom w:val="none" w:sz="0" w:space="0" w:color="auto"/>
                <w:right w:val="none" w:sz="0" w:space="0" w:color="auto"/>
              </w:divBdr>
              <w:divsChild>
                <w:div w:id="548764483">
                  <w:marLeft w:val="0"/>
                  <w:marRight w:val="0"/>
                  <w:marTop w:val="72"/>
                  <w:marBottom w:val="0"/>
                  <w:divBdr>
                    <w:top w:val="none" w:sz="0" w:space="0" w:color="auto"/>
                    <w:left w:val="none" w:sz="0" w:space="0" w:color="auto"/>
                    <w:bottom w:val="none" w:sz="0" w:space="0" w:color="auto"/>
                    <w:right w:val="none" w:sz="0" w:space="0" w:color="auto"/>
                  </w:divBdr>
                  <w:divsChild>
                    <w:div w:id="823205254">
                      <w:marLeft w:val="0"/>
                      <w:marRight w:val="0"/>
                      <w:marTop w:val="0"/>
                      <w:marBottom w:val="0"/>
                      <w:divBdr>
                        <w:top w:val="none" w:sz="0" w:space="0" w:color="auto"/>
                        <w:left w:val="none" w:sz="0" w:space="0" w:color="auto"/>
                        <w:bottom w:val="none" w:sz="0" w:space="0" w:color="auto"/>
                        <w:right w:val="none" w:sz="0" w:space="0" w:color="auto"/>
                      </w:divBdr>
                      <w:divsChild>
                        <w:div w:id="154805091">
                          <w:marLeft w:val="120"/>
                          <w:marRight w:val="0"/>
                          <w:marTop w:val="0"/>
                          <w:marBottom w:val="0"/>
                          <w:divBdr>
                            <w:top w:val="none" w:sz="0" w:space="0" w:color="auto"/>
                            <w:left w:val="none" w:sz="0" w:space="0" w:color="auto"/>
                            <w:bottom w:val="none" w:sz="0" w:space="0" w:color="auto"/>
                            <w:right w:val="none" w:sz="0" w:space="0" w:color="auto"/>
                          </w:divBdr>
                          <w:divsChild>
                            <w:div w:id="1940722456">
                              <w:marLeft w:val="0"/>
                              <w:marRight w:val="0"/>
                              <w:marTop w:val="0"/>
                              <w:marBottom w:val="0"/>
                              <w:divBdr>
                                <w:top w:val="none" w:sz="0" w:space="0" w:color="auto"/>
                                <w:left w:val="none" w:sz="0" w:space="0" w:color="auto"/>
                                <w:bottom w:val="none" w:sz="0" w:space="0" w:color="auto"/>
                                <w:right w:val="none" w:sz="0" w:space="0" w:color="auto"/>
                              </w:divBdr>
                              <w:divsChild>
                                <w:div w:id="679353439">
                                  <w:marLeft w:val="-120"/>
                                  <w:marRight w:val="0"/>
                                  <w:marTop w:val="120"/>
                                  <w:marBottom w:val="33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4452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E54AE0-B6C8-BB4D-9C30-DB37E7BD3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1687</Words>
  <Characters>9618</Characters>
  <Application>Microsoft Macintosh Word</Application>
  <DocSecurity>0</DocSecurity>
  <Lines>80</Lines>
  <Paragraphs>19</Paragraphs>
  <ScaleCrop>false</ScaleCrop>
  <HeadingPairs>
    <vt:vector size="2" baseType="variant">
      <vt:variant>
        <vt:lpstr>Title</vt:lpstr>
      </vt:variant>
      <vt:variant>
        <vt:i4>1</vt:i4>
      </vt:variant>
    </vt:vector>
  </HeadingPairs>
  <TitlesOfParts>
    <vt:vector size="1" baseType="lpstr">
      <vt:lpstr>The new “Connexon” to the pathogenesis of E</vt:lpstr>
    </vt:vector>
  </TitlesOfParts>
  <Company>The University of Liverpool</Company>
  <LinksUpToDate>false</LinksUpToDate>
  <CharactersWithSpaces>11811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new “Connexon” to the pathogenesis of E</dc:title>
  <dc:creator>Alastair Watson</dc:creator>
  <cp:lastModifiedBy>Alastair Watson</cp:lastModifiedBy>
  <cp:revision>4</cp:revision>
  <cp:lastPrinted>2011-03-06T12:50:00Z</cp:lastPrinted>
  <dcterms:created xsi:type="dcterms:W3CDTF">2011-03-06T15:37:00Z</dcterms:created>
  <dcterms:modified xsi:type="dcterms:W3CDTF">2011-03-06T15:38:00Z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-508744233</vt:i4>
  </property>
  <property fmtid="{D5CDD505-2E9C-101B-9397-08002B2CF9AE}" pid="3" name="_NewReviewCycle">
    <vt:lpwstr/>
  </property>
  <property fmtid="{D5CDD505-2E9C-101B-9397-08002B2CF9AE}" pid="4" name="_EmailSubject">
    <vt:lpwstr>Manuscript</vt:lpwstr>
  </property>
  <property fmtid="{D5CDD505-2E9C-101B-9397-08002B2CF9AE}" pid="5" name="_AuthorEmail">
    <vt:lpwstr>A.Hart@uea.ac.uk</vt:lpwstr>
  </property>
  <property fmtid="{D5CDD505-2E9C-101B-9397-08002B2CF9AE}" pid="6" name="_AuthorEmailDisplayName">
    <vt:lpwstr>Hart Andrew Dr (MED)</vt:lpwstr>
  </property>
</Properties>
</file>