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F5C" w:rsidRDefault="00273DD8" w:rsidP="003D2CE4">
      <w:pPr>
        <w:spacing w:after="0" w:line="480" w:lineRule="auto"/>
        <w:jc w:val="both"/>
        <w:rPr>
          <w:rFonts w:ascii="Arial Narrow" w:eastAsia="Times New Roman" w:hAnsi="Arial Narrow" w:cs="Arial"/>
          <w:b/>
          <w:szCs w:val="24"/>
          <w:u w:val="single"/>
        </w:rPr>
      </w:pPr>
      <w:r w:rsidRPr="001B6FE5">
        <w:rPr>
          <w:rFonts w:ascii="Arial Narrow" w:eastAsia="Times New Roman" w:hAnsi="Arial Narrow" w:cs="Arial"/>
          <w:b/>
          <w:szCs w:val="24"/>
          <w:u w:val="single"/>
        </w:rPr>
        <w:t>Community, conflict and continuity between Kulmhof and the Kresy’:</w:t>
      </w:r>
      <w:r w:rsidR="004B2C10">
        <w:rPr>
          <w:rFonts w:ascii="Arial Narrow" w:eastAsia="Times New Roman" w:hAnsi="Arial Narrow" w:cs="Arial"/>
          <w:b/>
          <w:szCs w:val="24"/>
          <w:u w:val="single"/>
        </w:rPr>
        <w:t xml:space="preserve"> </w:t>
      </w:r>
      <w:r w:rsidRPr="001B6FE5">
        <w:rPr>
          <w:rFonts w:ascii="Arial Narrow" w:eastAsia="Times New Roman" w:hAnsi="Arial Narrow" w:cs="Arial"/>
          <w:b/>
          <w:szCs w:val="24"/>
          <w:u w:val="single"/>
        </w:rPr>
        <w:t xml:space="preserve">Mapping Landscape and </w:t>
      </w:r>
      <w:bookmarkStart w:id="0" w:name="_GoBack"/>
      <w:bookmarkEnd w:id="0"/>
    </w:p>
    <w:p w:rsidR="00273DD8" w:rsidRPr="001C29EE" w:rsidRDefault="00273DD8" w:rsidP="003D2CE4">
      <w:pPr>
        <w:spacing w:after="0" w:line="480" w:lineRule="auto"/>
        <w:jc w:val="both"/>
        <w:rPr>
          <w:rFonts w:ascii="Arial Narrow" w:eastAsia="Times New Roman" w:hAnsi="Arial Narrow" w:cs="Arial"/>
          <w:b/>
          <w:szCs w:val="24"/>
          <w:u w:val="single"/>
        </w:rPr>
      </w:pPr>
      <w:r w:rsidRPr="001B6FE5">
        <w:rPr>
          <w:rFonts w:ascii="Arial Narrow" w:eastAsia="Times New Roman" w:hAnsi="Arial Narrow" w:cs="Arial"/>
          <w:b/>
          <w:szCs w:val="24"/>
          <w:u w:val="single"/>
        </w:rPr>
        <w:t>Memory in eas</w:t>
      </w:r>
      <w:r w:rsidR="001C29EE">
        <w:rPr>
          <w:rFonts w:ascii="Arial Narrow" w:eastAsia="Times New Roman" w:hAnsi="Arial Narrow" w:cs="Arial"/>
          <w:b/>
          <w:szCs w:val="24"/>
          <w:u w:val="single"/>
        </w:rPr>
        <w:t xml:space="preserve">t-Central Europe, 1918 – 1938. </w:t>
      </w:r>
    </w:p>
    <w:p w:rsidR="00273DD8" w:rsidRPr="001C29EE" w:rsidRDefault="00273DD8" w:rsidP="003D2CE4">
      <w:pPr>
        <w:spacing w:after="0" w:line="480" w:lineRule="auto"/>
        <w:jc w:val="both"/>
        <w:rPr>
          <w:rFonts w:ascii="Arial Narrow" w:eastAsia="Times New Roman" w:hAnsi="Arial Narrow" w:cs="Arial"/>
          <w:i/>
          <w:szCs w:val="24"/>
        </w:rPr>
      </w:pPr>
      <w:r w:rsidRPr="001B6FE5">
        <w:rPr>
          <w:rFonts w:ascii="Arial Narrow" w:eastAsia="Times New Roman" w:hAnsi="Arial Narrow" w:cs="Arial"/>
          <w:i/>
          <w:iCs/>
          <w:szCs w:val="24"/>
        </w:rPr>
        <w:t>‘Living plants grow naturally, that is, both freely and according to their own laws, not laws amenable to rational plans; they grow like branchy trees whose roots are hidden in the depths of the national soil and subsoil.’</w:t>
      </w:r>
      <w:r w:rsidRPr="001B6FE5">
        <w:rPr>
          <w:rFonts w:ascii="Arial Narrow" w:eastAsia="Times New Roman" w:hAnsi="Arial Narrow" w:cs="Arial"/>
          <w:i/>
          <w:szCs w:val="24"/>
        </w:rPr>
        <w:t xml:space="preserve"> </w:t>
      </w:r>
      <w:r w:rsidRPr="001B6FE5">
        <w:rPr>
          <w:rFonts w:ascii="Arial Narrow" w:eastAsia="Times New Roman" w:hAnsi="Arial Narrow" w:cs="Arial"/>
          <w:iCs/>
          <w:szCs w:val="24"/>
        </w:rPr>
        <w:t>Lev</w:t>
      </w:r>
      <w:r w:rsidRPr="001B6FE5">
        <w:rPr>
          <w:rFonts w:ascii="Arial Narrow" w:eastAsia="Times New Roman" w:hAnsi="Arial Narrow" w:cs="Arial"/>
          <w:i/>
          <w:iCs/>
          <w:szCs w:val="24"/>
        </w:rPr>
        <w:t xml:space="preserve"> </w:t>
      </w:r>
      <w:r w:rsidRPr="001B6FE5">
        <w:rPr>
          <w:rFonts w:ascii="Arial Narrow" w:eastAsia="Times New Roman" w:hAnsi="Arial Narrow" w:cs="Arial"/>
          <w:iCs/>
          <w:szCs w:val="24"/>
        </w:rPr>
        <w:t>Kopelev</w:t>
      </w:r>
      <w:r w:rsidRPr="001B6FE5">
        <w:rPr>
          <w:rFonts w:ascii="Arial Narrow" w:eastAsia="Times New Roman" w:hAnsi="Arial Narrow" w:cs="Arial"/>
          <w:i/>
          <w:iCs/>
          <w:szCs w:val="24"/>
        </w:rPr>
        <w:t>, ‘The Education of a True Believer.’</w:t>
      </w:r>
      <w:r w:rsidR="001C29EE">
        <w:rPr>
          <w:rFonts w:ascii="Arial Narrow" w:eastAsia="Times New Roman" w:hAnsi="Arial Narrow" w:cs="Arial"/>
          <w:i/>
          <w:szCs w:val="24"/>
        </w:rPr>
        <w:tab/>
      </w:r>
    </w:p>
    <w:p w:rsidR="001C29EE" w:rsidRDefault="001C29EE" w:rsidP="003D2CE4">
      <w:pPr>
        <w:spacing w:after="0" w:line="480" w:lineRule="auto"/>
        <w:jc w:val="both"/>
        <w:rPr>
          <w:rFonts w:ascii="Arial Narrow" w:eastAsia="Times New Roman" w:hAnsi="Arial Narrow" w:cs="Arial"/>
          <w:i/>
          <w:iCs/>
          <w:szCs w:val="24"/>
        </w:rPr>
      </w:pPr>
    </w:p>
    <w:p w:rsidR="00273DD8" w:rsidRPr="00280F5C" w:rsidRDefault="00273DD8" w:rsidP="003D2CE4">
      <w:pPr>
        <w:spacing w:after="0" w:line="480" w:lineRule="auto"/>
        <w:jc w:val="both"/>
        <w:rPr>
          <w:rFonts w:ascii="Arial Narrow" w:eastAsia="Times New Roman" w:hAnsi="Arial Narrow" w:cs="Arial"/>
          <w:i/>
          <w:iCs/>
          <w:szCs w:val="24"/>
        </w:rPr>
      </w:pPr>
      <w:r w:rsidRPr="001B6FE5">
        <w:rPr>
          <w:rFonts w:ascii="Arial Narrow" w:eastAsia="Times New Roman" w:hAnsi="Arial Narrow" w:cs="Arial"/>
          <w:i/>
          <w:iCs/>
          <w:szCs w:val="24"/>
        </w:rPr>
        <w:t>‘First…the Idols of the Tribe, which “have their foundation in human nature itself, and in the tribe of race of men…and the human understanding is like a false mirror, which receiving rays irregularly, distorts and discolours the nature of things…”; the second…the Idols of the Cave… “For everyone (beside the errors common to human nature in general) has a cave or den of his own…Owing either to his own proper and peculiar nature; to his education and conversation with others; or to the reading of books, and the authorities of those whom he esteems and admires…” The Third…the Idols of the Market Place. “For it is by discourse that men associate…and therefore the ill and unfit choice of words wonderfully obstruct the understanding. Nor do the definitions or explanations wherewith in some learned men are want to guard and defend themselves, by any means set the matter right.” Fourthly, the Idols of the Theatre. These are “Idols which have immigrated into men’s minds from the various dogmas of philosophers, and also from wrong laws of demonstration…all the received systems are but so many stage plays, representing worlds of their own creation after an unreal and scenic fashion.”</w:t>
      </w:r>
      <w:r w:rsidRPr="001B6FE5">
        <w:rPr>
          <w:rFonts w:ascii="Arial Narrow" w:eastAsia="Times New Roman" w:hAnsi="Arial Narrow" w:cs="Arial"/>
          <w:i/>
          <w:iCs/>
          <w:szCs w:val="24"/>
        </w:rPr>
        <w:tab/>
      </w:r>
      <w:r w:rsidRPr="001B6FE5">
        <w:rPr>
          <w:rFonts w:ascii="Arial Narrow" w:eastAsia="Times New Roman" w:hAnsi="Arial Narrow" w:cs="Arial"/>
          <w:iCs/>
          <w:szCs w:val="24"/>
        </w:rPr>
        <w:t>Francis</w:t>
      </w:r>
      <w:r w:rsidRPr="001B6FE5">
        <w:rPr>
          <w:rFonts w:ascii="Arial Narrow" w:eastAsia="Times New Roman" w:hAnsi="Arial Narrow" w:cs="Arial"/>
          <w:i/>
          <w:iCs/>
          <w:szCs w:val="24"/>
        </w:rPr>
        <w:t xml:space="preserve"> </w:t>
      </w:r>
      <w:r w:rsidRPr="001B6FE5">
        <w:rPr>
          <w:rFonts w:ascii="Arial Narrow" w:eastAsia="Times New Roman" w:hAnsi="Arial Narrow" w:cs="Arial"/>
          <w:iCs/>
          <w:szCs w:val="24"/>
        </w:rPr>
        <w:t>Bacon</w:t>
      </w:r>
      <w:r w:rsidRPr="001B6FE5">
        <w:rPr>
          <w:rFonts w:ascii="Arial Narrow" w:eastAsia="Times New Roman" w:hAnsi="Arial Narrow" w:cs="Arial"/>
          <w:i/>
          <w:iCs/>
          <w:szCs w:val="24"/>
        </w:rPr>
        <w:t>.</w:t>
      </w:r>
      <w:r w:rsidRPr="001B6FE5">
        <w:rPr>
          <w:rFonts w:ascii="Arial Narrow" w:eastAsia="Times New Roman" w:hAnsi="Arial Narrow" w:cs="Arial"/>
          <w:i/>
          <w:iCs/>
          <w:szCs w:val="24"/>
          <w:vertAlign w:val="superscript"/>
        </w:rPr>
        <w:footnoteReference w:id="1"/>
      </w:r>
      <w:r w:rsidRPr="001B6FE5">
        <w:rPr>
          <w:rFonts w:ascii="Arial Narrow" w:eastAsia="Times New Roman" w:hAnsi="Arial Narrow" w:cs="Arial"/>
          <w:i/>
          <w:iCs/>
          <w:szCs w:val="24"/>
        </w:rPr>
        <w:t xml:space="preserve"> </w:t>
      </w:r>
      <w:r w:rsidR="00280F5C">
        <w:rPr>
          <w:rFonts w:ascii="Arial Narrow" w:eastAsia="Times New Roman" w:hAnsi="Arial Narrow" w:cs="Arial"/>
          <w:i/>
          <w:iCs/>
          <w:szCs w:val="24"/>
        </w:rPr>
        <w:tab/>
      </w:r>
      <w:r w:rsidR="00280F5C">
        <w:rPr>
          <w:rFonts w:ascii="Arial Narrow" w:eastAsia="Times New Roman" w:hAnsi="Arial Narrow" w:cs="Arial"/>
          <w:i/>
          <w:iCs/>
          <w:szCs w:val="24"/>
        </w:rPr>
        <w:tab/>
      </w:r>
      <w:r w:rsidR="00280F5C">
        <w:rPr>
          <w:rFonts w:ascii="Arial Narrow" w:eastAsia="Times New Roman" w:hAnsi="Arial Narrow" w:cs="Arial"/>
          <w:i/>
          <w:iCs/>
          <w:szCs w:val="24"/>
        </w:rPr>
        <w:tab/>
      </w:r>
      <w:r w:rsidR="00280F5C">
        <w:rPr>
          <w:rFonts w:ascii="Arial Narrow" w:eastAsia="Times New Roman" w:hAnsi="Arial Narrow" w:cs="Arial"/>
          <w:i/>
          <w:iCs/>
          <w:szCs w:val="24"/>
        </w:rPr>
        <w:tab/>
      </w:r>
      <w:r w:rsidR="00280F5C">
        <w:rPr>
          <w:rFonts w:ascii="Arial Narrow" w:eastAsia="Times New Roman" w:hAnsi="Arial Narrow" w:cs="Arial"/>
          <w:i/>
          <w:iCs/>
          <w:szCs w:val="24"/>
        </w:rPr>
        <w:tab/>
      </w:r>
      <w:r w:rsidR="001B6FE5">
        <w:rPr>
          <w:rFonts w:ascii="Arial Narrow" w:eastAsia="Times New Roman" w:hAnsi="Arial Narrow" w:cs="Times New Roman"/>
          <w:b/>
          <w:szCs w:val="24"/>
        </w:rPr>
        <w:tab/>
      </w:r>
      <w:r w:rsidR="001B6FE5">
        <w:rPr>
          <w:rFonts w:ascii="Arial Narrow" w:eastAsia="Times New Roman" w:hAnsi="Arial Narrow" w:cs="Times New Roman"/>
          <w:b/>
          <w:szCs w:val="24"/>
        </w:rPr>
        <w:tab/>
      </w:r>
      <w:r w:rsidR="001B6FE5">
        <w:rPr>
          <w:rFonts w:ascii="Arial Narrow" w:eastAsia="Times New Roman" w:hAnsi="Arial Narrow" w:cs="Times New Roman"/>
          <w:b/>
          <w:szCs w:val="24"/>
        </w:rPr>
        <w:tab/>
      </w:r>
      <w:r w:rsidR="001B6FE5">
        <w:rPr>
          <w:rFonts w:ascii="Arial Narrow" w:eastAsia="Times New Roman" w:hAnsi="Arial Narrow" w:cs="Times New Roman"/>
          <w:b/>
          <w:szCs w:val="24"/>
        </w:rPr>
        <w:tab/>
      </w:r>
      <w:r w:rsidR="001B6FE5">
        <w:rPr>
          <w:rFonts w:ascii="Arial Narrow" w:eastAsia="Times New Roman" w:hAnsi="Arial Narrow" w:cs="Times New Roman"/>
          <w:b/>
          <w:szCs w:val="24"/>
        </w:rPr>
        <w:tab/>
      </w:r>
      <w:r w:rsidR="001B6FE5">
        <w:rPr>
          <w:rFonts w:ascii="Arial Narrow" w:eastAsia="Times New Roman" w:hAnsi="Arial Narrow" w:cs="Times New Roman"/>
          <w:b/>
          <w:szCs w:val="24"/>
        </w:rPr>
        <w:tab/>
      </w:r>
      <w:r w:rsidR="00280F5C">
        <w:rPr>
          <w:rFonts w:ascii="Arial Narrow" w:eastAsia="Times New Roman" w:hAnsi="Arial Narrow" w:cs="Times New Roman"/>
          <w:b/>
          <w:szCs w:val="24"/>
        </w:rPr>
        <w:t xml:space="preserve">      </w:t>
      </w:r>
      <w:r w:rsidR="001B6FE5" w:rsidRPr="001B6FE5">
        <w:rPr>
          <w:rFonts w:ascii="Times New Roman" w:eastAsia="Times New Roman" w:hAnsi="Times New Roman" w:cs="Times New Roman"/>
          <w:b/>
          <w:szCs w:val="24"/>
        </w:rPr>
        <w:t>I</w:t>
      </w:r>
    </w:p>
    <w:p w:rsidR="00273DD8" w:rsidRPr="001B6FE5" w:rsidRDefault="00877CF1" w:rsidP="003D2CE4">
      <w:pPr>
        <w:spacing w:after="0" w:line="480" w:lineRule="auto"/>
        <w:ind w:left="720"/>
        <w:jc w:val="both"/>
        <w:rPr>
          <w:rFonts w:ascii="Arial Narrow" w:eastAsia="Times New Roman" w:hAnsi="Arial Narrow" w:cs="Arial"/>
          <w:szCs w:val="24"/>
          <w:u w:val="single"/>
        </w:rPr>
      </w:pPr>
      <w:r w:rsidRPr="001B6FE5">
        <w:rPr>
          <w:rFonts w:ascii="Arial Narrow" w:eastAsia="Times New Roman" w:hAnsi="Arial Narrow" w:cs="Arial"/>
          <w:b/>
          <w:szCs w:val="24"/>
        </w:rPr>
        <w:t xml:space="preserve">  </w:t>
      </w:r>
      <w:r w:rsidR="001B6FE5">
        <w:rPr>
          <w:rFonts w:ascii="Arial Narrow" w:eastAsia="Times New Roman" w:hAnsi="Arial Narrow" w:cs="Arial"/>
          <w:b/>
          <w:szCs w:val="24"/>
        </w:rPr>
        <w:tab/>
      </w:r>
      <w:r w:rsidRPr="001B6FE5">
        <w:rPr>
          <w:rFonts w:ascii="Arial Narrow" w:eastAsia="Times New Roman" w:hAnsi="Arial Narrow" w:cs="Arial"/>
          <w:b/>
          <w:szCs w:val="24"/>
        </w:rPr>
        <w:t xml:space="preserve">   </w:t>
      </w:r>
      <w:r w:rsidR="00273DD8" w:rsidRPr="001B6FE5">
        <w:rPr>
          <w:rFonts w:ascii="Arial Narrow" w:eastAsia="Times New Roman" w:hAnsi="Arial Narrow" w:cs="Arial"/>
          <w:b/>
          <w:szCs w:val="24"/>
          <w:u w:val="single"/>
        </w:rPr>
        <w:t xml:space="preserve">Making Opposition to the West: Introduction and background. </w:t>
      </w:r>
    </w:p>
    <w:p w:rsidR="00280F5C" w:rsidRDefault="00273DD8" w:rsidP="003D2CE4">
      <w:pPr>
        <w:spacing w:after="0" w:line="480" w:lineRule="auto"/>
        <w:jc w:val="both"/>
        <w:rPr>
          <w:rFonts w:ascii="Arial Narrow" w:eastAsia="Times New Roman" w:hAnsi="Arial Narrow" w:cs="Arial"/>
          <w:szCs w:val="24"/>
        </w:rPr>
      </w:pPr>
      <w:r w:rsidRPr="001B6FE5">
        <w:rPr>
          <w:rFonts w:ascii="Arial Narrow" w:eastAsia="Times New Roman" w:hAnsi="Arial Narrow" w:cs="Arial"/>
          <w:szCs w:val="24"/>
        </w:rPr>
        <w:t>In recent years, many prominent European politicians have exalted both the diversity of their peoples, and the international power that closer economic, political and social ‘cohesion’ provides, as well as a platform towards further global understanding. Essentially, Europeans having shattered themselves over the preceding centuries</w:t>
      </w:r>
      <w:r w:rsidR="00D63142">
        <w:rPr>
          <w:rFonts w:ascii="Arial Narrow" w:eastAsia="Times New Roman" w:hAnsi="Arial Narrow" w:cs="Arial"/>
          <w:szCs w:val="24"/>
        </w:rPr>
        <w:t xml:space="preserve"> - </w:t>
      </w:r>
      <w:r w:rsidRPr="001B6FE5">
        <w:rPr>
          <w:rFonts w:ascii="Arial Narrow" w:eastAsia="Times New Roman" w:hAnsi="Arial Narrow" w:cs="Arial"/>
          <w:szCs w:val="24"/>
        </w:rPr>
        <w:t>because of the wealth that t</w:t>
      </w:r>
      <w:r w:rsidR="00D63142">
        <w:rPr>
          <w:rFonts w:ascii="Arial Narrow" w:eastAsia="Times New Roman" w:hAnsi="Arial Narrow" w:cs="Arial"/>
          <w:szCs w:val="24"/>
        </w:rPr>
        <w:t>heir local environment supports -</w:t>
      </w:r>
      <w:r w:rsidR="00A656DF">
        <w:rPr>
          <w:rFonts w:ascii="Arial Narrow" w:eastAsia="Times New Roman" w:hAnsi="Arial Narrow" w:cs="Arial"/>
          <w:szCs w:val="24"/>
        </w:rPr>
        <w:t xml:space="preserve"> </w:t>
      </w:r>
      <w:r w:rsidR="00023EA8">
        <w:rPr>
          <w:rFonts w:ascii="Arial Narrow" w:eastAsia="Times New Roman" w:hAnsi="Arial Narrow" w:cs="Arial"/>
          <w:szCs w:val="24"/>
        </w:rPr>
        <w:t xml:space="preserve">simultaneously </w:t>
      </w:r>
      <w:r w:rsidRPr="001B6FE5">
        <w:rPr>
          <w:rFonts w:ascii="Arial Narrow" w:eastAsia="Times New Roman" w:hAnsi="Arial Narrow" w:cs="Arial"/>
          <w:szCs w:val="24"/>
        </w:rPr>
        <w:t>laying claim to each others ‘gardens’ and alternately forging pitchforks or swords</w:t>
      </w:r>
      <w:r w:rsidR="001C29EE">
        <w:rPr>
          <w:rFonts w:ascii="Arial Narrow" w:eastAsia="Times New Roman" w:hAnsi="Arial Narrow" w:cs="Arial"/>
          <w:szCs w:val="24"/>
        </w:rPr>
        <w:t xml:space="preserve"> (</w:t>
      </w:r>
      <w:r w:rsidRPr="001B6FE5">
        <w:rPr>
          <w:rFonts w:ascii="Arial Narrow" w:eastAsia="Times New Roman" w:hAnsi="Arial Narrow" w:cs="Arial"/>
          <w:szCs w:val="24"/>
        </w:rPr>
        <w:t xml:space="preserve">as instruments of their own </w:t>
      </w:r>
      <w:r w:rsidRPr="001B6FE5">
        <w:rPr>
          <w:rFonts w:ascii="Arial Narrow" w:eastAsia="Times New Roman" w:hAnsi="Arial Narrow" w:cs="Arial"/>
          <w:szCs w:val="24"/>
        </w:rPr>
        <w:lastRenderedPageBreak/>
        <w:t>bette</w:t>
      </w:r>
      <w:r w:rsidR="001C29EE">
        <w:rPr>
          <w:rFonts w:ascii="Arial Narrow" w:eastAsia="Times New Roman" w:hAnsi="Arial Narrow" w:cs="Arial"/>
          <w:szCs w:val="24"/>
        </w:rPr>
        <w:t xml:space="preserve">rment) </w:t>
      </w:r>
      <w:r w:rsidRPr="001B6FE5">
        <w:rPr>
          <w:rFonts w:ascii="Arial Narrow" w:eastAsia="Times New Roman" w:hAnsi="Arial Narrow" w:cs="Arial"/>
          <w:szCs w:val="24"/>
        </w:rPr>
        <w:t>have wisely accepted that, not only does unity serve to increase their own wealth, overseas</w:t>
      </w:r>
      <w:r w:rsidR="00023EA8">
        <w:rPr>
          <w:rFonts w:ascii="Arial Narrow" w:eastAsia="Times New Roman" w:hAnsi="Arial Narrow" w:cs="Arial"/>
          <w:szCs w:val="24"/>
        </w:rPr>
        <w:t xml:space="preserve"> adventures (whilst misplaced) </w:t>
      </w:r>
      <w:r w:rsidRPr="001B6FE5">
        <w:rPr>
          <w:rFonts w:ascii="Arial Narrow" w:eastAsia="Times New Roman" w:hAnsi="Arial Narrow" w:cs="Arial"/>
          <w:szCs w:val="24"/>
        </w:rPr>
        <w:t>are</w:t>
      </w:r>
      <w:r w:rsidR="00023EA8">
        <w:rPr>
          <w:rFonts w:ascii="Arial Narrow" w:eastAsia="Times New Roman" w:hAnsi="Arial Narrow" w:cs="Arial"/>
          <w:szCs w:val="24"/>
        </w:rPr>
        <w:t>,</w:t>
      </w:r>
      <w:r w:rsidRPr="001B6FE5">
        <w:rPr>
          <w:rFonts w:ascii="Arial Narrow" w:eastAsia="Times New Roman" w:hAnsi="Arial Narrow" w:cs="Arial"/>
          <w:szCs w:val="24"/>
        </w:rPr>
        <w:t xml:space="preserve"> nonetheless</w:t>
      </w:r>
      <w:r w:rsidR="00023EA8">
        <w:rPr>
          <w:rFonts w:ascii="Arial Narrow" w:eastAsia="Times New Roman" w:hAnsi="Arial Narrow" w:cs="Arial"/>
          <w:szCs w:val="24"/>
        </w:rPr>
        <w:t>,</w:t>
      </w:r>
      <w:r w:rsidRPr="001B6FE5">
        <w:rPr>
          <w:rFonts w:ascii="Arial Narrow" w:eastAsia="Times New Roman" w:hAnsi="Arial Narrow" w:cs="Arial"/>
          <w:szCs w:val="24"/>
        </w:rPr>
        <w:t xml:space="preserve"> to be seen as an internationalist approach to foreign relations, w</w:t>
      </w:r>
      <w:r w:rsidR="00023EA8">
        <w:rPr>
          <w:rFonts w:ascii="Arial Narrow" w:eastAsia="Times New Roman" w:hAnsi="Arial Narrow" w:cs="Arial"/>
          <w:szCs w:val="24"/>
        </w:rPr>
        <w:t>hich include an ‘improvement’ in</w:t>
      </w:r>
      <w:r w:rsidRPr="001B6FE5">
        <w:rPr>
          <w:rFonts w:ascii="Arial Narrow" w:eastAsia="Times New Roman" w:hAnsi="Arial Narrow" w:cs="Arial"/>
          <w:szCs w:val="24"/>
        </w:rPr>
        <w:t xml:space="preserve"> less advanc</w:t>
      </w:r>
      <w:r w:rsidR="001C29EE">
        <w:rPr>
          <w:rFonts w:ascii="Arial Narrow" w:eastAsia="Times New Roman" w:hAnsi="Arial Narrow" w:cs="Arial"/>
          <w:szCs w:val="24"/>
        </w:rPr>
        <w:t xml:space="preserve">ed societies, </w:t>
      </w:r>
      <w:r w:rsidRPr="001B6FE5">
        <w:rPr>
          <w:rFonts w:ascii="Arial Narrow" w:eastAsia="Times New Roman" w:hAnsi="Arial Narrow" w:cs="Arial"/>
          <w:szCs w:val="24"/>
        </w:rPr>
        <w:t xml:space="preserve">only to willing to accept European advice and material support for their own betterment. </w:t>
      </w:r>
      <w:r w:rsidR="00280F5C">
        <w:rPr>
          <w:rFonts w:ascii="Arial Narrow" w:eastAsia="Times New Roman" w:hAnsi="Arial Narrow" w:cs="Arial"/>
          <w:szCs w:val="24"/>
        </w:rPr>
        <w:tab/>
      </w:r>
      <w:r w:rsidR="00280F5C" w:rsidRPr="001B6FE5">
        <w:rPr>
          <w:rFonts w:ascii="Arial Narrow" w:eastAsia="Times New Roman" w:hAnsi="Arial Narrow" w:cs="Arial"/>
          <w:szCs w:val="24"/>
        </w:rPr>
        <w:t>Leon Brittan, a British Conservative on the left (one of Mrs Thatcher’s “Wets”), ill</w:t>
      </w:r>
      <w:r w:rsidR="001C29EE">
        <w:rPr>
          <w:rFonts w:ascii="Arial Narrow" w:eastAsia="Times New Roman" w:hAnsi="Arial Narrow" w:cs="Arial"/>
          <w:szCs w:val="24"/>
        </w:rPr>
        <w:t>ustrates the centrist approach,</w:t>
      </w:r>
      <w:r w:rsidR="00280F5C">
        <w:rPr>
          <w:rFonts w:ascii="Arial Narrow" w:eastAsia="Times New Roman" w:hAnsi="Arial Narrow" w:cs="Arial"/>
          <w:szCs w:val="24"/>
        </w:rPr>
        <w:t xml:space="preserve"> </w:t>
      </w:r>
      <w:r w:rsidR="00280F5C" w:rsidRPr="001B6FE5">
        <w:rPr>
          <w:rFonts w:ascii="Arial Narrow" w:eastAsia="Times New Roman" w:hAnsi="Arial Narrow" w:cs="Arial"/>
          <w:szCs w:val="24"/>
        </w:rPr>
        <w:t>commenting that, ‘[i]f for example Europe is to exploit more open world markets to the full, governments must jointly develop domestic policies that give European industry the suppleness to fight against awesome competition abroad, notably from South-east Asia.’</w:t>
      </w:r>
      <w:r w:rsidR="00280F5C" w:rsidRPr="001B6FE5">
        <w:rPr>
          <w:rFonts w:ascii="Arial Narrow" w:eastAsia="Times New Roman" w:hAnsi="Arial Narrow" w:cs="Arial"/>
          <w:szCs w:val="24"/>
          <w:vertAlign w:val="superscript"/>
        </w:rPr>
        <w:footnoteReference w:id="2"/>
      </w:r>
      <w:r w:rsidR="00280F5C" w:rsidRPr="001B6FE5">
        <w:rPr>
          <w:rFonts w:ascii="Arial Narrow" w:eastAsia="Times New Roman" w:hAnsi="Arial Narrow" w:cs="Arial"/>
          <w:szCs w:val="24"/>
        </w:rPr>
        <w:t xml:space="preserve"> Exploitation, war and scale are the key points – it’s an expansionist approach to world problems which Europeans have utilised to the full, only coming ‘unstuck’ when internal tensions have weakened individual, overseas, ‘aggressor’ nation states. Continental scale rational planning provides a structure within which the ‘nation states’ can be neutered, providing for future prosperity predicated upon international expansion. The ‘Soviet Union’ an</w:t>
      </w:r>
      <w:r w:rsidR="00280F5C">
        <w:rPr>
          <w:rFonts w:ascii="Arial Narrow" w:eastAsia="Times New Roman" w:hAnsi="Arial Narrow" w:cs="Arial"/>
          <w:szCs w:val="24"/>
        </w:rPr>
        <w:t xml:space="preserve">d the ‘United Kingdom’, amongst </w:t>
      </w:r>
      <w:r w:rsidR="00280F5C" w:rsidRPr="001B6FE5">
        <w:rPr>
          <w:rFonts w:ascii="Arial Narrow" w:eastAsia="Times New Roman" w:hAnsi="Arial Narrow" w:cs="Arial"/>
          <w:szCs w:val="24"/>
        </w:rPr>
        <w:t>others, suggest that these are not new ideas. In fact they are as old as the Apennines and equally shaky, and none more so than in Eastern Europe. Closer cooperation is essential – but the</w:t>
      </w:r>
      <w:r w:rsidR="00280F5C">
        <w:rPr>
          <w:rFonts w:ascii="Arial Narrow" w:eastAsia="Times New Roman" w:hAnsi="Arial Narrow" w:cs="Arial"/>
          <w:szCs w:val="24"/>
        </w:rPr>
        <w:t xml:space="preserve"> </w:t>
      </w:r>
      <w:r w:rsidR="00280F5C" w:rsidRPr="001B6FE5">
        <w:rPr>
          <w:rFonts w:ascii="Arial Narrow" w:eastAsia="Times New Roman" w:hAnsi="Arial Narrow" w:cs="Arial"/>
          <w:szCs w:val="24"/>
        </w:rPr>
        <w:t>means by which this can be achieved need far closer examination.</w:t>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r w:rsidR="00280F5C">
        <w:rPr>
          <w:rFonts w:ascii="Arial Narrow" w:eastAsia="Times New Roman" w:hAnsi="Arial Narrow" w:cs="Arial"/>
          <w:szCs w:val="24"/>
        </w:rPr>
        <w:tab/>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drawing>
          <wp:inline distT="0" distB="0" distL="0" distR="0" wp14:anchorId="0EA7F43D" wp14:editId="5C516EEF">
            <wp:extent cx="5372100" cy="2276475"/>
            <wp:effectExtent l="0" t="0" r="0" b="0"/>
            <wp:docPr id="1" name="Picture 1" descr="Copy (2) of europe_19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py (2) of europe_191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72100" cy="2276475"/>
                    </a:xfrm>
                    <a:prstGeom prst="rect">
                      <a:avLst/>
                    </a:prstGeom>
                    <a:noFill/>
                    <a:ln>
                      <a:noFill/>
                    </a:ln>
                  </pic:spPr>
                </pic:pic>
              </a:graphicData>
            </a:graphic>
          </wp:inline>
        </w:drawing>
      </w:r>
    </w:p>
    <w:p w:rsidR="00273DD8" w:rsidRPr="00280F5C"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w:t>
      </w:r>
      <w:r w:rsidRPr="001B6FE5">
        <w:rPr>
          <w:rFonts w:ascii="Arial Narrow" w:eastAsia="Times New Roman" w:hAnsi="Arial Narrow" w:cs="Arial"/>
          <w:b/>
          <w:bCs/>
          <w:szCs w:val="24"/>
        </w:rPr>
        <w:fldChar w:fldCharType="begin"/>
      </w:r>
      <w:r w:rsidRPr="001B6FE5">
        <w:rPr>
          <w:rFonts w:ascii="Arial Narrow" w:eastAsia="Times New Roman" w:hAnsi="Arial Narrow" w:cs="Arial"/>
          <w:b/>
          <w:bCs/>
          <w:szCs w:val="24"/>
        </w:rPr>
        <w:instrText xml:space="preserve"> SEQ Figure \* ARABIC </w:instrText>
      </w:r>
      <w:r w:rsidRPr="001B6FE5">
        <w:rPr>
          <w:rFonts w:ascii="Arial Narrow" w:eastAsia="Times New Roman" w:hAnsi="Arial Narrow" w:cs="Arial"/>
          <w:b/>
          <w:bCs/>
          <w:szCs w:val="24"/>
        </w:rPr>
        <w:fldChar w:fldCharType="separate"/>
      </w:r>
      <w:r w:rsidR="003D2CE4">
        <w:rPr>
          <w:rFonts w:ascii="Arial Narrow" w:eastAsia="Times New Roman" w:hAnsi="Arial Narrow" w:cs="Arial"/>
          <w:b/>
          <w:bCs/>
          <w:noProof/>
          <w:szCs w:val="24"/>
        </w:rPr>
        <w:t>1</w:t>
      </w:r>
      <w:r w:rsidRPr="001B6FE5">
        <w:rPr>
          <w:rFonts w:ascii="Arial Narrow" w:eastAsia="Times New Roman" w:hAnsi="Arial Narrow" w:cs="Arial"/>
          <w:b/>
          <w:bCs/>
          <w:szCs w:val="24"/>
        </w:rPr>
        <w:fldChar w:fldCharType="end"/>
      </w:r>
      <w:r w:rsidRPr="001B6FE5">
        <w:rPr>
          <w:rFonts w:ascii="Arial Narrow" w:eastAsia="Times New Roman" w:hAnsi="Arial Narrow" w:cs="Arial"/>
          <w:b/>
          <w:bCs/>
          <w:szCs w:val="24"/>
        </w:rPr>
        <w:t xml:space="preserve"> The ‘Shatter Belt’ within the ‘</w:t>
      </w:r>
      <w:r w:rsidRPr="00742F89">
        <w:rPr>
          <w:rFonts w:ascii="Arial Narrow" w:eastAsia="Times New Roman" w:hAnsi="Arial Narrow" w:cs="Arial"/>
          <w:b/>
          <w:bCs/>
          <w:i/>
          <w:szCs w:val="24"/>
        </w:rPr>
        <w:t>Dreikaiserbund</w:t>
      </w:r>
      <w:r w:rsidRPr="001B6FE5">
        <w:rPr>
          <w:rFonts w:ascii="Arial Narrow" w:eastAsia="Times New Roman" w:hAnsi="Arial Narrow" w:cs="Arial"/>
          <w:b/>
          <w:bCs/>
          <w:szCs w:val="24"/>
        </w:rPr>
        <w:t xml:space="preserve">’ circa. 1910. </w:t>
      </w: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 xml:space="preserve">This dissertation however, </w:t>
      </w:r>
      <w:r w:rsidR="005D21CF">
        <w:rPr>
          <w:rFonts w:ascii="Arial Narrow" w:eastAsia="Times New Roman" w:hAnsi="Arial Narrow" w:cs="Arial"/>
          <w:szCs w:val="24"/>
        </w:rPr>
        <w:t xml:space="preserve"> will </w:t>
      </w:r>
      <w:r w:rsidRPr="001B6FE5">
        <w:rPr>
          <w:rFonts w:ascii="Arial Narrow" w:eastAsia="Times New Roman" w:hAnsi="Arial Narrow" w:cs="Arial"/>
          <w:szCs w:val="24"/>
        </w:rPr>
        <w:t>concentrate upon Europe’s ‘shatter zone’ (Fig. 1), a broad sweep of east-Central European lands stretching, in a loose rectangular arch</w:t>
      </w:r>
      <w:r w:rsidR="005B0CC5">
        <w:rPr>
          <w:rFonts w:ascii="Arial Narrow" w:eastAsia="Times New Roman" w:hAnsi="Arial Narrow" w:cs="Arial"/>
          <w:szCs w:val="24"/>
        </w:rPr>
        <w:t>,</w:t>
      </w:r>
      <w:r w:rsidRPr="001B6FE5">
        <w:rPr>
          <w:rFonts w:ascii="Arial Narrow" w:eastAsia="Times New Roman" w:hAnsi="Arial Narrow" w:cs="Arial"/>
          <w:szCs w:val="24"/>
        </w:rPr>
        <w:t xml:space="preserve"> from Posen/Poznan and Pilsen in the </w:t>
      </w:r>
      <w:r w:rsidRPr="001B6FE5">
        <w:rPr>
          <w:rFonts w:ascii="Arial Narrow" w:eastAsia="Times New Roman" w:hAnsi="Arial Narrow" w:cs="Arial"/>
          <w:szCs w:val="24"/>
        </w:rPr>
        <w:lastRenderedPageBreak/>
        <w:t>west, to Bialystok and Lem</w:t>
      </w:r>
      <w:r w:rsidR="005D21CF">
        <w:rPr>
          <w:rFonts w:ascii="Arial Narrow" w:eastAsia="Times New Roman" w:hAnsi="Arial Narrow" w:cs="Arial"/>
          <w:szCs w:val="24"/>
        </w:rPr>
        <w:t>berg/Lviv/Lvov/Lwow in the east -</w:t>
      </w:r>
      <w:r w:rsidRPr="001B6FE5">
        <w:rPr>
          <w:rFonts w:ascii="Arial Narrow" w:eastAsia="Times New Roman" w:hAnsi="Arial Narrow" w:cs="Arial"/>
          <w:szCs w:val="24"/>
        </w:rPr>
        <w:t xml:space="preserve"> allowing for some ‘frontier outrages’ where necessary.</w:t>
      </w:r>
      <w:r w:rsidRPr="001B6FE5">
        <w:rPr>
          <w:rFonts w:ascii="Arial Narrow" w:eastAsia="Times New Roman" w:hAnsi="Arial Narrow" w:cs="Arial"/>
          <w:szCs w:val="24"/>
          <w:vertAlign w:val="superscript"/>
        </w:rPr>
        <w:footnoteReference w:id="3"/>
      </w:r>
      <w:r w:rsidRPr="001B6FE5">
        <w:rPr>
          <w:rFonts w:ascii="Arial Narrow" w:eastAsia="Times New Roman" w:hAnsi="Arial Narrow" w:cs="Arial"/>
          <w:szCs w:val="24"/>
        </w:rPr>
        <w:t xml:space="preserve"> </w:t>
      </w:r>
      <w:r w:rsidR="005B0CC5">
        <w:rPr>
          <w:rFonts w:ascii="Arial Narrow" w:eastAsia="Times New Roman" w:hAnsi="Arial Narrow" w:cs="Arial"/>
          <w:szCs w:val="24"/>
        </w:rPr>
        <w:t>Significantly, after 1938</w:t>
      </w:r>
      <w:r w:rsidRPr="001B6FE5">
        <w:rPr>
          <w:rFonts w:ascii="Arial Narrow" w:eastAsia="Times New Roman" w:hAnsi="Arial Narrow" w:cs="Arial"/>
          <w:szCs w:val="24"/>
        </w:rPr>
        <w:t xml:space="preserve"> the ‘marshy parts of Russia’ provided the sites for ‘annihilation’ on a scale that was not seen in othe</w:t>
      </w:r>
      <w:r w:rsidR="00006300">
        <w:rPr>
          <w:rFonts w:ascii="Arial Narrow" w:eastAsia="Times New Roman" w:hAnsi="Arial Narrow" w:cs="Arial"/>
          <w:szCs w:val="24"/>
        </w:rPr>
        <w:t>r parts of Central Europe.</w:t>
      </w:r>
      <w:r w:rsidR="00006300">
        <w:rPr>
          <w:rStyle w:val="FootnoteReference"/>
          <w:rFonts w:ascii="Arial Narrow" w:eastAsia="Times New Roman" w:hAnsi="Arial Narrow" w:cs="Arial"/>
          <w:szCs w:val="24"/>
        </w:rPr>
        <w:footnoteReference w:id="4"/>
      </w:r>
      <w:r w:rsidR="00006300">
        <w:rPr>
          <w:rFonts w:ascii="Arial Narrow" w:eastAsia="Times New Roman" w:hAnsi="Arial Narrow" w:cs="Arial"/>
          <w:szCs w:val="24"/>
        </w:rPr>
        <w:t xml:space="preserve"> </w:t>
      </w:r>
      <w:r w:rsidR="005D21CF">
        <w:rPr>
          <w:rFonts w:ascii="Arial Narrow" w:eastAsia="Times New Roman" w:hAnsi="Arial Narrow" w:cs="Arial"/>
          <w:szCs w:val="24"/>
        </w:rPr>
        <w:t xml:space="preserve"> A</w:t>
      </w:r>
      <w:r w:rsidRPr="001B6FE5">
        <w:rPr>
          <w:rFonts w:ascii="Arial Narrow" w:eastAsia="Times New Roman" w:hAnsi="Arial Narrow" w:cs="Arial"/>
          <w:szCs w:val="24"/>
        </w:rPr>
        <w:t>s far back as the thirteenth century, Teutonic Knights were given Chelmno/Kulmhof as a base with which to perform their “Christian duty” agains</w:t>
      </w:r>
      <w:r w:rsidR="005D21CF">
        <w:rPr>
          <w:rFonts w:ascii="Arial Narrow" w:eastAsia="Times New Roman" w:hAnsi="Arial Narrow" w:cs="Arial"/>
          <w:szCs w:val="24"/>
        </w:rPr>
        <w:t xml:space="preserve">t their ‘Slavic neighbours’, </w:t>
      </w:r>
      <w:r w:rsidR="0095677E">
        <w:rPr>
          <w:rFonts w:ascii="Arial Narrow" w:eastAsia="Times New Roman" w:hAnsi="Arial Narrow" w:cs="Arial"/>
          <w:szCs w:val="24"/>
        </w:rPr>
        <w:t xml:space="preserve">and </w:t>
      </w:r>
      <w:r w:rsidR="005D21CF">
        <w:rPr>
          <w:rFonts w:ascii="Arial Narrow" w:eastAsia="Times New Roman" w:hAnsi="Arial Narrow" w:cs="Arial"/>
          <w:szCs w:val="24"/>
        </w:rPr>
        <w:t>this</w:t>
      </w:r>
      <w:r w:rsidRPr="001B6FE5">
        <w:rPr>
          <w:rFonts w:ascii="Arial Narrow" w:eastAsia="Times New Roman" w:hAnsi="Arial Narrow" w:cs="Arial"/>
          <w:szCs w:val="24"/>
        </w:rPr>
        <w:t xml:space="preserve"> vast sweep of the great North European Plain has enticed ‘bloodthirsty, sadistic and unscrupulous invaders’ from across Eurasia.</w:t>
      </w:r>
      <w:r w:rsidRPr="001B6FE5">
        <w:rPr>
          <w:rFonts w:ascii="Arial Narrow" w:eastAsia="Times New Roman" w:hAnsi="Arial Narrow" w:cs="Arial"/>
          <w:szCs w:val="24"/>
          <w:vertAlign w:val="superscript"/>
        </w:rPr>
        <w:footnoteReference w:id="5"/>
      </w:r>
      <w:r w:rsidR="005D21CF">
        <w:rPr>
          <w:rFonts w:ascii="Arial Narrow" w:eastAsia="Times New Roman" w:hAnsi="Arial Narrow" w:cs="Arial"/>
          <w:szCs w:val="24"/>
        </w:rPr>
        <w:t xml:space="preserve"> The Battle of Grunewald (1410) - modern Germanys</w:t>
      </w:r>
      <w:r w:rsidRPr="001B6FE5">
        <w:rPr>
          <w:rFonts w:ascii="Arial Narrow" w:eastAsia="Times New Roman" w:hAnsi="Arial Narrow" w:cs="Arial"/>
          <w:szCs w:val="24"/>
        </w:rPr>
        <w:t xml:space="preserve"> </w:t>
      </w:r>
      <w:r w:rsidR="005D21CF">
        <w:rPr>
          <w:rFonts w:ascii="Arial Narrow" w:eastAsia="Times New Roman" w:hAnsi="Arial Narrow" w:cs="Arial"/>
          <w:szCs w:val="24"/>
        </w:rPr>
        <w:t>‘Tannenberg’ - served to ‘sew dragon’s teeth’, encouraging</w:t>
      </w:r>
      <w:r w:rsidRPr="001B6FE5">
        <w:rPr>
          <w:rFonts w:ascii="Arial Narrow" w:eastAsia="Times New Roman" w:hAnsi="Arial Narrow" w:cs="Arial"/>
          <w:szCs w:val="24"/>
        </w:rPr>
        <w:t xml:space="preserve"> further ‘</w:t>
      </w:r>
      <w:r w:rsidRPr="005B0CC5">
        <w:rPr>
          <w:rFonts w:ascii="Arial Narrow" w:eastAsia="Times New Roman" w:hAnsi="Arial Narrow" w:cs="Arial"/>
          <w:i/>
          <w:szCs w:val="24"/>
        </w:rPr>
        <w:t>Drang nach Osten.</w:t>
      </w:r>
      <w:r w:rsidRPr="001B6FE5">
        <w:rPr>
          <w:rFonts w:ascii="Arial Narrow" w:eastAsia="Times New Roman" w:hAnsi="Arial Narrow" w:cs="Arial"/>
          <w:szCs w:val="24"/>
        </w:rPr>
        <w:t>’ Yet curiously the area was known as a ‘haven for Europe’s religiously persecuted’, and Central Europe was particularly multi-ethnic; “national Freedom” - in modern parlance – consisting</w:t>
      </w:r>
      <w:r w:rsidR="005D21CF">
        <w:rPr>
          <w:rFonts w:ascii="Arial Narrow" w:eastAsia="Times New Roman" w:hAnsi="Arial Narrow" w:cs="Arial"/>
          <w:szCs w:val="24"/>
        </w:rPr>
        <w:t xml:space="preserve"> mainly</w:t>
      </w:r>
      <w:r w:rsidRPr="001B6FE5">
        <w:rPr>
          <w:rFonts w:ascii="Arial Narrow" w:eastAsia="Times New Roman" w:hAnsi="Arial Narrow" w:cs="Arial"/>
          <w:szCs w:val="24"/>
        </w:rPr>
        <w:t xml:space="preserve"> in the interests of the nobles. The partitions of the late eighteenth century represented a stalemate, and the ‘official’ </w:t>
      </w:r>
      <w:r w:rsidRPr="001B6FE5">
        <w:rPr>
          <w:rFonts w:ascii="Arial Narrow" w:eastAsia="Times New Roman" w:hAnsi="Arial Narrow" w:cs="Arial"/>
          <w:i/>
          <w:szCs w:val="24"/>
        </w:rPr>
        <w:t>Dreikaiserbund</w:t>
      </w:r>
      <w:r w:rsidRPr="001B6FE5">
        <w:rPr>
          <w:rFonts w:ascii="Arial Narrow" w:eastAsia="Times New Roman" w:hAnsi="Arial Narrow" w:cs="Arial"/>
          <w:szCs w:val="24"/>
        </w:rPr>
        <w:t xml:space="preserve"> (1872) appeared to re-establish continuity (Fig. 2). Up to the eighteenth century the peasantry remained tied to his land, not knowing (or caring) for the abstract notion of ‘Nation’ and certainly not prepared to kill for it. In east-Central Europe </w:t>
      </w:r>
      <w:r w:rsidR="005533A7">
        <w:rPr>
          <w:rFonts w:ascii="Arial Narrow" w:eastAsia="Times New Roman" w:hAnsi="Arial Narrow" w:cs="Arial"/>
          <w:szCs w:val="24"/>
        </w:rPr>
        <w:t>their</w:t>
      </w:r>
      <w:r w:rsidRPr="001B6FE5">
        <w:rPr>
          <w:rFonts w:ascii="Arial Narrow" w:eastAsia="Times New Roman" w:hAnsi="Arial Narrow" w:cs="Arial"/>
          <w:szCs w:val="24"/>
        </w:rPr>
        <w:t xml:space="preserve"> ‘livelihood depended upon the vicissitudes of the European grain market’, but by th</w:t>
      </w:r>
      <w:r w:rsidR="006F30E7">
        <w:rPr>
          <w:rFonts w:ascii="Arial Narrow" w:eastAsia="Times New Roman" w:hAnsi="Arial Narrow" w:cs="Arial"/>
          <w:szCs w:val="24"/>
        </w:rPr>
        <w:t xml:space="preserve">e end of the nineteenth century </w:t>
      </w:r>
      <w:r w:rsidRPr="001B6FE5">
        <w:rPr>
          <w:rFonts w:ascii="Arial Narrow" w:eastAsia="Times New Roman" w:hAnsi="Arial Narrow" w:cs="Arial"/>
          <w:szCs w:val="24"/>
        </w:rPr>
        <w:t>he may have served compulsory military service and worked in the nascent nations burgeoning industrial cities.</w:t>
      </w:r>
      <w:r w:rsidRPr="001B6FE5">
        <w:rPr>
          <w:rFonts w:ascii="Arial Narrow" w:eastAsia="Times New Roman" w:hAnsi="Arial Narrow" w:cs="Arial"/>
          <w:szCs w:val="24"/>
          <w:vertAlign w:val="superscript"/>
        </w:rPr>
        <w:footnoteReference w:id="6"/>
      </w:r>
      <w:r w:rsidRPr="001B6FE5">
        <w:rPr>
          <w:rFonts w:ascii="Arial Narrow" w:eastAsia="Times New Roman" w:hAnsi="Arial Narrow" w:cs="Arial"/>
          <w:szCs w:val="24"/>
        </w:rPr>
        <w:t xml:space="preserve"> This zone represents most of the nationalistic failings and insecurities which have, and still do prevail in the sub-Continent of Europe, providing scope to explore the aggressive nationalizing tendencies </w:t>
      </w:r>
      <w:r w:rsidR="005533A7">
        <w:rPr>
          <w:rFonts w:ascii="Arial Narrow" w:eastAsia="Times New Roman" w:hAnsi="Arial Narrow" w:cs="Arial"/>
          <w:szCs w:val="24"/>
        </w:rPr>
        <w:t>Europ</w:t>
      </w:r>
      <w:r w:rsidRPr="001B6FE5">
        <w:rPr>
          <w:rFonts w:ascii="Arial Narrow" w:eastAsia="Times New Roman" w:hAnsi="Arial Narrow" w:cs="Arial"/>
          <w:szCs w:val="24"/>
        </w:rPr>
        <w:t>e</w:t>
      </w:r>
      <w:r w:rsidR="005533A7">
        <w:rPr>
          <w:rFonts w:ascii="Arial Narrow" w:eastAsia="Times New Roman" w:hAnsi="Arial Narrow" w:cs="Arial"/>
          <w:szCs w:val="24"/>
        </w:rPr>
        <w:t>ans e</w:t>
      </w:r>
      <w:r w:rsidRPr="001B6FE5">
        <w:rPr>
          <w:rFonts w:ascii="Arial Narrow" w:eastAsia="Times New Roman" w:hAnsi="Arial Narrow" w:cs="Arial"/>
          <w:szCs w:val="24"/>
        </w:rPr>
        <w:t>xported around the globe. Before the ‘Great War’, this region was politically neutered</w:t>
      </w:r>
      <w:r w:rsidR="005533A7">
        <w:rPr>
          <w:rFonts w:ascii="Arial Narrow" w:eastAsia="Times New Roman" w:hAnsi="Arial Narrow" w:cs="Arial"/>
          <w:szCs w:val="24"/>
        </w:rPr>
        <w:t xml:space="preserve"> compared to</w:t>
      </w:r>
      <w:r w:rsidRPr="001B6FE5">
        <w:rPr>
          <w:rFonts w:ascii="Arial Narrow" w:eastAsia="Times New Roman" w:hAnsi="Arial Narrow" w:cs="Arial"/>
          <w:szCs w:val="24"/>
        </w:rPr>
        <w:t xml:space="preserve"> the powder-keg of the Balkans.</w:t>
      </w:r>
      <w:r w:rsidR="006F30E7">
        <w:rPr>
          <w:rFonts w:ascii="Arial Narrow" w:eastAsia="Times New Roman" w:hAnsi="Arial Narrow" w:cs="Arial"/>
          <w:szCs w:val="24"/>
        </w:rPr>
        <w:t xml:space="preserve"> </w:t>
      </w:r>
      <w:r w:rsidRPr="001B6FE5">
        <w:rPr>
          <w:rFonts w:ascii="Arial Narrow" w:eastAsia="Times New Roman" w:hAnsi="Arial Narrow" w:cs="Arial"/>
          <w:szCs w:val="24"/>
        </w:rPr>
        <w:t>Here, as in the rest of Europe however, the ‘populace was made “legible” through relentless measuring and standardization’, particularly mapping and accounting (for instance through censuses and passports).</w:t>
      </w:r>
      <w:r w:rsidRPr="001B6FE5">
        <w:rPr>
          <w:rFonts w:ascii="Arial Narrow" w:eastAsia="Times New Roman" w:hAnsi="Arial Narrow" w:cs="Arial"/>
          <w:szCs w:val="24"/>
          <w:vertAlign w:val="superscript"/>
        </w:rPr>
        <w:footnoteReference w:id="7"/>
      </w:r>
      <w:r w:rsidRPr="001B6FE5">
        <w:rPr>
          <w:rFonts w:ascii="Arial Narrow" w:eastAsia="Times New Roman" w:hAnsi="Arial Narrow" w:cs="Arial"/>
          <w:szCs w:val="24"/>
        </w:rPr>
        <w:t xml:space="preserve"> </w:t>
      </w: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lastRenderedPageBreak/>
        <w:t xml:space="preserve">The Great War </w:t>
      </w:r>
      <w:r w:rsidR="005533A7">
        <w:rPr>
          <w:rFonts w:ascii="Arial Narrow" w:eastAsia="Times New Roman" w:hAnsi="Arial Narrow" w:cs="Arial"/>
          <w:szCs w:val="24"/>
        </w:rPr>
        <w:t xml:space="preserve">had </w:t>
      </w:r>
      <w:r w:rsidRPr="001B6FE5">
        <w:rPr>
          <w:rFonts w:ascii="Arial Narrow" w:eastAsia="Times New Roman" w:hAnsi="Arial Narrow" w:cs="Arial"/>
          <w:szCs w:val="24"/>
        </w:rPr>
        <w:t>made necessary the relocation of political life, away ‘from the royal palaces, houses of parliament, or backrooms, to army barracks, public squares, factories, sports stadiums’, as the feminisation of society coincided with the ‘blossoming’ of the “Gardening State”.</w:t>
      </w:r>
      <w:r w:rsidRPr="001B6FE5">
        <w:rPr>
          <w:rFonts w:ascii="Arial Narrow" w:eastAsia="Times New Roman" w:hAnsi="Arial Narrow" w:cs="Arial"/>
          <w:szCs w:val="24"/>
          <w:vertAlign w:val="superscript"/>
        </w:rPr>
        <w:footnoteReference w:id="8"/>
      </w:r>
      <w:r w:rsidRPr="001B6FE5">
        <w:rPr>
          <w:rFonts w:ascii="Arial Narrow" w:eastAsia="Times New Roman" w:hAnsi="Arial Narrow" w:cs="Arial"/>
          <w:szCs w:val="24"/>
        </w:rPr>
        <w:t xml:space="preserve"> In Central Europe, the Hohenzollerns, Habsburgs and Romanovs nurtured their subjects as they treated their POWs, segregating on the basis of nationality, </w:t>
      </w:r>
      <w:r w:rsidR="005533A7">
        <w:rPr>
          <w:rFonts w:ascii="Arial Narrow" w:eastAsia="Times New Roman" w:hAnsi="Arial Narrow" w:cs="Arial"/>
          <w:szCs w:val="24"/>
        </w:rPr>
        <w:t>unwittingly</w:t>
      </w:r>
      <w:r w:rsidRPr="001B6FE5">
        <w:rPr>
          <w:rFonts w:ascii="Arial Narrow" w:eastAsia="Times New Roman" w:hAnsi="Arial Narrow" w:cs="Arial"/>
          <w:szCs w:val="24"/>
        </w:rPr>
        <w:t xml:space="preserve"> ‘sowing the seeds’ of their own suicides. Similarly the wartime flight of populations, particularly millions of Russian and Polish Jews to Vienna and Budapest, disentangled further the complex ethnography of the region, tidying up for future misuse.</w:t>
      </w:r>
      <w:r w:rsidRPr="001B6FE5">
        <w:rPr>
          <w:rFonts w:ascii="Arial Narrow" w:eastAsia="Times New Roman" w:hAnsi="Arial Narrow" w:cs="Arial"/>
          <w:szCs w:val="24"/>
          <w:vertAlign w:val="superscript"/>
        </w:rPr>
        <w:footnoteReference w:id="9"/>
      </w:r>
      <w:r w:rsidRPr="001B6FE5">
        <w:rPr>
          <w:rFonts w:ascii="Arial Narrow" w:eastAsia="Times New Roman" w:hAnsi="Arial Narrow" w:cs="Arial"/>
          <w:szCs w:val="24"/>
        </w:rPr>
        <w:t xml:space="preserve"> </w:t>
      </w:r>
      <w:r w:rsidR="005533A7">
        <w:rPr>
          <w:rFonts w:ascii="Arial Narrow" w:eastAsia="Times New Roman" w:hAnsi="Arial Narrow" w:cs="Arial"/>
          <w:szCs w:val="24"/>
        </w:rPr>
        <w:t>As Istvan Deak bleakly concluded</w:t>
      </w:r>
      <w:r w:rsidRPr="001B6FE5">
        <w:rPr>
          <w:rFonts w:ascii="Arial Narrow" w:eastAsia="Times New Roman" w:hAnsi="Arial Narrow" w:cs="Arial"/>
          <w:szCs w:val="24"/>
        </w:rPr>
        <w:t>, east-Central Europe’s only genuine success was in the realm of ethnic cleansing, achieved with ‘the connivance of the majority of [its] citizens’ in ‘forcibly assimilating, deporting or killing most of the ethnic minorities’, not by ‘converting its citizens to one way of thinking.’</w:t>
      </w:r>
      <w:r w:rsidRPr="001B6FE5">
        <w:rPr>
          <w:rFonts w:ascii="Arial Narrow" w:eastAsia="Times New Roman" w:hAnsi="Arial Narrow" w:cs="Arial"/>
          <w:szCs w:val="24"/>
          <w:vertAlign w:val="superscript"/>
        </w:rPr>
        <w:footnoteReference w:id="10"/>
      </w:r>
      <w:r w:rsidRPr="001B6FE5">
        <w:rPr>
          <w:rFonts w:ascii="Arial Narrow" w:eastAsia="Times New Roman" w:hAnsi="Arial Narrow" w:cs="Arial"/>
          <w:szCs w:val="24"/>
        </w:rPr>
        <w:t xml:space="preserve"> It was the victory of the native peasant over the foreign usurper and land hungry farmer settlers. </w:t>
      </w: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 xml:space="preserve">Whilst many of these observations appertained to all the nationalities and ‘tribes’ in Central Europe (and this definition is in itself open to question), the countries contiguous with the ‘shatter belt’ underwent catastrophic changes, pertinent to </w:t>
      </w:r>
      <w:r w:rsidR="000F6550">
        <w:rPr>
          <w:rFonts w:ascii="Arial Narrow" w:eastAsia="Times New Roman" w:hAnsi="Arial Narrow" w:cs="Arial"/>
          <w:szCs w:val="24"/>
        </w:rPr>
        <w:t xml:space="preserve">the </w:t>
      </w:r>
      <w:r w:rsidRPr="001B6FE5">
        <w:rPr>
          <w:rFonts w:ascii="Arial Narrow" w:eastAsia="Times New Roman" w:hAnsi="Arial Narrow" w:cs="Arial"/>
          <w:szCs w:val="24"/>
        </w:rPr>
        <w:t>permanent state of flux</w:t>
      </w:r>
      <w:r w:rsidR="000F6550">
        <w:rPr>
          <w:rFonts w:ascii="Arial Narrow" w:eastAsia="Times New Roman" w:hAnsi="Arial Narrow" w:cs="Arial"/>
          <w:szCs w:val="24"/>
        </w:rPr>
        <w:t xml:space="preserve"> they experienced</w:t>
      </w:r>
      <w:r w:rsidRPr="001B6FE5">
        <w:rPr>
          <w:rFonts w:ascii="Arial Narrow" w:eastAsia="Times New Roman" w:hAnsi="Arial Narrow" w:cs="Arial"/>
          <w:szCs w:val="24"/>
        </w:rPr>
        <w:t xml:space="preserve"> during the interwar period. It is notable that later genocidal violence, </w:t>
      </w:r>
      <w:r w:rsidR="005533A7">
        <w:rPr>
          <w:rFonts w:ascii="Arial Narrow" w:eastAsia="Times New Roman" w:hAnsi="Arial Narrow" w:cs="Arial"/>
          <w:szCs w:val="24"/>
        </w:rPr>
        <w:t>occurring</w:t>
      </w:r>
      <w:r w:rsidRPr="001B6FE5">
        <w:rPr>
          <w:rFonts w:ascii="Arial Narrow" w:eastAsia="Times New Roman" w:hAnsi="Arial Narrow" w:cs="Arial"/>
          <w:szCs w:val="24"/>
        </w:rPr>
        <w:t xml:space="preserve"> throughout Central and Eastern Euro</w:t>
      </w:r>
      <w:r w:rsidR="0075279E">
        <w:rPr>
          <w:rFonts w:ascii="Arial Narrow" w:eastAsia="Times New Roman" w:hAnsi="Arial Narrow" w:cs="Arial"/>
          <w:szCs w:val="24"/>
        </w:rPr>
        <w:t>pe, was both acute in</w:t>
      </w:r>
      <w:r w:rsidRPr="001B6FE5">
        <w:rPr>
          <w:rFonts w:ascii="Arial Narrow" w:eastAsia="Times New Roman" w:hAnsi="Arial Narrow" w:cs="Arial"/>
          <w:szCs w:val="24"/>
        </w:rPr>
        <w:t xml:space="preserve"> and also a destination for, the annihilationist policies of all belligerents in the Eastern European sphere of operation in the later World War. Uniquely Poland, particularly the idea of a greater ‘historic’ ‘Jagiellonian Poland’, also encompassed three zones of previous administrative rule - a creation of the Wilsonian idea of ‘autonomous development, “a Western, semi-Western, and a completely Eastern area”, which exacerbated existing cultural and ethnic tensions.</w:t>
      </w:r>
      <w:r w:rsidRPr="001B6FE5">
        <w:rPr>
          <w:rFonts w:ascii="Arial Narrow" w:eastAsia="Times New Roman" w:hAnsi="Arial Narrow" w:cs="Arial"/>
          <w:szCs w:val="24"/>
          <w:vertAlign w:val="superscript"/>
        </w:rPr>
        <w:footnoteReference w:id="11"/>
      </w:r>
      <w:r w:rsidRPr="001B6FE5">
        <w:rPr>
          <w:rFonts w:ascii="Arial Narrow" w:eastAsia="Times New Roman" w:hAnsi="Arial Narrow" w:cs="Arial"/>
          <w:szCs w:val="24"/>
        </w:rPr>
        <w:t xml:space="preserve"> Moreover, within this region not only resided the </w:t>
      </w:r>
      <w:r w:rsidR="00D7753B" w:rsidRPr="001B6FE5">
        <w:rPr>
          <w:rFonts w:ascii="Arial Narrow" w:eastAsia="Times New Roman" w:hAnsi="Arial Narrow" w:cs="Arial"/>
          <w:szCs w:val="24"/>
        </w:rPr>
        <w:t>wo</w:t>
      </w:r>
      <w:r w:rsidR="00D7753B">
        <w:rPr>
          <w:rFonts w:ascii="Arial Narrow" w:eastAsia="Times New Roman" w:hAnsi="Arial Narrow" w:cs="Arial"/>
          <w:szCs w:val="24"/>
        </w:rPr>
        <w:t>rld’s</w:t>
      </w:r>
      <w:r w:rsidR="00006300">
        <w:rPr>
          <w:rFonts w:ascii="Arial Narrow" w:eastAsia="Times New Roman" w:hAnsi="Arial Narrow" w:cs="Arial"/>
          <w:szCs w:val="24"/>
        </w:rPr>
        <w:t xml:space="preserve"> largest Jewish population - </w:t>
      </w:r>
      <w:r w:rsidR="0075279E">
        <w:rPr>
          <w:rFonts w:ascii="Arial Narrow" w:eastAsia="Times New Roman" w:hAnsi="Arial Narrow" w:cs="Arial"/>
          <w:szCs w:val="24"/>
        </w:rPr>
        <w:t>exploding</w:t>
      </w:r>
      <w:r w:rsidRPr="001B6FE5">
        <w:rPr>
          <w:rFonts w:ascii="Arial Narrow" w:eastAsia="Times New Roman" w:hAnsi="Arial Narrow" w:cs="Arial"/>
          <w:szCs w:val="24"/>
        </w:rPr>
        <w:t xml:space="preserve"> at an even greate</w:t>
      </w:r>
      <w:r w:rsidR="00006300">
        <w:rPr>
          <w:rFonts w:ascii="Arial Narrow" w:eastAsia="Times New Roman" w:hAnsi="Arial Narrow" w:cs="Arial"/>
          <w:szCs w:val="24"/>
        </w:rPr>
        <w:t xml:space="preserve">r rate than the rest of Europe - </w:t>
      </w:r>
      <w:r w:rsidRPr="001B6FE5">
        <w:rPr>
          <w:rFonts w:ascii="Arial Narrow" w:eastAsia="Times New Roman" w:hAnsi="Arial Narrow" w:cs="Arial"/>
          <w:szCs w:val="24"/>
        </w:rPr>
        <w:t xml:space="preserve">it was hopelessly destined to </w:t>
      </w:r>
      <w:r w:rsidRPr="001B6FE5">
        <w:rPr>
          <w:rFonts w:ascii="Arial Narrow" w:eastAsia="Times New Roman" w:hAnsi="Arial Narrow" w:cs="Arial"/>
          <w:szCs w:val="24"/>
        </w:rPr>
        <w:lastRenderedPageBreak/>
        <w:t xml:space="preserve">be </w:t>
      </w:r>
      <w:r w:rsidR="000F6550">
        <w:rPr>
          <w:rFonts w:ascii="Arial Narrow" w:eastAsia="Times New Roman" w:hAnsi="Arial Narrow" w:cs="Arial"/>
          <w:szCs w:val="24"/>
        </w:rPr>
        <w:t xml:space="preserve">a </w:t>
      </w:r>
      <w:r w:rsidR="0075279E">
        <w:rPr>
          <w:rFonts w:ascii="Arial Narrow" w:eastAsia="Times New Roman" w:hAnsi="Arial Narrow" w:cs="Arial"/>
          <w:szCs w:val="24"/>
        </w:rPr>
        <w:t>land</w:t>
      </w:r>
      <w:r w:rsidR="000F6550">
        <w:rPr>
          <w:rFonts w:ascii="Arial Narrow" w:eastAsia="Times New Roman" w:hAnsi="Arial Narrow" w:cs="Arial"/>
          <w:szCs w:val="24"/>
        </w:rPr>
        <w:t xml:space="preserve"> </w:t>
      </w:r>
      <w:r w:rsidR="00D7753B">
        <w:rPr>
          <w:rFonts w:ascii="Arial Narrow" w:eastAsia="Times New Roman" w:hAnsi="Arial Narrow" w:cs="Arial"/>
          <w:szCs w:val="24"/>
        </w:rPr>
        <w:t xml:space="preserve">for many, </w:t>
      </w:r>
      <w:r w:rsidR="000F6550">
        <w:rPr>
          <w:rFonts w:ascii="Arial Narrow" w:eastAsia="Times New Roman" w:hAnsi="Arial Narrow" w:cs="Arial"/>
          <w:szCs w:val="24"/>
        </w:rPr>
        <w:t>they were unable or unwilling to leave</w:t>
      </w:r>
      <w:r w:rsidRPr="001B6FE5">
        <w:rPr>
          <w:rFonts w:ascii="Arial Narrow" w:eastAsia="Times New Roman" w:hAnsi="Arial Narrow" w:cs="Arial"/>
          <w:szCs w:val="24"/>
        </w:rPr>
        <w:t>.</w:t>
      </w:r>
      <w:r w:rsidRPr="001B6FE5">
        <w:rPr>
          <w:rFonts w:ascii="Arial Narrow" w:eastAsia="Times New Roman" w:hAnsi="Arial Narrow" w:cs="Arial"/>
          <w:szCs w:val="24"/>
          <w:vertAlign w:val="superscript"/>
        </w:rPr>
        <w:footnoteReference w:id="12"/>
      </w:r>
      <w:r w:rsidR="00006300">
        <w:rPr>
          <w:rFonts w:ascii="Arial Narrow" w:eastAsia="Times New Roman" w:hAnsi="Arial Narrow" w:cs="Arial"/>
          <w:szCs w:val="24"/>
        </w:rPr>
        <w:t xml:space="preserve"> The topography of the region records the ‘delay in nation state development</w:t>
      </w:r>
      <w:r w:rsidR="00CD4F0A">
        <w:rPr>
          <w:rFonts w:ascii="Arial Narrow" w:eastAsia="Times New Roman" w:hAnsi="Arial Narrow" w:cs="Arial"/>
          <w:szCs w:val="24"/>
        </w:rPr>
        <w:t>’. T</w:t>
      </w:r>
      <w:r w:rsidR="00006300">
        <w:rPr>
          <w:rFonts w:ascii="Arial Narrow" w:eastAsia="Times New Roman" w:hAnsi="Arial Narrow" w:cs="Arial"/>
          <w:szCs w:val="24"/>
        </w:rPr>
        <w:t>hat is the ‘multinational environment, internal stagnation and socioeconom</w:t>
      </w:r>
      <w:r w:rsidR="00CD4F0A">
        <w:rPr>
          <w:rFonts w:ascii="Arial Narrow" w:eastAsia="Times New Roman" w:hAnsi="Arial Narrow" w:cs="Arial"/>
          <w:szCs w:val="24"/>
        </w:rPr>
        <w:t xml:space="preserve">ic conditions’ which had and </w:t>
      </w:r>
      <w:r w:rsidR="0075279E">
        <w:rPr>
          <w:rFonts w:ascii="Arial Narrow" w:eastAsia="Times New Roman" w:hAnsi="Arial Narrow" w:cs="Arial"/>
          <w:szCs w:val="24"/>
        </w:rPr>
        <w:t>still do prevail</w:t>
      </w:r>
      <w:r w:rsidR="00006300">
        <w:rPr>
          <w:rFonts w:ascii="Arial Narrow" w:eastAsia="Times New Roman" w:hAnsi="Arial Narrow" w:cs="Arial"/>
          <w:szCs w:val="24"/>
        </w:rPr>
        <w:t xml:space="preserve">, </w:t>
      </w:r>
      <w:r w:rsidRPr="001B6FE5">
        <w:rPr>
          <w:rFonts w:ascii="Arial Narrow" w:eastAsia="Times New Roman" w:hAnsi="Arial Narrow" w:cs="Arial"/>
          <w:szCs w:val="24"/>
        </w:rPr>
        <w:t>hides many of its secrets.</w:t>
      </w:r>
      <w:r w:rsidR="00CD4F0A">
        <w:rPr>
          <w:rStyle w:val="FootnoteReference"/>
          <w:rFonts w:ascii="Arial Narrow" w:eastAsia="Times New Roman" w:hAnsi="Arial Narrow" w:cs="Arial"/>
          <w:szCs w:val="24"/>
        </w:rPr>
        <w:footnoteReference w:id="13"/>
      </w:r>
      <w:r w:rsidRPr="001B6FE5">
        <w:rPr>
          <w:rFonts w:ascii="Arial Narrow" w:eastAsia="Times New Roman" w:hAnsi="Arial Narrow" w:cs="Arial"/>
          <w:szCs w:val="24"/>
        </w:rPr>
        <w:t xml:space="preserve"> The same can be said of the people of all the tribes which made a living from its soil. </w:t>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noProof/>
          <w:szCs w:val="24"/>
          <w:lang w:eastAsia="en-GB"/>
        </w:rPr>
        <w:drawing>
          <wp:inline distT="0" distB="0" distL="0" distR="0" wp14:anchorId="3B19B3CF" wp14:editId="6413DA6C">
            <wp:extent cx="5486400" cy="4419600"/>
            <wp:effectExtent l="0" t="0" r="0" b="0"/>
            <wp:docPr id="2" name="Picture 2" descr="four kings in central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ur kings in central europ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4419600"/>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w:t>
      </w:r>
      <w:r w:rsidRPr="001B6FE5">
        <w:rPr>
          <w:rFonts w:ascii="Arial Narrow" w:eastAsia="Times New Roman" w:hAnsi="Arial Narrow" w:cs="Arial"/>
          <w:b/>
          <w:bCs/>
          <w:szCs w:val="24"/>
        </w:rPr>
        <w:fldChar w:fldCharType="begin"/>
      </w:r>
      <w:r w:rsidRPr="001B6FE5">
        <w:rPr>
          <w:rFonts w:ascii="Arial Narrow" w:eastAsia="Times New Roman" w:hAnsi="Arial Narrow" w:cs="Arial"/>
          <w:b/>
          <w:bCs/>
          <w:szCs w:val="24"/>
        </w:rPr>
        <w:instrText xml:space="preserve"> SEQ Figure \* ARABIC </w:instrText>
      </w:r>
      <w:r w:rsidRPr="001B6FE5">
        <w:rPr>
          <w:rFonts w:ascii="Arial Narrow" w:eastAsia="Times New Roman" w:hAnsi="Arial Narrow" w:cs="Arial"/>
          <w:b/>
          <w:bCs/>
          <w:szCs w:val="24"/>
        </w:rPr>
        <w:fldChar w:fldCharType="separate"/>
      </w:r>
      <w:r w:rsidR="003D2CE4">
        <w:rPr>
          <w:rFonts w:ascii="Arial Narrow" w:eastAsia="Times New Roman" w:hAnsi="Arial Narrow" w:cs="Arial"/>
          <w:b/>
          <w:bCs/>
          <w:noProof/>
          <w:szCs w:val="24"/>
        </w:rPr>
        <w:t>2</w:t>
      </w:r>
      <w:r w:rsidRPr="001B6FE5">
        <w:rPr>
          <w:rFonts w:ascii="Arial Narrow" w:eastAsia="Times New Roman" w:hAnsi="Arial Narrow" w:cs="Arial"/>
          <w:b/>
          <w:bCs/>
          <w:szCs w:val="24"/>
        </w:rPr>
        <w:fldChar w:fldCharType="end"/>
      </w:r>
      <w:r w:rsidRPr="001B6FE5">
        <w:rPr>
          <w:rFonts w:ascii="Arial Narrow" w:eastAsia="Times New Roman" w:hAnsi="Arial Narrow" w:cs="Arial"/>
          <w:b/>
          <w:bCs/>
          <w:szCs w:val="24"/>
        </w:rPr>
        <w:t xml:space="preserve"> Contemporary engraving by Noel Lemire portraying the first partitioning of Poland in 1772. </w:t>
      </w:r>
    </w:p>
    <w:p w:rsidR="00273DD8" w:rsidRPr="001B6FE5" w:rsidRDefault="00273DD8" w:rsidP="003D2CE4">
      <w:pPr>
        <w:spacing w:after="0" w:line="480" w:lineRule="auto"/>
        <w:ind w:firstLine="720"/>
        <w:jc w:val="both"/>
        <w:rPr>
          <w:rFonts w:ascii="Arial Narrow" w:eastAsia="Times New Roman" w:hAnsi="Arial Narrow" w:cs="Arial"/>
          <w:szCs w:val="24"/>
        </w:rPr>
      </w:pPr>
    </w:p>
    <w:p w:rsidR="00273DD8" w:rsidRPr="001B6FE5" w:rsidRDefault="00273DD8" w:rsidP="003D2CE4">
      <w:pPr>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 xml:space="preserve">The complex relationships that existed between the peoples of east-Central Europe invite our understanding, but it is </w:t>
      </w:r>
      <w:r w:rsidR="000F6550">
        <w:rPr>
          <w:rFonts w:ascii="Arial Narrow" w:eastAsia="Times New Roman" w:hAnsi="Arial Narrow" w:cs="Arial"/>
          <w:szCs w:val="24"/>
        </w:rPr>
        <w:t xml:space="preserve">also </w:t>
      </w:r>
      <w:r w:rsidRPr="001B6FE5">
        <w:rPr>
          <w:rFonts w:ascii="Arial Narrow" w:eastAsia="Times New Roman" w:hAnsi="Arial Narrow" w:cs="Arial"/>
          <w:szCs w:val="24"/>
        </w:rPr>
        <w:t>necessary to look beyond their ‘national character.’ National character suggests that people’s behaviour can be explained through a simple</w:t>
      </w:r>
      <w:r w:rsidR="000F6550">
        <w:rPr>
          <w:rFonts w:ascii="Arial Narrow" w:eastAsia="Times New Roman" w:hAnsi="Arial Narrow" w:cs="Arial"/>
          <w:szCs w:val="24"/>
        </w:rPr>
        <w:t xml:space="preserve">, basic, biological </w:t>
      </w:r>
      <w:r w:rsidR="00830CAD">
        <w:rPr>
          <w:rFonts w:ascii="Arial Narrow" w:eastAsia="Times New Roman" w:hAnsi="Arial Narrow" w:cs="Arial"/>
          <w:szCs w:val="24"/>
        </w:rPr>
        <w:t>omnipresent psycho</w:t>
      </w:r>
      <w:r w:rsidRPr="001B6FE5">
        <w:rPr>
          <w:rFonts w:ascii="Arial Narrow" w:eastAsia="Times New Roman" w:hAnsi="Arial Narrow" w:cs="Arial"/>
          <w:szCs w:val="24"/>
        </w:rPr>
        <w:t xml:space="preserve">-social </w:t>
      </w:r>
      <w:r w:rsidRPr="001B6FE5">
        <w:rPr>
          <w:rFonts w:ascii="Arial Narrow" w:eastAsia="Times New Roman" w:hAnsi="Arial Narrow" w:cs="Arial"/>
          <w:szCs w:val="24"/>
        </w:rPr>
        <w:lastRenderedPageBreak/>
        <w:t>mechanism, without recourse to personality types, cultural dispositions and stereotyping. Interwar Polish nervousness, for example, led some observers to suggest this would make them ‘more obstinate and uncompromising’; Jewish stereotyping created more obvious dangers.</w:t>
      </w:r>
      <w:r w:rsidRPr="001B6FE5">
        <w:rPr>
          <w:rFonts w:ascii="Arial Narrow" w:eastAsia="Times New Roman" w:hAnsi="Arial Narrow" w:cs="Arial"/>
          <w:szCs w:val="24"/>
          <w:vertAlign w:val="superscript"/>
        </w:rPr>
        <w:footnoteReference w:id="14"/>
      </w:r>
      <w:r w:rsidRPr="001B6FE5">
        <w:rPr>
          <w:rFonts w:ascii="Arial Narrow" w:eastAsia="Times New Roman" w:hAnsi="Arial Narrow" w:cs="Arial"/>
          <w:szCs w:val="24"/>
        </w:rPr>
        <w:t xml:space="preserve"> Moreover, it can lead to simplistic assertions, by-passing the important questions of history. It is within the intricate coiling of human group relationships, beyond the ‘political culture’, that we may hope to find the </w:t>
      </w:r>
      <w:r w:rsidR="00D7753B">
        <w:rPr>
          <w:rFonts w:ascii="Arial Narrow" w:eastAsia="Times New Roman" w:hAnsi="Arial Narrow" w:cs="Arial"/>
          <w:szCs w:val="24"/>
        </w:rPr>
        <w:t xml:space="preserve">existing </w:t>
      </w:r>
      <w:r w:rsidRPr="001B6FE5">
        <w:rPr>
          <w:rFonts w:ascii="Arial Narrow" w:eastAsia="Times New Roman" w:hAnsi="Arial Narrow" w:cs="Arial"/>
          <w:szCs w:val="24"/>
        </w:rPr>
        <w:t>communities and the means by which they mostly, but not wholly, were destroyed.</w:t>
      </w:r>
      <w:r w:rsidRPr="001B6FE5">
        <w:rPr>
          <w:rFonts w:ascii="Arial Narrow" w:eastAsia="Times New Roman" w:hAnsi="Arial Narrow" w:cs="Arial"/>
          <w:szCs w:val="24"/>
          <w:vertAlign w:val="superscript"/>
        </w:rPr>
        <w:footnoteReference w:id="15"/>
      </w:r>
      <w:r w:rsidRPr="001B6FE5">
        <w:rPr>
          <w:rFonts w:ascii="Arial Narrow" w:eastAsia="Times New Roman" w:hAnsi="Arial Narrow" w:cs="Arial"/>
          <w:szCs w:val="24"/>
        </w:rPr>
        <w:t xml:space="preserve"> This requires a more simplistic comparative approach on the one hand, but also using perspective, an inter-disciplinary approach utilising insight</w:t>
      </w:r>
      <w:r w:rsidR="00D77202">
        <w:rPr>
          <w:rFonts w:ascii="Arial Narrow" w:eastAsia="Times New Roman" w:hAnsi="Arial Narrow" w:cs="Arial"/>
          <w:szCs w:val="24"/>
        </w:rPr>
        <w:t xml:space="preserve">s from </w:t>
      </w:r>
      <w:r w:rsidR="00D7753B" w:rsidRPr="001B6FE5">
        <w:rPr>
          <w:rFonts w:ascii="Arial Narrow" w:eastAsia="Times New Roman" w:hAnsi="Arial Narrow" w:cs="Arial"/>
          <w:szCs w:val="24"/>
        </w:rPr>
        <w:t>amongst others</w:t>
      </w:r>
      <w:r w:rsidR="00D7753B">
        <w:rPr>
          <w:rFonts w:ascii="Arial Narrow" w:eastAsia="Times New Roman" w:hAnsi="Arial Narrow" w:cs="Arial"/>
          <w:szCs w:val="24"/>
        </w:rPr>
        <w:t xml:space="preserve">, </w:t>
      </w:r>
      <w:r w:rsidR="00D77202">
        <w:rPr>
          <w:rFonts w:ascii="Arial Narrow" w:eastAsia="Times New Roman" w:hAnsi="Arial Narrow" w:cs="Arial"/>
          <w:szCs w:val="24"/>
        </w:rPr>
        <w:t>a variety of sources in</w:t>
      </w:r>
      <w:r w:rsidRPr="001B6FE5">
        <w:rPr>
          <w:rFonts w:ascii="Arial Narrow" w:eastAsia="Times New Roman" w:hAnsi="Arial Narrow" w:cs="Arial"/>
          <w:szCs w:val="24"/>
        </w:rPr>
        <w:t xml:space="preserve"> the fields of history, politics, folklore, economics, and psychology. In Kate Browns history of the </w:t>
      </w:r>
      <w:r w:rsidRPr="001B6FE5">
        <w:rPr>
          <w:rFonts w:ascii="Arial Narrow" w:eastAsia="Times New Roman" w:hAnsi="Arial Narrow" w:cs="Arial"/>
          <w:i/>
          <w:iCs/>
          <w:szCs w:val="24"/>
        </w:rPr>
        <w:t>Kresy</w:t>
      </w:r>
      <w:r w:rsidRPr="001B6FE5">
        <w:rPr>
          <w:rFonts w:ascii="Arial Narrow" w:eastAsia="Times New Roman" w:hAnsi="Arial Narrow" w:cs="Arial"/>
          <w:szCs w:val="24"/>
        </w:rPr>
        <w:t xml:space="preserve">, an area difficult to locate exactly, having ‘no definite boundaries…no mountains or vast seas, [r]ather wandering streams and bogs and intermittent plains shaped….into an enigma – untidy, formless, eluding definition’, the author visits modern Ukraine and interviews the present inhabitants. The </w:t>
      </w:r>
      <w:r w:rsidRPr="001B6FE5">
        <w:rPr>
          <w:rFonts w:ascii="Arial Narrow" w:eastAsia="Times New Roman" w:hAnsi="Arial Narrow" w:cs="Arial"/>
          <w:i/>
          <w:szCs w:val="24"/>
        </w:rPr>
        <w:t>Kresy</w:t>
      </w:r>
      <w:r w:rsidRPr="001B6FE5">
        <w:rPr>
          <w:rFonts w:ascii="Arial Narrow" w:eastAsia="Times New Roman" w:hAnsi="Arial Narrow" w:cs="Arial"/>
          <w:szCs w:val="24"/>
        </w:rPr>
        <w:t xml:space="preserve"> (‘borderlands’ in Polish), lies within and between Poland, Russia and Ukraine, and was ‘conquered and lost and re-conquered’ by the Red Army several times during the Civil War and the Polish-Soviet War. (See </w:t>
      </w:r>
      <w:r w:rsidR="000F6550">
        <w:rPr>
          <w:rFonts w:ascii="Arial Narrow" w:eastAsia="Times New Roman" w:hAnsi="Arial Narrow" w:cs="Arial"/>
          <w:szCs w:val="24"/>
        </w:rPr>
        <w:t xml:space="preserve">below </w:t>
      </w:r>
      <w:r w:rsidRPr="001B6FE5">
        <w:rPr>
          <w:rFonts w:ascii="Arial Narrow" w:eastAsia="Times New Roman" w:hAnsi="Arial Narrow" w:cs="Arial"/>
          <w:szCs w:val="24"/>
        </w:rPr>
        <w:t>Fig. 10) Today it is commonly known as the ‘Chernobyl Zone’ and its past, as a theatre for ‘imperial Russia, socialist Soviet Union, fascist Germany, parliamentary Poland and nationalist Ukrainian’ ideology, reveals much about the modernization and standardization of the twentieth century.</w:t>
      </w:r>
      <w:r w:rsidRPr="001B6FE5">
        <w:rPr>
          <w:rFonts w:ascii="Arial Narrow" w:eastAsia="Times New Roman" w:hAnsi="Arial Narrow" w:cs="Arial"/>
          <w:szCs w:val="24"/>
          <w:vertAlign w:val="superscript"/>
        </w:rPr>
        <w:footnoteReference w:id="16"/>
      </w:r>
      <w:r w:rsidRPr="001B6FE5">
        <w:rPr>
          <w:rFonts w:ascii="Arial Narrow" w:eastAsia="Times New Roman" w:hAnsi="Arial Narrow" w:cs="Arial"/>
          <w:szCs w:val="24"/>
        </w:rPr>
        <w:t xml:space="preserve"> Kate Brown follows directions from ever helpful villagers – down to the end of Rosa Luxemburg Street and right into Lenin Avenue – and, looking for one Volodimir Kolchuk (of which there are apparently many); she is informed, </w:t>
      </w:r>
      <w:r w:rsidRPr="001B6FE5">
        <w:rPr>
          <w:rFonts w:ascii="Arial Narrow" w:eastAsia="Times New Roman" w:hAnsi="Arial Narrow" w:cs="Arial"/>
          <w:i/>
          <w:iCs/>
          <w:szCs w:val="24"/>
        </w:rPr>
        <w:t>ad hoc</w:t>
      </w:r>
      <w:r w:rsidRPr="001B6FE5">
        <w:rPr>
          <w:rFonts w:ascii="Arial Narrow" w:eastAsia="Times New Roman" w:hAnsi="Arial Narrow" w:cs="Arial"/>
          <w:szCs w:val="24"/>
        </w:rPr>
        <w:t xml:space="preserve">, that half the village was once German: </w:t>
      </w:r>
    </w:p>
    <w:p w:rsidR="00273DD8" w:rsidRPr="001B6FE5" w:rsidRDefault="000F6550" w:rsidP="003D2CE4">
      <w:pPr>
        <w:spacing w:after="0" w:line="480" w:lineRule="auto"/>
        <w:ind w:left="720" w:firstLine="60"/>
        <w:jc w:val="both"/>
        <w:rPr>
          <w:rFonts w:ascii="Arial Narrow" w:eastAsia="Times New Roman" w:hAnsi="Arial Narrow" w:cs="Arial"/>
          <w:szCs w:val="24"/>
        </w:rPr>
      </w:pPr>
      <w:r>
        <w:rPr>
          <w:rFonts w:ascii="Arial Narrow" w:eastAsia="Times New Roman" w:hAnsi="Arial Narrow" w:cs="Arial"/>
          <w:szCs w:val="24"/>
        </w:rPr>
        <w:t>‘</w:t>
      </w:r>
      <w:r w:rsidR="00273DD8" w:rsidRPr="001B6FE5">
        <w:rPr>
          <w:rFonts w:ascii="Arial Narrow" w:eastAsia="Times New Roman" w:hAnsi="Arial Narrow" w:cs="Arial"/>
          <w:szCs w:val="24"/>
        </w:rPr>
        <w:t xml:space="preserve">“The Germans were good farmers. Most of them were moved here from their farms deep in the forest. They came from over that hill there. They dragged the houses here piece by piece and put them up in rows and made this street.” As she spoke, I began to see how the neatly ordered row of </w:t>
      </w:r>
      <w:r w:rsidR="00273DD8" w:rsidRPr="001B6FE5">
        <w:rPr>
          <w:rFonts w:ascii="Arial Narrow" w:eastAsia="Times New Roman" w:hAnsi="Arial Narrow" w:cs="Arial"/>
          <w:szCs w:val="24"/>
        </w:rPr>
        <w:lastRenderedPageBreak/>
        <w:t>cottages in the timeless-looking Ulianovka was really a product of collectivization. I asked Mrs Kolchuk whether there were any German families left in the Village. “No there are only Ukrainians here now. They came and took them.”</w:t>
      </w:r>
      <w:r>
        <w:rPr>
          <w:rFonts w:ascii="Arial Narrow" w:eastAsia="Times New Roman" w:hAnsi="Arial Narrow" w:cs="Arial"/>
          <w:szCs w:val="24"/>
        </w:rPr>
        <w:t>’</w:t>
      </w:r>
      <w:r w:rsidR="00273DD8" w:rsidRPr="001B6FE5">
        <w:rPr>
          <w:rFonts w:ascii="Arial Narrow" w:eastAsia="Times New Roman" w:hAnsi="Arial Narrow" w:cs="Arial"/>
          <w:szCs w:val="24"/>
          <w:vertAlign w:val="superscript"/>
        </w:rPr>
        <w:footnoteReference w:id="17"/>
      </w:r>
    </w:p>
    <w:p w:rsidR="00273DD8" w:rsidRPr="001B6FE5" w:rsidRDefault="00273DD8" w:rsidP="003D2CE4">
      <w:pPr>
        <w:autoSpaceDE w:val="0"/>
        <w:autoSpaceDN w:val="0"/>
        <w:adjustRightInd w:val="0"/>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To locate individual understandings and map their memories within the interwar period requires an excursion around the “Shatter Zone”, particularly developments in Germany and Russia. Kurt Graebe, a prominent German Minority leader in Poland, stressed the Reich’s importance succinctly: “An Eastern policy without the cooperation of the German populations...and without their support is unthinkable…Germany is the only nation in Europe that sees everything that takes place in the east-Central European region with its own eyes.”</w:t>
      </w:r>
      <w:r w:rsidRPr="001B6FE5">
        <w:rPr>
          <w:rFonts w:ascii="Arial Narrow" w:eastAsia="Times New Roman" w:hAnsi="Arial Narrow" w:cs="Arial"/>
          <w:szCs w:val="24"/>
          <w:vertAlign w:val="superscript"/>
        </w:rPr>
        <w:footnoteReference w:id="18"/>
      </w:r>
      <w:r w:rsidRPr="001B6FE5">
        <w:rPr>
          <w:rFonts w:ascii="Arial Narrow" w:eastAsia="Times New Roman" w:hAnsi="Arial Narrow" w:cs="Arial"/>
          <w:szCs w:val="24"/>
        </w:rPr>
        <w:t xml:space="preserve"> The “Idols of the Tribe” were always strong, and nervousness was rife. Take this statement from the French Government as it attempted to negotiate </w:t>
      </w:r>
      <w:r w:rsidR="00D77202">
        <w:rPr>
          <w:rFonts w:ascii="Arial Narrow" w:eastAsia="Times New Roman" w:hAnsi="Arial Narrow" w:cs="Arial"/>
          <w:szCs w:val="24"/>
        </w:rPr>
        <w:t>‘</w:t>
      </w:r>
      <w:r w:rsidRPr="001B6FE5">
        <w:rPr>
          <w:rFonts w:ascii="Arial Narrow" w:eastAsia="Times New Roman" w:hAnsi="Arial Narrow" w:cs="Arial"/>
          <w:szCs w:val="24"/>
        </w:rPr>
        <w:t>European Union</w:t>
      </w:r>
      <w:r w:rsidR="00D77202">
        <w:rPr>
          <w:rFonts w:ascii="Arial Narrow" w:eastAsia="Times New Roman" w:hAnsi="Arial Narrow" w:cs="Arial"/>
          <w:szCs w:val="24"/>
        </w:rPr>
        <w:t>’</w:t>
      </w:r>
      <w:r w:rsidRPr="001B6FE5">
        <w:rPr>
          <w:rFonts w:ascii="Arial Narrow" w:eastAsia="Times New Roman" w:hAnsi="Arial Narrow" w:cs="Arial"/>
          <w:szCs w:val="24"/>
        </w:rPr>
        <w:t xml:space="preserve"> talks in 1932: </w:t>
      </w:r>
      <w:r w:rsidRPr="001B6FE5">
        <w:rPr>
          <w:rFonts w:ascii="Arial Narrow" w:eastAsia="Times New Roman" w:hAnsi="Arial Narrow" w:cs="Arial"/>
          <w:szCs w:val="24"/>
          <w:lang w:val="en-US"/>
        </w:rPr>
        <w:t>“[France] would be happy to be able too concert with the British and Italian Governments to determine in what conditions the attention of the Austrian, Hungarian, Roumanian, Czechoslovak and Yugoslav Governments could be urgently drawn to the necessity for frank and complete exchanges of views between them, with a view to making closer their economic relations and ultimately of improving their financial, budgetary and monetary situations.” British fears were allayed because the omission of Germany ‘was apparently a mistake.’</w:t>
      </w:r>
      <w:r w:rsidRPr="001B6FE5">
        <w:rPr>
          <w:rFonts w:ascii="Arial Narrow" w:eastAsia="Times New Roman" w:hAnsi="Arial Narrow" w:cs="Arial"/>
          <w:szCs w:val="24"/>
          <w:vertAlign w:val="superscript"/>
          <w:lang w:val="en-US"/>
        </w:rPr>
        <w:footnoteReference w:id="19"/>
      </w:r>
      <w:r w:rsidRPr="001B6FE5">
        <w:rPr>
          <w:rFonts w:ascii="Arial Narrow" w:eastAsia="Times New Roman" w:hAnsi="Arial Narrow" w:cs="Arial"/>
          <w:szCs w:val="24"/>
        </w:rPr>
        <w:t xml:space="preserve"> Frau Merkel would surely agree. </w:t>
      </w:r>
    </w:p>
    <w:p w:rsidR="00273DD8" w:rsidRPr="001B6FE5" w:rsidRDefault="00273DD8" w:rsidP="003D2CE4">
      <w:pPr>
        <w:autoSpaceDE w:val="0"/>
        <w:autoSpaceDN w:val="0"/>
        <w:adjustRightInd w:val="0"/>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 xml:space="preserve">Russia’s ‘metamorphosis into the Soviet Union (1923) was a decisive step for all Europeans. </w:t>
      </w:r>
      <w:r w:rsidR="004D3A3A">
        <w:rPr>
          <w:rFonts w:ascii="Arial Narrow" w:eastAsia="Times New Roman" w:hAnsi="Arial Narrow" w:cs="Arial"/>
          <w:szCs w:val="24"/>
        </w:rPr>
        <w:t xml:space="preserve">Imperial </w:t>
      </w:r>
      <w:r w:rsidRPr="001B6FE5">
        <w:rPr>
          <w:rFonts w:ascii="Arial Narrow" w:eastAsia="Times New Roman" w:hAnsi="Arial Narrow" w:cs="Arial"/>
          <w:szCs w:val="24"/>
        </w:rPr>
        <w:t xml:space="preserve">Russia was a discontinued line, the new state was to be a ‘gift’ to the ‘the toilers of all countries’ </w:t>
      </w:r>
      <w:r w:rsidR="00D7753B">
        <w:rPr>
          <w:rFonts w:ascii="Arial Narrow" w:eastAsia="Times New Roman" w:hAnsi="Arial Narrow" w:cs="Arial"/>
          <w:szCs w:val="24"/>
        </w:rPr>
        <w:t>simultaneously holding</w:t>
      </w:r>
      <w:r w:rsidRPr="001B6FE5">
        <w:rPr>
          <w:rFonts w:ascii="Arial Narrow" w:eastAsia="Times New Roman" w:hAnsi="Arial Narrow" w:cs="Arial"/>
          <w:szCs w:val="24"/>
        </w:rPr>
        <w:t xml:space="preserve"> control over the new Republics, </w:t>
      </w:r>
      <w:r w:rsidR="00D7753B">
        <w:rPr>
          <w:rFonts w:ascii="Arial Narrow" w:eastAsia="Times New Roman" w:hAnsi="Arial Narrow" w:cs="Arial"/>
          <w:szCs w:val="24"/>
        </w:rPr>
        <w:t>whilst</w:t>
      </w:r>
      <w:r w:rsidRPr="004D3A3A">
        <w:rPr>
          <w:rFonts w:ascii="Arial Narrow" w:eastAsia="Times New Roman" w:hAnsi="Arial Narrow" w:cs="Arial"/>
          <w:i/>
          <w:szCs w:val="24"/>
        </w:rPr>
        <w:t xml:space="preserve"> </w:t>
      </w:r>
      <w:r w:rsidRPr="00D7753B">
        <w:rPr>
          <w:rFonts w:ascii="Arial Narrow" w:eastAsia="Times New Roman" w:hAnsi="Arial Narrow" w:cs="Arial"/>
          <w:i/>
          <w:szCs w:val="24"/>
        </w:rPr>
        <w:t>allow</w:t>
      </w:r>
      <w:r w:rsidR="00D7753B" w:rsidRPr="00D7753B">
        <w:rPr>
          <w:rFonts w:ascii="Arial Narrow" w:eastAsia="Times New Roman" w:hAnsi="Arial Narrow" w:cs="Arial"/>
          <w:i/>
          <w:szCs w:val="24"/>
        </w:rPr>
        <w:t>ing</w:t>
      </w:r>
      <w:r w:rsidR="00D7753B">
        <w:rPr>
          <w:rFonts w:ascii="Arial Narrow" w:eastAsia="Times New Roman" w:hAnsi="Arial Narrow" w:cs="Arial"/>
          <w:szCs w:val="24"/>
        </w:rPr>
        <w:t xml:space="preserve"> </w:t>
      </w:r>
      <w:r w:rsidRPr="001B6FE5">
        <w:rPr>
          <w:rFonts w:ascii="Arial Narrow" w:eastAsia="Times New Roman" w:hAnsi="Arial Narrow" w:cs="Arial"/>
          <w:szCs w:val="24"/>
        </w:rPr>
        <w:t>them considerable autonomy in cultural and linguistic policy.</w:t>
      </w:r>
      <w:r w:rsidRPr="001B6FE5">
        <w:rPr>
          <w:rFonts w:ascii="Arial Narrow" w:eastAsia="Times New Roman" w:hAnsi="Arial Narrow" w:cs="Arial"/>
          <w:szCs w:val="24"/>
          <w:vertAlign w:val="superscript"/>
        </w:rPr>
        <w:footnoteReference w:id="20"/>
      </w:r>
      <w:r w:rsidRPr="001B6FE5">
        <w:rPr>
          <w:rFonts w:ascii="Arial Narrow" w:eastAsia="Times New Roman" w:hAnsi="Arial Narrow" w:cs="Arial"/>
          <w:szCs w:val="24"/>
        </w:rPr>
        <w:t xml:space="preserve"> The Bolsheviks ‘Internationalist’ approach to colonial aggrandizement and war appeared straight forward. Lenin in particular regarded the war as the ‘latest  - the imperialist – stage of capitalist development’, predicting the Bolshevik Revolution would sweep away national ‘Particularism’ and </w:t>
      </w:r>
      <w:r w:rsidRPr="001B6FE5">
        <w:rPr>
          <w:rFonts w:ascii="Arial Narrow" w:eastAsia="Times New Roman" w:hAnsi="Arial Narrow" w:cs="Arial"/>
          <w:szCs w:val="24"/>
        </w:rPr>
        <w:lastRenderedPageBreak/>
        <w:t>the ‘subjugation of other nations’; the Polish socialist  Rosa Luxemburg and her more ‘nihilistic’ supporters went further, expressing ‘implacable hostility to the very notion of any meaningful distinction between different nationalities.’</w:t>
      </w:r>
      <w:r w:rsidRPr="001B6FE5">
        <w:rPr>
          <w:rFonts w:ascii="Arial Narrow" w:eastAsia="Times New Roman" w:hAnsi="Arial Narrow" w:cs="Arial"/>
          <w:szCs w:val="24"/>
          <w:vertAlign w:val="superscript"/>
        </w:rPr>
        <w:footnoteReference w:id="21"/>
      </w:r>
      <w:r w:rsidRPr="001B6FE5">
        <w:rPr>
          <w:rFonts w:ascii="Arial Narrow" w:eastAsia="Times New Roman" w:hAnsi="Arial Narrow" w:cs="Arial"/>
          <w:szCs w:val="24"/>
        </w:rPr>
        <w:t xml:space="preserve"> The First Comintern (1919) was, if anything, an admission of failure. Lenin favoured a ‘zigzag’ approach, with Russian workers at the forefront and others following on different paths. As Christopher Read suggests: ‘Lenin’s outlook [and until Stalin the Revolutions]…remained complex to the end. He hovered between the need for Soviet Russia to survive and…revolutions to occur elsewhere. Yet…he…castigated the left inside and out…for putting too much stress on the international revolution.’</w:t>
      </w:r>
      <w:r w:rsidRPr="001B6FE5">
        <w:rPr>
          <w:rFonts w:ascii="Arial Narrow" w:eastAsia="Times New Roman" w:hAnsi="Arial Narrow" w:cs="Arial"/>
          <w:szCs w:val="24"/>
          <w:vertAlign w:val="superscript"/>
        </w:rPr>
        <w:footnoteReference w:id="22"/>
      </w:r>
      <w:r w:rsidRPr="001B6FE5">
        <w:rPr>
          <w:rFonts w:ascii="Arial Narrow" w:eastAsia="Times New Roman" w:hAnsi="Arial Narrow" w:cs="Arial"/>
          <w:szCs w:val="24"/>
        </w:rPr>
        <w:t xml:space="preserve"> Lenin’s greater knowledge, as author of </w:t>
      </w:r>
      <w:r w:rsidRPr="001B6FE5">
        <w:rPr>
          <w:rFonts w:ascii="Arial Narrow" w:eastAsia="Times New Roman" w:hAnsi="Arial Narrow" w:cs="Arial"/>
          <w:i/>
          <w:szCs w:val="24"/>
        </w:rPr>
        <w:t>The Rights of Nations to Self-Determination</w:t>
      </w:r>
      <w:r w:rsidRPr="001B6FE5">
        <w:rPr>
          <w:rFonts w:ascii="Arial Narrow" w:eastAsia="Times New Roman" w:hAnsi="Arial Narrow" w:cs="Arial"/>
          <w:szCs w:val="24"/>
        </w:rPr>
        <w:t>, made his Commissar for Nationality Affairs (</w:t>
      </w:r>
      <w:r w:rsidRPr="001B6FE5">
        <w:rPr>
          <w:rFonts w:ascii="Arial Narrow" w:eastAsia="Times New Roman" w:hAnsi="Arial Narrow" w:cs="Arial"/>
          <w:i/>
          <w:szCs w:val="24"/>
        </w:rPr>
        <w:t>Narkomnats</w:t>
      </w:r>
      <w:r w:rsidRPr="001B6FE5">
        <w:rPr>
          <w:rFonts w:ascii="Arial Narrow" w:eastAsia="Times New Roman" w:hAnsi="Arial Narrow" w:cs="Arial"/>
          <w:szCs w:val="24"/>
        </w:rPr>
        <w:t>) Stalin, either an ‘obedient servant’ or ‘secretive opponent.’</w:t>
      </w:r>
      <w:r w:rsidRPr="001B6FE5">
        <w:rPr>
          <w:rFonts w:ascii="Arial Narrow" w:eastAsia="Times New Roman" w:hAnsi="Arial Narrow" w:cs="Arial"/>
          <w:szCs w:val="24"/>
          <w:vertAlign w:val="superscript"/>
        </w:rPr>
        <w:footnoteReference w:id="23"/>
      </w:r>
      <w:r w:rsidRPr="001B6FE5">
        <w:rPr>
          <w:rFonts w:ascii="Arial Narrow" w:eastAsia="Times New Roman" w:hAnsi="Arial Narrow" w:cs="Arial"/>
          <w:szCs w:val="24"/>
        </w:rPr>
        <w:t xml:space="preserve"> The practical effects of the collapse of Tsarist rule and subsequent Bolshevik victory meant significant changes in east-Central Europe, as ‘fierce new energies’ were ’injected’ into the complex demographic make-up of its peoples. This admixture had been stirred by the First World War as millions of refugees crossed such borders as then existed. Cadet Nikolai Shchepkin expressed the enormity of these movements: “The migrations that accompanied the Tatar invasions do not remotely compare with the magnitude of what is happening now.” Significantly he was echoing invasions of the past and equated them with the ‘unfettered, “spontaneous” and unwelcome incursion of “alien” elements.’ This ‘other’ was in stark contrast to the organised eastward expansion of settlers in both the pre-war Russian and German Empires.</w:t>
      </w:r>
      <w:r w:rsidRPr="001B6FE5">
        <w:rPr>
          <w:rFonts w:ascii="Arial Narrow" w:eastAsia="Times New Roman" w:hAnsi="Arial Narrow" w:cs="Arial"/>
          <w:szCs w:val="24"/>
          <w:vertAlign w:val="superscript"/>
        </w:rPr>
        <w:footnoteReference w:id="24"/>
      </w:r>
      <w:r w:rsidRPr="001B6FE5">
        <w:rPr>
          <w:rFonts w:ascii="Arial Narrow" w:eastAsia="Times New Roman" w:hAnsi="Arial Narrow" w:cs="Arial"/>
          <w:szCs w:val="24"/>
        </w:rPr>
        <w:t xml:space="preserve"> The protracted ‘Civil War’ also revealed the tenuous nature of the Revolution and the spectre of capitalist strangulation.</w:t>
      </w:r>
      <w:r w:rsidRPr="001B6FE5">
        <w:rPr>
          <w:rFonts w:ascii="Arial Narrow" w:eastAsia="Times New Roman" w:hAnsi="Arial Narrow" w:cs="Arial"/>
          <w:szCs w:val="24"/>
          <w:vertAlign w:val="superscript"/>
        </w:rPr>
        <w:t xml:space="preserve"> </w:t>
      </w:r>
      <w:r w:rsidRPr="001B6FE5">
        <w:rPr>
          <w:rFonts w:ascii="Arial Narrow" w:eastAsia="Times New Roman" w:hAnsi="Arial Narrow" w:cs="Arial"/>
          <w:szCs w:val="24"/>
          <w:vertAlign w:val="superscript"/>
        </w:rPr>
        <w:footnoteReference w:id="25"/>
      </w:r>
    </w:p>
    <w:p w:rsidR="00273DD8" w:rsidRPr="001B6FE5" w:rsidRDefault="00273DD8" w:rsidP="003D2CE4">
      <w:pPr>
        <w:keepNext/>
        <w:spacing w:after="0" w:line="480" w:lineRule="auto"/>
        <w:ind w:firstLine="720"/>
        <w:jc w:val="both"/>
        <w:rPr>
          <w:rFonts w:ascii="Arial Narrow" w:eastAsia="Times New Roman" w:hAnsi="Arial Narrow" w:cs="Arial"/>
          <w:b/>
          <w:szCs w:val="24"/>
        </w:rPr>
      </w:pPr>
      <w:r w:rsidRPr="001B6FE5">
        <w:rPr>
          <w:rFonts w:ascii="Arial Narrow" w:eastAsia="Times New Roman" w:hAnsi="Arial Narrow" w:cs="Arial"/>
          <w:szCs w:val="24"/>
        </w:rPr>
        <w:lastRenderedPageBreak/>
        <w:t>Without from this region, but nonetheless exerting political influence, particularly with reference to the abstract ‘invisible borders’ – that is notional boundaries delineated on a map often irrelevant to those inhabiting the borderland -  arranged at Versailles (1919), Saint-Germain (1919), and Trianon (1920), were the western powers and their own external idea of ‘internationalism.’</w:t>
      </w:r>
      <w:r w:rsidRPr="001B6FE5">
        <w:rPr>
          <w:rFonts w:ascii="Arial Narrow" w:eastAsia="Times New Roman" w:hAnsi="Arial Narrow" w:cs="Arial"/>
          <w:szCs w:val="24"/>
          <w:vertAlign w:val="superscript"/>
        </w:rPr>
        <w:footnoteReference w:id="26"/>
      </w:r>
      <w:r w:rsidRPr="001B6FE5">
        <w:rPr>
          <w:rFonts w:ascii="Arial Narrow" w:eastAsia="Times New Roman" w:hAnsi="Arial Narrow" w:cs="Arial"/>
          <w:szCs w:val="24"/>
        </w:rPr>
        <w:t>They too require ‘identity mapping’ – placing their topographical ideals within the complex nature of east-Central European identity - particularly since their economic weight allowed them to superimpose their orthodoxy upon lesser nations. Israel Zangwill devised a ‘typology’ within which four ‘types’ of nationality existed but which were never to be fixed. France in the interwar period</w:t>
      </w:r>
      <w:r w:rsidR="00B32E2F">
        <w:rPr>
          <w:rFonts w:ascii="Arial Narrow" w:eastAsia="Times New Roman" w:hAnsi="Arial Narrow" w:cs="Arial"/>
          <w:szCs w:val="24"/>
        </w:rPr>
        <w:t xml:space="preserve">, </w:t>
      </w:r>
      <w:r w:rsidR="00B32E2F" w:rsidRPr="001B6FE5">
        <w:rPr>
          <w:rFonts w:ascii="Arial Narrow" w:eastAsia="Times New Roman" w:hAnsi="Arial Narrow" w:cs="Arial"/>
          <w:szCs w:val="24"/>
        </w:rPr>
        <w:t>for instance,</w:t>
      </w:r>
      <w:r w:rsidRPr="001B6FE5">
        <w:rPr>
          <w:rFonts w:ascii="Arial Narrow" w:eastAsia="Times New Roman" w:hAnsi="Arial Narrow" w:cs="Arial"/>
          <w:szCs w:val="24"/>
        </w:rPr>
        <w:t xml:space="preserve"> could have been a ‘Simple nationality’ in which all members speak the same language. Great Britain and the United States fit the ‘Complex nationality’, where all races mingle towards a political union. The later Soviet Union, and perhaps also Canada, can both be seen as ‘Compound nationalities’ in which different groups are isolated spatially and united federally. The revisionist and ‘bastard children’ of east-Central Europe may well comprise ‘Hybrid nationalities’ where a dominant ‘A’ group restricts the right of others.</w:t>
      </w:r>
      <w:r w:rsidRPr="001B6FE5">
        <w:rPr>
          <w:rFonts w:ascii="Arial Narrow" w:eastAsia="Times New Roman" w:hAnsi="Arial Narrow" w:cs="Arial"/>
          <w:szCs w:val="24"/>
          <w:vertAlign w:val="superscript"/>
        </w:rPr>
        <w:footnoteReference w:id="27"/>
      </w:r>
      <w:r w:rsidRPr="001B6FE5">
        <w:rPr>
          <w:rFonts w:ascii="Arial Narrow" w:eastAsia="Times New Roman" w:hAnsi="Arial Narrow" w:cs="Arial"/>
          <w:szCs w:val="24"/>
        </w:rPr>
        <w:t xml:space="preserve"> Israel was a pronounced Zionist, and his motivation was therefore less than disinterested, but the interwar debates on nationalism were urgent. As Walter Pilsbury noted in 1919: ‘If you want to know what national group an individual belongs to, the simplest way is to ask him…his answer is a better criterion than history, or racial descent, or physical measurements. Nationalism is first of all a psychological or sociological problem.’</w:t>
      </w:r>
      <w:r w:rsidRPr="001B6FE5">
        <w:rPr>
          <w:rFonts w:ascii="Arial Narrow" w:eastAsia="Times New Roman" w:hAnsi="Arial Narrow" w:cs="Arial"/>
          <w:szCs w:val="24"/>
          <w:vertAlign w:val="superscript"/>
        </w:rPr>
        <w:footnoteReference w:id="28"/>
      </w:r>
      <w:r w:rsidRPr="001B6FE5">
        <w:rPr>
          <w:rFonts w:ascii="Arial Narrow" w:eastAsia="Times New Roman" w:hAnsi="Arial Narrow" w:cs="Arial"/>
          <w:szCs w:val="24"/>
        </w:rPr>
        <w:t xml:space="preserve"> The peasantry’s inertia, exemplified in rural France during the nineteenth century - where their own brand of  regional separatism forestalled attempts at installing a nationwide sense of </w:t>
      </w:r>
      <w:r w:rsidRPr="001B6FE5">
        <w:rPr>
          <w:rFonts w:ascii="Arial Narrow" w:eastAsia="Times New Roman" w:hAnsi="Arial Narrow" w:cs="Arial"/>
          <w:i/>
          <w:szCs w:val="24"/>
        </w:rPr>
        <w:t>La Patrie</w:t>
      </w:r>
      <w:r w:rsidRPr="001B6FE5">
        <w:rPr>
          <w:rFonts w:ascii="Arial Narrow" w:eastAsia="Times New Roman" w:hAnsi="Arial Narrow" w:cs="Arial"/>
          <w:szCs w:val="24"/>
        </w:rPr>
        <w:t xml:space="preserve"> –  had similarities with east-Central Europe (and Russia), and was seen by the new nascent states as a threat to social stability, national security and national unity. Fostering a sense of national ‘self’ required not just ‘national service’, but the implanting of civic awareness and patriotism through education.</w:t>
      </w:r>
      <w:r w:rsidRPr="001B6FE5">
        <w:rPr>
          <w:rFonts w:ascii="Arial Narrow" w:eastAsia="Times New Roman" w:hAnsi="Arial Narrow" w:cs="Arial"/>
          <w:szCs w:val="24"/>
          <w:vertAlign w:val="superscript"/>
        </w:rPr>
        <w:footnoteReference w:id="29"/>
      </w:r>
      <w:r w:rsidRPr="001B6FE5">
        <w:rPr>
          <w:rFonts w:ascii="Arial Narrow" w:eastAsia="Times New Roman" w:hAnsi="Arial Narrow" w:cs="Arial"/>
          <w:szCs w:val="24"/>
        </w:rPr>
        <w:t xml:space="preserve"> As Weber remarked: “Historians [like education] were the clerisy of the nineteenth </w:t>
      </w:r>
      <w:r w:rsidRPr="001B6FE5">
        <w:rPr>
          <w:rFonts w:ascii="Arial Narrow" w:eastAsia="Times New Roman" w:hAnsi="Arial Narrow" w:cs="Arial"/>
          <w:szCs w:val="24"/>
        </w:rPr>
        <w:lastRenderedPageBreak/>
        <w:t>century because it fell to them to rewrite foundation myths; and history was the theology…because it provided [modernizing] societies cast loose from the moorings of custom and habit with new anchorage in a rediscovered or reinvented-past.”</w:t>
      </w:r>
      <w:r w:rsidRPr="001B6FE5">
        <w:rPr>
          <w:rFonts w:ascii="Arial Narrow" w:eastAsia="Times New Roman" w:hAnsi="Arial Narrow" w:cs="Arial"/>
          <w:szCs w:val="24"/>
          <w:vertAlign w:val="superscript"/>
        </w:rPr>
        <w:footnoteReference w:id="30"/>
      </w:r>
    </w:p>
    <w:p w:rsidR="00DB04A0" w:rsidRPr="00DB04A0"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Central Europe develo</w:t>
      </w:r>
      <w:r w:rsidR="00C7672B">
        <w:rPr>
          <w:rFonts w:ascii="Arial Narrow" w:eastAsia="Times New Roman" w:hAnsi="Arial Narrow" w:cs="Arial"/>
          <w:szCs w:val="24"/>
        </w:rPr>
        <w:t xml:space="preserve">ped a penchant for </w:t>
      </w:r>
      <w:r w:rsidR="00C7672B" w:rsidRPr="001B6FE5">
        <w:rPr>
          <w:rFonts w:ascii="Arial Narrow" w:eastAsia="Times New Roman" w:hAnsi="Arial Narrow" w:cs="Arial"/>
          <w:szCs w:val="24"/>
        </w:rPr>
        <w:t xml:space="preserve">eugenics </w:t>
      </w:r>
      <w:r w:rsidRPr="001B6FE5">
        <w:rPr>
          <w:rFonts w:ascii="Arial Narrow" w:eastAsia="Times New Roman" w:hAnsi="Arial Narrow" w:cs="Arial"/>
          <w:szCs w:val="24"/>
        </w:rPr>
        <w:t xml:space="preserve">concomitant with a </w:t>
      </w:r>
      <w:r w:rsidR="00C7672B">
        <w:rPr>
          <w:rFonts w:ascii="Arial Narrow" w:eastAsia="Times New Roman" w:hAnsi="Arial Narrow" w:cs="Arial"/>
          <w:szCs w:val="24"/>
        </w:rPr>
        <w:t xml:space="preserve">much </w:t>
      </w:r>
      <w:r w:rsidRPr="001B6FE5">
        <w:rPr>
          <w:rFonts w:ascii="Arial Narrow" w:eastAsia="Times New Roman" w:hAnsi="Arial Narrow" w:cs="Arial"/>
          <w:szCs w:val="24"/>
        </w:rPr>
        <w:t xml:space="preserve">wider interest in </w:t>
      </w:r>
      <w:r w:rsidR="00C7672B">
        <w:rPr>
          <w:rFonts w:ascii="Arial Narrow" w:eastAsia="Times New Roman" w:hAnsi="Arial Narrow" w:cs="Arial"/>
          <w:szCs w:val="24"/>
        </w:rPr>
        <w:t>anthropology</w:t>
      </w:r>
      <w:r w:rsidRPr="001B6FE5">
        <w:rPr>
          <w:rFonts w:ascii="Arial Narrow" w:eastAsia="Times New Roman" w:hAnsi="Arial Narrow" w:cs="Arial"/>
          <w:szCs w:val="24"/>
        </w:rPr>
        <w:t>. In Britain and the United States the investigations sought answers to modernity, immigration and racial segregation, whilst in France and Italy the traumatic human experiences of war provided the major impetus</w:t>
      </w:r>
      <w:r w:rsidR="00C7672B">
        <w:rPr>
          <w:rFonts w:ascii="Arial Narrow" w:eastAsia="Times New Roman" w:hAnsi="Arial Narrow" w:cs="Arial"/>
          <w:szCs w:val="24"/>
        </w:rPr>
        <w:t>. In Central and Eastern Europe</w:t>
      </w:r>
      <w:r w:rsidRPr="001B6FE5">
        <w:rPr>
          <w:rFonts w:ascii="Arial Narrow" w:eastAsia="Times New Roman" w:hAnsi="Arial Narrow" w:cs="Arial"/>
          <w:szCs w:val="24"/>
        </w:rPr>
        <w:t xml:space="preserve"> a select few funded by the state looked for legitimacy for ‘strengthening their newly acquired status.’ Roger Griffin describes the end game as ‘Gardening in Jackboots.’</w:t>
      </w:r>
      <w:r w:rsidRPr="001B6FE5">
        <w:rPr>
          <w:rFonts w:ascii="Arial Narrow" w:eastAsia="Times New Roman" w:hAnsi="Arial Narrow" w:cs="Arial"/>
          <w:szCs w:val="24"/>
          <w:vertAlign w:val="superscript"/>
        </w:rPr>
        <w:footnoteReference w:id="31"/>
      </w:r>
      <w:r w:rsidRPr="001B6FE5">
        <w:rPr>
          <w:rFonts w:ascii="Arial Narrow" w:eastAsia="Times New Roman" w:hAnsi="Arial Narrow" w:cs="Arial"/>
          <w:szCs w:val="24"/>
        </w:rPr>
        <w:t xml:space="preserve"> The search for ‘anthropometric…“racial origins”’ in the multiethnic regions of South Eastern and Central Europe, was a feature of the debate surrounding nationalism and eugenics. In seeking to define their minorities in relation to the homogenous national state, there was a need to treat them as foreign and alien; in Romania this took an early unwelcome deviation when minorities were depicted as “a foreign stake thrust into the body of nation.”</w:t>
      </w:r>
      <w:r w:rsidRPr="001B6FE5">
        <w:rPr>
          <w:rFonts w:ascii="Arial Narrow" w:eastAsia="Times New Roman" w:hAnsi="Arial Narrow" w:cs="Arial"/>
          <w:szCs w:val="24"/>
          <w:vertAlign w:val="superscript"/>
        </w:rPr>
        <w:footnoteReference w:id="32"/>
      </w:r>
      <w:r w:rsidRPr="001B6FE5">
        <w:rPr>
          <w:rFonts w:ascii="Arial Narrow" w:eastAsia="Times New Roman" w:hAnsi="Arial Narrow" w:cs="Arial"/>
          <w:szCs w:val="24"/>
        </w:rPr>
        <w:t xml:space="preserve"> Even the more enlightened Czech intelligentsia had acquired a p</w:t>
      </w:r>
      <w:r w:rsidR="00C7672B">
        <w:rPr>
          <w:rFonts w:ascii="Arial Narrow" w:eastAsia="Times New Roman" w:hAnsi="Arial Narrow" w:cs="Arial"/>
          <w:szCs w:val="24"/>
        </w:rPr>
        <w:t>ropensity</w:t>
      </w:r>
      <w:r w:rsidRPr="001B6FE5">
        <w:rPr>
          <w:rFonts w:ascii="Arial Narrow" w:eastAsia="Times New Roman" w:hAnsi="Arial Narrow" w:cs="Arial"/>
          <w:szCs w:val="24"/>
        </w:rPr>
        <w:t xml:space="preserve"> for the “healthier” society, subscribing to “reform of life” or </w:t>
      </w:r>
      <w:r w:rsidRPr="001B6FE5">
        <w:rPr>
          <w:rFonts w:ascii="Arial Narrow" w:eastAsia="Times New Roman" w:hAnsi="Arial Narrow" w:cs="Arial"/>
          <w:i/>
          <w:szCs w:val="24"/>
        </w:rPr>
        <w:t>Lebensreform</w:t>
      </w:r>
      <w:r w:rsidRPr="001B6FE5">
        <w:rPr>
          <w:rFonts w:ascii="Arial Narrow" w:eastAsia="Times New Roman" w:hAnsi="Arial Narrow" w:cs="Arial"/>
          <w:szCs w:val="24"/>
        </w:rPr>
        <w:t xml:space="preserve"> in order to prevent further “degeneration.” These were part of a wider interwar debate, which in seeking to preserve their </w:t>
      </w:r>
      <w:r w:rsidR="00DB04A0">
        <w:rPr>
          <w:rFonts w:ascii="Arial Narrow" w:eastAsia="Times New Roman" w:hAnsi="Arial Narrow" w:cs="Arial"/>
          <w:szCs w:val="24"/>
        </w:rPr>
        <w:t xml:space="preserve">“biological </w:t>
      </w:r>
      <w:r w:rsidRPr="001B6FE5">
        <w:rPr>
          <w:rFonts w:ascii="Arial Narrow" w:eastAsia="Times New Roman" w:hAnsi="Arial Narrow" w:cs="Arial"/>
          <w:szCs w:val="24"/>
        </w:rPr>
        <w:t>capital”, proposed as a remedy either a liberal western democratic model or a peasant indigenous state; the other option was the corporate/fascist state.</w:t>
      </w:r>
      <w:r w:rsidRPr="001B6FE5">
        <w:rPr>
          <w:rFonts w:ascii="Arial Narrow" w:eastAsia="Times New Roman" w:hAnsi="Arial Narrow" w:cs="Arial"/>
          <w:szCs w:val="24"/>
          <w:vertAlign w:val="superscript"/>
        </w:rPr>
        <w:footnoteReference w:id="33"/>
      </w:r>
      <w:r w:rsidR="00DB04A0">
        <w:rPr>
          <w:rFonts w:ascii="Arial Narrow" w:eastAsia="Times New Roman" w:hAnsi="Arial Narrow" w:cs="Arial"/>
          <w:szCs w:val="24"/>
        </w:rPr>
        <w:tab/>
      </w:r>
      <w:r w:rsidR="00DB04A0">
        <w:rPr>
          <w:rFonts w:ascii="Arial Narrow" w:eastAsia="Times New Roman" w:hAnsi="Arial Narrow" w:cs="Arial"/>
          <w:szCs w:val="24"/>
        </w:rPr>
        <w:tab/>
      </w:r>
      <w:r w:rsidR="00DB04A0">
        <w:rPr>
          <w:rFonts w:ascii="Arial Narrow" w:eastAsia="Times New Roman" w:hAnsi="Arial Narrow" w:cs="Arial"/>
          <w:szCs w:val="24"/>
        </w:rPr>
        <w:tab/>
      </w:r>
      <w:r w:rsidR="00DB04A0">
        <w:rPr>
          <w:rFonts w:ascii="Arial Narrow" w:eastAsia="Times New Roman" w:hAnsi="Arial Narrow" w:cs="Arial"/>
          <w:szCs w:val="24"/>
        </w:rPr>
        <w:tab/>
      </w:r>
      <w:r w:rsidR="00DB04A0">
        <w:rPr>
          <w:rFonts w:ascii="Arial Narrow" w:eastAsia="Times New Roman" w:hAnsi="Arial Narrow" w:cs="Arial"/>
          <w:szCs w:val="24"/>
        </w:rPr>
        <w:tab/>
      </w:r>
      <w:r w:rsidR="00DB04A0">
        <w:rPr>
          <w:rFonts w:ascii="Arial Narrow" w:eastAsia="Times New Roman" w:hAnsi="Arial Narrow" w:cs="Arial"/>
          <w:szCs w:val="24"/>
        </w:rPr>
        <w:tab/>
      </w:r>
      <w:r w:rsidR="00DB04A0">
        <w:rPr>
          <w:rFonts w:ascii="Arial Narrow" w:eastAsia="Times New Roman" w:hAnsi="Arial Narrow" w:cs="Arial"/>
          <w:szCs w:val="24"/>
        </w:rPr>
        <w:tab/>
      </w:r>
    </w:p>
    <w:p w:rsidR="00273DD8" w:rsidRPr="001B6FE5" w:rsidRDefault="00273DD8" w:rsidP="003D2CE4">
      <w:pPr>
        <w:spacing w:after="0" w:line="240" w:lineRule="auto"/>
        <w:jc w:val="both"/>
        <w:rPr>
          <w:rFonts w:ascii="Arial Narrow" w:eastAsia="Times New Roman" w:hAnsi="Arial Narrow" w:cs="Times New Roman"/>
          <w:sz w:val="24"/>
          <w:szCs w:val="24"/>
        </w:rPr>
      </w:pPr>
      <w:r w:rsidRPr="001B6FE5">
        <w:rPr>
          <w:rFonts w:ascii="Arial Narrow" w:eastAsia="Times New Roman" w:hAnsi="Arial Narrow" w:cs="Times New Roman"/>
          <w:noProof/>
          <w:sz w:val="24"/>
          <w:szCs w:val="24"/>
          <w:lang w:eastAsia="en-GB"/>
        </w:rPr>
        <w:lastRenderedPageBreak/>
        <w:drawing>
          <wp:inline distT="0" distB="0" distL="0" distR="0" wp14:anchorId="68AF5359" wp14:editId="291D6FAD">
            <wp:extent cx="5629275" cy="39338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28079" cy="3932989"/>
                    </a:xfrm>
                    <a:prstGeom prst="rect">
                      <a:avLst/>
                    </a:prstGeom>
                    <a:noFill/>
                  </pic:spPr>
                </pic:pic>
              </a:graphicData>
            </a:graphic>
          </wp:inline>
        </w:drawing>
      </w:r>
    </w:p>
    <w:p w:rsidR="00273DD8" w:rsidRPr="001B6FE5" w:rsidRDefault="00273DD8" w:rsidP="003D2CE4">
      <w:pPr>
        <w:spacing w:after="0" w:line="240" w:lineRule="auto"/>
        <w:jc w:val="both"/>
        <w:rPr>
          <w:rFonts w:ascii="Arial Narrow" w:eastAsia="Times New Roman" w:hAnsi="Arial Narrow" w:cs="Times New Roman"/>
          <w:b/>
          <w:bCs/>
          <w:sz w:val="24"/>
          <w:szCs w:val="24"/>
        </w:rPr>
      </w:pPr>
    </w:p>
    <w:p w:rsidR="00273DD8" w:rsidRPr="001B6FE5" w:rsidRDefault="00273DD8" w:rsidP="003D2CE4">
      <w:pPr>
        <w:spacing w:after="0" w:line="240" w:lineRule="auto"/>
        <w:jc w:val="both"/>
        <w:rPr>
          <w:rFonts w:ascii="Arial Narrow" w:eastAsia="Times New Roman" w:hAnsi="Arial Narrow" w:cs="Times New Roman"/>
          <w:b/>
          <w:bCs/>
          <w:sz w:val="24"/>
          <w:szCs w:val="24"/>
        </w:rPr>
      </w:pPr>
      <w:r w:rsidRPr="001B6FE5">
        <w:rPr>
          <w:rFonts w:ascii="Arial Narrow" w:eastAsia="Times New Roman" w:hAnsi="Arial Narrow" w:cs="Times New Roman"/>
          <w:b/>
          <w:bCs/>
          <w:sz w:val="24"/>
          <w:szCs w:val="24"/>
        </w:rPr>
        <w:t xml:space="preserve">Fig. 3 Tensions revealed by the </w:t>
      </w:r>
      <w:r w:rsidR="00F81CA4">
        <w:rPr>
          <w:rFonts w:ascii="Arial Narrow" w:eastAsia="Times New Roman" w:hAnsi="Arial Narrow" w:cs="Times New Roman"/>
          <w:b/>
          <w:bCs/>
          <w:sz w:val="24"/>
          <w:szCs w:val="24"/>
        </w:rPr>
        <w:t>‘</w:t>
      </w:r>
      <w:r w:rsidRPr="001B6FE5">
        <w:rPr>
          <w:rFonts w:ascii="Arial Narrow" w:eastAsia="Times New Roman" w:hAnsi="Arial Narrow" w:cs="Times New Roman"/>
          <w:b/>
          <w:bCs/>
          <w:sz w:val="24"/>
          <w:szCs w:val="24"/>
        </w:rPr>
        <w:t>Versailles Ag</w:t>
      </w:r>
      <w:r w:rsidR="00877CF1" w:rsidRPr="001B6FE5">
        <w:rPr>
          <w:rFonts w:ascii="Arial Narrow" w:eastAsia="Times New Roman" w:hAnsi="Arial Narrow" w:cs="Times New Roman"/>
          <w:b/>
          <w:bCs/>
          <w:sz w:val="24"/>
          <w:szCs w:val="24"/>
        </w:rPr>
        <w:t>reements</w:t>
      </w:r>
      <w:r w:rsidR="00F81CA4">
        <w:rPr>
          <w:rFonts w:ascii="Arial Narrow" w:eastAsia="Times New Roman" w:hAnsi="Arial Narrow" w:cs="Times New Roman"/>
          <w:b/>
          <w:bCs/>
          <w:sz w:val="24"/>
          <w:szCs w:val="24"/>
        </w:rPr>
        <w:t>’</w:t>
      </w:r>
      <w:r w:rsidR="00877CF1" w:rsidRPr="001B6FE5">
        <w:rPr>
          <w:rFonts w:ascii="Arial Narrow" w:eastAsia="Times New Roman" w:hAnsi="Arial Narrow" w:cs="Times New Roman"/>
          <w:b/>
          <w:bCs/>
          <w:sz w:val="24"/>
          <w:szCs w:val="24"/>
        </w:rPr>
        <w:t xml:space="preserve"> in the ‘Shatter Belt.’</w:t>
      </w:r>
    </w:p>
    <w:p w:rsidR="004B2C10" w:rsidRDefault="004B2C10" w:rsidP="003D2CE4">
      <w:pPr>
        <w:keepNext/>
        <w:spacing w:after="0" w:line="480" w:lineRule="auto"/>
        <w:ind w:firstLine="720"/>
        <w:jc w:val="both"/>
        <w:rPr>
          <w:rFonts w:ascii="Arial Narrow" w:eastAsia="Times New Roman" w:hAnsi="Arial Narrow" w:cs="Arial"/>
          <w:szCs w:val="24"/>
        </w:rPr>
      </w:pP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This was certainly fertile ground on which to sow the seeds of nationalism. Stripping away false layers in the search for racial purity or, as in the Soviet case, eradicating the “weed which in some manner grew up between the stones of our bright and well-constructed building”, proved to be a profitable business. The irredentist plough provided the motive force and an impressive list of political disputes the fertile soil (Fig. 3). Lithuania and Poland argued over Wilno/Vilnius/Vilna.</w:t>
      </w:r>
      <w:r w:rsidRPr="001B6FE5">
        <w:rPr>
          <w:rFonts w:ascii="Arial Narrow" w:eastAsia="Times New Roman" w:hAnsi="Arial Narrow" w:cs="Arial"/>
          <w:szCs w:val="24"/>
          <w:vertAlign w:val="superscript"/>
        </w:rPr>
        <w:footnoteReference w:id="34"/>
      </w:r>
      <w:r w:rsidRPr="001B6FE5">
        <w:rPr>
          <w:rFonts w:ascii="Arial Narrow" w:eastAsia="Times New Roman" w:hAnsi="Arial Narrow" w:cs="Arial"/>
          <w:szCs w:val="24"/>
        </w:rPr>
        <w:t xml:space="preserve"> Poland and Czechoslovakia disputed Teschen/Tesin/Cieszyn for similar ethno-demographic and economic reasons; Czechoslovakia and Hungary over the latter’s revisionism. Hungary also ‘nursed territ</w:t>
      </w:r>
      <w:r w:rsidR="00587141">
        <w:rPr>
          <w:rFonts w:ascii="Arial Narrow" w:eastAsia="Times New Roman" w:hAnsi="Arial Narrow" w:cs="Arial"/>
          <w:szCs w:val="24"/>
        </w:rPr>
        <w:t xml:space="preserve">orial claims’ against </w:t>
      </w:r>
      <w:r w:rsidRPr="001B6FE5">
        <w:rPr>
          <w:rFonts w:ascii="Arial Narrow" w:eastAsia="Times New Roman" w:hAnsi="Arial Narrow" w:cs="Arial"/>
          <w:szCs w:val="24"/>
        </w:rPr>
        <w:t xml:space="preserve">Romania, Yugoslavia and Austria. To the south Yugoslavia coveted parts of Austrian Slovenia whilst Bulgarian irredentist resentments festered over Macedonia and Southern Dobruja. Woven within these claims and counter-claims, were convictions that the ‘other’ was permanently disabled by avariciously incorporating too many </w:t>
      </w:r>
      <w:r w:rsidRPr="001B6FE5">
        <w:rPr>
          <w:rFonts w:ascii="Arial Narrow" w:eastAsia="Times New Roman" w:hAnsi="Arial Narrow" w:cs="Arial"/>
          <w:szCs w:val="24"/>
        </w:rPr>
        <w:lastRenderedPageBreak/>
        <w:t xml:space="preserve">‘unabsorbables’, the singularly different perceptions of Hungary’s and the Soviet Union’s roles in the European balance, and the ‘contrasting social structures and national psychologies’ – particularly Polish Gentry versus Czech Bourgeois. (Fig. 4) Poland’s later failure to join the ‘Little Entente’ reinforced her apparent anti-democratic tendencies, </w:t>
      </w:r>
      <w:r w:rsidR="00587141">
        <w:rPr>
          <w:rFonts w:ascii="Arial Narrow" w:eastAsia="Times New Roman" w:hAnsi="Arial Narrow" w:cs="Arial"/>
          <w:szCs w:val="24"/>
        </w:rPr>
        <w:t>and her commercial future was not enhanced by ‘fancy schemes to escape economic laws’ or potential ruination through ‘insane military adventure’</w:t>
      </w:r>
      <w:r w:rsidR="00DB04A0">
        <w:rPr>
          <w:rFonts w:ascii="Arial Narrow" w:eastAsia="Times New Roman" w:hAnsi="Arial Narrow" w:cs="Arial"/>
          <w:szCs w:val="24"/>
        </w:rPr>
        <w:t xml:space="preserve"> - </w:t>
      </w:r>
      <w:r w:rsidRPr="001B6FE5">
        <w:rPr>
          <w:rFonts w:ascii="Arial Narrow" w:eastAsia="Times New Roman" w:hAnsi="Arial Narrow" w:cs="Arial"/>
          <w:szCs w:val="24"/>
        </w:rPr>
        <w:t>in marked contrast to Czecho-Slovakia which had a much larger middle-c</w:t>
      </w:r>
      <w:r w:rsidR="00587141">
        <w:rPr>
          <w:rFonts w:ascii="Arial Narrow" w:eastAsia="Times New Roman" w:hAnsi="Arial Narrow" w:cs="Arial"/>
          <w:szCs w:val="24"/>
        </w:rPr>
        <w:t>lass western bureaucracy.</w:t>
      </w:r>
      <w:r w:rsidR="00DB04A0">
        <w:rPr>
          <w:rStyle w:val="FootnoteReference"/>
          <w:rFonts w:ascii="Arial Narrow" w:eastAsia="Times New Roman" w:hAnsi="Arial Narrow" w:cs="Arial"/>
          <w:szCs w:val="24"/>
        </w:rPr>
        <w:footnoteReference w:id="35"/>
      </w:r>
      <w:r w:rsidR="00587141">
        <w:rPr>
          <w:rFonts w:ascii="Arial Narrow" w:eastAsia="Times New Roman" w:hAnsi="Arial Narrow" w:cs="Arial"/>
          <w:szCs w:val="24"/>
        </w:rPr>
        <w:t xml:space="preserve"> </w:t>
      </w:r>
      <w:r w:rsidRPr="001B6FE5">
        <w:rPr>
          <w:rFonts w:ascii="Arial Narrow" w:eastAsia="Times New Roman" w:hAnsi="Arial Narrow" w:cs="Arial"/>
          <w:szCs w:val="24"/>
        </w:rPr>
        <w:t>Poland in some ways typified the continuity between a prewar social order of hierarchy - which had come under increasing pressure - and postwar modernization. The Czechs in particular, regarded themselves</w:t>
      </w:r>
      <w:r w:rsidR="00C7672B">
        <w:rPr>
          <w:rFonts w:ascii="Arial Narrow" w:eastAsia="Times New Roman" w:hAnsi="Arial Narrow" w:cs="Arial"/>
          <w:szCs w:val="24"/>
        </w:rPr>
        <w:t xml:space="preserve"> as a ‘Central European’ people - </w:t>
      </w:r>
      <w:r w:rsidR="00DB04A0">
        <w:rPr>
          <w:rFonts w:ascii="Arial Narrow" w:eastAsia="Times New Roman" w:hAnsi="Arial Narrow" w:cs="Arial"/>
          <w:szCs w:val="24"/>
        </w:rPr>
        <w:t xml:space="preserve">in the German </w:t>
      </w:r>
      <w:r w:rsidR="004F64B7" w:rsidRPr="00AC3D48">
        <w:rPr>
          <w:rFonts w:ascii="Arial Narrow" w:eastAsia="Times New Roman" w:hAnsi="Arial Narrow" w:cs="Arial"/>
          <w:i/>
          <w:szCs w:val="24"/>
        </w:rPr>
        <w:t>M</w:t>
      </w:r>
      <w:r w:rsidR="00DB04A0" w:rsidRPr="00AC3D48">
        <w:rPr>
          <w:rFonts w:ascii="Arial Narrow" w:eastAsia="Times New Roman" w:hAnsi="Arial Narrow" w:cs="Arial"/>
          <w:i/>
          <w:szCs w:val="24"/>
        </w:rPr>
        <w:t>itteleuropa</w:t>
      </w:r>
      <w:r w:rsidR="00C7672B" w:rsidRPr="00AC3D48">
        <w:rPr>
          <w:rFonts w:ascii="Arial Narrow" w:eastAsia="Times New Roman" w:hAnsi="Arial Narrow" w:cs="Arial"/>
          <w:szCs w:val="24"/>
        </w:rPr>
        <w:t xml:space="preserve"> </w:t>
      </w:r>
      <w:r w:rsidR="00C7672B">
        <w:rPr>
          <w:rFonts w:ascii="Arial Narrow" w:eastAsia="Times New Roman" w:hAnsi="Arial Narrow" w:cs="Arial"/>
          <w:szCs w:val="24"/>
        </w:rPr>
        <w:t xml:space="preserve">sense of the word - </w:t>
      </w:r>
      <w:r w:rsidRPr="001B6FE5">
        <w:rPr>
          <w:rFonts w:ascii="Arial Narrow" w:eastAsia="Times New Roman" w:hAnsi="Arial Narrow" w:cs="Arial"/>
          <w:szCs w:val="24"/>
        </w:rPr>
        <w:t>go</w:t>
      </w:r>
      <w:r w:rsidR="00C7672B">
        <w:rPr>
          <w:rFonts w:ascii="Arial Narrow" w:eastAsia="Times New Roman" w:hAnsi="Arial Narrow" w:cs="Arial"/>
          <w:szCs w:val="24"/>
        </w:rPr>
        <w:t>ing</w:t>
      </w:r>
      <w:r w:rsidRPr="001B6FE5">
        <w:rPr>
          <w:rFonts w:ascii="Arial Narrow" w:eastAsia="Times New Roman" w:hAnsi="Arial Narrow" w:cs="Arial"/>
          <w:szCs w:val="24"/>
        </w:rPr>
        <w:t xml:space="preserve"> some way towards explaining their </w:t>
      </w:r>
      <w:r w:rsidR="00C7672B">
        <w:rPr>
          <w:rFonts w:ascii="Arial Narrow" w:eastAsia="Times New Roman" w:hAnsi="Arial Narrow" w:cs="Arial"/>
          <w:szCs w:val="24"/>
        </w:rPr>
        <w:t xml:space="preserve">greater </w:t>
      </w:r>
      <w:r w:rsidR="004F64B7">
        <w:rPr>
          <w:rFonts w:ascii="Arial Narrow" w:eastAsia="Times New Roman" w:hAnsi="Arial Narrow" w:cs="Arial"/>
          <w:szCs w:val="24"/>
        </w:rPr>
        <w:t>willingness</w:t>
      </w:r>
      <w:r w:rsidR="000B3EDE">
        <w:rPr>
          <w:rFonts w:ascii="Arial Narrow" w:eastAsia="Times New Roman" w:hAnsi="Arial Narrow" w:cs="Arial"/>
          <w:szCs w:val="24"/>
        </w:rPr>
        <w:t>,</w:t>
      </w:r>
      <w:r w:rsidR="004F64B7">
        <w:rPr>
          <w:rFonts w:ascii="Arial Narrow" w:eastAsia="Times New Roman" w:hAnsi="Arial Narrow" w:cs="Arial"/>
          <w:szCs w:val="24"/>
        </w:rPr>
        <w:t xml:space="preserve"> in coming</w:t>
      </w:r>
      <w:r w:rsidR="00742F89">
        <w:rPr>
          <w:rFonts w:ascii="Arial Narrow" w:eastAsia="Times New Roman" w:hAnsi="Arial Narrow" w:cs="Arial"/>
          <w:szCs w:val="24"/>
        </w:rPr>
        <w:t xml:space="preserve"> to</w:t>
      </w:r>
      <w:r w:rsidRPr="001B6FE5">
        <w:rPr>
          <w:rFonts w:ascii="Arial Narrow" w:eastAsia="Times New Roman" w:hAnsi="Arial Narrow" w:cs="Arial"/>
          <w:szCs w:val="24"/>
        </w:rPr>
        <w:t xml:space="preserve"> terms with Nazi Germany and the west in the late 1930s.</w:t>
      </w:r>
      <w:r w:rsidRPr="001B6FE5">
        <w:rPr>
          <w:rFonts w:ascii="Arial Narrow" w:eastAsia="Times New Roman" w:hAnsi="Arial Narrow" w:cs="Arial"/>
          <w:szCs w:val="24"/>
          <w:vertAlign w:val="superscript"/>
        </w:rPr>
        <w:footnoteReference w:id="36"/>
      </w:r>
      <w:r w:rsidRPr="001B6FE5">
        <w:rPr>
          <w:rFonts w:ascii="Arial Narrow" w:eastAsia="Times New Roman" w:hAnsi="Arial Narrow" w:cs="Arial"/>
          <w:noProof/>
          <w:szCs w:val="24"/>
          <w:lang w:eastAsia="en-GB"/>
        </w:rPr>
        <w:drawing>
          <wp:inline distT="0" distB="0" distL="0" distR="0" wp14:anchorId="6951FA5D" wp14:editId="08FEBCAC">
            <wp:extent cx="5476875" cy="2085975"/>
            <wp:effectExtent l="0" t="0" r="9525" b="9525"/>
            <wp:docPr id="4" name="Picture 4" descr="czechoslovakia language map 1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zechoslovakia language map 193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6875" cy="2085975"/>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Cs/>
          <w:szCs w:val="24"/>
        </w:rPr>
      </w:pPr>
      <w:r w:rsidRPr="001B6FE5">
        <w:rPr>
          <w:rFonts w:ascii="Arial Narrow" w:eastAsia="Times New Roman" w:hAnsi="Arial Narrow" w:cs="Arial"/>
          <w:b/>
          <w:bCs/>
          <w:szCs w:val="24"/>
        </w:rPr>
        <w:t xml:space="preserve">Fig. 4 The Czech-Polish dispute centred on the historic route between the Carpathians. </w:t>
      </w:r>
    </w:p>
    <w:p w:rsidR="00273DD8" w:rsidRPr="001B6FE5" w:rsidRDefault="00273DD8" w:rsidP="003D2CE4">
      <w:pPr>
        <w:spacing w:after="0" w:line="480" w:lineRule="auto"/>
        <w:ind w:firstLine="720"/>
        <w:jc w:val="both"/>
        <w:rPr>
          <w:rFonts w:ascii="Arial Narrow" w:eastAsia="Times New Roman" w:hAnsi="Arial Narrow" w:cs="Arial"/>
          <w:szCs w:val="24"/>
        </w:rPr>
      </w:pPr>
    </w:p>
    <w:p w:rsidR="00273DD8" w:rsidRPr="001B6FE5" w:rsidRDefault="00273DD8" w:rsidP="003D2CE4">
      <w:pPr>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 xml:space="preserve">Within the countries of east-Central Europe it is also necessary to define the 'other', in order to understand the 'self.' Timothy Garton Ash cheekily proffers a warning to all those who enter this debate: </w:t>
      </w:r>
    </w:p>
    <w:p w:rsidR="00273DD8" w:rsidRPr="001B6FE5" w:rsidRDefault="00273DD8" w:rsidP="003D2CE4">
      <w:pPr>
        <w:spacing w:after="0" w:line="480" w:lineRule="auto"/>
        <w:ind w:left="720" w:firstLine="720"/>
        <w:jc w:val="both"/>
        <w:rPr>
          <w:rFonts w:ascii="Arial Narrow" w:eastAsia="Times New Roman" w:hAnsi="Arial Narrow" w:cs="Arial"/>
          <w:iCs/>
          <w:szCs w:val="24"/>
        </w:rPr>
      </w:pPr>
      <w:r w:rsidRPr="001B6FE5">
        <w:rPr>
          <w:rFonts w:ascii="Arial Narrow" w:eastAsia="Times New Roman" w:hAnsi="Arial Narrow" w:cs="Arial"/>
          <w:iCs/>
          <w:szCs w:val="24"/>
        </w:rPr>
        <w:t xml:space="preserve">‘We shall at once be lost in a forest of historical complexity – an endlessly intriguing forest to be sure, a territory where peoples, cultures languages are fantastically intertwined, where every place has several names and men change their citizenship as often as their shoes, an enchanted </w:t>
      </w:r>
      <w:r w:rsidRPr="001B6FE5">
        <w:rPr>
          <w:rFonts w:ascii="Arial Narrow" w:eastAsia="Times New Roman" w:hAnsi="Arial Narrow" w:cs="Arial"/>
          <w:iCs/>
          <w:szCs w:val="24"/>
        </w:rPr>
        <w:lastRenderedPageBreak/>
        <w:t>wood full of wizards and witches, but one which bears over its entrance the words: “Abandon hope, ye who enter here, of ever seeing the wood for the trees.’</w:t>
      </w:r>
      <w:r w:rsidRPr="001B6FE5">
        <w:rPr>
          <w:rFonts w:ascii="Arial Narrow" w:eastAsia="Times New Roman" w:hAnsi="Arial Narrow" w:cs="Arial"/>
          <w:iCs/>
          <w:szCs w:val="24"/>
          <w:vertAlign w:val="superscript"/>
        </w:rPr>
        <w:footnoteReference w:id="37"/>
      </w:r>
    </w:p>
    <w:p w:rsidR="00273DD8" w:rsidRPr="001B6FE5" w:rsidRDefault="00273DD8" w:rsidP="003D2CE4">
      <w:pPr>
        <w:spacing w:after="0" w:line="480" w:lineRule="auto"/>
        <w:jc w:val="both"/>
        <w:rPr>
          <w:rFonts w:ascii="Arial Narrow" w:eastAsia="Times New Roman" w:hAnsi="Arial Narrow" w:cs="Arial"/>
          <w:iCs/>
          <w:szCs w:val="24"/>
        </w:rPr>
      </w:pPr>
      <w:r w:rsidRPr="001B6FE5">
        <w:rPr>
          <w:rFonts w:ascii="Arial Narrow" w:eastAsia="Times New Roman" w:hAnsi="Arial Narrow" w:cs="Arial"/>
          <w:szCs w:val="24"/>
        </w:rPr>
        <w:t>For good measure he adds: ‘every attempt to distil some common “essence” of history is either absurdly reductionist or invincibly vague.’</w:t>
      </w:r>
      <w:r w:rsidRPr="001B6FE5">
        <w:rPr>
          <w:rFonts w:ascii="Arial Narrow" w:eastAsia="Times New Roman" w:hAnsi="Arial Narrow" w:cs="Arial"/>
          <w:szCs w:val="24"/>
          <w:vertAlign w:val="superscript"/>
        </w:rPr>
        <w:footnoteReference w:id="38"/>
      </w:r>
      <w:r w:rsidRPr="001B6FE5">
        <w:rPr>
          <w:rFonts w:ascii="Arial Narrow" w:eastAsia="Times New Roman" w:hAnsi="Arial Narrow" w:cs="Arial"/>
          <w:szCs w:val="24"/>
        </w:rPr>
        <w:t xml:space="preserve"> A person born into the north-east corner of the Austrian Empire for example, may without ever having moved at all, lived under four separate ‘nationalities’ within two dozen years</w:t>
      </w:r>
      <w:r w:rsidRPr="001B6FE5">
        <w:rPr>
          <w:rFonts w:ascii="Arial Narrow" w:eastAsia="Times New Roman" w:hAnsi="Arial Narrow" w:cs="Arial"/>
          <w:szCs w:val="24"/>
          <w:vertAlign w:val="superscript"/>
        </w:rPr>
        <w:footnoteReference w:id="39"/>
      </w:r>
      <w:r w:rsidRPr="001B6FE5">
        <w:rPr>
          <w:rFonts w:ascii="Arial Narrow" w:eastAsia="Times New Roman" w:hAnsi="Arial Narrow" w:cs="Arial"/>
          <w:szCs w:val="24"/>
        </w:rPr>
        <w:t>. Frederick Lindstrom in describing the complex linguistic groups within the Austro-Hungarian Empire, notes the ‘layering’ that occurred as groups moved in to Bohemian lands, contributing to a ‘shifting of the boundaries between Germans and Czechs,… and [a] distinction between cultural identities within the two main groups, especially the Germans, [who] also evolved because [they] ….were from different parts…and adopted different occupations.’</w:t>
      </w:r>
      <w:r w:rsidRPr="001B6FE5">
        <w:rPr>
          <w:rFonts w:ascii="Arial Narrow" w:eastAsia="Times New Roman" w:hAnsi="Arial Narrow" w:cs="Arial"/>
          <w:szCs w:val="24"/>
          <w:vertAlign w:val="superscript"/>
        </w:rPr>
        <w:footnoteReference w:id="40"/>
      </w:r>
      <w:r w:rsidRPr="001B6FE5">
        <w:rPr>
          <w:rFonts w:ascii="Arial Narrow" w:eastAsia="Times New Roman" w:hAnsi="Arial Narrow" w:cs="Arial"/>
          <w:szCs w:val="24"/>
        </w:rPr>
        <w:t xml:space="preserve"> </w:t>
      </w:r>
    </w:p>
    <w:p w:rsidR="00273DD8" w:rsidRPr="001B6FE5" w:rsidRDefault="00273DD8" w:rsidP="003D2CE4">
      <w:pPr>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So bearing in mind the pitfalls and gleaning from the paucity of accounts individual reminiscences and details, whilst simultaneously utilising the wealth of contemporary statistics and commentary which exist, (though with the proviso of course that, particularly during such a volatile age, mischievous siren voices are ever present)</w:t>
      </w:r>
      <w:r w:rsidR="005120A7">
        <w:rPr>
          <w:rFonts w:ascii="Arial Narrow" w:eastAsia="Times New Roman" w:hAnsi="Arial Narrow" w:cs="Arial"/>
          <w:szCs w:val="24"/>
        </w:rPr>
        <w:t xml:space="preserve">, </w:t>
      </w:r>
      <w:r w:rsidRPr="001B6FE5">
        <w:rPr>
          <w:rFonts w:ascii="Arial Narrow" w:eastAsia="Times New Roman" w:hAnsi="Arial Narrow" w:cs="Arial"/>
          <w:szCs w:val="24"/>
        </w:rPr>
        <w:t>as well as English language translations of current historical accounts and conjecture, this discussion will ascertain how east-Central European states and their people were nationalized and denationalized by the currents of economic, political and social upheaval. What does this ‘region’ tells us about future political developments, particularly that of ‘meso-government’ and the construction of regionality – or ‘form a basis for identity formation’?</w:t>
      </w:r>
      <w:r w:rsidRPr="001B6FE5">
        <w:rPr>
          <w:rFonts w:ascii="Arial Narrow" w:eastAsia="Times New Roman" w:hAnsi="Arial Narrow" w:cs="Arial"/>
          <w:szCs w:val="24"/>
          <w:vertAlign w:val="superscript"/>
        </w:rPr>
        <w:footnoteReference w:id="41"/>
      </w:r>
      <w:r w:rsidRPr="001B6FE5">
        <w:rPr>
          <w:rFonts w:ascii="Arial Narrow" w:eastAsia="Times New Roman" w:hAnsi="Arial Narrow" w:cs="Arial"/>
          <w:szCs w:val="24"/>
        </w:rPr>
        <w:t xml:space="preserve"> What also does it uncover about nationalism and ‘localism’? Were the people, of say Kulmhof/Cholm and the Kresy acting in a particularist fashion or were external forces so strong that the tensions proved unequal to their own predilections to retain ‘independence’? (See above Fig. 3) Following this introduction and broadly following a chronological </w:t>
      </w:r>
      <w:r w:rsidRPr="001B6FE5">
        <w:rPr>
          <w:rFonts w:ascii="Arial Narrow" w:eastAsia="Times New Roman" w:hAnsi="Arial Narrow" w:cs="Arial"/>
          <w:szCs w:val="24"/>
        </w:rPr>
        <w:lastRenderedPageBreak/>
        <w:t>path, this dissertation will, using the themes described above, and woven within the historical framework of the contiguous nations, set out in five chapters the overlaying historical influences and prejudices within which individual accounts can provide some brief understanding. The borderlands under investigation were neither wholly ‘utopian sites of hybridity nor backward and violent wellsprings of ethnic conflict.’ Howard Aster and Peter Potichnyj focus upon the transformative aspects of modernity, as it ‘rolled through the…continent from west to east…in its wake, shatter[ing] traditional structures, religious institutions, accepted patterns of economic activity and previously sacred political beliefs.’ But, rather than speculating upon its destructive tendencies, they question</w:t>
      </w:r>
      <w:r w:rsidR="00DB04A0">
        <w:rPr>
          <w:rFonts w:ascii="Arial Narrow" w:eastAsia="Times New Roman" w:hAnsi="Arial Narrow" w:cs="Arial"/>
          <w:szCs w:val="24"/>
        </w:rPr>
        <w:t>, as will I,</w:t>
      </w:r>
      <w:r w:rsidRPr="001B6FE5">
        <w:rPr>
          <w:rFonts w:ascii="Arial Narrow" w:eastAsia="Times New Roman" w:hAnsi="Arial Narrow" w:cs="Arial"/>
          <w:szCs w:val="24"/>
        </w:rPr>
        <w:t xml:space="preserve"> how these transformative possibilities were utilised by, in their particular examples, the Ukrainian-Jewish communities’ opportunity ‘to free themselves from their historical legacies.’</w:t>
      </w:r>
      <w:r w:rsidRPr="001B6FE5">
        <w:rPr>
          <w:rFonts w:ascii="Arial Narrow" w:eastAsia="Times New Roman" w:hAnsi="Arial Narrow" w:cs="Arial"/>
          <w:szCs w:val="24"/>
          <w:vertAlign w:val="superscript"/>
        </w:rPr>
        <w:footnoteReference w:id="42"/>
      </w:r>
      <w:r w:rsidRPr="001B6FE5">
        <w:rPr>
          <w:rFonts w:ascii="Arial Narrow" w:eastAsia="Times New Roman" w:hAnsi="Arial Narrow" w:cs="Arial"/>
          <w:szCs w:val="24"/>
        </w:rPr>
        <w:t xml:space="preserve"> </w:t>
      </w:r>
    </w:p>
    <w:p w:rsidR="00273DD8" w:rsidRPr="001B6FE5" w:rsidRDefault="00273DD8" w:rsidP="003D2CE4">
      <w:pPr>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In all the prewar European Empires, secularization, socialism, trade unionism, reform and national autonomy affected a still largely rural population, a process accelerated by modern methods of warfare. Eric Hobsbawm speaks of an ‘under-developed’ or ‘under-developing...collective uncertainty’, in a ‘slope to the east and to the west of what we might call the main mountain-range or crest of European economic and cultural dynamism’, linking physical features with the psychological and emotional.</w:t>
      </w:r>
      <w:r w:rsidRPr="001B6FE5">
        <w:rPr>
          <w:rFonts w:ascii="Arial Narrow" w:eastAsia="Times New Roman" w:hAnsi="Arial Narrow" w:cs="Arial"/>
          <w:szCs w:val="24"/>
          <w:vertAlign w:val="superscript"/>
        </w:rPr>
        <w:footnoteReference w:id="43"/>
      </w:r>
      <w:r w:rsidRPr="001B6FE5">
        <w:rPr>
          <w:rFonts w:ascii="Arial Narrow" w:eastAsia="Times New Roman" w:hAnsi="Arial Narrow" w:cs="Arial"/>
          <w:szCs w:val="24"/>
        </w:rPr>
        <w:t xml:space="preserve"> These changes did not go unchallenged and in east-Central Europe they provided the dynamics for resistance. Traditional authority, and of course beliefs, provoked violence and pogroms, the ‘transmutation of traditional authority’ and the ‘weakening of social and political life’ which had existed for centuries, and it was here that ‘ [J. K.Galbraith wrote] the cracks in the old order first appeared…here that [all] dissolved, first in disorder, then in revolution.’</w:t>
      </w:r>
      <w:r w:rsidRPr="001B6FE5">
        <w:rPr>
          <w:rFonts w:ascii="Arial Narrow" w:eastAsia="Times New Roman" w:hAnsi="Arial Narrow" w:cs="Arial"/>
          <w:szCs w:val="24"/>
          <w:vertAlign w:val="superscript"/>
        </w:rPr>
        <w:footnoteReference w:id="44"/>
      </w:r>
      <w:r w:rsidRPr="001B6FE5">
        <w:rPr>
          <w:rFonts w:ascii="Arial Narrow" w:eastAsia="Times New Roman" w:hAnsi="Arial Narrow" w:cs="Arial"/>
          <w:szCs w:val="24"/>
        </w:rPr>
        <w:t xml:space="preserve"> There is a library full of Jewish and German philosophy, particularly upon the vexing subject of history, but I will have to ignore one extremely useful Yiddish saying, “</w:t>
      </w:r>
      <w:r w:rsidRPr="001B6FE5">
        <w:rPr>
          <w:rFonts w:ascii="Arial Narrow" w:eastAsia="Times New Roman" w:hAnsi="Arial Narrow" w:cs="Arial"/>
          <w:i/>
          <w:szCs w:val="24"/>
        </w:rPr>
        <w:t>M’darf nisht tantzen of alle khasenes</w:t>
      </w:r>
      <w:r w:rsidRPr="001B6FE5">
        <w:rPr>
          <w:rFonts w:ascii="Arial Narrow" w:eastAsia="Times New Roman" w:hAnsi="Arial Narrow" w:cs="Arial"/>
          <w:szCs w:val="24"/>
        </w:rPr>
        <w:t>,” or, “About things you don’t know much, it is wise to keep silent.”</w:t>
      </w:r>
    </w:p>
    <w:p w:rsidR="00273DD8" w:rsidRPr="001B6FE5" w:rsidRDefault="00273DD8" w:rsidP="003D2CE4">
      <w:pPr>
        <w:spacing w:after="0" w:line="480" w:lineRule="auto"/>
        <w:ind w:firstLine="720"/>
        <w:jc w:val="both"/>
        <w:rPr>
          <w:rFonts w:ascii="Arial Narrow" w:eastAsia="Times New Roman" w:hAnsi="Arial Narrow" w:cs="Arial"/>
          <w:szCs w:val="24"/>
        </w:rPr>
      </w:pPr>
    </w:p>
    <w:p w:rsidR="00273DD8" w:rsidRPr="001B6FE5" w:rsidRDefault="00273DD8" w:rsidP="003D2CE4">
      <w:pPr>
        <w:spacing w:after="0" w:line="480" w:lineRule="auto"/>
        <w:ind w:firstLine="720"/>
        <w:jc w:val="both"/>
        <w:rPr>
          <w:rFonts w:ascii="Arial Narrow" w:eastAsia="Times New Roman" w:hAnsi="Arial Narrow" w:cs="Arial"/>
          <w:b/>
          <w:szCs w:val="24"/>
        </w:rPr>
      </w:pPr>
      <w:r w:rsidRPr="001B6FE5">
        <w:rPr>
          <w:rFonts w:ascii="Arial Narrow" w:eastAsia="Times New Roman" w:hAnsi="Arial Narrow" w:cs="Arial"/>
          <w:szCs w:val="24"/>
        </w:rPr>
        <w:lastRenderedPageBreak/>
        <w:tab/>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Times New Roman" w:eastAsia="Times New Roman" w:hAnsi="Times New Roman" w:cs="Times New Roman"/>
          <w:b/>
          <w:szCs w:val="24"/>
        </w:rPr>
        <w:t>II</w:t>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t xml:space="preserve"> </w:t>
      </w:r>
      <w:r w:rsidR="001B6FE5">
        <w:rPr>
          <w:rFonts w:ascii="Arial Narrow" w:eastAsia="Times New Roman" w:hAnsi="Arial Narrow" w:cs="Arial"/>
          <w:b/>
          <w:szCs w:val="24"/>
        </w:rPr>
        <w:t xml:space="preserve">        </w:t>
      </w:r>
      <w:r w:rsidRPr="001B6FE5">
        <w:rPr>
          <w:rFonts w:ascii="Arial Narrow" w:eastAsia="Times New Roman" w:hAnsi="Arial Narrow" w:cs="Arial"/>
          <w:b/>
          <w:szCs w:val="24"/>
        </w:rPr>
        <w:t xml:space="preserve"> </w:t>
      </w:r>
      <w:r w:rsidRPr="001B6FE5">
        <w:rPr>
          <w:rFonts w:ascii="Arial Narrow" w:eastAsia="Times New Roman" w:hAnsi="Arial Narrow" w:cs="Arial"/>
          <w:b/>
          <w:szCs w:val="24"/>
          <w:u w:val="single"/>
        </w:rPr>
        <w:t>From</w:t>
      </w:r>
      <w:r w:rsidR="001740B8">
        <w:rPr>
          <w:rFonts w:ascii="Arial Narrow" w:eastAsia="Times New Roman" w:hAnsi="Arial Narrow" w:cs="Arial"/>
          <w:b/>
          <w:szCs w:val="24"/>
          <w:u w:val="single"/>
        </w:rPr>
        <w:t xml:space="preserve"> </w:t>
      </w:r>
      <w:r w:rsidRPr="001B6FE5">
        <w:rPr>
          <w:rFonts w:ascii="Arial Narrow" w:eastAsia="Times New Roman" w:hAnsi="Arial Narrow" w:cs="Arial"/>
          <w:b/>
          <w:szCs w:val="24"/>
          <w:u w:val="single"/>
        </w:rPr>
        <w:t>Paris to Moscow: Making minorities out of people</w:t>
      </w:r>
    </w:p>
    <w:p w:rsidR="00273DD8" w:rsidRPr="001B6FE5" w:rsidRDefault="00273DD8" w:rsidP="003D2CE4">
      <w:pPr>
        <w:spacing w:after="0" w:line="480" w:lineRule="auto"/>
        <w:jc w:val="both"/>
        <w:rPr>
          <w:rFonts w:ascii="Arial Narrow" w:eastAsia="Times New Roman" w:hAnsi="Arial Narrow" w:cs="Arial"/>
          <w:b/>
          <w:szCs w:val="24"/>
        </w:rPr>
      </w:pPr>
      <w:r w:rsidRPr="001B6FE5">
        <w:rPr>
          <w:rFonts w:ascii="Arial Narrow" w:eastAsia="Times New Roman" w:hAnsi="Arial Narrow" w:cs="Arial"/>
          <w:b/>
          <w:noProof/>
          <w:szCs w:val="24"/>
          <w:lang w:eastAsia="en-GB"/>
        </w:rPr>
        <w:drawing>
          <wp:inline distT="0" distB="0" distL="0" distR="0" wp14:anchorId="2F98C1C4" wp14:editId="124E4749">
            <wp:extent cx="5629275" cy="2886075"/>
            <wp:effectExtent l="0" t="0" r="9525" b="9525"/>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28640" cy="2885749"/>
                    </a:xfrm>
                    <a:prstGeom prst="rect">
                      <a:avLst/>
                    </a:prstGeom>
                    <a:noFill/>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5 </w:t>
      </w:r>
      <w:r w:rsidRPr="003D60BE">
        <w:rPr>
          <w:rFonts w:ascii="Arial Narrow" w:eastAsia="Times New Roman" w:hAnsi="Arial Narrow" w:cs="Arial"/>
          <w:b/>
          <w:bCs/>
          <w:i/>
          <w:szCs w:val="24"/>
        </w:rPr>
        <w:t>Putzgers</w:t>
      </w:r>
      <w:r w:rsidR="003D60BE">
        <w:rPr>
          <w:rFonts w:ascii="Arial Narrow" w:eastAsia="Times New Roman" w:hAnsi="Arial Narrow" w:cs="Arial"/>
          <w:b/>
          <w:bCs/>
          <w:i/>
          <w:szCs w:val="24"/>
        </w:rPr>
        <w:t>’</w:t>
      </w:r>
      <w:r w:rsidRPr="001B6FE5">
        <w:rPr>
          <w:rFonts w:ascii="Arial Narrow" w:eastAsia="Times New Roman" w:hAnsi="Arial Narrow" w:cs="Arial"/>
          <w:b/>
          <w:bCs/>
          <w:szCs w:val="24"/>
        </w:rPr>
        <w:t xml:space="preserve"> interwar Germany and Poland</w:t>
      </w:r>
      <w:r w:rsidR="003D60BE">
        <w:rPr>
          <w:rFonts w:ascii="Arial Narrow" w:eastAsia="Times New Roman" w:hAnsi="Arial Narrow" w:cs="Arial"/>
          <w:b/>
          <w:bCs/>
          <w:szCs w:val="24"/>
        </w:rPr>
        <w:t xml:space="preserve"> - </w:t>
      </w:r>
      <w:r w:rsidRPr="001B6FE5">
        <w:rPr>
          <w:rFonts w:ascii="Arial Narrow" w:eastAsia="Times New Roman" w:hAnsi="Arial Narrow" w:cs="Arial"/>
          <w:b/>
          <w:bCs/>
          <w:szCs w:val="24"/>
        </w:rPr>
        <w:t xml:space="preserve">with changes. </w:t>
      </w:r>
    </w:p>
    <w:p w:rsidR="00273DD8" w:rsidRPr="001B6FE5" w:rsidRDefault="00273DD8" w:rsidP="003D2CE4">
      <w:pPr>
        <w:spacing w:after="0" w:line="240" w:lineRule="auto"/>
        <w:jc w:val="both"/>
        <w:rPr>
          <w:rFonts w:ascii="Arial Narrow" w:eastAsia="Times New Roman" w:hAnsi="Arial Narrow" w:cs="Arial"/>
          <w:szCs w:val="24"/>
        </w:rPr>
      </w:pPr>
    </w:p>
    <w:p w:rsidR="00273DD8" w:rsidRPr="001B6FE5" w:rsidRDefault="000802CF" w:rsidP="003D2CE4">
      <w:pPr>
        <w:spacing w:after="0" w:line="480" w:lineRule="auto"/>
        <w:ind w:firstLine="720"/>
        <w:jc w:val="both"/>
        <w:rPr>
          <w:rFonts w:ascii="Arial Narrow" w:eastAsia="Times New Roman" w:hAnsi="Arial Narrow" w:cs="Arial"/>
          <w:szCs w:val="24"/>
        </w:rPr>
      </w:pPr>
      <w:r>
        <w:rPr>
          <w:rFonts w:ascii="Arial Narrow" w:eastAsia="Times New Roman" w:hAnsi="Arial Narrow" w:cs="Arial"/>
          <w:szCs w:val="24"/>
        </w:rPr>
        <w:t xml:space="preserve">This chapter will provide a </w:t>
      </w:r>
      <w:r w:rsidR="003D60BE">
        <w:rPr>
          <w:rFonts w:ascii="Arial Narrow" w:eastAsia="Times New Roman" w:hAnsi="Arial Narrow" w:cs="Arial"/>
          <w:szCs w:val="24"/>
        </w:rPr>
        <w:t>résumé</w:t>
      </w:r>
      <w:r>
        <w:rPr>
          <w:rFonts w:ascii="Arial Narrow" w:eastAsia="Times New Roman" w:hAnsi="Arial Narrow" w:cs="Arial"/>
          <w:szCs w:val="24"/>
        </w:rPr>
        <w:t xml:space="preserve"> of Versailles and its postwar implications, whilst taking an excursion around east-Central Europe </w:t>
      </w:r>
      <w:r w:rsidR="003D60BE">
        <w:rPr>
          <w:rFonts w:ascii="Arial Narrow" w:eastAsia="Times New Roman" w:hAnsi="Arial Narrow" w:cs="Arial"/>
          <w:szCs w:val="24"/>
        </w:rPr>
        <w:t xml:space="preserve">to ascertain the struggles which existed between nations, peoples and the agrarian versus industrial debate. </w:t>
      </w:r>
      <w:r w:rsidR="00273DD8" w:rsidRPr="001B6FE5">
        <w:rPr>
          <w:rFonts w:ascii="Arial Narrow" w:eastAsia="Times New Roman" w:hAnsi="Arial Narrow" w:cs="Arial"/>
          <w:szCs w:val="24"/>
        </w:rPr>
        <w:t>Robert Vansittart in 1931, casting a sceptical eye over ‘An Aspect of International Relations’ mischievously sets the scene: ‘We cannot, then, be blind, in attempting the harvest of a quiet eye, to the other side, which is the growth of this old Adam; for the dissipated wretch, far from being dissipated altogether, has actually been putting on weight.’ He focuses on individual aspects, particularly in Germany and Poland. ‘As for the Polish frontier, no German is supposed to forget the lost provinces; in any case he is not allowed to try. In this the Poles are unwise enough to collaborate.’</w:t>
      </w:r>
      <w:r w:rsidR="00273DD8" w:rsidRPr="001B6FE5">
        <w:rPr>
          <w:rFonts w:ascii="Arial Narrow" w:eastAsia="Times New Roman" w:hAnsi="Arial Narrow" w:cs="Arial"/>
          <w:szCs w:val="24"/>
          <w:vertAlign w:val="superscript"/>
        </w:rPr>
        <w:footnoteReference w:id="45"/>
      </w:r>
      <w:r w:rsidR="00273DD8" w:rsidRPr="001B6FE5">
        <w:rPr>
          <w:rFonts w:ascii="Arial Narrow" w:eastAsia="Times New Roman" w:hAnsi="Arial Narrow" w:cs="Arial"/>
          <w:szCs w:val="24"/>
        </w:rPr>
        <w:t xml:space="preserve"> The ‘other side’ in 1918 was barely a border at all. In Lev Kopelev’s Ukraine, where he grew up amongst Russians, Jews, Poles, Georgians and Germans, looking back sixty years, he admits: ‘thinking back about many of the boys and girls in my class and my troop, I cannot say what “nation” they belonged to. It simply </w:t>
      </w:r>
      <w:r w:rsidR="00273DD8" w:rsidRPr="001B6FE5">
        <w:rPr>
          <w:rFonts w:ascii="Arial Narrow" w:eastAsia="Times New Roman" w:hAnsi="Arial Narrow" w:cs="Arial"/>
          <w:szCs w:val="24"/>
        </w:rPr>
        <w:lastRenderedPageBreak/>
        <w:t xml:space="preserve">didn’t interest us at the time.’ The eastern borderlands were porous and ill-defined (Fig. 5). Kopelev hints at his </w:t>
      </w:r>
      <w:r w:rsidR="00DB04A0">
        <w:rPr>
          <w:rFonts w:ascii="Arial Narrow" w:eastAsia="Times New Roman" w:hAnsi="Arial Narrow" w:cs="Arial"/>
          <w:szCs w:val="24"/>
        </w:rPr>
        <w:t>own understanding of identity.</w:t>
      </w:r>
      <w:r w:rsidR="00DB04A0">
        <w:rPr>
          <w:rFonts w:ascii="Arial Narrow" w:eastAsia="Times New Roman" w:hAnsi="Arial Narrow" w:cs="Arial"/>
          <w:szCs w:val="24"/>
        </w:rPr>
        <w:tab/>
      </w:r>
    </w:p>
    <w:p w:rsidR="00273DD8" w:rsidRPr="001B6FE5" w:rsidRDefault="00273DD8" w:rsidP="003D2CE4">
      <w:pPr>
        <w:keepNext/>
        <w:spacing w:after="0" w:line="480" w:lineRule="auto"/>
        <w:ind w:left="720" w:firstLine="720"/>
        <w:jc w:val="both"/>
        <w:rPr>
          <w:rFonts w:ascii="Arial Narrow" w:eastAsia="Times New Roman" w:hAnsi="Arial Narrow" w:cs="Arial"/>
          <w:szCs w:val="24"/>
        </w:rPr>
      </w:pPr>
      <w:r w:rsidRPr="001B6FE5">
        <w:rPr>
          <w:rFonts w:ascii="Arial Narrow" w:eastAsia="Times New Roman" w:hAnsi="Arial Narrow" w:cs="Arial"/>
          <w:szCs w:val="24"/>
        </w:rPr>
        <w:t>‘The miasmas of primitive “group” thinking, barbaric oversimplification, caught up with me later in quite another form: When I believed that one should fear and hate all bourgeois, all landowners, all White Guards, Kulaks, Mensheviks, et al. And assumed, on the other hand, that one ought to love, as one’s own people, all proletarians, Communists, Komsomol members, Red Commanders, veterans of the Civil War.’</w:t>
      </w:r>
      <w:r w:rsidRPr="001B6FE5">
        <w:rPr>
          <w:rFonts w:ascii="Arial Narrow" w:eastAsia="Times New Roman" w:hAnsi="Arial Narrow" w:cs="Arial"/>
          <w:szCs w:val="24"/>
          <w:vertAlign w:val="superscript"/>
        </w:rPr>
        <w:footnoteReference w:id="46"/>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p>
    <w:p w:rsidR="006458E3" w:rsidRDefault="00273DD8" w:rsidP="003D2CE4">
      <w:pPr>
        <w:spacing w:after="0" w:line="480" w:lineRule="auto"/>
        <w:jc w:val="both"/>
        <w:rPr>
          <w:rFonts w:ascii="Arial Narrow" w:eastAsia="Times New Roman" w:hAnsi="Arial Narrow" w:cs="Arial"/>
          <w:bCs/>
          <w:noProof/>
          <w:szCs w:val="24"/>
          <w:lang w:eastAsia="en-GB"/>
        </w:rPr>
      </w:pPr>
      <w:r w:rsidRPr="001B6FE5">
        <w:rPr>
          <w:rFonts w:ascii="Arial Narrow" w:eastAsia="Times New Roman" w:hAnsi="Arial Narrow" w:cs="Arial"/>
          <w:bCs/>
          <w:szCs w:val="24"/>
        </w:rPr>
        <w:t>Hugh Seton-Watson</w:t>
      </w:r>
      <w:r w:rsidR="003D60BE">
        <w:rPr>
          <w:rFonts w:ascii="Arial Narrow" w:eastAsia="Times New Roman" w:hAnsi="Arial Narrow" w:cs="Arial"/>
          <w:bCs/>
          <w:szCs w:val="24"/>
        </w:rPr>
        <w:t>,</w:t>
      </w:r>
      <w:r w:rsidRPr="001B6FE5">
        <w:rPr>
          <w:rFonts w:ascii="Arial Narrow" w:eastAsia="Times New Roman" w:hAnsi="Arial Narrow" w:cs="Arial"/>
          <w:bCs/>
          <w:szCs w:val="24"/>
        </w:rPr>
        <w:t xml:space="preserve"> </w:t>
      </w:r>
      <w:r w:rsidR="003D60BE">
        <w:rPr>
          <w:rFonts w:ascii="Arial Narrow" w:eastAsia="Times New Roman" w:hAnsi="Arial Narrow" w:cs="Arial"/>
          <w:bCs/>
          <w:szCs w:val="24"/>
        </w:rPr>
        <w:t xml:space="preserve">writing </w:t>
      </w:r>
      <w:r w:rsidRPr="001B6FE5">
        <w:rPr>
          <w:rFonts w:ascii="Arial Narrow" w:eastAsia="Times New Roman" w:hAnsi="Arial Narrow" w:cs="Arial"/>
          <w:bCs/>
          <w:szCs w:val="24"/>
        </w:rPr>
        <w:t>in early 1940, described the area between Germany and Russia as separated from British shores by just a few hundred miles, ‘but to the British people, which is aware of the existence of Zulus and Malays, Maoris and Afridis, they are unknown. They have unpronounceable names, and live in plains and forests, on mountains and rivers which might be in another world.’</w:t>
      </w:r>
      <w:r w:rsidRPr="001B6FE5">
        <w:rPr>
          <w:rFonts w:ascii="Arial Narrow" w:eastAsia="Times New Roman" w:hAnsi="Arial Narrow" w:cs="Arial"/>
          <w:bCs/>
          <w:szCs w:val="24"/>
          <w:vertAlign w:val="superscript"/>
        </w:rPr>
        <w:footnoteReference w:id="47"/>
      </w:r>
      <w:r w:rsidRPr="001B6FE5">
        <w:rPr>
          <w:rFonts w:ascii="Arial Narrow" w:eastAsia="Times New Roman" w:hAnsi="Arial Narrow" w:cs="Arial"/>
          <w:bCs/>
          <w:szCs w:val="24"/>
        </w:rPr>
        <w:t xml:space="preserve"> Patrick Leigh Fermor who set out in 1933, like a ‘tramp, a pilgrim, or a wandering scholar’ to walk to Constantinople, recalls Metternich’s “</w:t>
      </w:r>
      <w:r w:rsidR="004F64B7" w:rsidRPr="004F64B7">
        <w:rPr>
          <w:rFonts w:ascii="Arial Narrow" w:eastAsia="Times New Roman" w:hAnsi="Arial Narrow" w:cs="Arial"/>
          <w:bCs/>
          <w:i/>
          <w:szCs w:val="24"/>
        </w:rPr>
        <w:t>Östlich von Wien, fängt der Orient an</w:t>
      </w:r>
      <w:r w:rsidRPr="001B6FE5">
        <w:rPr>
          <w:rFonts w:ascii="Arial Narrow" w:eastAsia="Times New Roman" w:hAnsi="Arial Narrow" w:cs="Arial"/>
          <w:bCs/>
          <w:szCs w:val="24"/>
        </w:rPr>
        <w:t>”.</w:t>
      </w:r>
      <w:r w:rsidRPr="001B6FE5">
        <w:rPr>
          <w:rFonts w:ascii="Arial Narrow" w:eastAsia="Times New Roman" w:hAnsi="Arial Narrow" w:cs="Arial"/>
          <w:bCs/>
          <w:szCs w:val="24"/>
          <w:vertAlign w:val="superscript"/>
        </w:rPr>
        <w:footnoteReference w:id="48"/>
      </w:r>
      <w:r w:rsidRPr="001B6FE5">
        <w:rPr>
          <w:rFonts w:ascii="Arial Narrow" w:eastAsia="Times New Roman" w:hAnsi="Arial Narrow" w:cs="Arial"/>
          <w:bCs/>
          <w:szCs w:val="24"/>
        </w:rPr>
        <w:t xml:space="preserve"> Brooding upon the West’s confusion over Attila the Hun and Arpad of the Magyars (which incidentally led to them misnaming ‘the land where they took root’) he adds: ‘[f]rom the very first, the Kingdom [of Hungary] included all the lands of the Slovaks and the frontier remained unchanged for the ten centuries that separate Arpad from President Wilson.’ Had the amputation included only Slovaks, it would have been ‘ethnographically just.’ But a strip of land to the north of the Danube contained only Magyars, a ‘double-edged gift’ for the new Czechoslovak state, which included German-speakers, ‘descendants of the Teutonic citizens who had helped to populate most of the cities of Central Europe.’</w:t>
      </w:r>
      <w:r w:rsidRPr="001B6FE5">
        <w:rPr>
          <w:rFonts w:ascii="Arial Narrow" w:eastAsia="Times New Roman" w:hAnsi="Arial Narrow" w:cs="Arial"/>
          <w:bCs/>
          <w:szCs w:val="24"/>
          <w:vertAlign w:val="superscript"/>
        </w:rPr>
        <w:footnoteReference w:id="49"/>
      </w:r>
      <w:r w:rsidRPr="001B6FE5">
        <w:rPr>
          <w:rFonts w:ascii="Arial Narrow" w:eastAsia="Times New Roman" w:hAnsi="Arial Narrow" w:cs="Arial"/>
          <w:b/>
          <w:bCs/>
          <w:szCs w:val="24"/>
        </w:rPr>
        <w:t xml:space="preserve"> </w:t>
      </w:r>
      <w:r w:rsidR="006458E3" w:rsidRPr="006458E3">
        <w:rPr>
          <w:rFonts w:ascii="Arial Narrow" w:eastAsia="Times New Roman" w:hAnsi="Arial Narrow" w:cs="Arial"/>
          <w:bCs/>
          <w:szCs w:val="24"/>
        </w:rPr>
        <w:t>(</w:t>
      </w:r>
      <w:r w:rsidR="006458E3">
        <w:rPr>
          <w:rFonts w:ascii="Arial Narrow" w:eastAsia="Times New Roman" w:hAnsi="Arial Narrow" w:cs="Arial"/>
          <w:bCs/>
          <w:szCs w:val="24"/>
        </w:rPr>
        <w:t xml:space="preserve">See above </w:t>
      </w:r>
      <w:r w:rsidR="006458E3">
        <w:rPr>
          <w:rFonts w:ascii="Arial Narrow" w:eastAsia="Times New Roman" w:hAnsi="Arial Narrow" w:cs="Arial"/>
          <w:bCs/>
          <w:noProof/>
          <w:szCs w:val="24"/>
          <w:lang w:eastAsia="en-GB"/>
        </w:rPr>
        <w:t xml:space="preserve">Fig. 4) </w:t>
      </w:r>
    </w:p>
    <w:p w:rsidR="00273DD8" w:rsidRPr="001B6FE5" w:rsidRDefault="00273DD8" w:rsidP="003D2CE4">
      <w:pPr>
        <w:spacing w:after="0" w:line="480" w:lineRule="auto"/>
        <w:jc w:val="both"/>
        <w:rPr>
          <w:rFonts w:ascii="Arial Narrow" w:eastAsia="Times New Roman" w:hAnsi="Arial Narrow" w:cs="Arial"/>
          <w:b/>
          <w:bCs/>
          <w:szCs w:val="24"/>
        </w:rPr>
      </w:pPr>
      <w:r w:rsidRPr="001B6FE5">
        <w:rPr>
          <w:rFonts w:ascii="Arial Narrow" w:eastAsia="Times New Roman" w:hAnsi="Arial Narrow" w:cs="Arial"/>
          <w:b/>
          <w:bCs/>
          <w:noProof/>
          <w:szCs w:val="24"/>
          <w:lang w:eastAsia="en-GB"/>
        </w:rPr>
        <w:lastRenderedPageBreak/>
        <w:drawing>
          <wp:inline distT="0" distB="0" distL="0" distR="0" wp14:anchorId="60116F25" wp14:editId="17E1BE0D">
            <wp:extent cx="5486400" cy="2781300"/>
            <wp:effectExtent l="0" t="0" r="0" b="0"/>
            <wp:docPr id="6" name="Picture 6" descr="WestContinuityujab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estContinuityujabb"/>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2781300"/>
                    </a:xfrm>
                    <a:prstGeom prst="rect">
                      <a:avLst/>
                    </a:prstGeom>
                    <a:noFill/>
                    <a:ln>
                      <a:noFill/>
                    </a:ln>
                  </pic:spPr>
                </pic:pic>
              </a:graphicData>
            </a:graphic>
          </wp:inline>
        </w:drawing>
      </w:r>
      <w:r w:rsidRPr="001B6FE5">
        <w:rPr>
          <w:rFonts w:ascii="Arial Narrow" w:eastAsia="Times New Roman" w:hAnsi="Arial Narrow" w:cs="Arial"/>
          <w:b/>
          <w:bCs/>
          <w:szCs w:val="24"/>
        </w:rPr>
        <w:t xml:space="preserve"> Fig. 6 Continuity between Charlemagne and ‘Modern’ Europe. </w:t>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szCs w:val="24"/>
        </w:rPr>
        <w:t>History in east-Central Europe is to be sure ‘epic and tragic’, consisting of David and Goliath struggles where the protagonists expectations often exceed reality, where business remains unfinished and opportunities are lost. Yet much remained the same (Fig. 6). A Hungarian historian, remarking on the correlation between the Iron Curtain and the old eastern border of the Carolinian Empire, suggested that, “it is as if Stalin, Churchill, and Roosevelt had carefully studied the status quo of the age of Charlemagne on the 1130</w:t>
      </w:r>
      <w:r w:rsidRPr="001B6FE5">
        <w:rPr>
          <w:rFonts w:ascii="Arial Narrow" w:eastAsia="Times New Roman" w:hAnsi="Arial Narrow" w:cs="Arial"/>
          <w:szCs w:val="24"/>
          <w:vertAlign w:val="superscript"/>
        </w:rPr>
        <w:t>th</w:t>
      </w:r>
      <w:r w:rsidRPr="001B6FE5">
        <w:rPr>
          <w:rFonts w:ascii="Arial Narrow" w:eastAsia="Times New Roman" w:hAnsi="Arial Narrow" w:cs="Arial"/>
          <w:szCs w:val="24"/>
        </w:rPr>
        <w:t xml:space="preserve"> anniversary of his death.’</w:t>
      </w:r>
      <w:r w:rsidRPr="001B6FE5">
        <w:rPr>
          <w:rFonts w:ascii="Arial Narrow" w:eastAsia="Times New Roman" w:hAnsi="Arial Narrow" w:cs="Arial"/>
          <w:szCs w:val="24"/>
          <w:vertAlign w:val="superscript"/>
        </w:rPr>
        <w:footnoteReference w:id="50"/>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Poland in the interwar period has variously been described as “God’s Playground”, “New Canaan” or “On the Edge of Destruction”, simultaneously sharing her new found independence and breathing the air of liberty with Ukrainians, Germans, Byelorussians, Ruthenians, Slovaks, Czechs, Lithuanians and, of course, Jews.</w:t>
      </w:r>
      <w:r w:rsidRPr="001B6FE5">
        <w:rPr>
          <w:rFonts w:ascii="Arial Narrow" w:eastAsia="Times New Roman" w:hAnsi="Arial Narrow" w:cs="Arial"/>
          <w:szCs w:val="24"/>
          <w:vertAlign w:val="superscript"/>
        </w:rPr>
        <w:footnoteReference w:id="51"/>
      </w:r>
      <w:r w:rsidRPr="001B6FE5">
        <w:rPr>
          <w:rFonts w:ascii="Arial Narrow" w:eastAsia="Times New Roman" w:hAnsi="Arial Narrow" w:cs="Arial"/>
          <w:szCs w:val="24"/>
        </w:rPr>
        <w:t xml:space="preserve"> There have been Jews in Poland since 1240, attracted for more than 500 years by the peace and freedom that was not palpable elsewhere in Europe – a ‘haven in a world of persecution.’</w:t>
      </w:r>
      <w:r w:rsidRPr="001B6FE5">
        <w:rPr>
          <w:rFonts w:ascii="Arial Narrow" w:eastAsia="Times New Roman" w:hAnsi="Arial Narrow" w:cs="Arial"/>
          <w:szCs w:val="24"/>
          <w:vertAlign w:val="superscript"/>
        </w:rPr>
        <w:footnoteReference w:id="52"/>
      </w:r>
      <w:r w:rsidRPr="001B6FE5">
        <w:rPr>
          <w:rFonts w:ascii="Arial Narrow" w:eastAsia="Times New Roman" w:hAnsi="Arial Narrow" w:cs="Arial"/>
          <w:szCs w:val="24"/>
        </w:rPr>
        <w:t xml:space="preserve"> The ‘Idols of the tribe’ attract more than their fare share of attention here, not only in her borderlands, but throughout a ‘society in which two-thirds of the population was engaged in subsistence agriculture and…one </w:t>
      </w:r>
      <w:r w:rsidRPr="001B6FE5">
        <w:rPr>
          <w:rFonts w:ascii="Arial Narrow" w:eastAsia="Times New Roman" w:hAnsi="Arial Narrow" w:cs="Arial"/>
          <w:szCs w:val="24"/>
        </w:rPr>
        <w:lastRenderedPageBreak/>
        <w:t>third consisted of national minorities.’</w:t>
      </w:r>
      <w:r w:rsidRPr="001B6FE5">
        <w:rPr>
          <w:rFonts w:ascii="Arial Narrow" w:eastAsia="Times New Roman" w:hAnsi="Arial Narrow" w:cs="Arial"/>
          <w:szCs w:val="24"/>
          <w:vertAlign w:val="superscript"/>
        </w:rPr>
        <w:footnoteReference w:id="53"/>
      </w:r>
      <w:r w:rsidRPr="001B6FE5">
        <w:rPr>
          <w:rFonts w:ascii="Arial Narrow" w:eastAsia="Times New Roman" w:hAnsi="Arial Narrow" w:cs="Arial"/>
          <w:szCs w:val="24"/>
        </w:rPr>
        <w:t xml:space="preserve"> Even before her war with Russia (1919-20), this was hardly a country which ‘could afford the gradualist, liberal climate of prosperous and well established western countries’, and it as well, when venturing into Poland’s national identity, to also heed Michael Ignatieff’s warning that: “in no field of history does one wish more fervently that historians could write blind into the future.”</w:t>
      </w:r>
      <w:r w:rsidRPr="001B6FE5">
        <w:rPr>
          <w:rFonts w:ascii="Arial Narrow" w:eastAsia="Times New Roman" w:hAnsi="Arial Narrow" w:cs="Arial"/>
          <w:szCs w:val="24"/>
          <w:vertAlign w:val="superscript"/>
        </w:rPr>
        <w:footnoteReference w:id="54"/>
      </w:r>
      <w:r w:rsidRPr="001B6FE5">
        <w:rPr>
          <w:rFonts w:ascii="Arial Narrow" w:eastAsia="Times New Roman" w:hAnsi="Arial Narrow" w:cs="Arial"/>
          <w:szCs w:val="24"/>
        </w:rPr>
        <w:t xml:space="preserve"> To do so would threaten the actual events with </w:t>
      </w:r>
      <w:r w:rsidR="00F67BF1">
        <w:rPr>
          <w:rFonts w:ascii="Arial Narrow" w:eastAsia="Times New Roman" w:hAnsi="Arial Narrow" w:cs="Arial"/>
          <w:szCs w:val="24"/>
        </w:rPr>
        <w:t>a dark cloud of historiography.</w:t>
      </w:r>
      <w:r w:rsidR="00F67BF1">
        <w:rPr>
          <w:rStyle w:val="FootnoteReference"/>
          <w:rFonts w:ascii="Arial Narrow" w:eastAsia="Times New Roman" w:hAnsi="Arial Narrow" w:cs="Arial"/>
          <w:szCs w:val="24"/>
        </w:rPr>
        <w:footnoteReference w:id="55"/>
      </w:r>
      <w:r w:rsidR="00F67BF1">
        <w:rPr>
          <w:rFonts w:ascii="Arial Narrow" w:eastAsia="Times New Roman" w:hAnsi="Arial Narrow" w:cs="Arial"/>
          <w:szCs w:val="24"/>
        </w:rPr>
        <w:t xml:space="preserve"> </w:t>
      </w:r>
      <w:r w:rsidRPr="001B6FE5">
        <w:rPr>
          <w:rFonts w:ascii="Arial Narrow" w:eastAsia="Times New Roman" w:hAnsi="Arial Narrow" w:cs="Arial"/>
          <w:szCs w:val="24"/>
        </w:rPr>
        <w:t xml:space="preserve">Poland’s relationship and antagonism with her neighbours can </w:t>
      </w:r>
      <w:r w:rsidR="006458E3">
        <w:rPr>
          <w:rFonts w:ascii="Arial Narrow" w:eastAsia="Times New Roman" w:hAnsi="Arial Narrow" w:cs="Arial"/>
          <w:szCs w:val="24"/>
        </w:rPr>
        <w:t xml:space="preserve">also </w:t>
      </w:r>
      <w:r w:rsidRPr="001B6FE5">
        <w:rPr>
          <w:rFonts w:ascii="Arial Narrow" w:eastAsia="Times New Roman" w:hAnsi="Arial Narrow" w:cs="Arial"/>
          <w:szCs w:val="24"/>
        </w:rPr>
        <w:t>be succinctly summed up: “‘[T]he fighting spirit of Polish nationalism was subdued in Romanov Poland, suborned in Habsburg Poland and provoked in German Poland.’</w:t>
      </w:r>
      <w:r w:rsidRPr="001B6FE5">
        <w:rPr>
          <w:rFonts w:ascii="Arial Narrow" w:eastAsia="Times New Roman" w:hAnsi="Arial Narrow" w:cs="Arial"/>
          <w:szCs w:val="24"/>
          <w:vertAlign w:val="superscript"/>
        </w:rPr>
        <w:footnoteReference w:id="56"/>
      </w:r>
    </w:p>
    <w:p w:rsidR="006458E3" w:rsidRDefault="00273DD8" w:rsidP="003D2CE4">
      <w:pPr>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szCs w:val="24"/>
        </w:rPr>
        <w:t>‘Externally’, Vladimir Illich Lenin, according to Bruce Lockhart in a memorandum to British Foreign Secretary Arthur Balfour, was now ‘a greater danger to Europe than German militarism…whose eyes were firmly focussed on Central Europe…[and] hopes of a class revolution [were] certain in the Ukraine and Poland.’</w:t>
      </w:r>
      <w:r w:rsidRPr="001B6FE5">
        <w:rPr>
          <w:rFonts w:ascii="Arial Narrow" w:eastAsia="Times New Roman" w:hAnsi="Arial Narrow" w:cs="Arial"/>
          <w:szCs w:val="24"/>
          <w:vertAlign w:val="superscript"/>
        </w:rPr>
        <w:footnoteReference w:id="57"/>
      </w:r>
      <w:r w:rsidRPr="001B6FE5">
        <w:rPr>
          <w:rFonts w:ascii="Arial Narrow" w:eastAsia="Times New Roman" w:hAnsi="Arial Narrow" w:cs="Arial"/>
          <w:szCs w:val="24"/>
        </w:rPr>
        <w:t xml:space="preserve"> The refugee crisis which affected east-Central Europe was even more immediate. Following the Treaty of Brest-Litovsk (3</w:t>
      </w:r>
      <w:r w:rsidRPr="001B6FE5">
        <w:rPr>
          <w:rFonts w:ascii="Arial Narrow" w:eastAsia="Times New Roman" w:hAnsi="Arial Narrow" w:cs="Arial"/>
          <w:szCs w:val="24"/>
          <w:vertAlign w:val="superscript"/>
        </w:rPr>
        <w:t>rd</w:t>
      </w:r>
      <w:r w:rsidRPr="001B6FE5">
        <w:rPr>
          <w:rFonts w:ascii="Arial Narrow" w:eastAsia="Times New Roman" w:hAnsi="Arial Narrow" w:cs="Arial"/>
          <w:szCs w:val="24"/>
        </w:rPr>
        <w:t xml:space="preserve"> March 1918), the Bolshevik Government established </w:t>
      </w:r>
      <w:r w:rsidRPr="001B6FE5">
        <w:rPr>
          <w:rFonts w:ascii="Arial Narrow" w:eastAsia="Times New Roman" w:hAnsi="Arial Narrow" w:cs="Arial"/>
          <w:i/>
          <w:szCs w:val="24"/>
        </w:rPr>
        <w:t>Tsentroplenbezh</w:t>
      </w:r>
      <w:r w:rsidRPr="001B6FE5">
        <w:rPr>
          <w:rFonts w:ascii="Arial Narrow" w:eastAsia="Times New Roman" w:hAnsi="Arial Narrow" w:cs="Arial"/>
          <w:szCs w:val="24"/>
        </w:rPr>
        <w:t xml:space="preserve"> (Central Board for POWs and Refugees). </w:t>
      </w:r>
      <w:r w:rsidRPr="001B6FE5">
        <w:rPr>
          <w:rFonts w:ascii="Arial Narrow" w:eastAsia="Times New Roman" w:hAnsi="Arial Narrow" w:cs="Arial"/>
          <w:iCs/>
          <w:szCs w:val="24"/>
        </w:rPr>
        <w:t>Across the ‘borderlands’ there were 6.5 million belligerents alone who needed repatriation, and by October, whilst half a million refugees had returned “home…spontaneously”, there were still three and a half million ‘desperate to return to Poland and the other successor states.’</w:t>
      </w:r>
      <w:r w:rsidRPr="001B6FE5">
        <w:rPr>
          <w:rFonts w:ascii="Arial Narrow" w:eastAsia="Times New Roman" w:hAnsi="Arial Narrow" w:cs="Arial"/>
          <w:iCs/>
          <w:szCs w:val="24"/>
          <w:vertAlign w:val="superscript"/>
        </w:rPr>
        <w:footnoteReference w:id="58"/>
      </w:r>
      <w:r w:rsidRPr="001B6FE5">
        <w:rPr>
          <w:rFonts w:ascii="Arial Narrow" w:eastAsia="Times New Roman" w:hAnsi="Arial Narrow" w:cs="Arial"/>
          <w:iCs/>
          <w:szCs w:val="24"/>
        </w:rPr>
        <w:t xml:space="preserve">  The administrators, whom one would think were used to hardships themselves, appealed to their ‘Citizen-</w:t>
      </w:r>
      <w:r w:rsidRPr="001B6FE5">
        <w:rPr>
          <w:rFonts w:ascii="Arial Narrow" w:eastAsia="Times New Roman" w:hAnsi="Arial Narrow" w:cs="Arial"/>
          <w:iCs/>
          <w:szCs w:val="24"/>
        </w:rPr>
        <w:lastRenderedPageBreak/>
        <w:t xml:space="preserve">refugees’: ‘The movement of people toward the frontier, which is now taking place </w:t>
      </w:r>
      <w:r w:rsidRPr="001B6FE5">
        <w:rPr>
          <w:rFonts w:ascii="Arial Narrow" w:eastAsia="Times New Roman" w:hAnsi="Arial Narrow" w:cs="Arial"/>
          <w:i/>
          <w:iCs/>
          <w:szCs w:val="24"/>
        </w:rPr>
        <w:t xml:space="preserve">spontaneously </w:t>
      </w:r>
      <w:r w:rsidRPr="001B6FE5">
        <w:rPr>
          <w:rFonts w:ascii="Arial Narrow" w:eastAsia="Times New Roman" w:hAnsi="Arial Narrow" w:cs="Arial"/>
          <w:iCs/>
          <w:szCs w:val="24"/>
        </w:rPr>
        <w:t xml:space="preserve">[my </w:t>
      </w:r>
      <w:r w:rsidRPr="001B6FE5">
        <w:rPr>
          <w:rFonts w:ascii="Arial Narrow" w:eastAsia="Times New Roman" w:hAnsi="Arial Narrow" w:cs="Arial"/>
          <w:i/>
          <w:iCs/>
          <w:szCs w:val="24"/>
        </w:rPr>
        <w:t>italics</w:t>
      </w:r>
      <w:r w:rsidRPr="001B6FE5">
        <w:rPr>
          <w:rFonts w:ascii="Arial Narrow" w:eastAsia="Times New Roman" w:hAnsi="Arial Narrow" w:cs="Arial"/>
          <w:iCs/>
          <w:szCs w:val="24"/>
        </w:rPr>
        <w:t>]…and which is being accomplished by individuals at their own risk and cost brings with it pernicious consequences. The border crossing points are already overflowing with thousands of starving, homeless, and sick people. Beware of following their example.’</w:t>
      </w:r>
      <w:r w:rsidRPr="001B6FE5">
        <w:rPr>
          <w:rFonts w:ascii="Arial Narrow" w:eastAsia="Times New Roman" w:hAnsi="Arial Narrow" w:cs="Arial"/>
          <w:iCs/>
          <w:szCs w:val="24"/>
          <w:vertAlign w:val="superscript"/>
        </w:rPr>
        <w:footnoteReference w:id="59"/>
      </w:r>
      <w:r w:rsidR="005E021C">
        <w:rPr>
          <w:rFonts w:ascii="Arial Narrow" w:eastAsia="Times New Roman" w:hAnsi="Arial Narrow" w:cs="Arial"/>
          <w:iCs/>
          <w:szCs w:val="24"/>
        </w:rPr>
        <w:t xml:space="preserve"> James Mayall makes the point, </w:t>
      </w:r>
      <w:r w:rsidRPr="001B6FE5">
        <w:rPr>
          <w:rFonts w:ascii="Arial Narrow" w:eastAsia="Times New Roman" w:hAnsi="Arial Narrow" w:cs="Arial"/>
          <w:iCs/>
          <w:szCs w:val="24"/>
        </w:rPr>
        <w:t>when defining the new ‘International Order’, that this ‘is first and foremost fundamentally the problem of minorities.’</w:t>
      </w:r>
      <w:r w:rsidRPr="001B6FE5">
        <w:rPr>
          <w:rFonts w:ascii="Arial Narrow" w:eastAsia="Times New Roman" w:hAnsi="Arial Narrow" w:cs="Arial"/>
          <w:iCs/>
          <w:szCs w:val="24"/>
          <w:vertAlign w:val="superscript"/>
        </w:rPr>
        <w:footnoteReference w:id="60"/>
      </w:r>
      <w:r w:rsidRPr="001B6FE5">
        <w:rPr>
          <w:rFonts w:ascii="Arial Narrow" w:eastAsia="Times New Roman" w:hAnsi="Arial Narrow" w:cs="Arial"/>
          <w:iCs/>
          <w:szCs w:val="24"/>
        </w:rPr>
        <w:t xml:space="preserve"> In the course of their history the “nationalities” of Europe had been ‘hopelessly scrambled [and] even assuming that each could have been assigned a territory, there would have been many…left outs</w:t>
      </w:r>
      <w:r w:rsidR="006458E3">
        <w:rPr>
          <w:rFonts w:ascii="Arial Narrow" w:eastAsia="Times New Roman" w:hAnsi="Arial Narrow" w:cs="Arial"/>
          <w:iCs/>
          <w:szCs w:val="24"/>
        </w:rPr>
        <w:t>ide; unless the aftermath of [any]</w:t>
      </w:r>
      <w:r w:rsidRPr="001B6FE5">
        <w:rPr>
          <w:rFonts w:ascii="Arial Narrow" w:eastAsia="Times New Roman" w:hAnsi="Arial Narrow" w:cs="Arial"/>
          <w:iCs/>
          <w:szCs w:val="24"/>
        </w:rPr>
        <w:t xml:space="preserve"> plebiscite was to involve major involuntary population movements (Fig. 7).’</w:t>
      </w:r>
      <w:r w:rsidRPr="001B6FE5">
        <w:rPr>
          <w:rFonts w:ascii="Arial Narrow" w:eastAsia="Times New Roman" w:hAnsi="Arial Narrow" w:cs="Arial"/>
          <w:iCs/>
          <w:szCs w:val="24"/>
          <w:vertAlign w:val="superscript"/>
        </w:rPr>
        <w:footnoteReference w:id="61"/>
      </w:r>
      <w:r w:rsidRPr="001B6FE5">
        <w:rPr>
          <w:rFonts w:ascii="Arial Narrow" w:eastAsia="Times New Roman" w:hAnsi="Arial Narrow" w:cs="Arial"/>
          <w:iCs/>
          <w:szCs w:val="24"/>
        </w:rPr>
        <w:t xml:space="preserve"> Postwar east-Central Europe, even before the fulminations and deal-making in smoke filled rooms at Versailles, was a land in motion. Quite apart from the mass movements of the protagonist’s armies, Russia, through organisations such as the Tatiana Committee, had to deal with 3.3 million refugees (in 1915 alone. By the October Revolution this had grown to a cumulative 7.4 million; more than twice the size of the industrial working class. </w:t>
      </w:r>
      <w:r w:rsidRPr="001B6FE5">
        <w:rPr>
          <w:rFonts w:ascii="Arial Narrow" w:eastAsia="Times New Roman" w:hAnsi="Arial Narrow" w:cs="Arial"/>
          <w:iCs/>
          <w:szCs w:val="24"/>
          <w:vertAlign w:val="superscript"/>
        </w:rPr>
        <w:footnoteReference w:id="62"/>
      </w:r>
      <w:r w:rsidRPr="001B6FE5">
        <w:rPr>
          <w:rFonts w:ascii="Arial Narrow" w:eastAsia="Times New Roman" w:hAnsi="Arial Narrow" w:cs="Arial"/>
          <w:iCs/>
          <w:szCs w:val="24"/>
        </w:rPr>
        <w:t>John Reed in 1915 Tarn</w:t>
      </w:r>
      <w:r w:rsidR="006458E3">
        <w:rPr>
          <w:rFonts w:ascii="Arial Narrow" w:eastAsia="Times New Roman" w:hAnsi="Arial Narrow" w:cs="Arial"/>
          <w:iCs/>
          <w:szCs w:val="24"/>
        </w:rPr>
        <w:t>opol (then part of the Russian Empire)</w:t>
      </w:r>
      <w:r w:rsidRPr="001B6FE5">
        <w:rPr>
          <w:rFonts w:ascii="Arial Narrow" w:eastAsia="Times New Roman" w:hAnsi="Arial Narrow" w:cs="Arial"/>
          <w:iCs/>
          <w:szCs w:val="24"/>
        </w:rPr>
        <w:t xml:space="preserve"> describes the station platform filled with: ‘Hundreds of peasant refugees – Poles, Moldavians and Hungarians…bewildered among their bundles and rolls of bedding’; it was the national identity equivalent of pre-match musical chairs.</w:t>
      </w:r>
      <w:r w:rsidRPr="001B6FE5">
        <w:rPr>
          <w:rFonts w:ascii="Arial Narrow" w:eastAsia="Times New Roman" w:hAnsi="Arial Narrow" w:cs="Arial"/>
          <w:iCs/>
          <w:szCs w:val="24"/>
          <w:vertAlign w:val="superscript"/>
        </w:rPr>
        <w:footnoteReference w:id="63"/>
      </w:r>
      <w:r w:rsidRPr="001B6FE5">
        <w:rPr>
          <w:rFonts w:ascii="Arial Narrow" w:eastAsia="Times New Roman" w:hAnsi="Arial Narrow" w:cs="Arial"/>
          <w:iCs/>
          <w:szCs w:val="24"/>
        </w:rPr>
        <w:t xml:space="preserve"> It is also significant that, like the League of Nations, many states treated their new minorities in much the same manner as their refugees; as objects rather than subjects.</w:t>
      </w:r>
      <w:r w:rsidRPr="001B6FE5">
        <w:rPr>
          <w:rFonts w:ascii="Arial Narrow" w:eastAsia="Times New Roman" w:hAnsi="Arial Narrow" w:cs="Arial"/>
          <w:iCs/>
          <w:szCs w:val="24"/>
          <w:vertAlign w:val="superscript"/>
        </w:rPr>
        <w:footnoteReference w:id="64"/>
      </w:r>
      <w:r w:rsidR="006458E3">
        <w:rPr>
          <w:rFonts w:ascii="Arial Narrow" w:eastAsia="Times New Roman" w:hAnsi="Arial Narrow" w:cs="Arial"/>
          <w:iCs/>
          <w:szCs w:val="24"/>
        </w:rPr>
        <w:tab/>
      </w:r>
      <w:r w:rsidR="006458E3">
        <w:rPr>
          <w:rFonts w:ascii="Arial Narrow" w:eastAsia="Times New Roman" w:hAnsi="Arial Narrow" w:cs="Arial"/>
          <w:iCs/>
          <w:szCs w:val="24"/>
        </w:rPr>
        <w:tab/>
      </w:r>
      <w:r w:rsidR="006458E3">
        <w:rPr>
          <w:rFonts w:ascii="Arial Narrow" w:eastAsia="Times New Roman" w:hAnsi="Arial Narrow" w:cs="Arial"/>
          <w:iCs/>
          <w:szCs w:val="24"/>
        </w:rPr>
        <w:tab/>
      </w:r>
      <w:r w:rsidR="006458E3">
        <w:rPr>
          <w:rFonts w:ascii="Arial Narrow" w:eastAsia="Times New Roman" w:hAnsi="Arial Narrow" w:cs="Arial"/>
          <w:iCs/>
          <w:szCs w:val="24"/>
        </w:rPr>
        <w:tab/>
      </w:r>
    </w:p>
    <w:p w:rsidR="006458E3" w:rsidRDefault="006458E3" w:rsidP="003D2CE4">
      <w:pPr>
        <w:spacing w:after="0" w:line="480" w:lineRule="auto"/>
        <w:jc w:val="both"/>
        <w:rPr>
          <w:rFonts w:ascii="Arial Narrow" w:eastAsia="Times New Roman" w:hAnsi="Arial Narrow" w:cs="Arial"/>
          <w:iCs/>
          <w:szCs w:val="24"/>
        </w:rPr>
      </w:pPr>
    </w:p>
    <w:p w:rsidR="00273DD8" w:rsidRPr="001B6FE5" w:rsidRDefault="00273DD8" w:rsidP="003D2CE4">
      <w:pPr>
        <w:spacing w:after="0" w:line="480" w:lineRule="auto"/>
        <w:jc w:val="both"/>
        <w:rPr>
          <w:rFonts w:ascii="Arial Narrow" w:eastAsia="Times New Roman" w:hAnsi="Arial Narrow" w:cs="Arial"/>
          <w:iCs/>
          <w:szCs w:val="24"/>
        </w:rPr>
      </w:pPr>
      <w:r w:rsidRPr="001B6FE5">
        <w:rPr>
          <w:rFonts w:ascii="Arial Narrow" w:eastAsia="Times New Roman" w:hAnsi="Arial Narrow" w:cs="Arial"/>
          <w:noProof/>
          <w:szCs w:val="24"/>
          <w:lang w:eastAsia="en-GB"/>
        </w:rPr>
        <w:lastRenderedPageBreak/>
        <w:drawing>
          <wp:inline distT="0" distB="0" distL="0" distR="0" wp14:anchorId="4A44C9DF" wp14:editId="4C013EFC">
            <wp:extent cx="5486400" cy="2381250"/>
            <wp:effectExtent l="0" t="0" r="0" b="0"/>
            <wp:docPr id="7" name="Picture 7" descr="russian refugees heading for interior @1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ussian refugees heading for interior @191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86400" cy="2381250"/>
                    </a:xfrm>
                    <a:prstGeom prst="rect">
                      <a:avLst/>
                    </a:prstGeom>
                    <a:noFill/>
                    <a:ln>
                      <a:noFill/>
                    </a:ln>
                  </pic:spPr>
                </pic:pic>
              </a:graphicData>
            </a:graphic>
          </wp:inline>
        </w:drawing>
      </w:r>
    </w:p>
    <w:p w:rsidR="00273DD8" w:rsidRPr="001B6FE5" w:rsidRDefault="006458E3" w:rsidP="003D2CE4">
      <w:pPr>
        <w:spacing w:after="0" w:line="240" w:lineRule="auto"/>
        <w:jc w:val="both"/>
        <w:rPr>
          <w:rFonts w:ascii="Arial Narrow" w:eastAsia="Times New Roman" w:hAnsi="Arial Narrow" w:cs="Arial"/>
          <w:b/>
          <w:bCs/>
          <w:iCs/>
          <w:szCs w:val="24"/>
        </w:rPr>
      </w:pPr>
      <w:r>
        <w:rPr>
          <w:rFonts w:ascii="Arial Narrow" w:eastAsia="Times New Roman" w:hAnsi="Arial Narrow" w:cs="Arial"/>
          <w:b/>
          <w:bCs/>
          <w:szCs w:val="24"/>
        </w:rPr>
        <w:t>Fig. 7 Refugees heading towards ‘Russia.’</w:t>
      </w:r>
    </w:p>
    <w:p w:rsidR="001740B8" w:rsidRDefault="001740B8" w:rsidP="003D2CE4">
      <w:pPr>
        <w:keepNext/>
        <w:spacing w:after="0" w:line="480" w:lineRule="auto"/>
        <w:jc w:val="both"/>
        <w:rPr>
          <w:rFonts w:ascii="Arial Narrow" w:eastAsia="Times New Roman" w:hAnsi="Arial Narrow" w:cs="Arial"/>
          <w:iCs/>
          <w:szCs w:val="24"/>
        </w:rPr>
      </w:pPr>
    </w:p>
    <w:p w:rsidR="00D65758" w:rsidRDefault="00273DD8" w:rsidP="003D2CE4">
      <w:pPr>
        <w:keepNext/>
        <w:spacing w:after="0" w:line="480" w:lineRule="auto"/>
        <w:jc w:val="both"/>
        <w:rPr>
          <w:rFonts w:ascii="Arial Narrow" w:eastAsia="Times New Roman" w:hAnsi="Arial Narrow" w:cs="Arial"/>
          <w:iCs/>
          <w:szCs w:val="24"/>
        </w:rPr>
      </w:pPr>
      <w:r w:rsidRPr="001B6FE5">
        <w:rPr>
          <w:rFonts w:ascii="Arial Narrow" w:eastAsia="Times New Roman" w:hAnsi="Arial Narrow" w:cs="Arial"/>
          <w:iCs/>
          <w:szCs w:val="24"/>
        </w:rPr>
        <w:tab/>
        <w:t xml:space="preserve">The returnees also experienced a phenomenon, often referred to in Polish literature as </w:t>
      </w:r>
      <w:r w:rsidR="00B675EC">
        <w:rPr>
          <w:rFonts w:ascii="Arial Narrow" w:eastAsia="Times New Roman" w:hAnsi="Arial Narrow" w:cs="Arial"/>
          <w:iCs/>
          <w:szCs w:val="24"/>
        </w:rPr>
        <w:t>“</w:t>
      </w:r>
      <w:r w:rsidR="00B675EC">
        <w:rPr>
          <w:rFonts w:ascii="Arial Narrow" w:eastAsia="Times New Roman" w:hAnsi="Arial Narrow" w:cs="Arial"/>
          <w:i/>
          <w:iCs/>
          <w:szCs w:val="24"/>
        </w:rPr>
        <w:t>Mit Szklanych D</w:t>
      </w:r>
      <w:r w:rsidRPr="001B6FE5">
        <w:rPr>
          <w:rFonts w:ascii="Arial Narrow" w:eastAsia="Times New Roman" w:hAnsi="Arial Narrow" w:cs="Arial"/>
          <w:i/>
          <w:iCs/>
          <w:szCs w:val="24"/>
        </w:rPr>
        <w:t>omov</w:t>
      </w:r>
      <w:r w:rsidR="00B675EC">
        <w:rPr>
          <w:rFonts w:ascii="Arial Narrow" w:eastAsia="Times New Roman" w:hAnsi="Arial Narrow" w:cs="Arial"/>
          <w:i/>
          <w:iCs/>
          <w:szCs w:val="24"/>
        </w:rPr>
        <w:t>”</w:t>
      </w:r>
      <w:r w:rsidRPr="001B6FE5">
        <w:rPr>
          <w:rFonts w:ascii="Arial Narrow" w:eastAsia="Times New Roman" w:hAnsi="Arial Narrow" w:cs="Arial"/>
          <w:iCs/>
          <w:szCs w:val="24"/>
        </w:rPr>
        <w:t xml:space="preserve"> [‘’the myth of glass-houses’]; or a beautiful myth that is easily shattered.</w:t>
      </w:r>
      <w:r w:rsidRPr="001B6FE5">
        <w:rPr>
          <w:rFonts w:ascii="Arial Narrow" w:eastAsia="Times New Roman" w:hAnsi="Arial Narrow" w:cs="Arial"/>
          <w:iCs/>
          <w:szCs w:val="24"/>
          <w:vertAlign w:val="superscript"/>
        </w:rPr>
        <w:footnoteReference w:id="65"/>
      </w:r>
      <w:r w:rsidRPr="001B6FE5">
        <w:rPr>
          <w:rFonts w:ascii="Arial Narrow" w:eastAsia="Times New Roman" w:hAnsi="Arial Narrow" w:cs="Arial"/>
          <w:iCs/>
          <w:szCs w:val="24"/>
        </w:rPr>
        <w:t xml:space="preserve"> Polish nationality policy was often seen in stark contrast to its neighbours, particularly Czecho-Slovakia, from which it harboured hopes of receiving the </w:t>
      </w:r>
      <w:r w:rsidR="006458E3">
        <w:rPr>
          <w:rFonts w:ascii="Arial Narrow" w:eastAsia="Times New Roman" w:hAnsi="Arial Narrow" w:cs="Arial"/>
          <w:iCs/>
          <w:szCs w:val="24"/>
        </w:rPr>
        <w:t xml:space="preserve">Silesian territory of </w:t>
      </w:r>
      <w:r w:rsidR="00C975AE">
        <w:rPr>
          <w:rFonts w:ascii="Arial Narrow" w:eastAsia="Times New Roman" w:hAnsi="Arial Narrow" w:cs="Arial"/>
          <w:iCs/>
          <w:szCs w:val="24"/>
        </w:rPr>
        <w:t>Teschen</w:t>
      </w:r>
      <w:r w:rsidR="005120A7">
        <w:rPr>
          <w:rFonts w:ascii="Arial Narrow" w:eastAsia="Times New Roman" w:hAnsi="Arial Narrow" w:cs="Arial"/>
          <w:iCs/>
          <w:szCs w:val="24"/>
        </w:rPr>
        <w:t xml:space="preserve"> by</w:t>
      </w:r>
      <w:r w:rsidR="006458E3">
        <w:rPr>
          <w:rFonts w:ascii="Arial Narrow" w:eastAsia="Times New Roman" w:hAnsi="Arial Narrow" w:cs="Arial"/>
          <w:iCs/>
          <w:szCs w:val="24"/>
        </w:rPr>
        <w:t xml:space="preserve"> </w:t>
      </w:r>
      <w:r w:rsidRPr="001B6FE5">
        <w:rPr>
          <w:rFonts w:ascii="Arial Narrow" w:eastAsia="Times New Roman" w:hAnsi="Arial Narrow" w:cs="Arial"/>
          <w:iCs/>
          <w:szCs w:val="24"/>
        </w:rPr>
        <w:t>obstructing a League of Nations Plebiscite. Cieszyn or Tesin (Polish and Czech respectively) moved Dr. Edward Benes, the Czecho-Slovak Minister of Foreign Affairs to write a letter of protest to the London Legation in 1920, against ‘a continual campaign of incitement… [By] M.Zameyski [the Chief Polish Delegate on the Teschen Commission], who declared in a speech…that a war would be most popular…and that if the territory…is not obtained by the Plebiscite it will be won for Poland by the sword.’</w:t>
      </w:r>
      <w:r w:rsidRPr="001B6FE5">
        <w:rPr>
          <w:rFonts w:ascii="Arial Narrow" w:eastAsia="Times New Roman" w:hAnsi="Arial Narrow" w:cs="Arial"/>
          <w:iCs/>
          <w:szCs w:val="24"/>
          <w:vertAlign w:val="superscript"/>
        </w:rPr>
        <w:footnoteReference w:id="66"/>
      </w:r>
      <w:r w:rsidRPr="001B6FE5">
        <w:rPr>
          <w:rFonts w:ascii="Arial Narrow" w:eastAsia="Times New Roman" w:hAnsi="Arial Narrow" w:cs="Arial"/>
          <w:iCs/>
          <w:szCs w:val="24"/>
        </w:rPr>
        <w:t xml:space="preserve"> (Fig. 8) Dr. Benes, like Thomas Masaryk an immigrant himself, had lobbied Allied Governments and successfully converted another ‘professor-turned-politician’ - Woodrow Wilson of the United States - to a campaign of collusion in both rebelling against the </w:t>
      </w:r>
      <w:r w:rsidRPr="001B6FE5">
        <w:rPr>
          <w:rFonts w:ascii="Arial Narrow" w:eastAsia="Times New Roman" w:hAnsi="Arial Narrow" w:cs="Arial"/>
          <w:i/>
          <w:iCs/>
          <w:szCs w:val="24"/>
        </w:rPr>
        <w:t>Ausgleich</w:t>
      </w:r>
      <w:r w:rsidRPr="001B6FE5">
        <w:rPr>
          <w:rFonts w:ascii="Arial Narrow" w:eastAsia="Times New Roman" w:hAnsi="Arial Narrow" w:cs="Arial"/>
          <w:iCs/>
          <w:szCs w:val="24"/>
        </w:rPr>
        <w:t xml:space="preserve"> and legitimising the new state</w:t>
      </w:r>
      <w:r w:rsidRPr="001B6FE5">
        <w:rPr>
          <w:rFonts w:ascii="Arial Narrow" w:eastAsia="Times New Roman" w:hAnsi="Arial Narrow" w:cs="Arial"/>
          <w:i/>
          <w:iCs/>
          <w:szCs w:val="24"/>
        </w:rPr>
        <w:t xml:space="preserve"> before it existed</w:t>
      </w:r>
      <w:r w:rsidRPr="001B6FE5">
        <w:rPr>
          <w:rFonts w:ascii="Arial Narrow" w:eastAsia="Times New Roman" w:hAnsi="Arial Narrow" w:cs="Arial"/>
          <w:iCs/>
          <w:szCs w:val="24"/>
        </w:rPr>
        <w:t>.</w:t>
      </w:r>
      <w:r w:rsidRPr="001B6FE5">
        <w:rPr>
          <w:rFonts w:ascii="Arial Narrow" w:eastAsia="Times New Roman" w:hAnsi="Arial Narrow" w:cs="Arial"/>
          <w:iCs/>
          <w:szCs w:val="24"/>
          <w:vertAlign w:val="superscript"/>
        </w:rPr>
        <w:footnoteReference w:id="67"/>
      </w:r>
      <w:r w:rsidRPr="001B6FE5">
        <w:rPr>
          <w:rFonts w:ascii="Arial Narrow" w:eastAsia="Times New Roman" w:hAnsi="Arial Narrow" w:cs="Arial"/>
          <w:iCs/>
          <w:szCs w:val="24"/>
        </w:rPr>
        <w:t xml:space="preserve"> Benes’ use of the German spelling Teschen, betrayed his own mixed-sense of identity and reinforces Raymond Pearson’s opinion that: ‘Czecho-Slovakia was manufactured in the West, by Czech refugees under licence from the Allies in co-operation with emigrants </w:t>
      </w:r>
      <w:r w:rsidRPr="001B6FE5">
        <w:rPr>
          <w:rFonts w:ascii="Arial Narrow" w:eastAsia="Times New Roman" w:hAnsi="Arial Narrow" w:cs="Arial"/>
          <w:iCs/>
          <w:szCs w:val="24"/>
        </w:rPr>
        <w:lastRenderedPageBreak/>
        <w:t xml:space="preserve">out of touch with the opinion of their homeland, and then presented to the indigenous Czech and Slovak populations as a </w:t>
      </w:r>
      <w:r w:rsidRPr="001B6FE5">
        <w:rPr>
          <w:rFonts w:ascii="Arial Narrow" w:eastAsia="Times New Roman" w:hAnsi="Arial Narrow" w:cs="Arial"/>
          <w:i/>
          <w:iCs/>
          <w:szCs w:val="24"/>
        </w:rPr>
        <w:t>fait accompli</w:t>
      </w:r>
      <w:r w:rsidRPr="001B6FE5">
        <w:rPr>
          <w:rFonts w:ascii="Arial Narrow" w:eastAsia="Times New Roman" w:hAnsi="Arial Narrow" w:cs="Arial"/>
          <w:iCs/>
          <w:szCs w:val="24"/>
        </w:rPr>
        <w:t>.’</w:t>
      </w:r>
      <w:r w:rsidRPr="001B6FE5">
        <w:rPr>
          <w:rFonts w:ascii="Arial Narrow" w:eastAsia="Times New Roman" w:hAnsi="Arial Narrow" w:cs="Arial"/>
          <w:iCs/>
          <w:szCs w:val="24"/>
          <w:vertAlign w:val="superscript"/>
        </w:rPr>
        <w:footnoteReference w:id="68"/>
      </w:r>
      <w:r w:rsidRPr="001B6FE5">
        <w:rPr>
          <w:rFonts w:ascii="Arial Narrow" w:eastAsia="Times New Roman" w:hAnsi="Arial Narrow" w:cs="Arial"/>
          <w:iCs/>
          <w:szCs w:val="24"/>
        </w:rPr>
        <w:t xml:space="preserve"> The later de-hyphenisation would further alienate the 2,500,000 Slovaks (about 16 per cent of the new state), presenting them as backward in an increasingly colonising Czech state. The ‘hyphenated’ state whether as a ‘bond’ or ‘yoke’, has more than just a hint of Slovak irony attached to it, alluding somewhat to their former ‘masters’ Austro-Hungary. The name had been used during the Paris Peace negotiations, and its symbolic importance was underlined by its exclusion from the Czech translation of their own final written constitution. It was reinserted during the brief ‘rump’ Second Republic in 1938-9 and also caused the later ‘hyphen war’ in the spring of 1990.</w:t>
      </w:r>
      <w:r w:rsidRPr="001B6FE5">
        <w:rPr>
          <w:rFonts w:ascii="Arial Narrow" w:eastAsia="Times New Roman" w:hAnsi="Arial Narrow" w:cs="Arial"/>
          <w:iCs/>
          <w:szCs w:val="24"/>
          <w:vertAlign w:val="superscript"/>
        </w:rPr>
        <w:footnoteReference w:id="69"/>
      </w:r>
      <w:r w:rsidRPr="001B6FE5">
        <w:rPr>
          <w:rFonts w:ascii="Arial Narrow" w:eastAsia="Times New Roman" w:hAnsi="Arial Narrow" w:cs="Arial"/>
          <w:iCs/>
          <w:szCs w:val="24"/>
        </w:rPr>
        <w:t xml:space="preserve"> Polish efforts to drive a wedge between the two national groups were indeed ‘promoted’ by the Czecho-Slovakian Governments later decisions. Finding sustenance when the Poles were themselves preoccupied - following victory over the Ukrainian’s in Eastern Galicia and both the Germans and Lithuanians in Upper Silesia and Wilno/Vilnius respectively - created a revisionist reckoning amongst both Poles and Slova</w:t>
      </w:r>
      <w:r w:rsidR="00D65758">
        <w:rPr>
          <w:rFonts w:ascii="Arial Narrow" w:eastAsia="Times New Roman" w:hAnsi="Arial Narrow" w:cs="Arial"/>
          <w:iCs/>
          <w:szCs w:val="24"/>
        </w:rPr>
        <w:t xml:space="preserve">ks, which would later return to </w:t>
      </w:r>
      <w:r w:rsidRPr="001B6FE5">
        <w:rPr>
          <w:rFonts w:ascii="Arial Narrow" w:eastAsia="Times New Roman" w:hAnsi="Arial Narrow" w:cs="Arial"/>
          <w:iCs/>
          <w:szCs w:val="24"/>
        </w:rPr>
        <w:t>haunt both countries.</w:t>
      </w:r>
      <w:r w:rsidRPr="001B6FE5">
        <w:rPr>
          <w:rFonts w:ascii="Arial Narrow" w:eastAsia="Times New Roman" w:hAnsi="Arial Narrow" w:cs="Arial"/>
          <w:iCs/>
          <w:szCs w:val="24"/>
          <w:vertAlign w:val="superscript"/>
        </w:rPr>
        <w:footnoteReference w:id="70"/>
      </w:r>
      <w:r w:rsidRPr="001B6FE5">
        <w:rPr>
          <w:rFonts w:ascii="Arial Narrow" w:eastAsia="Times New Roman" w:hAnsi="Arial Narrow" w:cs="Arial"/>
          <w:iCs/>
          <w:szCs w:val="24"/>
        </w:rPr>
        <w:t xml:space="preserve"> </w:t>
      </w:r>
      <w:r w:rsidR="00AA6EE9">
        <w:rPr>
          <w:rFonts w:ascii="Arial Narrow" w:eastAsia="Times New Roman" w:hAnsi="Arial Narrow" w:cs="Arial"/>
          <w:iCs/>
          <w:szCs w:val="24"/>
        </w:rPr>
        <w:t>It is as well to note that Poland, a country which was adding 400,000 ‘peasants’ annually, was crucial to the future of ‘all Eastern and Central Europe’ in the interwar period.</w:t>
      </w:r>
      <w:r w:rsidR="00AA6EE9">
        <w:rPr>
          <w:rStyle w:val="FootnoteReference"/>
          <w:rFonts w:ascii="Arial Narrow" w:eastAsia="Times New Roman" w:hAnsi="Arial Narrow" w:cs="Arial"/>
          <w:iCs/>
          <w:szCs w:val="24"/>
        </w:rPr>
        <w:footnoteReference w:id="71"/>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lastRenderedPageBreak/>
        <w:drawing>
          <wp:inline distT="0" distB="0" distL="0" distR="0" wp14:anchorId="66DA349E" wp14:editId="5C2180E4">
            <wp:extent cx="5372100" cy="3781425"/>
            <wp:effectExtent l="0" t="0" r="0" b="0"/>
            <wp:docPr id="8" name="Picture 8" descr="Copy of mitteleurop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py of mitteleuropa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72100" cy="3781425"/>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iCs/>
          <w:szCs w:val="24"/>
        </w:rPr>
      </w:pPr>
      <w:r w:rsidRPr="001B6FE5">
        <w:rPr>
          <w:rFonts w:ascii="Arial Narrow" w:eastAsia="Times New Roman" w:hAnsi="Arial Narrow" w:cs="Arial"/>
          <w:b/>
          <w:bCs/>
          <w:szCs w:val="24"/>
        </w:rPr>
        <w:t xml:space="preserve">Fig. 8 Disputes along the ‘Shatter Zone’ in the 1920s. </w:t>
      </w:r>
    </w:p>
    <w:p w:rsidR="00273DD8" w:rsidRPr="001B6FE5" w:rsidRDefault="00273DD8" w:rsidP="003D2CE4">
      <w:pPr>
        <w:keepNext/>
        <w:spacing w:after="0" w:line="480" w:lineRule="auto"/>
        <w:ind w:firstLine="720"/>
        <w:jc w:val="both"/>
        <w:rPr>
          <w:rFonts w:ascii="Arial Narrow" w:eastAsia="Times New Roman" w:hAnsi="Arial Narrow" w:cs="Arial"/>
          <w:iCs/>
          <w:szCs w:val="24"/>
        </w:rPr>
      </w:pPr>
    </w:p>
    <w:p w:rsidR="00273DD8" w:rsidRPr="001B6FE5" w:rsidRDefault="00273DD8" w:rsidP="003D2CE4">
      <w:pPr>
        <w:keepNext/>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iCs/>
          <w:szCs w:val="24"/>
        </w:rPr>
        <w:t xml:space="preserve">Often the post-Versailles/Brest-Litovsk ‘hedge-funding’ of national identity, proscribing a subjective approach via the Plebiscite, not only failed to produce either a </w:t>
      </w:r>
      <w:r w:rsidRPr="001B6FE5">
        <w:rPr>
          <w:rFonts w:ascii="Arial Narrow" w:eastAsia="Times New Roman" w:hAnsi="Arial Narrow" w:cs="Arial"/>
          <w:i/>
          <w:iCs/>
          <w:szCs w:val="24"/>
        </w:rPr>
        <w:t>Staatsnation</w:t>
      </w:r>
      <w:r w:rsidRPr="001B6FE5">
        <w:rPr>
          <w:rFonts w:ascii="Arial Narrow" w:eastAsia="Times New Roman" w:hAnsi="Arial Narrow" w:cs="Arial"/>
          <w:iCs/>
          <w:szCs w:val="24"/>
        </w:rPr>
        <w:t xml:space="preserve"> (civic or politically defined and within frontiers) or </w:t>
      </w:r>
      <w:r w:rsidRPr="001B6FE5">
        <w:rPr>
          <w:rFonts w:ascii="Arial Narrow" w:eastAsia="Times New Roman" w:hAnsi="Arial Narrow" w:cs="Arial"/>
          <w:i/>
          <w:iCs/>
          <w:szCs w:val="24"/>
        </w:rPr>
        <w:t>Kulturnation</w:t>
      </w:r>
      <w:r w:rsidRPr="001B6FE5">
        <w:rPr>
          <w:rFonts w:ascii="Arial Narrow" w:eastAsia="Times New Roman" w:hAnsi="Arial Narrow" w:cs="Arial"/>
          <w:iCs/>
          <w:szCs w:val="24"/>
        </w:rPr>
        <w:t xml:space="preserve"> (personal rather than institutional and externalised through language usage), as we have seen with Benes and Masaryk, it engendered the danger of stirring up ‘old Adam.’ Unlike Western Europe, where the new nationalism corresponded to changing social, economic, and political realities, in east-Central Europe ‘it [had] spread…long before a corresponding social and economic transformation.’ As Dean Rugg points out, this distinction predicated east-Central Europe divining its nationalism from ‘historic rights’, whilst Western Europe’s often ‘rested on human rights.’</w:t>
      </w:r>
      <w:r w:rsidRPr="001B6FE5">
        <w:rPr>
          <w:rFonts w:ascii="Arial Narrow" w:eastAsia="Times New Roman" w:hAnsi="Arial Narrow" w:cs="Arial"/>
          <w:iCs/>
          <w:szCs w:val="24"/>
          <w:vertAlign w:val="superscript"/>
        </w:rPr>
        <w:footnoteReference w:id="72"/>
      </w:r>
      <w:r w:rsidRPr="001B6FE5">
        <w:rPr>
          <w:rFonts w:ascii="Arial Narrow" w:eastAsia="Times New Roman" w:hAnsi="Arial Narrow" w:cs="Arial"/>
          <w:iCs/>
          <w:szCs w:val="24"/>
        </w:rPr>
        <w:t xml:space="preserve"> Norman Salsitz, contemplating the effects of the railroad on the prewar Austrian town of Kolbuszowa, and whether it would ‘have remained as b</w:t>
      </w:r>
      <w:r w:rsidR="00AA6EE9">
        <w:rPr>
          <w:rFonts w:ascii="Arial Narrow" w:eastAsia="Times New Roman" w:hAnsi="Arial Narrow" w:cs="Arial"/>
          <w:iCs/>
          <w:szCs w:val="24"/>
        </w:rPr>
        <w:t xml:space="preserve">ackward, as traditional’, notes </w:t>
      </w:r>
      <w:r w:rsidRPr="001B6FE5">
        <w:rPr>
          <w:rFonts w:ascii="Arial Narrow" w:eastAsia="Times New Roman" w:hAnsi="Arial Narrow" w:cs="Arial"/>
          <w:iCs/>
          <w:szCs w:val="24"/>
        </w:rPr>
        <w:t xml:space="preserve">‘it was never completed: World War One came and everything stopped.’ Poland had ‘more pressing matters to attend to. Kolbuszowa would survive, but without </w:t>
      </w:r>
      <w:r w:rsidRPr="001B6FE5">
        <w:rPr>
          <w:rFonts w:ascii="Arial Narrow" w:eastAsia="Times New Roman" w:hAnsi="Arial Narrow" w:cs="Arial"/>
          <w:iCs/>
          <w:szCs w:val="24"/>
        </w:rPr>
        <w:lastRenderedPageBreak/>
        <w:t>a railroad.’</w:t>
      </w:r>
      <w:r w:rsidRPr="001B6FE5">
        <w:rPr>
          <w:rFonts w:ascii="Arial Narrow" w:eastAsia="Times New Roman" w:hAnsi="Arial Narrow" w:cs="Arial"/>
          <w:iCs/>
          <w:szCs w:val="24"/>
          <w:vertAlign w:val="superscript"/>
        </w:rPr>
        <w:footnoteReference w:id="73"/>
      </w:r>
      <w:r w:rsidRPr="001B6FE5">
        <w:rPr>
          <w:rFonts w:ascii="Arial Narrow" w:eastAsia="Times New Roman" w:hAnsi="Arial Narrow" w:cs="Arial"/>
          <w:iCs/>
          <w:szCs w:val="24"/>
        </w:rPr>
        <w:t xml:space="preserve"> (Fig. 9) Attempts to either dictate or diffuse Western ideals of nationality fell increasingly on the stony ‘brecklands’ of the region, even when it appeared plain which ‘tribe’ was in the ascendancy. In Sensburg/Mragowo (East Prussia), less than half the population were German-speakers and the Allies aimed to settle the dispute by Plebiscite. The results were demonstrable; only 25 votes were cast for Poland whilst 34,334 wished for inclusion in Germany.</w:t>
      </w:r>
      <w:r w:rsidRPr="001B6FE5">
        <w:rPr>
          <w:rFonts w:ascii="Arial Narrow" w:eastAsia="Times New Roman" w:hAnsi="Arial Narrow" w:cs="Arial"/>
          <w:iCs/>
          <w:szCs w:val="24"/>
          <w:vertAlign w:val="superscript"/>
        </w:rPr>
        <w:footnoteReference w:id="74"/>
      </w:r>
      <w:r w:rsidRPr="001B6FE5">
        <w:rPr>
          <w:rFonts w:ascii="Arial Narrow" w:eastAsia="Times New Roman" w:hAnsi="Arial Narrow" w:cs="Arial"/>
          <w:iCs/>
          <w:szCs w:val="24"/>
        </w:rPr>
        <w:t xml:space="preserve"> </w:t>
      </w:r>
      <w:r w:rsidRPr="001B6FE5">
        <w:rPr>
          <w:rFonts w:ascii="Arial Narrow" w:eastAsia="Times New Roman" w:hAnsi="Arial Narrow" w:cs="Arial"/>
          <w:iCs/>
          <w:szCs w:val="24"/>
        </w:rPr>
        <w:tab/>
      </w:r>
    </w:p>
    <w:p w:rsidR="00273DD8" w:rsidRPr="001B6FE5" w:rsidRDefault="00F97F41" w:rsidP="003D2CE4">
      <w:pPr>
        <w:keepNext/>
        <w:spacing w:after="0" w:line="480" w:lineRule="auto"/>
        <w:jc w:val="both"/>
        <w:rPr>
          <w:rFonts w:ascii="Arial Narrow" w:eastAsia="Times New Roman" w:hAnsi="Arial Narrow" w:cs="Arial"/>
          <w:iCs/>
          <w:szCs w:val="24"/>
        </w:rPr>
      </w:pPr>
      <w:r>
        <w:rPr>
          <w:rFonts w:ascii="Arial Narrow" w:eastAsia="Times New Roman" w:hAnsi="Arial Narrow" w:cs="Arial"/>
          <w:iCs/>
          <w:noProof/>
          <w:szCs w:val="24"/>
          <w:lang w:eastAsia="en-GB"/>
        </w:rPr>
        <w:drawing>
          <wp:inline distT="0" distB="0" distL="0" distR="0" wp14:anchorId="0C5A8F76" wp14:editId="093E532C">
            <wp:extent cx="5486400" cy="3876675"/>
            <wp:effectExtent l="0" t="0" r="0" b="9525"/>
            <wp:docPr id="17" name="Picture 17" descr="C:\Documents and Settings\Gemma\Desktop\dissertation maps &amp; pics\poland 1921 -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Gemma\Desktop\dissertation maps &amp; pics\poland 1921 -3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86400" cy="3876675"/>
                    </a:xfrm>
                    <a:prstGeom prst="rect">
                      <a:avLst/>
                    </a:prstGeom>
                    <a:noFill/>
                    <a:ln>
                      <a:noFill/>
                    </a:ln>
                  </pic:spPr>
                </pic:pic>
              </a:graphicData>
            </a:graphic>
          </wp:inline>
        </w:drawing>
      </w:r>
      <w:r w:rsidR="00273DD8" w:rsidRPr="001B6FE5">
        <w:rPr>
          <w:rFonts w:ascii="Arial Narrow" w:eastAsia="Times New Roman" w:hAnsi="Arial Narrow" w:cs="Arial"/>
          <w:iCs/>
          <w:szCs w:val="24"/>
        </w:rPr>
        <w:tab/>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Fig. 9 Galicia in the new Pol</w:t>
      </w:r>
      <w:r w:rsidR="009B06F6">
        <w:rPr>
          <w:rFonts w:ascii="Arial Narrow" w:eastAsia="Times New Roman" w:hAnsi="Arial Narrow" w:cs="Arial"/>
          <w:b/>
          <w:bCs/>
          <w:szCs w:val="24"/>
        </w:rPr>
        <w:t xml:space="preserve">and (with inset for Kolbuszowa) and East Prussia. </w:t>
      </w:r>
    </w:p>
    <w:p w:rsidR="00273DD8" w:rsidRPr="001B6FE5" w:rsidRDefault="00273DD8" w:rsidP="003D2CE4">
      <w:pPr>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p>
    <w:p w:rsidR="00273DD8" w:rsidRPr="001B6FE5" w:rsidRDefault="00273DD8" w:rsidP="003D2CE4">
      <w:pPr>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iCs/>
          <w:szCs w:val="24"/>
        </w:rPr>
        <w:t xml:space="preserve">Such an approach was impossible in the area known as the </w:t>
      </w:r>
      <w:r w:rsidRPr="001B6FE5">
        <w:rPr>
          <w:rFonts w:ascii="Arial Narrow" w:eastAsia="Times New Roman" w:hAnsi="Arial Narrow" w:cs="Arial"/>
          <w:i/>
          <w:iCs/>
          <w:szCs w:val="24"/>
        </w:rPr>
        <w:t>Kresy</w:t>
      </w:r>
      <w:r w:rsidRPr="001B6FE5">
        <w:rPr>
          <w:rFonts w:ascii="Arial Narrow" w:eastAsia="Times New Roman" w:hAnsi="Arial Narrow" w:cs="Arial"/>
          <w:iCs/>
          <w:szCs w:val="24"/>
        </w:rPr>
        <w:t xml:space="preserve"> where, in no particular order, imperial Russia, socialist Soviet Union, fascist Nazi Germany, ‘parliamentary’ Poland, and nationalist Ukraine proceeded to ‘dismantle the confusing mosaic of cultures in [this] contested borderland.’ (Fig. 10) Situated between Polish Lvov/Lviv and Soviet Ukrainian Kiev, it was beyond the purview of the Western </w:t>
      </w:r>
      <w:r w:rsidRPr="001B6FE5">
        <w:rPr>
          <w:rFonts w:ascii="Arial Narrow" w:eastAsia="Times New Roman" w:hAnsi="Arial Narrow" w:cs="Arial"/>
          <w:iCs/>
          <w:szCs w:val="24"/>
        </w:rPr>
        <w:lastRenderedPageBreak/>
        <w:t>democracies largely because the Soviet Union had not si</w:t>
      </w:r>
      <w:r w:rsidR="004A0007">
        <w:rPr>
          <w:rFonts w:ascii="Arial Narrow" w:eastAsia="Times New Roman" w:hAnsi="Arial Narrow" w:cs="Arial"/>
          <w:iCs/>
          <w:szCs w:val="24"/>
        </w:rPr>
        <w:t>gned the Versailles agreements.</w:t>
      </w:r>
      <w:r w:rsidR="004A0007">
        <w:rPr>
          <w:rStyle w:val="FootnoteReference"/>
          <w:rFonts w:ascii="Arial Narrow" w:eastAsia="Times New Roman" w:hAnsi="Arial Narrow" w:cs="Arial"/>
          <w:iCs/>
          <w:szCs w:val="24"/>
        </w:rPr>
        <w:footnoteReference w:id="75"/>
      </w:r>
      <w:r w:rsidR="004A0007">
        <w:rPr>
          <w:rFonts w:ascii="Arial Narrow" w:eastAsia="Times New Roman" w:hAnsi="Arial Narrow" w:cs="Arial"/>
          <w:iCs/>
          <w:szCs w:val="24"/>
        </w:rPr>
        <w:t xml:space="preserve"> </w:t>
      </w:r>
      <w:r w:rsidRPr="001B6FE5">
        <w:rPr>
          <w:rFonts w:ascii="Arial Narrow" w:eastAsia="Times New Roman" w:hAnsi="Arial Narrow" w:cs="Arial"/>
          <w:iCs/>
          <w:szCs w:val="24"/>
        </w:rPr>
        <w:t xml:space="preserve">In a sense it existed beyond even “Backwardness.” The </w:t>
      </w:r>
      <w:r w:rsidRPr="001B6FE5">
        <w:rPr>
          <w:rFonts w:ascii="Arial Narrow" w:eastAsia="Times New Roman" w:hAnsi="Arial Narrow" w:cs="Arial"/>
          <w:i/>
          <w:iCs/>
          <w:szCs w:val="24"/>
        </w:rPr>
        <w:t>Kresy</w:t>
      </w:r>
      <w:r w:rsidRPr="001B6FE5">
        <w:rPr>
          <w:rFonts w:ascii="Arial Narrow" w:eastAsia="Times New Roman" w:hAnsi="Arial Narrow" w:cs="Arial"/>
          <w:iCs/>
          <w:szCs w:val="24"/>
        </w:rPr>
        <w:t xml:space="preserve"> could also be described as a region in full control of its own limitations:</w:t>
      </w:r>
    </w:p>
    <w:p w:rsidR="00273DD8" w:rsidRPr="001B6FE5" w:rsidRDefault="00273DD8" w:rsidP="003D2CE4">
      <w:pPr>
        <w:keepNext/>
        <w:spacing w:after="0" w:line="480" w:lineRule="auto"/>
        <w:ind w:left="720" w:firstLine="60"/>
        <w:jc w:val="both"/>
        <w:rPr>
          <w:rFonts w:ascii="Arial Narrow" w:eastAsia="Times New Roman" w:hAnsi="Arial Narrow" w:cs="Arial"/>
          <w:szCs w:val="24"/>
        </w:rPr>
      </w:pPr>
      <w:r w:rsidRPr="001B6FE5">
        <w:rPr>
          <w:rFonts w:ascii="Arial Narrow" w:eastAsia="Times New Roman" w:hAnsi="Arial Narrow" w:cs="Arial"/>
          <w:iCs/>
          <w:szCs w:val="24"/>
        </w:rPr>
        <w:t xml:space="preserve">‘Imagine trying to tax and regulate an economy unhitched from architecture; where in troubled times the tarp-covered stores roll up and disappear, and the population retreat to the woods, gathering and poaching for calories. How does one establish a legal system in a region where people prefer the </w:t>
      </w:r>
      <w:r w:rsidR="00C975AE">
        <w:rPr>
          <w:rFonts w:ascii="Arial Narrow" w:eastAsia="Times New Roman" w:hAnsi="Arial Narrow" w:cs="Arial"/>
          <w:i/>
          <w:iCs/>
          <w:szCs w:val="24"/>
        </w:rPr>
        <w:t>S</w:t>
      </w:r>
      <w:r w:rsidRPr="001B6FE5">
        <w:rPr>
          <w:rFonts w:ascii="Arial Narrow" w:eastAsia="Times New Roman" w:hAnsi="Arial Narrow" w:cs="Arial"/>
          <w:i/>
          <w:iCs/>
          <w:szCs w:val="24"/>
        </w:rPr>
        <w:t>amosud</w:t>
      </w:r>
      <w:r w:rsidRPr="001B6FE5">
        <w:rPr>
          <w:rFonts w:ascii="Arial Narrow" w:eastAsia="Times New Roman" w:hAnsi="Arial Narrow" w:cs="Arial"/>
          <w:iCs/>
          <w:szCs w:val="24"/>
        </w:rPr>
        <w:t>, traditional justice to the courts? Imagine the difficulty of standardizing an educational system in which schools (legal or illegal) look indistinguishable from home, where there are no textbooks and teachers are mostly self-taught…in which a disgruntled sorceress can cast a spell so powerful on a communist village chairman that it kills him.’</w:t>
      </w:r>
      <w:r w:rsidRPr="001B6FE5">
        <w:rPr>
          <w:rFonts w:ascii="Arial Narrow" w:eastAsia="Times New Roman" w:hAnsi="Arial Narrow" w:cs="Arial"/>
          <w:iCs/>
          <w:szCs w:val="24"/>
          <w:vertAlign w:val="superscript"/>
        </w:rPr>
        <w:footnoteReference w:id="76"/>
      </w:r>
    </w:p>
    <w:p w:rsidR="00273DD8" w:rsidRPr="001B6FE5" w:rsidRDefault="00273DD8" w:rsidP="003D2CE4">
      <w:pPr>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iCs/>
          <w:szCs w:val="24"/>
        </w:rPr>
        <w:t>Agrarian reform swept through the lands between Russia and Western Europe, and despite the loss of production caused by the seizure of estates (as well as ‘some of the best extant examples of large-scale scientific agriculture’), their ‘success’ proved too much ‘even for Soviet despotism.’ Other influences were also at work, particularly in Czecho-Slovakia, Latvia, Estonia, and Transylvania, where their also existed a ‘desire to get rid of an alien and hostile landlord class [alongside] the land-hunger of the peasantry.’</w:t>
      </w:r>
      <w:r w:rsidRPr="001B6FE5">
        <w:rPr>
          <w:rFonts w:ascii="Arial Narrow" w:eastAsia="Times New Roman" w:hAnsi="Arial Narrow" w:cs="Arial"/>
          <w:iCs/>
          <w:szCs w:val="24"/>
          <w:vertAlign w:val="superscript"/>
        </w:rPr>
        <w:footnoteReference w:id="77"/>
      </w:r>
      <w:r w:rsidRPr="001B6FE5">
        <w:rPr>
          <w:rFonts w:ascii="Arial Narrow" w:eastAsia="Times New Roman" w:hAnsi="Arial Narrow" w:cs="Arial"/>
          <w:iCs/>
          <w:szCs w:val="24"/>
        </w:rPr>
        <w:t xml:space="preserve"> The problem was particularly acute in the much smaller Baltic States, but it was also present in Poland. The peasantry had consistently fought for its own rights, irrespective of their own superimposed nationality, frequently fighting alongside ‘belligerents’ from other countries, to the consternation and exasperation of their own governments. Jews were often singled out for violent repression, particularly in the Ukraine, and N.A.Grigor’ev, a ‘semi-bandit leader’ with Ukrainian Nationalists, the German Hetmanate, the social-democratic Petlyura and the Soviets, alongside a ‘fellow bandit’, described where:</w:t>
      </w:r>
    </w:p>
    <w:p w:rsidR="00273DD8" w:rsidRPr="001B6FE5" w:rsidRDefault="00273DD8" w:rsidP="003D2CE4">
      <w:pPr>
        <w:spacing w:after="0" w:line="480" w:lineRule="auto"/>
        <w:ind w:left="720"/>
        <w:jc w:val="both"/>
        <w:rPr>
          <w:rFonts w:ascii="Arial Narrow" w:eastAsia="Times New Roman" w:hAnsi="Arial Narrow" w:cs="Arial"/>
          <w:iCs/>
          <w:szCs w:val="24"/>
        </w:rPr>
      </w:pPr>
      <w:r w:rsidRPr="001B6FE5">
        <w:rPr>
          <w:rFonts w:ascii="Arial Narrow" w:eastAsia="Times New Roman" w:hAnsi="Arial Narrow" w:cs="Arial"/>
          <w:iCs/>
          <w:szCs w:val="24"/>
        </w:rPr>
        <w:t xml:space="preserve">‘Corpses had been left to rot and most homes had been ransacked…[In] one little white house [a]ll its windows had been smashed…By the door lay the body of an elderly man whose eyes had been </w:t>
      </w:r>
      <w:r w:rsidRPr="001B6FE5">
        <w:rPr>
          <w:rFonts w:ascii="Arial Narrow" w:eastAsia="Times New Roman" w:hAnsi="Arial Narrow" w:cs="Arial"/>
          <w:iCs/>
          <w:szCs w:val="24"/>
        </w:rPr>
        <w:lastRenderedPageBreak/>
        <w:t>gouged out and clumps of his beard pulled out. Beside him a disembowelled woman in a torn shirt with her breast cut off…close by, the corpse of a naked girl who had obviously been raped.’</w:t>
      </w:r>
      <w:r w:rsidRPr="001B6FE5">
        <w:rPr>
          <w:rFonts w:ascii="Arial Narrow" w:eastAsia="Times New Roman" w:hAnsi="Arial Narrow" w:cs="Arial"/>
          <w:iCs/>
          <w:szCs w:val="24"/>
          <w:vertAlign w:val="superscript"/>
        </w:rPr>
        <w:footnoteReference w:id="78"/>
      </w:r>
      <w:r w:rsidRPr="001B6FE5">
        <w:rPr>
          <w:rFonts w:ascii="Arial Narrow" w:eastAsia="Times New Roman" w:hAnsi="Arial Narrow" w:cs="Arial"/>
          <w:iCs/>
          <w:szCs w:val="24"/>
        </w:rPr>
        <w:tab/>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drawing>
          <wp:inline distT="0" distB="0" distL="0" distR="0" wp14:anchorId="37098664" wp14:editId="03758824">
            <wp:extent cx="5600700" cy="3505200"/>
            <wp:effectExtent l="0" t="0" r="0" b="0"/>
            <wp:docPr id="10" name="Picture 10" descr="Copy of kres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py of kresy"/>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00700" cy="3505200"/>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10 The </w:t>
      </w:r>
      <w:r w:rsidR="008644C5">
        <w:rPr>
          <w:rFonts w:ascii="Arial Narrow" w:eastAsia="Times New Roman" w:hAnsi="Arial Narrow" w:cs="Arial"/>
          <w:b/>
          <w:bCs/>
          <w:szCs w:val="24"/>
        </w:rPr>
        <w:t>‘</w:t>
      </w:r>
      <w:r w:rsidRPr="001B6FE5">
        <w:rPr>
          <w:rFonts w:ascii="Arial Narrow" w:eastAsia="Times New Roman" w:hAnsi="Arial Narrow" w:cs="Arial"/>
          <w:b/>
          <w:bCs/>
          <w:szCs w:val="24"/>
        </w:rPr>
        <w:t>Kresy</w:t>
      </w:r>
      <w:r w:rsidR="008644C5">
        <w:rPr>
          <w:rFonts w:ascii="Arial Narrow" w:eastAsia="Times New Roman" w:hAnsi="Arial Narrow" w:cs="Arial"/>
          <w:b/>
          <w:bCs/>
          <w:szCs w:val="24"/>
        </w:rPr>
        <w:t>’</w:t>
      </w:r>
      <w:r w:rsidRPr="001B6FE5">
        <w:rPr>
          <w:rFonts w:ascii="Arial Narrow" w:eastAsia="Times New Roman" w:hAnsi="Arial Narrow" w:cs="Arial"/>
          <w:b/>
          <w:bCs/>
          <w:szCs w:val="24"/>
        </w:rPr>
        <w:t xml:space="preserve"> and Soviet Autonomous Regions.  </w:t>
      </w:r>
    </w:p>
    <w:p w:rsidR="00EE58B6" w:rsidRDefault="00EE58B6" w:rsidP="003D2CE4">
      <w:pPr>
        <w:spacing w:after="0" w:line="480" w:lineRule="auto"/>
        <w:jc w:val="both"/>
        <w:rPr>
          <w:rFonts w:ascii="Arial Narrow" w:eastAsia="Times New Roman" w:hAnsi="Arial Narrow" w:cs="Arial"/>
          <w:iCs/>
          <w:szCs w:val="24"/>
        </w:rPr>
      </w:pPr>
      <w:r>
        <w:rPr>
          <w:rFonts w:ascii="Arial Narrow" w:eastAsia="Times New Roman" w:hAnsi="Arial Narrow" w:cs="Arial"/>
          <w:iCs/>
          <w:szCs w:val="24"/>
        </w:rPr>
        <w:tab/>
      </w:r>
    </w:p>
    <w:p w:rsidR="00273DD8" w:rsidRPr="001B6FE5" w:rsidRDefault="00273DD8" w:rsidP="003D2CE4">
      <w:pPr>
        <w:spacing w:after="0" w:line="480" w:lineRule="auto"/>
        <w:jc w:val="both"/>
        <w:rPr>
          <w:rFonts w:ascii="Arial Narrow" w:eastAsia="Times New Roman" w:hAnsi="Arial Narrow" w:cs="Arial"/>
          <w:iCs/>
          <w:szCs w:val="24"/>
        </w:rPr>
      </w:pPr>
      <w:r w:rsidRPr="001B6FE5">
        <w:rPr>
          <w:rFonts w:ascii="Arial Narrow" w:eastAsia="Times New Roman" w:hAnsi="Arial Narrow" w:cs="Arial"/>
          <w:iCs/>
          <w:szCs w:val="24"/>
        </w:rPr>
        <w:t>In Western Europe Jews aspired to become nationals, but their ‘minority’ status in east-Central Europe encouraged their own ‘self-definition’</w:t>
      </w:r>
      <w:r w:rsidRPr="001B6FE5">
        <w:rPr>
          <w:rFonts w:ascii="Arial Narrow" w:eastAsia="Times New Roman" w:hAnsi="Arial Narrow" w:cs="Arial"/>
          <w:iCs/>
          <w:szCs w:val="24"/>
          <w:vertAlign w:val="superscript"/>
        </w:rPr>
        <w:footnoteReference w:id="79"/>
      </w:r>
      <w:r w:rsidRPr="001B6FE5">
        <w:rPr>
          <w:rFonts w:ascii="Arial Narrow" w:eastAsia="Times New Roman" w:hAnsi="Arial Narrow" w:cs="Arial"/>
          <w:iCs/>
          <w:szCs w:val="24"/>
        </w:rPr>
        <w:t xml:space="preserve">. Practical necessity brought Poles and Jews together but both viewed mixing as potentially ‘spoiling’ each other; Poles </w:t>
      </w:r>
      <w:r w:rsidR="00EE58B6">
        <w:rPr>
          <w:rFonts w:ascii="Arial Narrow" w:eastAsia="Times New Roman" w:hAnsi="Arial Narrow" w:cs="Arial"/>
          <w:iCs/>
          <w:szCs w:val="24"/>
        </w:rPr>
        <w:t xml:space="preserve">often </w:t>
      </w:r>
      <w:r w:rsidRPr="001B6FE5">
        <w:rPr>
          <w:rFonts w:ascii="Arial Narrow" w:eastAsia="Times New Roman" w:hAnsi="Arial Narrow" w:cs="Arial"/>
          <w:iCs/>
          <w:szCs w:val="24"/>
        </w:rPr>
        <w:t>resented assimilationist Jews who could</w:t>
      </w:r>
      <w:r w:rsidR="00EE58B6">
        <w:rPr>
          <w:rFonts w:ascii="Arial Narrow" w:eastAsia="Times New Roman" w:hAnsi="Arial Narrow" w:cs="Arial"/>
          <w:iCs/>
          <w:szCs w:val="24"/>
        </w:rPr>
        <w:t xml:space="preserve"> “penetrate” or “infiltrate”, dangerously</w:t>
      </w:r>
      <w:r w:rsidRPr="001B6FE5">
        <w:rPr>
          <w:rFonts w:ascii="Arial Narrow" w:eastAsia="Times New Roman" w:hAnsi="Arial Narrow" w:cs="Arial"/>
          <w:iCs/>
          <w:szCs w:val="24"/>
        </w:rPr>
        <w:t xml:space="preserve"> blurring the lines.</w:t>
      </w:r>
      <w:r w:rsidRPr="001B6FE5">
        <w:rPr>
          <w:rFonts w:ascii="Arial Narrow" w:eastAsia="Times New Roman" w:hAnsi="Arial Narrow" w:cs="Arial"/>
          <w:iCs/>
          <w:szCs w:val="24"/>
          <w:vertAlign w:val="superscript"/>
        </w:rPr>
        <w:footnoteReference w:id="80"/>
      </w:r>
      <w:r w:rsidRPr="001B6FE5">
        <w:rPr>
          <w:rFonts w:ascii="Arial Narrow" w:eastAsia="Times New Roman" w:hAnsi="Arial Narrow" w:cs="Arial"/>
          <w:iCs/>
          <w:szCs w:val="24"/>
        </w:rPr>
        <w:t xml:space="preserve"> However, ‘marginality’ for the non-petty bourgeoisie peasantry was less of a curse than a blessing because, ‘local inhabitants could blithely ignore nationalists who insisted they remain loyal to one, and only one, national community.’ But, of course, </w:t>
      </w:r>
      <w:r w:rsidRPr="001B6FE5">
        <w:rPr>
          <w:rFonts w:ascii="Arial Narrow" w:eastAsia="Times New Roman" w:hAnsi="Arial Narrow" w:cs="Arial"/>
          <w:iCs/>
          <w:szCs w:val="24"/>
        </w:rPr>
        <w:lastRenderedPageBreak/>
        <w:t>nationalists were happy to denationalise or convert, often using fostering as a surrogate for more aggressive tactics.</w:t>
      </w:r>
      <w:r w:rsidRPr="001B6FE5">
        <w:rPr>
          <w:rFonts w:ascii="Arial Narrow" w:eastAsia="Times New Roman" w:hAnsi="Arial Narrow" w:cs="Arial"/>
          <w:iCs/>
          <w:szCs w:val="24"/>
          <w:vertAlign w:val="superscript"/>
        </w:rPr>
        <w:footnoteReference w:id="81"/>
      </w:r>
      <w:r w:rsidRPr="001B6FE5">
        <w:rPr>
          <w:rFonts w:ascii="Arial Narrow" w:eastAsia="Times New Roman" w:hAnsi="Arial Narrow" w:cs="Arial"/>
          <w:iCs/>
          <w:szCs w:val="24"/>
        </w:rPr>
        <w:t xml:space="preserve"> </w:t>
      </w:r>
    </w:p>
    <w:p w:rsidR="00273DD8" w:rsidRPr="00757A83" w:rsidRDefault="00273DD8" w:rsidP="003D2CE4">
      <w:pPr>
        <w:autoSpaceDE w:val="0"/>
        <w:autoSpaceDN w:val="0"/>
        <w:adjustRightInd w:val="0"/>
        <w:spacing w:after="0" w:line="480" w:lineRule="auto"/>
        <w:jc w:val="both"/>
        <w:rPr>
          <w:rFonts w:ascii="Arial Narrow" w:eastAsia="Times New Roman" w:hAnsi="Arial Narrow" w:cs="Arial"/>
          <w:i/>
          <w:szCs w:val="24"/>
        </w:rPr>
      </w:pPr>
      <w:r w:rsidRPr="001B6FE5">
        <w:rPr>
          <w:rFonts w:ascii="Arial Narrow" w:eastAsia="Times New Roman" w:hAnsi="Arial Narrow" w:cs="Arial"/>
          <w:iCs/>
          <w:szCs w:val="24"/>
        </w:rPr>
        <w:tab/>
        <w:t>Dr. Benes, the Czecho-Slovakian Foreign Minister, elucidated in 1922 some of the substantive problems shared with his fellow Slovaks, who were increasingly dissatisfied with ‘their’ multi-national state; the Czechs themselves numbered only 7,250,000 or roughly 48 per cent. (See above Fig. 4) The ‘Pittsburgh Treaty’ of 1918 had proved somewhat ‘Balfourian’ and, as with Palestine, a ‘great deal of recrimination would have certainly been averted if all signatories…had at the time made it clear…what their respective signatures meant.’</w:t>
      </w:r>
      <w:r w:rsidRPr="001B6FE5">
        <w:rPr>
          <w:rFonts w:ascii="Arial Narrow" w:eastAsia="Times New Roman" w:hAnsi="Arial Narrow" w:cs="Arial"/>
          <w:iCs/>
          <w:szCs w:val="24"/>
          <w:vertAlign w:val="superscript"/>
        </w:rPr>
        <w:footnoteReference w:id="82"/>
      </w:r>
      <w:r w:rsidRPr="001B6FE5">
        <w:rPr>
          <w:rFonts w:ascii="Arial Narrow" w:eastAsia="Times New Roman" w:hAnsi="Arial Narrow" w:cs="Arial"/>
          <w:iCs/>
          <w:szCs w:val="24"/>
        </w:rPr>
        <w:t xml:space="preserve"> Benes claimed that Andrej Hlinka’s (later dubbed the ‘Father of the Slovak Nation’) faction within the Slovak Popular Party, was ‘largely a personal question’, and that an autonomous Slovakia would mean ‘largely sacrificing…an annual subsidy of nearly £5,000,000 from Prague… [and] enthusiasm manifested in certain circles will be [therefore] somewhat damped.’</w:t>
      </w:r>
      <w:r w:rsidRPr="001B6FE5">
        <w:rPr>
          <w:rFonts w:ascii="Arial Narrow" w:eastAsia="Times New Roman" w:hAnsi="Arial Narrow" w:cs="Arial"/>
          <w:iCs/>
          <w:szCs w:val="24"/>
          <w:vertAlign w:val="superscript"/>
        </w:rPr>
        <w:footnoteReference w:id="83"/>
      </w:r>
      <w:r w:rsidRPr="001B6FE5">
        <w:rPr>
          <w:rFonts w:ascii="Arial Narrow" w:eastAsia="Times New Roman" w:hAnsi="Arial Narrow" w:cs="Arial"/>
          <w:iCs/>
          <w:szCs w:val="24"/>
        </w:rPr>
        <w:t xml:space="preserve"> Benes and Masaryk until 1917, referred to their pre-nascent state as ‘independent Bohemia’, having also published </w:t>
      </w:r>
      <w:r w:rsidRPr="001B6FE5">
        <w:rPr>
          <w:rFonts w:ascii="Arial Narrow" w:eastAsia="Times New Roman" w:hAnsi="Arial Narrow" w:cs="Arial"/>
          <w:i/>
          <w:iCs/>
          <w:szCs w:val="24"/>
        </w:rPr>
        <w:t>Bohemia’s Case for Independence</w:t>
      </w:r>
      <w:r w:rsidRPr="001B6FE5">
        <w:rPr>
          <w:rFonts w:ascii="Arial Narrow" w:eastAsia="Times New Roman" w:hAnsi="Arial Narrow" w:cs="Arial"/>
          <w:iCs/>
          <w:szCs w:val="24"/>
        </w:rPr>
        <w:t>.</w:t>
      </w:r>
      <w:r w:rsidRPr="001B6FE5">
        <w:rPr>
          <w:rFonts w:ascii="Arial Narrow" w:eastAsia="Times New Roman" w:hAnsi="Arial Narrow" w:cs="Arial"/>
          <w:iCs/>
          <w:szCs w:val="24"/>
          <w:vertAlign w:val="superscript"/>
        </w:rPr>
        <w:footnoteReference w:id="84"/>
      </w:r>
      <w:r w:rsidRPr="001B6FE5">
        <w:rPr>
          <w:rFonts w:ascii="Arial Narrow" w:eastAsia="Times New Roman" w:hAnsi="Arial Narrow" w:cs="Arial"/>
          <w:iCs/>
          <w:szCs w:val="24"/>
        </w:rPr>
        <w:t xml:space="preserve"> Milan Hodza, from his position inside the Republican Party of the Czechoslovak Countryside (</w:t>
      </w:r>
      <w:r w:rsidR="00C811CD" w:rsidRPr="00C811CD">
        <w:rPr>
          <w:rFonts w:ascii="Arial Narrow" w:eastAsia="Times New Roman" w:hAnsi="Arial Narrow" w:cs="Arial"/>
          <w:i/>
          <w:iCs/>
          <w:szCs w:val="24"/>
        </w:rPr>
        <w:t>Republikánská strana zemědělského a malorolnického lidu</w:t>
      </w:r>
      <w:r w:rsidRPr="001B6FE5">
        <w:rPr>
          <w:rFonts w:ascii="Arial Narrow" w:eastAsia="Times New Roman" w:hAnsi="Arial Narrow" w:cs="Arial"/>
          <w:szCs w:val="24"/>
        </w:rPr>
        <w:t xml:space="preserve">) was </w:t>
      </w:r>
      <w:r w:rsidRPr="001B6FE5">
        <w:rPr>
          <w:rFonts w:ascii="Arial Narrow" w:eastAsia="Times New Roman" w:hAnsi="Arial Narrow" w:cs="Arial"/>
          <w:iCs/>
          <w:szCs w:val="24"/>
        </w:rPr>
        <w:t xml:space="preserve">a leading Slovak proponent of a European wide ‘Agrarian’ movement, and provided the ethnic and political adhesive which kept the nation together.  It merged </w:t>
      </w:r>
      <w:r w:rsidRPr="001B6FE5">
        <w:rPr>
          <w:rFonts w:ascii="Arial Narrow" w:eastAsia="Times New Roman" w:hAnsi="Arial Narrow" w:cs="Arial"/>
          <w:szCs w:val="24"/>
        </w:rPr>
        <w:t>in 1922 with the Slovak National and Peasant Party (</w:t>
      </w:r>
      <w:r w:rsidR="00757A83" w:rsidRPr="00757A83">
        <w:rPr>
          <w:rFonts w:ascii="Arial Narrow" w:eastAsia="Times New Roman" w:hAnsi="Arial Narrow" w:cs="Arial"/>
          <w:i/>
          <w:iCs/>
          <w:szCs w:val="24"/>
          <w:lang w:val="en"/>
        </w:rPr>
        <w:t>Slovenská národná a roľnícka strana</w:t>
      </w:r>
      <w:r w:rsidRPr="001B6FE5">
        <w:rPr>
          <w:rFonts w:ascii="Arial Narrow" w:eastAsia="Times New Roman" w:hAnsi="Arial Narrow" w:cs="Arial"/>
          <w:szCs w:val="24"/>
        </w:rPr>
        <w:t>) and consequently changed its name again, becoming the Republican Party of Farmers and Peasants (</w:t>
      </w:r>
      <w:r w:rsidR="00757A83" w:rsidRPr="00757A83">
        <w:rPr>
          <w:rFonts w:ascii="Arial Narrow" w:eastAsia="Times New Roman" w:hAnsi="Arial Narrow" w:cs="Arial"/>
          <w:i/>
          <w:szCs w:val="24"/>
        </w:rPr>
        <w:t>Republikánská strana zemědělského a malorolnického lidu</w:t>
      </w:r>
      <w:r w:rsidRPr="001B6FE5">
        <w:rPr>
          <w:rFonts w:ascii="Arial Narrow" w:eastAsia="Times New Roman" w:hAnsi="Arial Narrow" w:cs="Arial"/>
          <w:szCs w:val="24"/>
        </w:rPr>
        <w:t>). However, in usual political life it was called the “Agrarians” (</w:t>
      </w:r>
      <w:r w:rsidR="00757A83" w:rsidRPr="00757A83">
        <w:rPr>
          <w:rFonts w:ascii="Arial Narrow" w:eastAsia="Times New Roman" w:hAnsi="Arial Narrow" w:cs="Arial"/>
          <w:i/>
          <w:szCs w:val="24"/>
          <w:lang w:val="cs-CZ"/>
        </w:rPr>
        <w:t>Agrární</w:t>
      </w:r>
      <w:r w:rsidR="00D7484D">
        <w:rPr>
          <w:rFonts w:ascii="Arial Narrow" w:eastAsia="Times New Roman" w:hAnsi="Arial Narrow" w:cs="Arial"/>
          <w:i/>
          <w:szCs w:val="24"/>
        </w:rPr>
        <w:t>ci</w:t>
      </w:r>
      <w:r w:rsidRPr="001B6FE5">
        <w:rPr>
          <w:rFonts w:ascii="Arial Narrow" w:eastAsia="Times New Roman" w:hAnsi="Arial Narrow" w:cs="Arial"/>
          <w:szCs w:val="24"/>
        </w:rPr>
        <w:t>).</w:t>
      </w:r>
      <w:r w:rsidRPr="001B6FE5">
        <w:rPr>
          <w:rFonts w:ascii="Arial Narrow" w:eastAsia="Times New Roman" w:hAnsi="Arial Narrow" w:cs="Arial"/>
          <w:szCs w:val="24"/>
          <w:vertAlign w:val="superscript"/>
        </w:rPr>
        <w:footnoteReference w:id="85"/>
      </w:r>
      <w:r w:rsidRPr="001B6FE5">
        <w:rPr>
          <w:rFonts w:ascii="Arial Narrow" w:eastAsia="Times New Roman" w:hAnsi="Arial Narrow" w:cs="Arial"/>
          <w:szCs w:val="24"/>
        </w:rPr>
        <w:t xml:space="preserve"> Before the War, as an advisor to the Archduke Franz Ferdinand, Hodza </w:t>
      </w:r>
      <w:r w:rsidRPr="001B6FE5">
        <w:rPr>
          <w:rFonts w:ascii="Arial Narrow" w:eastAsia="Times New Roman" w:hAnsi="Arial Narrow" w:cs="Arial"/>
          <w:szCs w:val="24"/>
        </w:rPr>
        <w:lastRenderedPageBreak/>
        <w:t>had proposed a ‘United States of Greater Austria’, based on an ethnographic map of the ‘Distribution of Races in Austria-Hungary’ (1910) (Fig. 11). One of Lev Kopelev’s ‘Capitalists’, Dr. Walther R. - who ‘spoke and thought in German’ and was a Czech by nationality but granted Austrian citizenship in 1945 - commented that ‘life in Czechoslovakia wasn’t bad [but] the ancient national contradictions became more acute there’ adding, ‘the Slovaks had a right to be insulted at having Hungarian authorities and landed gentry.’ Prompted, he comments: ‘What we have, we don’t cherish; when we lose it, we weep.’</w:t>
      </w:r>
      <w:r w:rsidRPr="001B6FE5">
        <w:rPr>
          <w:rFonts w:ascii="Arial Narrow" w:eastAsia="Times New Roman" w:hAnsi="Arial Narrow" w:cs="Arial"/>
          <w:szCs w:val="24"/>
          <w:vertAlign w:val="superscript"/>
        </w:rPr>
        <w:footnoteReference w:id="86"/>
      </w:r>
      <w:r w:rsidRPr="001B6FE5">
        <w:rPr>
          <w:rFonts w:ascii="Arial Narrow" w:eastAsia="Times New Roman" w:hAnsi="Arial Narrow" w:cs="Arial"/>
          <w:szCs w:val="24"/>
        </w:rPr>
        <w:t xml:space="preserve"> </w:t>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p>
    <w:p w:rsidR="00273DD8" w:rsidRPr="001B6FE5" w:rsidRDefault="00273DD8" w:rsidP="003D2CE4">
      <w:pPr>
        <w:autoSpaceDE w:val="0"/>
        <w:autoSpaceDN w:val="0"/>
        <w:adjustRightInd w:val="0"/>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drawing>
          <wp:inline distT="0" distB="0" distL="0" distR="0" wp14:anchorId="4EF49070" wp14:editId="1755FDD8">
            <wp:extent cx="5486400" cy="2847975"/>
            <wp:effectExtent l="0" t="0" r="0" b="0"/>
            <wp:docPr id="11" name="Picture 11" descr="Copy of 790px-Austria_hungary_1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py of 790px-Austria_hungary_19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2847975"/>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11 Section from </w:t>
      </w:r>
      <w:r w:rsidR="00A02344">
        <w:rPr>
          <w:rFonts w:ascii="Arial Narrow" w:eastAsia="Times New Roman" w:hAnsi="Arial Narrow" w:cs="Arial"/>
          <w:b/>
          <w:bCs/>
          <w:szCs w:val="24"/>
        </w:rPr>
        <w:t>‘</w:t>
      </w:r>
      <w:r w:rsidRPr="001B6FE5">
        <w:rPr>
          <w:rFonts w:ascii="Arial Narrow" w:eastAsia="Times New Roman" w:hAnsi="Arial Narrow" w:cs="Arial"/>
          <w:b/>
          <w:bCs/>
          <w:szCs w:val="24"/>
        </w:rPr>
        <w:t>Austro-Hungarian ethnicity by language</w:t>
      </w:r>
      <w:r w:rsidR="00A02344">
        <w:rPr>
          <w:rFonts w:ascii="Arial Narrow" w:eastAsia="Times New Roman" w:hAnsi="Arial Narrow" w:cs="Arial"/>
          <w:b/>
          <w:bCs/>
          <w:szCs w:val="24"/>
        </w:rPr>
        <w:t xml:space="preserve">’ </w:t>
      </w:r>
      <w:r w:rsidRPr="001B6FE5">
        <w:rPr>
          <w:rFonts w:ascii="Arial Narrow" w:eastAsia="Times New Roman" w:hAnsi="Arial Narrow" w:cs="Arial"/>
          <w:b/>
          <w:bCs/>
          <w:szCs w:val="24"/>
        </w:rPr>
        <w:t>map</w:t>
      </w:r>
      <w:r w:rsidR="001066B0">
        <w:rPr>
          <w:rFonts w:ascii="Arial Narrow" w:eastAsia="Times New Roman" w:hAnsi="Arial Narrow" w:cs="Arial"/>
          <w:b/>
          <w:bCs/>
          <w:szCs w:val="24"/>
        </w:rPr>
        <w:t>,</w:t>
      </w:r>
      <w:r w:rsidR="00A02344">
        <w:rPr>
          <w:rFonts w:ascii="Arial Narrow" w:eastAsia="Times New Roman" w:hAnsi="Arial Narrow" w:cs="Arial"/>
          <w:b/>
          <w:bCs/>
          <w:szCs w:val="24"/>
        </w:rPr>
        <w:t xml:space="preserve"> </w:t>
      </w:r>
      <w:r w:rsidRPr="001B6FE5">
        <w:rPr>
          <w:rFonts w:ascii="Arial Narrow" w:eastAsia="Times New Roman" w:hAnsi="Arial Narrow" w:cs="Arial"/>
          <w:b/>
          <w:bCs/>
          <w:szCs w:val="24"/>
        </w:rPr>
        <w:t xml:space="preserve">1910. </w:t>
      </w:r>
    </w:p>
    <w:p w:rsidR="00273DD8" w:rsidRPr="001B6FE5" w:rsidRDefault="00273DD8" w:rsidP="003D2CE4">
      <w:pPr>
        <w:keepNext/>
        <w:tabs>
          <w:tab w:val="left" w:pos="180"/>
        </w:tabs>
        <w:spacing w:after="0" w:line="480" w:lineRule="auto"/>
        <w:jc w:val="both"/>
        <w:rPr>
          <w:rFonts w:ascii="Arial Narrow" w:eastAsia="Times New Roman" w:hAnsi="Arial Narrow" w:cs="Arial"/>
          <w:szCs w:val="24"/>
        </w:rPr>
      </w:pPr>
    </w:p>
    <w:p w:rsidR="001740B8" w:rsidRDefault="00273DD8" w:rsidP="003D2CE4">
      <w:pPr>
        <w:keepNext/>
        <w:tabs>
          <w:tab w:val="left" w:pos="180"/>
        </w:tabs>
        <w:spacing w:after="0" w:line="480" w:lineRule="auto"/>
        <w:jc w:val="both"/>
        <w:rPr>
          <w:rFonts w:ascii="Arial Narrow" w:eastAsia="Times New Roman" w:hAnsi="Arial Narrow" w:cs="Arial"/>
          <w:iCs/>
          <w:szCs w:val="24"/>
        </w:rPr>
      </w:pPr>
      <w:r w:rsidRPr="001B6FE5">
        <w:rPr>
          <w:rFonts w:ascii="Arial Narrow" w:eastAsia="Times New Roman" w:hAnsi="Arial Narrow" w:cs="Arial"/>
          <w:szCs w:val="24"/>
        </w:rPr>
        <w:tab/>
      </w:r>
      <w:r w:rsidRPr="001B6FE5">
        <w:rPr>
          <w:rFonts w:ascii="Arial Narrow" w:eastAsia="Times New Roman" w:hAnsi="Arial Narrow" w:cs="Arial"/>
          <w:szCs w:val="24"/>
        </w:rPr>
        <w:tab/>
        <w:t>The champion of minority rights in the 1920s, in respect of the eight million ethnic Germans</w:t>
      </w:r>
      <w:r w:rsidR="00A131F1">
        <w:rPr>
          <w:rFonts w:ascii="Arial Narrow" w:eastAsia="Times New Roman" w:hAnsi="Arial Narrow" w:cs="Arial"/>
          <w:szCs w:val="24"/>
        </w:rPr>
        <w:t xml:space="preserve">       </w:t>
      </w:r>
      <w:r w:rsidRPr="001B6FE5">
        <w:rPr>
          <w:rFonts w:ascii="Arial Narrow" w:eastAsia="Times New Roman" w:hAnsi="Arial Narrow" w:cs="Arial"/>
          <w:szCs w:val="24"/>
        </w:rPr>
        <w:t xml:space="preserve"> </w:t>
      </w:r>
      <w:r w:rsidRPr="001B6FE5">
        <w:rPr>
          <w:rFonts w:ascii="Arial Narrow" w:eastAsia="Times New Roman" w:hAnsi="Arial Narrow" w:cs="Arial"/>
          <w:iCs/>
          <w:szCs w:val="24"/>
        </w:rPr>
        <w:t>(</w:t>
      </w:r>
      <w:r w:rsidRPr="001B6FE5">
        <w:rPr>
          <w:rFonts w:ascii="Arial Narrow" w:eastAsia="Times New Roman" w:hAnsi="Arial Narrow" w:cs="Arial"/>
          <w:i/>
          <w:iCs/>
          <w:szCs w:val="24"/>
        </w:rPr>
        <w:t>V</w:t>
      </w:r>
      <w:r w:rsidR="00946405" w:rsidRPr="00946405">
        <w:rPr>
          <w:rFonts w:ascii="Arial Narrow" w:eastAsia="Times New Roman" w:hAnsi="Arial Narrow" w:cs="Arial"/>
          <w:i/>
          <w:iCs/>
          <w:szCs w:val="24"/>
          <w:lang w:val="en"/>
        </w:rPr>
        <w:t>ö</w:t>
      </w:r>
      <w:r w:rsidRPr="001B6FE5">
        <w:rPr>
          <w:rFonts w:ascii="Arial Narrow" w:eastAsia="Times New Roman" w:hAnsi="Arial Narrow" w:cs="Arial"/>
          <w:i/>
          <w:iCs/>
          <w:szCs w:val="24"/>
        </w:rPr>
        <w:t>lksdeutsche</w:t>
      </w:r>
      <w:r w:rsidRPr="001B6FE5">
        <w:rPr>
          <w:rFonts w:ascii="Arial Narrow" w:eastAsia="Times New Roman" w:hAnsi="Arial Narrow" w:cs="Arial"/>
          <w:szCs w:val="24"/>
        </w:rPr>
        <w:t xml:space="preserve">) - who had in </w:t>
      </w:r>
      <w:r w:rsidR="00A02344">
        <w:rPr>
          <w:rFonts w:ascii="Arial Narrow" w:eastAsia="Times New Roman" w:hAnsi="Arial Narrow" w:cs="Arial"/>
          <w:szCs w:val="24"/>
        </w:rPr>
        <w:t>the preceding</w:t>
      </w:r>
      <w:r w:rsidRPr="001B6FE5">
        <w:rPr>
          <w:rFonts w:ascii="Arial Narrow" w:eastAsia="Times New Roman" w:hAnsi="Arial Narrow" w:cs="Arial"/>
          <w:szCs w:val="24"/>
        </w:rPr>
        <w:t xml:space="preserve"> centuries spread out across Eastern Europe - was Germanys Gustav Stresemann. Weimar Germany demands our attention particularly because of the “striking similarities” between Germany after the First World War, and Russia after the collapse of the Soviet Union, with perhaps ‘Orange’ Ukraine playing ‘interwar Poland’ in dispute with ‘</w:t>
      </w:r>
      <w:r w:rsidRPr="001B6FE5">
        <w:rPr>
          <w:rFonts w:ascii="Arial Narrow" w:eastAsia="Times New Roman" w:hAnsi="Arial Narrow" w:cs="Arial"/>
          <w:i/>
          <w:szCs w:val="24"/>
        </w:rPr>
        <w:t>Weimar</w:t>
      </w:r>
      <w:r w:rsidRPr="001B6FE5">
        <w:rPr>
          <w:rFonts w:ascii="Arial Narrow" w:eastAsia="Times New Roman" w:hAnsi="Arial Narrow" w:cs="Arial"/>
          <w:szCs w:val="24"/>
        </w:rPr>
        <w:t xml:space="preserve"> Russia’.</w:t>
      </w:r>
      <w:r w:rsidRPr="001B6FE5">
        <w:rPr>
          <w:rFonts w:ascii="Arial Narrow" w:eastAsia="Times New Roman" w:hAnsi="Arial Narrow" w:cs="Arial"/>
          <w:szCs w:val="24"/>
          <w:vertAlign w:val="superscript"/>
        </w:rPr>
        <w:footnoteReference w:id="87"/>
      </w:r>
      <w:r w:rsidRPr="001B6FE5">
        <w:rPr>
          <w:rFonts w:ascii="Arial Narrow" w:eastAsia="Times New Roman" w:hAnsi="Arial Narrow" w:cs="Arial"/>
          <w:szCs w:val="24"/>
        </w:rPr>
        <w:t xml:space="preserve"> The German Diaspora was political as well as ethnic (Fig. 12). Many Germans had existed outside of the </w:t>
      </w:r>
      <w:r w:rsidRPr="001B6FE5">
        <w:rPr>
          <w:rFonts w:ascii="Arial Narrow" w:eastAsia="Times New Roman" w:hAnsi="Arial Narrow" w:cs="Arial"/>
          <w:i/>
          <w:szCs w:val="24"/>
        </w:rPr>
        <w:t>Kaiserreich</w:t>
      </w:r>
      <w:r w:rsidRPr="001B6FE5">
        <w:rPr>
          <w:rFonts w:ascii="Arial Narrow" w:eastAsia="Times New Roman" w:hAnsi="Arial Narrow" w:cs="Arial"/>
          <w:szCs w:val="24"/>
        </w:rPr>
        <w:t xml:space="preserve"> in </w:t>
      </w:r>
      <w:r w:rsidRPr="001B6FE5">
        <w:rPr>
          <w:rFonts w:ascii="Arial Narrow" w:eastAsia="Times New Roman" w:hAnsi="Arial Narrow" w:cs="Arial"/>
          <w:szCs w:val="24"/>
        </w:rPr>
        <w:lastRenderedPageBreak/>
        <w:t xml:space="preserve">prewar Hungary, Russia and Austria, making it inevitable that many would remain outside the new Republic, </w:t>
      </w:r>
      <w:r w:rsidRPr="00A02344">
        <w:rPr>
          <w:rFonts w:ascii="Arial Narrow" w:eastAsia="Times New Roman" w:hAnsi="Arial Narrow" w:cs="Arial"/>
          <w:i/>
          <w:szCs w:val="24"/>
        </w:rPr>
        <w:t>wherever</w:t>
      </w:r>
      <w:r w:rsidR="00A02344">
        <w:rPr>
          <w:rFonts w:ascii="Arial Narrow" w:eastAsia="Times New Roman" w:hAnsi="Arial Narrow" w:cs="Arial"/>
          <w:szCs w:val="24"/>
        </w:rPr>
        <w:t xml:space="preserve"> </w:t>
      </w:r>
      <w:r w:rsidRPr="001B6FE5">
        <w:rPr>
          <w:rFonts w:ascii="Arial Narrow" w:eastAsia="Times New Roman" w:hAnsi="Arial Narrow" w:cs="Arial"/>
          <w:szCs w:val="24"/>
        </w:rPr>
        <w:t>th</w:t>
      </w:r>
      <w:r w:rsidR="00A02344">
        <w:rPr>
          <w:rFonts w:ascii="Arial Narrow" w:eastAsia="Times New Roman" w:hAnsi="Arial Narrow" w:cs="Arial"/>
          <w:szCs w:val="24"/>
        </w:rPr>
        <w:t>e new frontiers were drawn.</w:t>
      </w:r>
      <w:r w:rsidR="00A02344" w:rsidRPr="00A02344">
        <w:rPr>
          <w:rFonts w:ascii="Arial Narrow" w:eastAsia="Times New Roman" w:hAnsi="Arial Narrow" w:cs="Arial"/>
          <w:i/>
          <w:iCs/>
          <w:szCs w:val="24"/>
        </w:rPr>
        <w:t xml:space="preserve"> </w:t>
      </w:r>
      <w:r w:rsidR="00E36BD1">
        <w:rPr>
          <w:rFonts w:ascii="Arial Narrow" w:eastAsia="Times New Roman" w:hAnsi="Arial Narrow" w:cs="Arial"/>
          <w:i/>
          <w:iCs/>
          <w:szCs w:val="24"/>
        </w:rPr>
        <w:t>V</w:t>
      </w:r>
      <w:r w:rsidR="00E36BD1" w:rsidRPr="00E36BD1">
        <w:rPr>
          <w:rFonts w:ascii="Arial Narrow" w:eastAsia="Times New Roman" w:hAnsi="Arial Narrow" w:cs="Arial"/>
          <w:i/>
          <w:iCs/>
          <w:szCs w:val="24"/>
          <w:lang w:val="en"/>
        </w:rPr>
        <w:t>ö</w:t>
      </w:r>
      <w:r w:rsidR="00A02344" w:rsidRPr="001B6FE5">
        <w:rPr>
          <w:rFonts w:ascii="Arial Narrow" w:eastAsia="Times New Roman" w:hAnsi="Arial Narrow" w:cs="Arial"/>
          <w:i/>
          <w:iCs/>
          <w:szCs w:val="24"/>
        </w:rPr>
        <w:t>lksdeutsche</w:t>
      </w:r>
      <w:r w:rsidRPr="001B6FE5">
        <w:rPr>
          <w:rFonts w:ascii="Arial Narrow" w:eastAsia="Times New Roman" w:hAnsi="Arial Narrow" w:cs="Arial"/>
          <w:szCs w:val="24"/>
        </w:rPr>
        <w:t xml:space="preserve"> </w:t>
      </w:r>
      <w:r w:rsidR="00A02344">
        <w:rPr>
          <w:rFonts w:ascii="Arial Narrow" w:eastAsia="Times New Roman" w:hAnsi="Arial Narrow" w:cs="Arial"/>
          <w:szCs w:val="24"/>
        </w:rPr>
        <w:t xml:space="preserve">had </w:t>
      </w:r>
      <w:r w:rsidRPr="001B6FE5">
        <w:rPr>
          <w:rFonts w:ascii="Arial Narrow" w:eastAsia="Times New Roman" w:hAnsi="Arial Narrow" w:cs="Arial"/>
          <w:szCs w:val="24"/>
        </w:rPr>
        <w:t xml:space="preserve">assimilated in southern Russia and elsewhere, and it must also be remembered that, as with millions of other Europeans, they too discarded their identity when arriving in the ‘New World’; the </w:t>
      </w:r>
      <w:r w:rsidR="004E38C4">
        <w:rPr>
          <w:rFonts w:ascii="Arial Narrow" w:eastAsia="Times New Roman" w:hAnsi="Arial Narrow" w:cs="Arial"/>
          <w:i/>
          <w:szCs w:val="24"/>
        </w:rPr>
        <w:t>A</w:t>
      </w:r>
      <w:r w:rsidRPr="001B6FE5">
        <w:rPr>
          <w:rFonts w:ascii="Arial Narrow" w:eastAsia="Times New Roman" w:hAnsi="Arial Narrow" w:cs="Arial"/>
          <w:i/>
          <w:szCs w:val="24"/>
        </w:rPr>
        <w:t>uslanddeutschtum</w:t>
      </w:r>
      <w:r w:rsidRPr="001B6FE5">
        <w:rPr>
          <w:rFonts w:ascii="Arial Narrow" w:eastAsia="Times New Roman" w:hAnsi="Arial Narrow" w:cs="Arial"/>
          <w:szCs w:val="24"/>
        </w:rPr>
        <w:t xml:space="preserve"> in the Russian Volga region for example, had no reason to think that their conditions would not see ‘a marked improvement.’</w:t>
      </w:r>
      <w:r w:rsidRPr="001B6FE5">
        <w:rPr>
          <w:rFonts w:ascii="Arial Narrow" w:eastAsia="Times New Roman" w:hAnsi="Arial Narrow" w:cs="Arial"/>
          <w:szCs w:val="24"/>
          <w:vertAlign w:val="superscript"/>
        </w:rPr>
        <w:footnoteReference w:id="88"/>
      </w:r>
      <w:r w:rsidRPr="001B6FE5">
        <w:rPr>
          <w:rFonts w:ascii="Arial Narrow" w:eastAsia="Times New Roman" w:hAnsi="Arial Narrow" w:cs="Arial"/>
          <w:szCs w:val="24"/>
        </w:rPr>
        <w:t xml:space="preserve"> The Baltic German ‘overlords’ were viewed by Estonians and Latvians as the traditional ruling elite, who had colluded with the German military whilst under occupation. They were well-suited to re-establish their own ‘longstanding organizational networks’ and this proved particularly useful with the setting up in 1925 of the Nationalities Congress, used to lobby outside international organizations. Its true value would be </w:t>
      </w:r>
      <w:r w:rsidR="00A02344">
        <w:rPr>
          <w:rFonts w:ascii="Arial Narrow" w:eastAsia="Times New Roman" w:hAnsi="Arial Narrow" w:cs="Arial"/>
          <w:szCs w:val="24"/>
        </w:rPr>
        <w:t xml:space="preserve">later realised in the 1930s, </w:t>
      </w:r>
      <w:r w:rsidRPr="001B6FE5">
        <w:rPr>
          <w:rFonts w:ascii="Arial Narrow" w:eastAsia="Times New Roman" w:hAnsi="Arial Narrow" w:cs="Arial"/>
          <w:szCs w:val="24"/>
        </w:rPr>
        <w:t xml:space="preserve">by Henlein and his </w:t>
      </w:r>
      <w:r w:rsidRPr="001B6FE5">
        <w:rPr>
          <w:rFonts w:ascii="Arial Narrow" w:eastAsia="Times New Roman" w:hAnsi="Arial Narrow" w:cs="Arial"/>
          <w:i/>
          <w:szCs w:val="24"/>
        </w:rPr>
        <w:t>Sudetendeutsch</w:t>
      </w:r>
      <w:r w:rsidRPr="001B6FE5">
        <w:rPr>
          <w:rFonts w:ascii="Arial Narrow" w:eastAsia="Times New Roman" w:hAnsi="Arial Narrow" w:cs="Arial"/>
          <w:szCs w:val="24"/>
        </w:rPr>
        <w:t>.</w:t>
      </w:r>
      <w:r w:rsidRPr="001B6FE5">
        <w:rPr>
          <w:rFonts w:ascii="Arial Narrow" w:eastAsia="Times New Roman" w:hAnsi="Arial Narrow" w:cs="Arial"/>
          <w:szCs w:val="24"/>
          <w:vertAlign w:val="superscript"/>
        </w:rPr>
        <w:footnoteReference w:id="89"/>
      </w:r>
      <w:r w:rsidRPr="001B6FE5">
        <w:rPr>
          <w:rFonts w:ascii="Arial Narrow" w:eastAsia="Times New Roman" w:hAnsi="Arial Narrow" w:cs="Arial"/>
          <w:szCs w:val="24"/>
        </w:rPr>
        <w:t xml:space="preserve"> It was the German</w:t>
      </w:r>
      <w:r w:rsidR="00A1591A">
        <w:rPr>
          <w:rFonts w:ascii="Arial Narrow" w:eastAsia="Times New Roman" w:hAnsi="Arial Narrow" w:cs="Arial"/>
          <w:i/>
          <w:iCs/>
          <w:szCs w:val="24"/>
        </w:rPr>
        <w:t xml:space="preserve"> V</w:t>
      </w:r>
      <w:r w:rsidR="00A1591A" w:rsidRPr="00A1591A">
        <w:rPr>
          <w:rFonts w:ascii="Arial Narrow" w:eastAsia="Times New Roman" w:hAnsi="Arial Narrow" w:cs="Arial"/>
          <w:i/>
          <w:iCs/>
          <w:szCs w:val="24"/>
          <w:lang w:val="en"/>
        </w:rPr>
        <w:t>ö</w:t>
      </w:r>
      <w:r w:rsidRPr="001B6FE5">
        <w:rPr>
          <w:rFonts w:ascii="Arial Narrow" w:eastAsia="Times New Roman" w:hAnsi="Arial Narrow" w:cs="Arial"/>
          <w:i/>
          <w:iCs/>
          <w:szCs w:val="24"/>
        </w:rPr>
        <w:t xml:space="preserve">lksdeutsche </w:t>
      </w:r>
      <w:r w:rsidRPr="001B6FE5">
        <w:rPr>
          <w:rFonts w:ascii="Arial Narrow" w:eastAsia="Times New Roman" w:hAnsi="Arial Narrow" w:cs="Arial"/>
          <w:iCs/>
          <w:szCs w:val="24"/>
        </w:rPr>
        <w:t>in the Polish provinces of Pomorze, Poznania, Lodz and Upper Sil</w:t>
      </w:r>
      <w:r w:rsidR="00A02344">
        <w:rPr>
          <w:rFonts w:ascii="Arial Narrow" w:eastAsia="Times New Roman" w:hAnsi="Arial Narrow" w:cs="Arial"/>
          <w:iCs/>
          <w:szCs w:val="24"/>
        </w:rPr>
        <w:t xml:space="preserve">esia to which many revisionists, however, </w:t>
      </w:r>
      <w:r w:rsidRPr="001B6FE5">
        <w:rPr>
          <w:rFonts w:ascii="Arial Narrow" w:eastAsia="Times New Roman" w:hAnsi="Arial Narrow" w:cs="Arial"/>
          <w:iCs/>
          <w:szCs w:val="24"/>
        </w:rPr>
        <w:t>looked both ‘externally’ as Germans and ‘internally’ as Poles. Within Pomorze for example, situated in north-western Poland and re</w:t>
      </w:r>
      <w:r w:rsidR="00A02344">
        <w:rPr>
          <w:rFonts w:ascii="Arial Narrow" w:eastAsia="Times New Roman" w:hAnsi="Arial Narrow" w:cs="Arial"/>
          <w:iCs/>
          <w:szCs w:val="24"/>
        </w:rPr>
        <w:t xml:space="preserve">ferred to as the ‘Corridor’, </w:t>
      </w:r>
      <w:r w:rsidRPr="001B6FE5">
        <w:rPr>
          <w:rFonts w:ascii="Arial Narrow" w:eastAsia="Times New Roman" w:hAnsi="Arial Narrow" w:cs="Arial"/>
          <w:iCs/>
          <w:szCs w:val="24"/>
        </w:rPr>
        <w:t xml:space="preserve">there were still 175,771 </w:t>
      </w:r>
      <w:r w:rsidR="00D90F37">
        <w:rPr>
          <w:rFonts w:ascii="Arial Narrow" w:eastAsia="Times New Roman" w:hAnsi="Arial Narrow" w:cs="Arial"/>
          <w:i/>
          <w:iCs/>
          <w:szCs w:val="24"/>
        </w:rPr>
        <w:t>V</w:t>
      </w:r>
      <w:r w:rsidR="00D90F37" w:rsidRPr="00D90F37">
        <w:rPr>
          <w:rFonts w:ascii="Arial Narrow" w:eastAsia="Times New Roman" w:hAnsi="Arial Narrow" w:cs="Arial"/>
          <w:i/>
          <w:iCs/>
          <w:szCs w:val="24"/>
          <w:lang w:val="en"/>
        </w:rPr>
        <w:t>ö</w:t>
      </w:r>
      <w:r w:rsidRPr="001B6FE5">
        <w:rPr>
          <w:rFonts w:ascii="Arial Narrow" w:eastAsia="Times New Roman" w:hAnsi="Arial Narrow" w:cs="Arial"/>
          <w:i/>
          <w:iCs/>
          <w:szCs w:val="24"/>
        </w:rPr>
        <w:t>lksdeutsche</w:t>
      </w:r>
      <w:r w:rsidR="0084281F" w:rsidRPr="0084281F">
        <w:rPr>
          <w:rFonts w:ascii="Arial Narrow" w:eastAsia="Times New Roman" w:hAnsi="Arial Narrow" w:cs="Arial"/>
          <w:iCs/>
          <w:szCs w:val="24"/>
        </w:rPr>
        <w:t xml:space="preserve"> </w:t>
      </w:r>
      <w:r w:rsidR="0084281F">
        <w:rPr>
          <w:rFonts w:ascii="Arial Narrow" w:eastAsia="Times New Roman" w:hAnsi="Arial Narrow" w:cs="Arial"/>
          <w:iCs/>
          <w:szCs w:val="24"/>
        </w:rPr>
        <w:t>in 1921,</w:t>
      </w:r>
      <w:r w:rsidRPr="001B6FE5">
        <w:rPr>
          <w:rFonts w:ascii="Arial Narrow" w:eastAsia="Times New Roman" w:hAnsi="Arial Narrow" w:cs="Arial"/>
          <w:iCs/>
          <w:szCs w:val="24"/>
        </w:rPr>
        <w:t xml:space="preserve"> (as opposed to </w:t>
      </w:r>
      <w:r w:rsidRPr="001B6FE5">
        <w:rPr>
          <w:rFonts w:ascii="Arial Narrow" w:eastAsia="Times New Roman" w:hAnsi="Arial Narrow" w:cs="Arial"/>
          <w:i/>
          <w:iCs/>
          <w:szCs w:val="24"/>
        </w:rPr>
        <w:t>Reichsdeutsche</w:t>
      </w:r>
      <w:r w:rsidRPr="001B6FE5">
        <w:rPr>
          <w:rFonts w:ascii="Arial Narrow" w:eastAsia="Times New Roman" w:hAnsi="Arial Narrow" w:cs="Arial"/>
          <w:iCs/>
          <w:szCs w:val="24"/>
        </w:rPr>
        <w:t xml:space="preserve"> or “Germans of the Realm”) accounting for nineteen per cent of the population.</w:t>
      </w:r>
      <w:r w:rsidRPr="001B6FE5">
        <w:rPr>
          <w:rFonts w:ascii="Arial Narrow" w:eastAsia="Times New Roman" w:hAnsi="Arial Narrow" w:cs="Arial"/>
          <w:iCs/>
          <w:szCs w:val="24"/>
          <w:vertAlign w:val="superscript"/>
        </w:rPr>
        <w:footnoteReference w:id="90"/>
      </w:r>
      <w:r w:rsidRPr="001B6FE5">
        <w:rPr>
          <w:rFonts w:ascii="Arial Narrow" w:eastAsia="Times New Roman" w:hAnsi="Arial Narrow" w:cs="Arial"/>
          <w:iCs/>
          <w:szCs w:val="24"/>
        </w:rPr>
        <w:t xml:space="preserve"> Under the Minorities Protection Treaty (1919) the League Council and the World Court were to ‘examine infractions’ or ‘adjudicate disputes’ respectively, and all the new or expanded states were ‘forced’ to sign. </w:t>
      </w:r>
      <w:r w:rsidRPr="001B6FE5">
        <w:rPr>
          <w:rFonts w:ascii="Arial Narrow" w:eastAsia="Times New Roman" w:hAnsi="Arial Narrow" w:cs="Arial"/>
          <w:iCs/>
          <w:szCs w:val="24"/>
          <w:vertAlign w:val="superscript"/>
        </w:rPr>
        <w:footnoteReference w:id="91"/>
      </w:r>
      <w:r w:rsidRPr="001B6FE5">
        <w:rPr>
          <w:rFonts w:ascii="Arial Narrow" w:eastAsia="Times New Roman" w:hAnsi="Arial Narrow" w:cs="Arial"/>
          <w:iCs/>
          <w:szCs w:val="24"/>
        </w:rPr>
        <w:t xml:space="preserve"> Under the Versailles Treaty, nationals of new states born within the successor state were entitled to acquire citizenship, along with those who had resided in the new ceded territory since 1908. Many Germans, as well as other national groups throughout east-Central Europe, opted to take up their new </w:t>
      </w:r>
      <w:r w:rsidRPr="001B6FE5">
        <w:rPr>
          <w:rFonts w:ascii="Arial Narrow" w:eastAsia="Times New Roman" w:hAnsi="Arial Narrow" w:cs="Arial"/>
          <w:i/>
          <w:iCs/>
          <w:szCs w:val="24"/>
        </w:rPr>
        <w:t>citizenship</w:t>
      </w:r>
      <w:r w:rsidRPr="001B6FE5">
        <w:rPr>
          <w:rFonts w:ascii="Arial Narrow" w:eastAsia="Times New Roman" w:hAnsi="Arial Narrow" w:cs="Arial"/>
          <w:iCs/>
          <w:szCs w:val="24"/>
        </w:rPr>
        <w:t xml:space="preserve"> but there was an explicitly understood difference between legal membership of the state and ‘ethnocultural membership of the nation.’</w:t>
      </w:r>
      <w:r w:rsidRPr="001B6FE5">
        <w:rPr>
          <w:rFonts w:ascii="Arial Narrow" w:eastAsia="Times New Roman" w:hAnsi="Arial Narrow" w:cs="Arial"/>
          <w:iCs/>
          <w:szCs w:val="24"/>
          <w:vertAlign w:val="superscript"/>
        </w:rPr>
        <w:footnoteReference w:id="92"/>
      </w:r>
      <w:r w:rsidRPr="001B6FE5">
        <w:rPr>
          <w:rFonts w:ascii="Arial Narrow" w:eastAsia="Times New Roman" w:hAnsi="Arial Narrow" w:cs="Arial"/>
          <w:iCs/>
          <w:szCs w:val="24"/>
        </w:rPr>
        <w:t xml:space="preserve"> This differentiation in which boundaries were largely ignored within a persons ‘own-self’, caused </w:t>
      </w:r>
      <w:r w:rsidRPr="001B6FE5">
        <w:rPr>
          <w:rFonts w:ascii="Arial Narrow" w:eastAsia="Times New Roman" w:hAnsi="Arial Narrow" w:cs="Arial"/>
          <w:iCs/>
          <w:szCs w:val="24"/>
        </w:rPr>
        <w:lastRenderedPageBreak/>
        <w:t>an endless succession of problems in the “shatter zone”, prompting a Br</w:t>
      </w:r>
      <w:r w:rsidR="001740B8">
        <w:rPr>
          <w:rFonts w:ascii="Arial Narrow" w:eastAsia="Times New Roman" w:hAnsi="Arial Narrow" w:cs="Arial"/>
          <w:iCs/>
          <w:szCs w:val="24"/>
        </w:rPr>
        <w:t>azilian diplomat working for the League to characterize Poland as his “best client” and the chief testing g</w:t>
      </w:r>
      <w:r w:rsidR="00B613EE">
        <w:rPr>
          <w:rFonts w:ascii="Arial Narrow" w:eastAsia="Times New Roman" w:hAnsi="Arial Narrow" w:cs="Arial"/>
          <w:iCs/>
          <w:szCs w:val="24"/>
        </w:rPr>
        <w:t>round for the internationally sanctioned protection of minorities.’</w:t>
      </w:r>
      <w:r w:rsidR="00B613EE">
        <w:rPr>
          <w:rStyle w:val="FootnoteReference"/>
          <w:rFonts w:ascii="Arial Narrow" w:eastAsia="Times New Roman" w:hAnsi="Arial Narrow" w:cs="Arial"/>
          <w:iCs/>
          <w:szCs w:val="24"/>
        </w:rPr>
        <w:footnoteReference w:id="93"/>
      </w:r>
    </w:p>
    <w:p w:rsidR="00273DD8" w:rsidRPr="001B6FE5" w:rsidRDefault="00273DD8" w:rsidP="003D2CE4">
      <w:pPr>
        <w:keepNext/>
        <w:tabs>
          <w:tab w:val="left" w:pos="180"/>
        </w:tabs>
        <w:spacing w:after="0" w:line="480" w:lineRule="auto"/>
        <w:jc w:val="both"/>
        <w:rPr>
          <w:rFonts w:ascii="Arial Narrow" w:eastAsia="Times New Roman" w:hAnsi="Arial Narrow" w:cs="Arial"/>
          <w:szCs w:val="24"/>
        </w:rPr>
      </w:pPr>
      <w:r w:rsidRPr="001B6FE5">
        <w:rPr>
          <w:rFonts w:ascii="Arial Narrow" w:eastAsia="Times New Roman" w:hAnsi="Arial Narrow" w:cs="Arial"/>
          <w:iCs/>
          <w:noProof/>
          <w:szCs w:val="24"/>
          <w:lang w:eastAsia="en-GB"/>
        </w:rPr>
        <w:drawing>
          <wp:inline distT="0" distB="0" distL="0" distR="0" wp14:anchorId="58F8032F" wp14:editId="3D9F195C">
            <wp:extent cx="5476875" cy="5114925"/>
            <wp:effectExtent l="0" t="0" r="9525" b="9525"/>
            <wp:docPr id="12" name="Picture 12" descr="759px-Volksdeuts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759px-Volksdeutsch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76875" cy="5114925"/>
                    </a:xfrm>
                    <a:prstGeom prst="rect">
                      <a:avLst/>
                    </a:prstGeom>
                    <a:noFill/>
                    <a:ln>
                      <a:noFill/>
                    </a:ln>
                  </pic:spPr>
                </pic:pic>
              </a:graphicData>
            </a:graphic>
          </wp:inline>
        </w:drawing>
      </w:r>
    </w:p>
    <w:p w:rsidR="00273DD8" w:rsidRPr="001B6FE5" w:rsidRDefault="00F449EA" w:rsidP="003D2CE4">
      <w:pPr>
        <w:spacing w:after="0" w:line="240" w:lineRule="auto"/>
        <w:jc w:val="both"/>
        <w:rPr>
          <w:rFonts w:ascii="Arial Narrow" w:eastAsia="Times New Roman" w:hAnsi="Arial Narrow" w:cs="Arial"/>
          <w:b/>
          <w:bCs/>
          <w:iCs/>
          <w:szCs w:val="24"/>
        </w:rPr>
      </w:pPr>
      <w:r>
        <w:rPr>
          <w:rFonts w:ascii="Arial Narrow" w:eastAsia="Times New Roman" w:hAnsi="Arial Narrow" w:cs="Arial"/>
          <w:b/>
          <w:bCs/>
          <w:szCs w:val="24"/>
        </w:rPr>
        <w:t>Fig. 12 The V</w:t>
      </w:r>
      <w:r w:rsidRPr="00F449EA">
        <w:rPr>
          <w:rFonts w:ascii="Arial Narrow" w:eastAsia="Times New Roman" w:hAnsi="Arial Narrow" w:cs="Arial"/>
          <w:b/>
          <w:bCs/>
          <w:i/>
          <w:iCs/>
          <w:szCs w:val="24"/>
          <w:lang w:val="en"/>
        </w:rPr>
        <w:t>ö</w:t>
      </w:r>
      <w:r w:rsidR="00273DD8" w:rsidRPr="001B6FE5">
        <w:rPr>
          <w:rFonts w:ascii="Arial Narrow" w:eastAsia="Times New Roman" w:hAnsi="Arial Narrow" w:cs="Arial"/>
          <w:b/>
          <w:bCs/>
          <w:szCs w:val="24"/>
        </w:rPr>
        <w:t>l</w:t>
      </w:r>
      <w:r>
        <w:rPr>
          <w:rFonts w:ascii="Arial Narrow" w:eastAsia="Times New Roman" w:hAnsi="Arial Narrow" w:cs="Arial"/>
          <w:b/>
          <w:bCs/>
          <w:szCs w:val="24"/>
        </w:rPr>
        <w:t xml:space="preserve">ksdeutsch and their’ </w:t>
      </w:r>
      <w:r w:rsidRPr="00F449EA">
        <w:rPr>
          <w:rFonts w:ascii="Arial Narrow" w:eastAsia="Times New Roman" w:hAnsi="Arial Narrow" w:cs="Arial"/>
          <w:b/>
          <w:bCs/>
          <w:i/>
          <w:szCs w:val="24"/>
        </w:rPr>
        <w:t>Drang Nach O</w:t>
      </w:r>
      <w:r w:rsidR="00273DD8" w:rsidRPr="00F449EA">
        <w:rPr>
          <w:rFonts w:ascii="Arial Narrow" w:eastAsia="Times New Roman" w:hAnsi="Arial Narrow" w:cs="Arial"/>
          <w:b/>
          <w:bCs/>
          <w:i/>
          <w:szCs w:val="24"/>
        </w:rPr>
        <w:t>sten</w:t>
      </w:r>
      <w:r w:rsidRPr="00F449EA">
        <w:rPr>
          <w:rFonts w:ascii="Arial Narrow" w:eastAsia="Times New Roman" w:hAnsi="Arial Narrow" w:cs="Arial"/>
          <w:b/>
          <w:bCs/>
          <w:i/>
          <w:szCs w:val="24"/>
        </w:rPr>
        <w:t>’</w:t>
      </w:r>
      <w:r>
        <w:rPr>
          <w:rFonts w:ascii="Arial Narrow" w:eastAsia="Times New Roman" w:hAnsi="Arial Narrow" w:cs="Arial"/>
          <w:b/>
          <w:bCs/>
          <w:szCs w:val="24"/>
        </w:rPr>
        <w:t>,</w:t>
      </w:r>
      <w:r w:rsidR="00273DD8" w:rsidRPr="001B6FE5">
        <w:rPr>
          <w:rFonts w:ascii="Arial Narrow" w:eastAsia="Times New Roman" w:hAnsi="Arial Narrow" w:cs="Arial"/>
          <w:b/>
          <w:bCs/>
          <w:szCs w:val="24"/>
        </w:rPr>
        <w:t xml:space="preserve"> with ‘colonies’ shown in red. Note the spread along the Baltic coast and al</w:t>
      </w:r>
      <w:r w:rsidR="009F7C31">
        <w:rPr>
          <w:rFonts w:ascii="Arial Narrow" w:eastAsia="Times New Roman" w:hAnsi="Arial Narrow" w:cs="Arial"/>
          <w:b/>
          <w:bCs/>
          <w:szCs w:val="24"/>
        </w:rPr>
        <w:t xml:space="preserve">so </w:t>
      </w:r>
      <w:r w:rsidR="00273DD8" w:rsidRPr="001B6FE5">
        <w:rPr>
          <w:rFonts w:ascii="Arial Narrow" w:eastAsia="Times New Roman" w:hAnsi="Arial Narrow" w:cs="Arial"/>
          <w:b/>
          <w:bCs/>
          <w:szCs w:val="24"/>
        </w:rPr>
        <w:t xml:space="preserve">the Oder and Danube valleys. </w:t>
      </w:r>
    </w:p>
    <w:p w:rsidR="001740B8" w:rsidRDefault="001740B8" w:rsidP="003D2CE4">
      <w:pPr>
        <w:tabs>
          <w:tab w:val="left" w:pos="180"/>
        </w:tabs>
        <w:spacing w:after="0" w:line="480" w:lineRule="auto"/>
        <w:jc w:val="both"/>
        <w:rPr>
          <w:rFonts w:ascii="Arial Narrow" w:eastAsia="Times New Roman" w:hAnsi="Arial Narrow" w:cs="Arial"/>
          <w:iCs/>
          <w:szCs w:val="24"/>
        </w:rPr>
      </w:pPr>
    </w:p>
    <w:p w:rsidR="008D4CD6" w:rsidRDefault="00273DD8" w:rsidP="003D2CE4">
      <w:pPr>
        <w:tabs>
          <w:tab w:val="left" w:pos="180"/>
        </w:tabs>
        <w:spacing w:after="0" w:line="480" w:lineRule="auto"/>
        <w:jc w:val="both"/>
        <w:rPr>
          <w:rFonts w:ascii="Arial Narrow" w:eastAsia="Times New Roman" w:hAnsi="Arial Narrow" w:cs="Arial"/>
          <w:iCs/>
          <w:szCs w:val="24"/>
        </w:rPr>
      </w:pP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Pr="001B6FE5">
        <w:rPr>
          <w:rFonts w:ascii="Arial Narrow" w:eastAsia="Times New Roman" w:hAnsi="Arial Narrow" w:cs="Arial"/>
          <w:iCs/>
          <w:szCs w:val="24"/>
        </w:rPr>
        <w:tab/>
      </w:r>
    </w:p>
    <w:p w:rsidR="00273DD8" w:rsidRPr="001740B8" w:rsidRDefault="008D4CD6" w:rsidP="003D2CE4">
      <w:pPr>
        <w:tabs>
          <w:tab w:val="left" w:pos="180"/>
        </w:tabs>
        <w:spacing w:after="0" w:line="480" w:lineRule="auto"/>
        <w:jc w:val="both"/>
        <w:rPr>
          <w:rFonts w:ascii="Arial Narrow" w:eastAsia="Times New Roman" w:hAnsi="Arial Narrow" w:cs="Arial"/>
          <w:iCs/>
          <w:szCs w:val="24"/>
        </w:rPr>
      </w:pPr>
      <w:r>
        <w:rPr>
          <w:rFonts w:ascii="Arial Narrow" w:eastAsia="Times New Roman" w:hAnsi="Arial Narrow" w:cs="Arial"/>
          <w:iCs/>
          <w:szCs w:val="24"/>
        </w:rPr>
        <w:lastRenderedPageBreak/>
        <w:tab/>
      </w:r>
      <w:r>
        <w:rPr>
          <w:rFonts w:ascii="Arial Narrow" w:eastAsia="Times New Roman" w:hAnsi="Arial Narrow" w:cs="Arial"/>
          <w:iCs/>
          <w:szCs w:val="24"/>
        </w:rPr>
        <w:tab/>
      </w:r>
      <w:r>
        <w:rPr>
          <w:rFonts w:ascii="Arial Narrow" w:eastAsia="Times New Roman" w:hAnsi="Arial Narrow" w:cs="Arial"/>
          <w:iCs/>
          <w:szCs w:val="24"/>
        </w:rPr>
        <w:tab/>
      </w:r>
      <w:r>
        <w:rPr>
          <w:rFonts w:ascii="Arial Narrow" w:eastAsia="Times New Roman" w:hAnsi="Arial Narrow" w:cs="Arial"/>
          <w:iCs/>
          <w:szCs w:val="24"/>
        </w:rPr>
        <w:tab/>
      </w:r>
      <w:r>
        <w:rPr>
          <w:rFonts w:ascii="Arial Narrow" w:eastAsia="Times New Roman" w:hAnsi="Arial Narrow" w:cs="Arial"/>
          <w:iCs/>
          <w:szCs w:val="24"/>
        </w:rPr>
        <w:tab/>
      </w:r>
      <w:r>
        <w:rPr>
          <w:rFonts w:ascii="Arial Narrow" w:eastAsia="Times New Roman" w:hAnsi="Arial Narrow" w:cs="Arial"/>
          <w:iCs/>
          <w:szCs w:val="24"/>
        </w:rPr>
        <w:tab/>
      </w:r>
      <w:r w:rsidR="00273DD8" w:rsidRPr="00D65758">
        <w:rPr>
          <w:rFonts w:ascii="Times New Roman" w:eastAsia="Times New Roman" w:hAnsi="Times New Roman" w:cs="Times New Roman"/>
          <w:b/>
          <w:szCs w:val="24"/>
        </w:rPr>
        <w:t>III</w:t>
      </w:r>
    </w:p>
    <w:p w:rsidR="00273DD8" w:rsidRPr="001B6FE5" w:rsidRDefault="002A2FAA" w:rsidP="003D2CE4">
      <w:pPr>
        <w:tabs>
          <w:tab w:val="left" w:pos="180"/>
        </w:tabs>
        <w:spacing w:after="0" w:line="480" w:lineRule="auto"/>
        <w:jc w:val="both"/>
        <w:rPr>
          <w:rFonts w:ascii="Arial Narrow" w:eastAsia="Times New Roman" w:hAnsi="Arial Narrow" w:cs="Arial"/>
          <w:b/>
          <w:szCs w:val="24"/>
          <w:u w:val="single"/>
        </w:rPr>
      </w:pP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00273DD8" w:rsidRPr="001B6FE5">
        <w:rPr>
          <w:rFonts w:ascii="Arial Narrow" w:eastAsia="Times New Roman" w:hAnsi="Arial Narrow" w:cs="Arial"/>
          <w:b/>
          <w:szCs w:val="24"/>
        </w:rPr>
        <w:t xml:space="preserve">  </w:t>
      </w:r>
      <w:r w:rsidR="00E71752">
        <w:rPr>
          <w:rFonts w:ascii="Arial Narrow" w:eastAsia="Times New Roman" w:hAnsi="Arial Narrow" w:cs="Arial"/>
          <w:b/>
          <w:szCs w:val="24"/>
        </w:rPr>
        <w:t xml:space="preserve">         </w:t>
      </w:r>
      <w:r w:rsidR="00273DD8" w:rsidRPr="001B6FE5">
        <w:rPr>
          <w:rFonts w:ascii="Arial Narrow" w:eastAsia="Times New Roman" w:hAnsi="Arial Narrow" w:cs="Arial"/>
          <w:b/>
          <w:szCs w:val="24"/>
          <w:u w:val="single"/>
        </w:rPr>
        <w:t xml:space="preserve">Minorities in transit: new identity infrastructure. </w:t>
      </w:r>
    </w:p>
    <w:p w:rsidR="00D65758" w:rsidRDefault="00273DD8" w:rsidP="003D2CE4">
      <w:pPr>
        <w:tabs>
          <w:tab w:val="left" w:pos="180"/>
        </w:tabs>
        <w:spacing w:after="0" w:line="480" w:lineRule="auto"/>
        <w:jc w:val="both"/>
        <w:rPr>
          <w:rFonts w:ascii="Arial Narrow" w:eastAsia="Times New Roman" w:hAnsi="Arial Narrow" w:cs="Arial"/>
          <w:iCs/>
          <w:szCs w:val="24"/>
        </w:rPr>
      </w:pP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00E71752">
        <w:rPr>
          <w:rFonts w:ascii="Arial Narrow" w:eastAsia="Times New Roman" w:hAnsi="Arial Narrow" w:cs="Arial"/>
          <w:iCs/>
          <w:szCs w:val="24"/>
        </w:rPr>
        <w:t xml:space="preserve">This chapter will concentrate upon the fluidity extant in the peasant/Jewish relationships along the equally mobile Soviet – Polish border, </w:t>
      </w:r>
      <w:r w:rsidR="00B655D7">
        <w:rPr>
          <w:rFonts w:ascii="Arial Narrow" w:eastAsia="Times New Roman" w:hAnsi="Arial Narrow" w:cs="Arial"/>
          <w:iCs/>
          <w:szCs w:val="24"/>
        </w:rPr>
        <w:t xml:space="preserve">whilst examining contiguous nations such as Romania, and their own particularist understanding of both modernity and the ‘Other.’  </w:t>
      </w:r>
      <w:r w:rsidRPr="001B6FE5">
        <w:rPr>
          <w:rFonts w:ascii="Arial Narrow" w:eastAsia="Times New Roman" w:hAnsi="Arial Narrow" w:cs="Arial"/>
          <w:iCs/>
          <w:szCs w:val="24"/>
        </w:rPr>
        <w:t xml:space="preserve">The millennium-long eastward movement or </w:t>
      </w:r>
      <w:r w:rsidR="00D90167">
        <w:rPr>
          <w:rFonts w:ascii="Arial Narrow" w:eastAsia="Times New Roman" w:hAnsi="Arial Narrow" w:cs="Arial"/>
          <w:i/>
          <w:iCs/>
          <w:szCs w:val="24"/>
        </w:rPr>
        <w:t>V</w:t>
      </w:r>
      <w:r w:rsidR="00D90167" w:rsidRPr="00D90167">
        <w:rPr>
          <w:rFonts w:ascii="Arial Narrow" w:eastAsia="Times New Roman" w:hAnsi="Arial Narrow" w:cs="Arial"/>
          <w:i/>
          <w:iCs/>
          <w:szCs w:val="24"/>
          <w:lang w:val="en"/>
        </w:rPr>
        <w:t>ö</w:t>
      </w:r>
      <w:r w:rsidRPr="001B6FE5">
        <w:rPr>
          <w:rFonts w:ascii="Arial Narrow" w:eastAsia="Times New Roman" w:hAnsi="Arial Narrow" w:cs="Arial"/>
          <w:i/>
          <w:iCs/>
          <w:szCs w:val="24"/>
        </w:rPr>
        <w:t>lkwanderung</w:t>
      </w:r>
      <w:r w:rsidRPr="001B6FE5">
        <w:rPr>
          <w:rFonts w:ascii="Arial Narrow" w:eastAsia="Times New Roman" w:hAnsi="Arial Narrow" w:cs="Arial"/>
          <w:iCs/>
          <w:szCs w:val="24"/>
        </w:rPr>
        <w:t xml:space="preserve"> of Germany’s ‘peasant, burgher, miner, monk, and soldier…and the political achievements of Frederick the Great and…Bismarck’ had ceased.</w:t>
      </w:r>
      <w:r w:rsidRPr="001B6FE5">
        <w:rPr>
          <w:rFonts w:ascii="Arial Narrow" w:eastAsia="Times New Roman" w:hAnsi="Arial Narrow" w:cs="Arial"/>
          <w:iCs/>
          <w:szCs w:val="24"/>
          <w:vertAlign w:val="superscript"/>
        </w:rPr>
        <w:footnoteReference w:id="94"/>
      </w:r>
      <w:r w:rsidRPr="001B6FE5">
        <w:rPr>
          <w:rFonts w:ascii="Arial Narrow" w:eastAsia="Times New Roman" w:hAnsi="Arial Narrow" w:cs="Arial"/>
          <w:iCs/>
          <w:szCs w:val="24"/>
        </w:rPr>
        <w:t xml:space="preserve"> Poland fought its way to a draw and an effective ‘ceasefire line’ to the east of the ‘Curzon Line’ (1923). (Fig. 13) Whilst the Poles sought to consolidate and dissimilate under President Grabski, utilizing land reforms (common enough throughout east-Central Europe) by expropriating in particular from alien German landlords in Western Poland - thereby ‘nationalizing’ their new state - they concurrently attempted assimilation (where force had failed) towards other ethnic groups. To be sure, the </w:t>
      </w:r>
      <w:r w:rsidR="00D90167">
        <w:rPr>
          <w:rFonts w:ascii="Arial Narrow" w:eastAsia="Times New Roman" w:hAnsi="Arial Narrow" w:cs="Arial"/>
          <w:i/>
          <w:iCs/>
          <w:szCs w:val="24"/>
        </w:rPr>
        <w:t>V</w:t>
      </w:r>
      <w:r w:rsidR="00D90167" w:rsidRPr="00D90167">
        <w:rPr>
          <w:rFonts w:ascii="Arial Narrow" w:eastAsia="Times New Roman" w:hAnsi="Arial Narrow" w:cs="Arial"/>
          <w:i/>
          <w:iCs/>
          <w:szCs w:val="24"/>
          <w:lang w:val="en"/>
        </w:rPr>
        <w:t>ö</w:t>
      </w:r>
      <w:r w:rsidRPr="001B6FE5">
        <w:rPr>
          <w:rFonts w:ascii="Arial Narrow" w:eastAsia="Times New Roman" w:hAnsi="Arial Narrow" w:cs="Arial"/>
          <w:i/>
          <w:iCs/>
          <w:szCs w:val="24"/>
        </w:rPr>
        <w:t>lksdeutsche</w:t>
      </w:r>
      <w:r w:rsidRPr="001B6FE5">
        <w:rPr>
          <w:rFonts w:ascii="Arial Narrow" w:eastAsia="Times New Roman" w:hAnsi="Arial Narrow" w:cs="Arial"/>
          <w:iCs/>
          <w:szCs w:val="24"/>
        </w:rPr>
        <w:t xml:space="preserve"> still retained their own sense of </w:t>
      </w:r>
      <w:r w:rsidRPr="001B6FE5">
        <w:rPr>
          <w:rFonts w:ascii="Arial Narrow" w:eastAsia="Times New Roman" w:hAnsi="Arial Narrow" w:cs="Arial"/>
          <w:i/>
          <w:iCs/>
          <w:szCs w:val="24"/>
        </w:rPr>
        <w:t>Heimat</w:t>
      </w:r>
      <w:r w:rsidRPr="001B6FE5">
        <w:rPr>
          <w:rFonts w:ascii="Arial Narrow" w:eastAsia="Times New Roman" w:hAnsi="Arial Narrow" w:cs="Arial"/>
          <w:iCs/>
          <w:szCs w:val="24"/>
        </w:rPr>
        <w:t>, poetically contrasting ‘between the “new green of German industriousness” and the “swamps and marshes” of the Poles.’</w:t>
      </w:r>
      <w:r w:rsidRPr="001B6FE5">
        <w:rPr>
          <w:rFonts w:ascii="Arial Narrow" w:eastAsia="Times New Roman" w:hAnsi="Arial Narrow" w:cs="Arial"/>
          <w:iCs/>
          <w:szCs w:val="24"/>
          <w:vertAlign w:val="superscript"/>
        </w:rPr>
        <w:footnoteReference w:id="95"/>
      </w:r>
      <w:r w:rsidRPr="001B6FE5">
        <w:rPr>
          <w:rFonts w:ascii="Arial Narrow" w:eastAsia="Times New Roman" w:hAnsi="Arial Narrow" w:cs="Arial"/>
          <w:iCs/>
          <w:szCs w:val="24"/>
        </w:rPr>
        <w:t xml:space="preserve"> It was Friederich Ratzel who coined the much over-used term </w:t>
      </w:r>
      <w:r w:rsidRPr="001B6FE5">
        <w:rPr>
          <w:rFonts w:ascii="Arial Narrow" w:eastAsia="Times New Roman" w:hAnsi="Arial Narrow" w:cs="Arial"/>
          <w:i/>
          <w:iCs/>
          <w:szCs w:val="24"/>
        </w:rPr>
        <w:t>Lebensraum</w:t>
      </w:r>
      <w:r w:rsidRPr="001B6FE5">
        <w:rPr>
          <w:rFonts w:ascii="Arial Narrow" w:eastAsia="Times New Roman" w:hAnsi="Arial Narrow" w:cs="Arial"/>
          <w:iCs/>
          <w:szCs w:val="24"/>
        </w:rPr>
        <w:t xml:space="preserve">, as an expression of Germans’ fascination with the ‘American West’ and the ‘influence of geography on history.’ But by </w:t>
      </w:r>
      <w:smartTag w:uri="urn:schemas-microsoft-com:office:smarttags" w:element="metricconverter">
        <w:smartTagPr>
          <w:attr w:name="ProductID" w:val="1926 a"/>
        </w:smartTagPr>
        <w:r w:rsidRPr="001B6FE5">
          <w:rPr>
            <w:rFonts w:ascii="Arial Narrow" w:eastAsia="Times New Roman" w:hAnsi="Arial Narrow" w:cs="Arial"/>
            <w:iCs/>
            <w:szCs w:val="24"/>
          </w:rPr>
          <w:t>1926 a</w:t>
        </w:r>
      </w:smartTag>
      <w:r w:rsidRPr="001B6FE5">
        <w:rPr>
          <w:rFonts w:ascii="Arial Narrow" w:eastAsia="Times New Roman" w:hAnsi="Arial Narrow" w:cs="Arial"/>
          <w:iCs/>
          <w:szCs w:val="24"/>
        </w:rPr>
        <w:t xml:space="preserve"> more </w:t>
      </w:r>
      <w:r w:rsidR="00526A39">
        <w:rPr>
          <w:rFonts w:ascii="Arial Narrow" w:eastAsia="Times New Roman" w:hAnsi="Arial Narrow" w:cs="Arial"/>
          <w:i/>
          <w:iCs/>
          <w:szCs w:val="24"/>
        </w:rPr>
        <w:t>V</w:t>
      </w:r>
      <w:r w:rsidR="00526A39" w:rsidRPr="00526A39">
        <w:rPr>
          <w:rFonts w:ascii="Arial Narrow" w:eastAsia="Times New Roman" w:hAnsi="Arial Narrow" w:cs="Arial"/>
          <w:i/>
          <w:iCs/>
          <w:szCs w:val="24"/>
          <w:lang w:val="en"/>
        </w:rPr>
        <w:t>ö</w:t>
      </w:r>
      <w:r w:rsidRPr="001B6FE5">
        <w:rPr>
          <w:rFonts w:ascii="Arial Narrow" w:eastAsia="Times New Roman" w:hAnsi="Arial Narrow" w:cs="Arial"/>
          <w:i/>
          <w:iCs/>
          <w:szCs w:val="24"/>
        </w:rPr>
        <w:t>lkisch</w:t>
      </w:r>
      <w:r w:rsidRPr="001B6FE5">
        <w:rPr>
          <w:rFonts w:ascii="Arial Narrow" w:eastAsia="Times New Roman" w:hAnsi="Arial Narrow" w:cs="Arial"/>
          <w:iCs/>
          <w:szCs w:val="24"/>
        </w:rPr>
        <w:t xml:space="preserve"> concept had developed. German historians regarded </w:t>
      </w:r>
      <w:r w:rsidRPr="001B6FE5">
        <w:rPr>
          <w:rFonts w:ascii="Arial Narrow" w:eastAsia="Times New Roman" w:hAnsi="Arial Narrow" w:cs="Arial"/>
          <w:i/>
          <w:iCs/>
          <w:szCs w:val="24"/>
        </w:rPr>
        <w:t>German Settlement land in the East</w:t>
      </w:r>
      <w:r w:rsidRPr="001B6FE5">
        <w:rPr>
          <w:rFonts w:ascii="Arial Narrow" w:eastAsia="Times New Roman" w:hAnsi="Arial Narrow" w:cs="Arial"/>
          <w:iCs/>
          <w:szCs w:val="24"/>
        </w:rPr>
        <w:t xml:space="preserve"> as ‘the citizenship certificate of the German in the east, alongside ‘the laughing meadows and flourishing fields that they have wrested from a wild nature… [and] not a yellowing parchment.’</w:t>
      </w:r>
      <w:r w:rsidRPr="001B6FE5">
        <w:rPr>
          <w:rFonts w:ascii="Arial Narrow" w:eastAsia="Times New Roman" w:hAnsi="Arial Narrow" w:cs="Arial"/>
          <w:iCs/>
          <w:szCs w:val="24"/>
          <w:vertAlign w:val="superscript"/>
        </w:rPr>
        <w:footnoteReference w:id="96"/>
      </w:r>
      <w:r w:rsidRPr="001B6FE5">
        <w:rPr>
          <w:rFonts w:ascii="Arial Narrow" w:eastAsia="Times New Roman" w:hAnsi="Arial Narrow" w:cs="Arial"/>
          <w:iCs/>
          <w:szCs w:val="24"/>
        </w:rPr>
        <w:t xml:space="preserve"> Poland’s Jews however, were tentatively in the assimilationist camp and seen as potentially “available”. Dmowski favoured a non-expansionist, ethnically homogenous and enthusiastically Catholic Poland, admitting that despite </w:t>
      </w:r>
      <w:r w:rsidR="00206096">
        <w:rPr>
          <w:rFonts w:ascii="Arial Narrow" w:eastAsia="Times New Roman" w:hAnsi="Arial Narrow" w:cs="Arial"/>
          <w:iCs/>
          <w:szCs w:val="24"/>
        </w:rPr>
        <w:t>‘</w:t>
      </w:r>
      <w:r w:rsidRPr="001B6FE5">
        <w:rPr>
          <w:rFonts w:ascii="Arial Narrow" w:eastAsia="Times New Roman" w:hAnsi="Arial Narrow" w:cs="Arial"/>
          <w:iCs/>
          <w:szCs w:val="24"/>
        </w:rPr>
        <w:t>too much spoiling the soup</w:t>
      </w:r>
      <w:r w:rsidR="00206096">
        <w:rPr>
          <w:rFonts w:ascii="Arial Narrow" w:eastAsia="Times New Roman" w:hAnsi="Arial Narrow" w:cs="Arial"/>
          <w:iCs/>
          <w:szCs w:val="24"/>
        </w:rPr>
        <w:t xml:space="preserve">’, </w:t>
      </w:r>
      <w:r w:rsidRPr="001B6FE5">
        <w:rPr>
          <w:rFonts w:ascii="Arial Narrow" w:eastAsia="Times New Roman" w:hAnsi="Arial Narrow" w:cs="Arial"/>
          <w:iCs/>
          <w:szCs w:val="24"/>
        </w:rPr>
        <w:t xml:space="preserve">the Jews </w:t>
      </w:r>
      <w:r w:rsidR="00206096">
        <w:rPr>
          <w:rFonts w:ascii="Arial Narrow" w:eastAsia="Times New Roman" w:hAnsi="Arial Narrow" w:cs="Arial"/>
          <w:iCs/>
          <w:szCs w:val="24"/>
        </w:rPr>
        <w:t xml:space="preserve">were </w:t>
      </w:r>
      <w:r w:rsidRPr="001B6FE5">
        <w:rPr>
          <w:rFonts w:ascii="Arial Narrow" w:eastAsia="Times New Roman" w:hAnsi="Arial Narrow" w:cs="Arial"/>
          <w:iCs/>
          <w:szCs w:val="24"/>
        </w:rPr>
        <w:t>nonetheless ‘the salt of the earth’</w:t>
      </w:r>
      <w:r w:rsidR="00206096">
        <w:rPr>
          <w:rFonts w:ascii="Arial Narrow" w:eastAsia="Times New Roman" w:hAnsi="Arial Narrow" w:cs="Arial"/>
          <w:iCs/>
          <w:szCs w:val="24"/>
        </w:rPr>
        <w:t>;</w:t>
      </w:r>
      <w:r w:rsidRPr="001B6FE5">
        <w:rPr>
          <w:rFonts w:ascii="Arial Narrow" w:eastAsia="Times New Roman" w:hAnsi="Arial Narrow" w:cs="Arial"/>
          <w:iCs/>
          <w:szCs w:val="24"/>
        </w:rPr>
        <w:t xml:space="preserve"> therefore it was ‘necessary to court them.’</w:t>
      </w:r>
      <w:r w:rsidRPr="001B6FE5">
        <w:rPr>
          <w:rFonts w:ascii="Arial Narrow" w:eastAsia="Times New Roman" w:hAnsi="Arial Narrow" w:cs="Arial"/>
          <w:iCs/>
          <w:szCs w:val="24"/>
          <w:vertAlign w:val="superscript"/>
        </w:rPr>
        <w:footnoteReference w:id="97"/>
      </w:r>
      <w:r w:rsidRPr="001B6FE5">
        <w:rPr>
          <w:rFonts w:ascii="Arial Narrow" w:eastAsia="Times New Roman" w:hAnsi="Arial Narrow" w:cs="Arial"/>
          <w:iCs/>
          <w:szCs w:val="24"/>
        </w:rPr>
        <w:t xml:space="preserve"> Poland in 1921 contained 2,110,000 Jews, (and tellingly a further 707,404 Jews who gave their </w:t>
      </w:r>
      <w:r w:rsidRPr="001B6FE5">
        <w:rPr>
          <w:rFonts w:ascii="Arial Narrow" w:eastAsia="Times New Roman" w:hAnsi="Arial Narrow" w:cs="Arial"/>
          <w:iCs/>
          <w:szCs w:val="24"/>
        </w:rPr>
        <w:lastRenderedPageBreak/>
        <w:t>nationality as Polish) and though many were poor, substantial numbers held important positions within the economy, making systematic removal problematic. Dmowski along with other right-wing nationalists preferred to ‘tolerate the prime historical target of minority discrimination in order to expend most of their energies harassing their fellow Slavs.’</w:t>
      </w:r>
      <w:r w:rsidRPr="001B6FE5">
        <w:rPr>
          <w:rFonts w:ascii="Arial Narrow" w:eastAsia="Times New Roman" w:hAnsi="Arial Narrow" w:cs="Arial"/>
          <w:iCs/>
          <w:szCs w:val="24"/>
          <w:vertAlign w:val="superscript"/>
        </w:rPr>
        <w:footnoteReference w:id="98"/>
      </w:r>
      <w:r w:rsidRPr="001B6FE5">
        <w:rPr>
          <w:rFonts w:ascii="Arial Narrow" w:eastAsia="Times New Roman" w:hAnsi="Arial Narrow" w:cs="Arial"/>
          <w:iCs/>
          <w:szCs w:val="24"/>
        </w:rPr>
        <w:t xml:space="preserve"> The Jews themselves, a </w:t>
      </w:r>
      <w:r w:rsidR="00206096">
        <w:rPr>
          <w:rFonts w:ascii="Arial Narrow" w:eastAsia="Times New Roman" w:hAnsi="Arial Narrow" w:cs="Arial"/>
          <w:iCs/>
          <w:szCs w:val="24"/>
        </w:rPr>
        <w:t>large</w:t>
      </w:r>
      <w:r w:rsidRPr="001B6FE5">
        <w:rPr>
          <w:rFonts w:ascii="Arial Narrow" w:eastAsia="Times New Roman" w:hAnsi="Arial Narrow" w:cs="Arial"/>
          <w:iCs/>
          <w:szCs w:val="24"/>
        </w:rPr>
        <w:t xml:space="preserve"> number of whom belonged to the ‘crucial petty bourgeoisie’, lived largely in the main cities, and were ‘victims’ of a European-wide exaggeration and tendency, which equated anti-Bolshevism with anti-Semitism. This was t</w:t>
      </w:r>
      <w:r w:rsidR="00D65758">
        <w:rPr>
          <w:rFonts w:ascii="Arial Narrow" w:eastAsia="Times New Roman" w:hAnsi="Arial Narrow" w:cs="Arial"/>
          <w:iCs/>
          <w:szCs w:val="24"/>
        </w:rPr>
        <w:t xml:space="preserve">o become more ‘pronounced’ with </w:t>
      </w:r>
      <w:r w:rsidRPr="001B6FE5">
        <w:rPr>
          <w:rFonts w:ascii="Arial Narrow" w:eastAsia="Times New Roman" w:hAnsi="Arial Narrow" w:cs="Arial"/>
          <w:iCs/>
          <w:szCs w:val="24"/>
        </w:rPr>
        <w:t>the “regime of the colonels.”</w:t>
      </w:r>
      <w:r w:rsidRPr="001B6FE5">
        <w:rPr>
          <w:rFonts w:ascii="Arial Narrow" w:eastAsia="Times New Roman" w:hAnsi="Arial Narrow" w:cs="Arial"/>
          <w:iCs/>
          <w:szCs w:val="24"/>
          <w:vertAlign w:val="superscript"/>
        </w:rPr>
        <w:footnoteReference w:id="99"/>
      </w:r>
      <w:r w:rsidRPr="001B6FE5">
        <w:rPr>
          <w:rFonts w:ascii="Arial Narrow" w:eastAsia="Times New Roman" w:hAnsi="Arial Narrow" w:cs="Arial"/>
          <w:iCs/>
          <w:szCs w:val="24"/>
        </w:rPr>
        <w:t xml:space="preserve"> </w:t>
      </w:r>
    </w:p>
    <w:p w:rsidR="00273DD8" w:rsidRPr="001B6FE5" w:rsidRDefault="00C56336" w:rsidP="003D2CE4">
      <w:pPr>
        <w:tabs>
          <w:tab w:val="left" w:pos="180"/>
        </w:tabs>
        <w:spacing w:after="0" w:line="480" w:lineRule="auto"/>
        <w:jc w:val="both"/>
        <w:rPr>
          <w:rFonts w:ascii="Arial Narrow" w:eastAsia="Times New Roman" w:hAnsi="Arial Narrow" w:cs="Arial"/>
          <w:iCs/>
          <w:szCs w:val="24"/>
        </w:rPr>
      </w:pPr>
      <w:r>
        <w:rPr>
          <w:rFonts w:ascii="Arial Narrow" w:eastAsia="Times New Roman" w:hAnsi="Arial Narrow" w:cs="Arial"/>
          <w:iCs/>
          <w:noProof/>
          <w:szCs w:val="24"/>
          <w:lang w:eastAsia="en-GB"/>
        </w:rPr>
        <w:drawing>
          <wp:inline distT="0" distB="0" distL="0" distR="0" wp14:anchorId="1B9CBEDB" wp14:editId="6752A8A1">
            <wp:extent cx="5486400" cy="3142839"/>
            <wp:effectExtent l="0" t="0" r="0" b="635"/>
            <wp:docPr id="24" name="Picture 24" descr="C:\Documents and Settings\Gemma\Desktop\dissertation maps &amp; pics\Copy (2) of 20th century po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Gemma\Desktop\dissertation maps &amp; pics\Copy (2) of 20th century polan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3142839"/>
                    </a:xfrm>
                    <a:prstGeom prst="rect">
                      <a:avLst/>
                    </a:prstGeom>
                    <a:noFill/>
                    <a:ln>
                      <a:noFill/>
                    </a:ln>
                  </pic:spPr>
                </pic:pic>
              </a:graphicData>
            </a:graphic>
          </wp:inline>
        </w:drawing>
      </w:r>
    </w:p>
    <w:p w:rsidR="00273DD8" w:rsidRPr="001B6FE5" w:rsidRDefault="00273DD8" w:rsidP="003D2CE4">
      <w:pPr>
        <w:tabs>
          <w:tab w:val="left" w:pos="180"/>
        </w:tabs>
        <w:spacing w:after="0" w:line="480" w:lineRule="auto"/>
        <w:jc w:val="both"/>
        <w:rPr>
          <w:rFonts w:ascii="Arial Narrow" w:eastAsia="Times New Roman" w:hAnsi="Arial Narrow" w:cs="Arial"/>
          <w:iCs/>
          <w:szCs w:val="24"/>
        </w:rPr>
      </w:pPr>
      <w:r w:rsidRPr="001B6FE5">
        <w:rPr>
          <w:rFonts w:ascii="Arial Narrow" w:eastAsia="Times New Roman" w:hAnsi="Arial Narrow" w:cs="Arial"/>
          <w:b/>
          <w:iCs/>
          <w:szCs w:val="24"/>
        </w:rPr>
        <w:t>Fig. 13 The Ukrainian/Soviet-Polish interwar border (</w:t>
      </w:r>
      <w:r w:rsidR="00C56336">
        <w:rPr>
          <w:rFonts w:ascii="Arial Narrow" w:eastAsia="Times New Roman" w:hAnsi="Arial Narrow" w:cs="Arial"/>
          <w:b/>
          <w:iCs/>
          <w:szCs w:val="24"/>
        </w:rPr>
        <w:t>‘</w:t>
      </w:r>
      <w:r w:rsidRPr="001B6FE5">
        <w:rPr>
          <w:rFonts w:ascii="Arial Narrow" w:eastAsia="Times New Roman" w:hAnsi="Arial Narrow" w:cs="Arial"/>
          <w:b/>
          <w:iCs/>
          <w:szCs w:val="24"/>
        </w:rPr>
        <w:t>Curzon Line</w:t>
      </w:r>
      <w:r w:rsidR="00C56336">
        <w:rPr>
          <w:rFonts w:ascii="Arial Narrow" w:eastAsia="Times New Roman" w:hAnsi="Arial Narrow" w:cs="Arial"/>
          <w:b/>
          <w:iCs/>
          <w:szCs w:val="24"/>
        </w:rPr>
        <w:t>’</w:t>
      </w:r>
      <w:r w:rsidRPr="001B6FE5">
        <w:rPr>
          <w:rFonts w:ascii="Arial Narrow" w:eastAsia="Times New Roman" w:hAnsi="Arial Narrow" w:cs="Arial"/>
          <w:b/>
          <w:iCs/>
          <w:szCs w:val="24"/>
        </w:rPr>
        <w:t xml:space="preserve"> in blue). </w:t>
      </w:r>
    </w:p>
    <w:p w:rsidR="00273DD8" w:rsidRPr="001B6FE5" w:rsidRDefault="00C31B22" w:rsidP="003D2CE4">
      <w:pPr>
        <w:tabs>
          <w:tab w:val="left" w:pos="180"/>
        </w:tabs>
        <w:spacing w:after="0" w:line="480" w:lineRule="auto"/>
        <w:jc w:val="both"/>
        <w:rPr>
          <w:rFonts w:ascii="Arial Narrow" w:eastAsia="Times New Roman" w:hAnsi="Arial Narrow" w:cs="Arial"/>
          <w:iCs/>
          <w:szCs w:val="24"/>
        </w:rPr>
      </w:pPr>
      <w:r>
        <w:rPr>
          <w:rFonts w:ascii="Arial Narrow" w:eastAsia="Times New Roman" w:hAnsi="Arial Narrow" w:cs="Arial"/>
          <w:iCs/>
          <w:szCs w:val="24"/>
        </w:rPr>
        <w:tab/>
      </w:r>
      <w:r>
        <w:rPr>
          <w:rFonts w:ascii="Arial Narrow" w:eastAsia="Times New Roman" w:hAnsi="Arial Narrow" w:cs="Arial"/>
          <w:iCs/>
          <w:szCs w:val="24"/>
        </w:rPr>
        <w:tab/>
      </w:r>
      <w:r w:rsidR="00273DD8" w:rsidRPr="001B6FE5">
        <w:rPr>
          <w:rFonts w:ascii="Arial Narrow" w:eastAsia="Times New Roman" w:hAnsi="Arial Narrow" w:cs="Arial"/>
          <w:iCs/>
          <w:szCs w:val="24"/>
        </w:rPr>
        <w:t xml:space="preserve">Whilst in the first half of the twenties’ Soviet policy towards Poles in Ukraine consistently ensured that Polish villages who demanded, for </w:t>
      </w:r>
      <w:r w:rsidR="00527414">
        <w:rPr>
          <w:rFonts w:ascii="Arial Narrow" w:eastAsia="Times New Roman" w:hAnsi="Arial Narrow" w:cs="Arial"/>
          <w:iCs/>
          <w:szCs w:val="24"/>
        </w:rPr>
        <w:t xml:space="preserve">example schools, received them - </w:t>
      </w:r>
      <w:r w:rsidR="00273DD8" w:rsidRPr="001B6FE5">
        <w:rPr>
          <w:rFonts w:ascii="Arial Narrow" w:eastAsia="Times New Roman" w:hAnsi="Arial Narrow" w:cs="Arial"/>
          <w:iCs/>
          <w:szCs w:val="24"/>
        </w:rPr>
        <w:t>eliciting positive responses from Moscow on the “</w:t>
      </w:r>
      <w:r w:rsidR="00527414">
        <w:rPr>
          <w:rFonts w:ascii="Arial Narrow" w:eastAsia="Times New Roman" w:hAnsi="Arial Narrow" w:cs="Arial"/>
          <w:iCs/>
          <w:szCs w:val="24"/>
        </w:rPr>
        <w:t xml:space="preserve">eloquent figures from Ukraine” - </w:t>
      </w:r>
      <w:r w:rsidR="00273DD8" w:rsidRPr="001B6FE5">
        <w:rPr>
          <w:rFonts w:ascii="Arial Narrow" w:eastAsia="Times New Roman" w:hAnsi="Arial Narrow" w:cs="Arial"/>
          <w:iCs/>
          <w:szCs w:val="24"/>
        </w:rPr>
        <w:t xml:space="preserve">the Soviet press frequently accused Dmowski’s government of ‘trying to transform the mixed Ukrainian-Belorussian population…into one unambiguously </w:t>
      </w:r>
      <w:r w:rsidR="00273DD8" w:rsidRPr="001B6FE5">
        <w:rPr>
          <w:rFonts w:ascii="Arial Narrow" w:eastAsia="Times New Roman" w:hAnsi="Arial Narrow" w:cs="Arial"/>
          <w:iCs/>
          <w:szCs w:val="24"/>
        </w:rPr>
        <w:lastRenderedPageBreak/>
        <w:t>Polish one.’</w:t>
      </w:r>
      <w:r w:rsidR="00273DD8" w:rsidRPr="001B6FE5">
        <w:rPr>
          <w:rFonts w:ascii="Arial Narrow" w:eastAsia="Times New Roman" w:hAnsi="Arial Narrow" w:cs="Arial"/>
          <w:iCs/>
          <w:szCs w:val="24"/>
          <w:vertAlign w:val="superscript"/>
        </w:rPr>
        <w:footnoteReference w:id="100"/>
      </w:r>
      <w:r w:rsidR="00273DD8" w:rsidRPr="001B6FE5">
        <w:rPr>
          <w:rFonts w:ascii="Arial Narrow" w:eastAsia="Times New Roman" w:hAnsi="Arial Narrow" w:cs="Arial"/>
          <w:iCs/>
          <w:szCs w:val="24"/>
        </w:rPr>
        <w:t xml:space="preserve"> Ukrainian borderlands suffered disproportionately from </w:t>
      </w:r>
      <w:r w:rsidR="00206096">
        <w:rPr>
          <w:rFonts w:ascii="Arial Narrow" w:eastAsia="Times New Roman" w:hAnsi="Arial Narrow" w:cs="Arial"/>
          <w:iCs/>
          <w:szCs w:val="24"/>
        </w:rPr>
        <w:t>a catastrophic sequence of wars lasting seven years, finally</w:t>
      </w:r>
      <w:r w:rsidR="00273DD8" w:rsidRPr="001B6FE5">
        <w:rPr>
          <w:rFonts w:ascii="Arial Narrow" w:eastAsia="Times New Roman" w:hAnsi="Arial Narrow" w:cs="Arial"/>
          <w:iCs/>
          <w:szCs w:val="24"/>
        </w:rPr>
        <w:t xml:space="preserve"> ending in the Polish-Soviet Treaty of Riga (1921). Tsarist Russia’s “bread-basket” of “little-Russians” became a much sought after prize as the Eastern Front collapsed, with successive ‘Reds’, ‘Whites’ and ‘Greens’ attempting to assert their ideologies over the Ukrainian </w:t>
      </w:r>
      <w:r w:rsidR="00273DD8" w:rsidRPr="001B6FE5">
        <w:rPr>
          <w:rFonts w:ascii="Arial Narrow" w:eastAsia="Times New Roman" w:hAnsi="Arial Narrow" w:cs="Arial"/>
          <w:i/>
          <w:iCs/>
          <w:szCs w:val="24"/>
        </w:rPr>
        <w:t>Rada</w:t>
      </w:r>
      <w:r w:rsidR="00273DD8" w:rsidRPr="001B6FE5">
        <w:rPr>
          <w:rFonts w:ascii="Arial Narrow" w:eastAsia="Times New Roman" w:hAnsi="Arial Narrow" w:cs="Arial"/>
          <w:iCs/>
          <w:szCs w:val="24"/>
        </w:rPr>
        <w:t xml:space="preserve"> (with occasionally two ‘parliaments’ in either Kiev and/or Kharkov). Each regime, whether the ‘Hetmanate’, the Directory or finally the Ukrainian Soviet Republic, had ‘ground a boot heel deeper into the already sullied fabric of the old feudal society’, particularly Right-Bank Ukraine.</w:t>
      </w:r>
      <w:r w:rsidR="00273DD8" w:rsidRPr="001B6FE5">
        <w:rPr>
          <w:rFonts w:ascii="Arial Narrow" w:eastAsia="Times New Roman" w:hAnsi="Arial Narrow" w:cs="Arial"/>
          <w:iCs/>
          <w:szCs w:val="24"/>
          <w:vertAlign w:val="superscript"/>
        </w:rPr>
        <w:footnoteReference w:id="101"/>
      </w:r>
      <w:r w:rsidR="00273DD8" w:rsidRPr="001B6FE5">
        <w:rPr>
          <w:rFonts w:ascii="Arial Narrow" w:eastAsia="Times New Roman" w:hAnsi="Arial Narrow" w:cs="Arial"/>
          <w:iCs/>
          <w:szCs w:val="24"/>
        </w:rPr>
        <w:t xml:space="preserve"> The first Ukrainian People’s Republic (UNR) had lasted just six months (Nov.1917 - April 1918), culminating in the Brest-Litovsk agreements which offered the possibility of a long-term independent state. (Fig. 14) The Secret Clauses, bought at the price of one million tons of grain (63 million poods), were designed to simplify future relations between Austria and the fledgling Ukrainian</w:t>
      </w:r>
      <w:r w:rsidR="00273DD8" w:rsidRPr="001B6FE5">
        <w:rPr>
          <w:rFonts w:ascii="Arial Narrow" w:eastAsia="Times New Roman" w:hAnsi="Arial Narrow" w:cs="Arial"/>
          <w:i/>
          <w:iCs/>
          <w:szCs w:val="24"/>
        </w:rPr>
        <w:t xml:space="preserve"> Rada</w:t>
      </w:r>
      <w:r w:rsidR="00273DD8" w:rsidRPr="001B6FE5">
        <w:rPr>
          <w:rFonts w:ascii="Arial Narrow" w:eastAsia="Times New Roman" w:hAnsi="Arial Narrow" w:cs="Arial"/>
          <w:iCs/>
          <w:szCs w:val="24"/>
        </w:rPr>
        <w:t xml:space="preserve"> ‘along racial lines’ in the disputed Galician territory; the </w:t>
      </w:r>
      <w:r w:rsidR="00273DD8" w:rsidRPr="001B6FE5">
        <w:rPr>
          <w:rFonts w:ascii="Arial Narrow" w:eastAsia="Times New Roman" w:hAnsi="Arial Narrow" w:cs="Arial"/>
          <w:i/>
          <w:iCs/>
          <w:szCs w:val="24"/>
        </w:rPr>
        <w:t>Brotfrieden</w:t>
      </w:r>
      <w:r w:rsidR="00273DD8" w:rsidRPr="001B6FE5">
        <w:rPr>
          <w:rFonts w:ascii="Arial Narrow" w:eastAsia="Times New Roman" w:hAnsi="Arial Narrow" w:cs="Arial"/>
          <w:iCs/>
          <w:szCs w:val="24"/>
        </w:rPr>
        <w:t xml:space="preserve"> (or ‘grain treaty’) was simply the ‘colonial exploitation of Ukraine as a puppet-state</w:t>
      </w:r>
      <w:r w:rsidR="0013092A">
        <w:rPr>
          <w:rFonts w:ascii="Arial Narrow" w:eastAsia="Times New Roman" w:hAnsi="Arial Narrow" w:cs="Arial"/>
          <w:iCs/>
          <w:szCs w:val="24"/>
        </w:rPr>
        <w:t>.’</w:t>
      </w:r>
      <w:r w:rsidR="00273DD8" w:rsidRPr="001B6FE5">
        <w:rPr>
          <w:rFonts w:ascii="Arial Narrow" w:eastAsia="Times New Roman" w:hAnsi="Arial Narrow" w:cs="Arial"/>
          <w:iCs/>
          <w:szCs w:val="24"/>
          <w:vertAlign w:val="superscript"/>
        </w:rPr>
        <w:footnoteReference w:id="102"/>
      </w:r>
      <w:r w:rsidR="00273DD8" w:rsidRPr="001B6FE5">
        <w:rPr>
          <w:rFonts w:ascii="Arial Narrow" w:eastAsia="Times New Roman" w:hAnsi="Arial Narrow" w:cs="Arial"/>
          <w:iCs/>
          <w:szCs w:val="24"/>
        </w:rPr>
        <w:t xml:space="preserve"> Austria’s collapse paved the way for the West Ukrainian People’s Republic (ZUNR) in Galicia to establish their own government, which finally fell to the Poles in 1919 (who one may perhaps see as both conquerors of territory </w:t>
      </w:r>
      <w:r w:rsidR="00273DD8" w:rsidRPr="001B6FE5">
        <w:rPr>
          <w:rFonts w:ascii="Arial Narrow" w:eastAsia="Times New Roman" w:hAnsi="Arial Narrow" w:cs="Arial"/>
          <w:i/>
          <w:iCs/>
          <w:szCs w:val="24"/>
        </w:rPr>
        <w:t>and</w:t>
      </w:r>
      <w:r w:rsidR="00273DD8" w:rsidRPr="001B6FE5">
        <w:rPr>
          <w:rFonts w:ascii="Arial Narrow" w:eastAsia="Times New Roman" w:hAnsi="Arial Narrow" w:cs="Arial"/>
          <w:iCs/>
          <w:szCs w:val="24"/>
        </w:rPr>
        <w:t xml:space="preserve"> reactionary overlords). Throughout thi</w:t>
      </w:r>
      <w:r w:rsidR="00527414">
        <w:rPr>
          <w:rFonts w:ascii="Arial Narrow" w:eastAsia="Times New Roman" w:hAnsi="Arial Narrow" w:cs="Arial"/>
          <w:iCs/>
          <w:szCs w:val="24"/>
        </w:rPr>
        <w:t xml:space="preserve">s period </w:t>
      </w:r>
      <w:r w:rsidR="00273DD8" w:rsidRPr="001B6FE5">
        <w:rPr>
          <w:rFonts w:ascii="Arial Narrow" w:eastAsia="Times New Roman" w:hAnsi="Arial Narrow" w:cs="Arial"/>
          <w:iCs/>
          <w:szCs w:val="24"/>
        </w:rPr>
        <w:t>historians have suggested that the various armies were utilised by the peasantry, who sought particular advantage with which ever enabled it to ‘keep itself to itself.’  The geographical extent of the Ukraine also played a factor. It has both ambiguous borders - ill-def</w:t>
      </w:r>
      <w:r w:rsidR="00527414">
        <w:rPr>
          <w:rFonts w:ascii="Arial Narrow" w:eastAsia="Times New Roman" w:hAnsi="Arial Narrow" w:cs="Arial"/>
          <w:iCs/>
          <w:szCs w:val="24"/>
        </w:rPr>
        <w:t xml:space="preserve">ined and complex - which </w:t>
      </w:r>
      <w:r w:rsidR="00830CAD">
        <w:rPr>
          <w:rFonts w:ascii="Arial Narrow" w:eastAsia="Times New Roman" w:hAnsi="Arial Narrow" w:cs="Arial"/>
          <w:iCs/>
          <w:szCs w:val="24"/>
        </w:rPr>
        <w:t>mirror</w:t>
      </w:r>
      <w:r w:rsidR="00830CAD" w:rsidRPr="001B6FE5">
        <w:rPr>
          <w:rFonts w:ascii="Arial Narrow" w:eastAsia="Times New Roman" w:hAnsi="Arial Narrow" w:cs="Arial"/>
          <w:iCs/>
          <w:szCs w:val="24"/>
        </w:rPr>
        <w:t>ed</w:t>
      </w:r>
      <w:r w:rsidR="00273DD8" w:rsidRPr="001B6FE5">
        <w:rPr>
          <w:rFonts w:ascii="Arial Narrow" w:eastAsia="Times New Roman" w:hAnsi="Arial Narrow" w:cs="Arial"/>
          <w:iCs/>
          <w:szCs w:val="24"/>
        </w:rPr>
        <w:t xml:space="preserve"> the ‘ethnic and socio-economic grievances of the …peasantry’ and the amorphous nature of subsequent discontents and uprisings. Agrarian reforms were beyond the Ukrainian intelligentsia without cooperation from the ‘masses’, and the peasant’s inertia would then always prove the decisive factor. The peasantry in the </w:t>
      </w:r>
      <w:r w:rsidR="00273DD8" w:rsidRPr="001B6FE5">
        <w:rPr>
          <w:rFonts w:ascii="Arial Narrow" w:eastAsia="Times New Roman" w:hAnsi="Arial Narrow" w:cs="Arial"/>
          <w:i/>
          <w:iCs/>
          <w:szCs w:val="24"/>
        </w:rPr>
        <w:t>Kresy</w:t>
      </w:r>
      <w:r w:rsidR="00273DD8" w:rsidRPr="001B6FE5">
        <w:rPr>
          <w:rFonts w:ascii="Arial Narrow" w:eastAsia="Times New Roman" w:hAnsi="Arial Narrow" w:cs="Arial"/>
          <w:iCs/>
          <w:szCs w:val="24"/>
        </w:rPr>
        <w:t xml:space="preserve"> borderlands refused to give up their grain, an act of defiance whi</w:t>
      </w:r>
      <w:r w:rsidR="00527414">
        <w:rPr>
          <w:rFonts w:ascii="Arial Narrow" w:eastAsia="Times New Roman" w:hAnsi="Arial Narrow" w:cs="Arial"/>
          <w:iCs/>
          <w:szCs w:val="24"/>
        </w:rPr>
        <w:t>c</w:t>
      </w:r>
      <w:r w:rsidR="0084281F">
        <w:rPr>
          <w:rFonts w:ascii="Arial Narrow" w:eastAsia="Times New Roman" w:hAnsi="Arial Narrow" w:cs="Arial"/>
          <w:iCs/>
          <w:szCs w:val="24"/>
        </w:rPr>
        <w:t xml:space="preserve">h was to become no less common </w:t>
      </w:r>
      <w:r w:rsidR="00273DD8" w:rsidRPr="001B6FE5">
        <w:rPr>
          <w:rFonts w:ascii="Arial Narrow" w:eastAsia="Times New Roman" w:hAnsi="Arial Narrow" w:cs="Arial"/>
          <w:iCs/>
          <w:szCs w:val="24"/>
        </w:rPr>
        <w:t xml:space="preserve">than the brutal manner in which they were forced to eventually hand it over. The </w:t>
      </w:r>
      <w:r w:rsidR="00273DD8" w:rsidRPr="001B6FE5">
        <w:rPr>
          <w:rFonts w:ascii="Arial Narrow" w:eastAsia="Times New Roman" w:hAnsi="Arial Narrow" w:cs="Arial"/>
          <w:iCs/>
          <w:szCs w:val="24"/>
        </w:rPr>
        <w:lastRenderedPageBreak/>
        <w:t>subsequent treaty arrangements estranged the Ukrainian from their Polish masters and forced the Bolsheviks to create the Ukrainian Socialist Republic. As Andrew Wilson points out, the frustrated nationalism which this decision produced, left a ticking time-bomb’, a ‘virtual republic’ which would finally undermine the USSR in 1991.</w:t>
      </w:r>
      <w:r w:rsidR="00273DD8" w:rsidRPr="001B6FE5">
        <w:rPr>
          <w:rFonts w:ascii="Arial Narrow" w:eastAsia="Times New Roman" w:hAnsi="Arial Narrow" w:cs="Arial"/>
          <w:iCs/>
          <w:szCs w:val="24"/>
          <w:vertAlign w:val="superscript"/>
        </w:rPr>
        <w:footnoteReference w:id="103"/>
      </w:r>
    </w:p>
    <w:p w:rsidR="00C12CD2" w:rsidRDefault="00273DD8" w:rsidP="003D2CE4">
      <w:pPr>
        <w:keepNext/>
        <w:tabs>
          <w:tab w:val="left" w:pos="180"/>
        </w:tabs>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iCs/>
          <w:szCs w:val="24"/>
        </w:rPr>
        <w:t xml:space="preserve"> Lev Kopelev was ‘driven to fury’ b</w:t>
      </w:r>
      <w:r w:rsidR="00527414">
        <w:rPr>
          <w:rFonts w:ascii="Arial Narrow" w:eastAsia="Times New Roman" w:hAnsi="Arial Narrow" w:cs="Arial"/>
          <w:iCs/>
          <w:szCs w:val="24"/>
        </w:rPr>
        <w:t xml:space="preserve">y a contemporary student whilst </w:t>
      </w:r>
      <w:r w:rsidRPr="001B6FE5">
        <w:rPr>
          <w:rFonts w:ascii="Arial Narrow" w:eastAsia="Times New Roman" w:hAnsi="Arial Narrow" w:cs="Arial"/>
          <w:iCs/>
          <w:szCs w:val="24"/>
        </w:rPr>
        <w:t xml:space="preserve">living in Moscow, who felt there was no </w:t>
      </w:r>
      <w:r w:rsidRPr="001B6FE5">
        <w:rPr>
          <w:rFonts w:ascii="Arial Narrow" w:eastAsia="Times New Roman" w:hAnsi="Arial Narrow" w:cs="Arial"/>
          <w:i/>
          <w:iCs/>
          <w:szCs w:val="24"/>
        </w:rPr>
        <w:t>Ukrainia</w:t>
      </w:r>
      <w:r w:rsidRPr="001B6FE5">
        <w:rPr>
          <w:rFonts w:ascii="Arial Narrow" w:eastAsia="Times New Roman" w:hAnsi="Arial Narrow" w:cs="Arial"/>
          <w:iCs/>
          <w:szCs w:val="24"/>
        </w:rPr>
        <w:t xml:space="preserve">, but simply ‘some ignorant farmers, the descendants of the </w:t>
      </w:r>
      <w:r w:rsidRPr="001B6FE5">
        <w:rPr>
          <w:rFonts w:ascii="Arial Narrow" w:eastAsia="Times New Roman" w:hAnsi="Arial Narrow" w:cs="Arial"/>
          <w:i/>
          <w:iCs/>
          <w:szCs w:val="24"/>
        </w:rPr>
        <w:t>Zaporozhian</w:t>
      </w:r>
      <w:r w:rsidRPr="001B6FE5">
        <w:rPr>
          <w:rFonts w:ascii="Arial Narrow" w:eastAsia="Times New Roman" w:hAnsi="Arial Narrow" w:cs="Arial"/>
          <w:iCs/>
          <w:szCs w:val="24"/>
        </w:rPr>
        <w:t xml:space="preserve"> brigands who lived on the Dnieper…they kept upping their price during Russia’s perennial wars with Poland…betray[ing] one side, then another.’ It was a country named </w:t>
      </w:r>
      <w:r w:rsidRPr="001B6FE5">
        <w:rPr>
          <w:rFonts w:ascii="Arial Narrow" w:eastAsia="Times New Roman" w:hAnsi="Arial Narrow" w:cs="Arial"/>
          <w:i/>
          <w:iCs/>
          <w:szCs w:val="24"/>
        </w:rPr>
        <w:t>Okraina</w:t>
      </w:r>
      <w:r w:rsidRPr="001B6FE5">
        <w:rPr>
          <w:rFonts w:ascii="Arial Narrow" w:eastAsia="Times New Roman" w:hAnsi="Arial Narrow" w:cs="Arial"/>
          <w:iCs/>
          <w:szCs w:val="24"/>
        </w:rPr>
        <w:t xml:space="preserve"> - the outskirts - because it was on the periphery, dreamed up by the ‘brigands…grandchildren.’</w:t>
      </w:r>
      <w:r w:rsidRPr="001B6FE5">
        <w:rPr>
          <w:rFonts w:ascii="Arial Narrow" w:eastAsia="Times New Roman" w:hAnsi="Arial Narrow" w:cs="Arial"/>
          <w:iCs/>
          <w:szCs w:val="24"/>
          <w:vertAlign w:val="superscript"/>
        </w:rPr>
        <w:footnoteReference w:id="104"/>
      </w:r>
      <w:r w:rsidRPr="001B6FE5">
        <w:rPr>
          <w:rFonts w:ascii="Arial Narrow" w:eastAsia="Times New Roman" w:hAnsi="Arial Narrow" w:cs="Arial"/>
          <w:iCs/>
          <w:szCs w:val="24"/>
        </w:rPr>
        <w:t xml:space="preserve"> (Fig. 14) The continuity with war-ridden Ukraine is striking, but no less so than the pogroms which were concurrent with the peasant uprisings.</w:t>
      </w:r>
      <w:r w:rsidRPr="001B6FE5">
        <w:rPr>
          <w:rFonts w:ascii="Arial Narrow" w:eastAsia="Times New Roman" w:hAnsi="Arial Narrow" w:cs="Arial"/>
          <w:iCs/>
          <w:szCs w:val="24"/>
          <w:vertAlign w:val="superscript"/>
        </w:rPr>
        <w:footnoteReference w:id="105"/>
      </w:r>
      <w:r w:rsidRPr="001B6FE5">
        <w:rPr>
          <w:rFonts w:ascii="Arial Narrow" w:eastAsia="Times New Roman" w:hAnsi="Arial Narrow" w:cs="Arial"/>
          <w:iCs/>
          <w:szCs w:val="24"/>
        </w:rPr>
        <w:t xml:space="preserve"> The anarchy which existed in the region involved the murder of German Officers, Bolshevik officials and in particular, ‘other well-to-do elements (1,236 pogroms were recorded in 1918-1919), [with] peasant attacks on towns becoming the order of the day.’</w:t>
      </w:r>
      <w:r w:rsidRPr="001B6FE5">
        <w:rPr>
          <w:rFonts w:ascii="Arial Narrow" w:eastAsia="Times New Roman" w:hAnsi="Arial Narrow" w:cs="Arial"/>
          <w:iCs/>
          <w:szCs w:val="24"/>
          <w:vertAlign w:val="superscript"/>
        </w:rPr>
        <w:footnoteReference w:id="106"/>
      </w:r>
      <w:r w:rsidRPr="001B6FE5">
        <w:rPr>
          <w:rFonts w:ascii="Arial Narrow" w:eastAsia="Times New Roman" w:hAnsi="Arial Narrow" w:cs="Arial"/>
          <w:iCs/>
          <w:szCs w:val="24"/>
        </w:rPr>
        <w:t xml:space="preserve"> Moscow wished to export the revolution into Poland from this ‘hard-to-reach, boggy little outpost’ </w:t>
      </w:r>
      <w:r w:rsidRPr="001B6FE5">
        <w:rPr>
          <w:rFonts w:ascii="Arial Narrow" w:eastAsia="Times New Roman" w:hAnsi="Arial Narrow" w:cs="Arial"/>
          <w:i/>
          <w:iCs/>
          <w:szCs w:val="24"/>
        </w:rPr>
        <w:t>solely</w:t>
      </w:r>
      <w:r w:rsidRPr="001B6FE5">
        <w:rPr>
          <w:rFonts w:ascii="Arial Narrow" w:eastAsia="Times New Roman" w:hAnsi="Arial Narrow" w:cs="Arial"/>
          <w:iCs/>
          <w:szCs w:val="24"/>
        </w:rPr>
        <w:t xml:space="preserve"> because it contained seventy per cent Poles. The </w:t>
      </w:r>
      <w:r w:rsidRPr="001B6FE5">
        <w:rPr>
          <w:rFonts w:ascii="Arial Narrow" w:eastAsia="Times New Roman" w:hAnsi="Arial Narrow" w:cs="Arial"/>
          <w:i/>
          <w:iCs/>
          <w:szCs w:val="24"/>
        </w:rPr>
        <w:t>Kresy</w:t>
      </w:r>
      <w:r w:rsidRPr="001B6FE5">
        <w:rPr>
          <w:rFonts w:ascii="Arial Narrow" w:eastAsia="Times New Roman" w:hAnsi="Arial Narrow" w:cs="Arial"/>
          <w:iCs/>
          <w:szCs w:val="24"/>
        </w:rPr>
        <w:t xml:space="preserve"> capital Marchlevsk (now Dovbysh), was never likely to compare with the great Polish cities of Warsaw or Krakow to the east, but it was chosen precisely because, as a place, it was never ‘considered to have historical importance [or] a narrative with a beginning, middle [or] end.’</w:t>
      </w:r>
      <w:r w:rsidRPr="001B6FE5">
        <w:rPr>
          <w:rFonts w:ascii="Arial Narrow" w:eastAsia="Times New Roman" w:hAnsi="Arial Narrow" w:cs="Arial"/>
          <w:iCs/>
          <w:szCs w:val="24"/>
          <w:vertAlign w:val="superscript"/>
        </w:rPr>
        <w:footnoteReference w:id="107"/>
      </w:r>
      <w:r w:rsidRPr="001B6FE5">
        <w:rPr>
          <w:rFonts w:ascii="Arial Narrow" w:eastAsia="Times New Roman" w:hAnsi="Arial Narrow" w:cs="Arial"/>
          <w:iCs/>
          <w:szCs w:val="24"/>
        </w:rPr>
        <w:t xml:space="preserve"> (Fig. 10) The Bolsheviks ‘ignored’ the inhabitants in the same way that the Polish landlords (</w:t>
      </w:r>
      <w:r w:rsidR="00FD22CE">
        <w:rPr>
          <w:rFonts w:ascii="Arial Narrow" w:eastAsia="Times New Roman" w:hAnsi="Arial Narrow" w:cs="Arial"/>
          <w:i/>
          <w:iCs/>
          <w:szCs w:val="24"/>
        </w:rPr>
        <w:t>S</w:t>
      </w:r>
      <w:r w:rsidRPr="001B6FE5">
        <w:rPr>
          <w:rFonts w:ascii="Arial Narrow" w:eastAsia="Times New Roman" w:hAnsi="Arial Narrow" w:cs="Arial"/>
          <w:i/>
          <w:iCs/>
          <w:szCs w:val="24"/>
        </w:rPr>
        <w:t>zlachta</w:t>
      </w:r>
      <w:r w:rsidRPr="001B6FE5">
        <w:rPr>
          <w:rFonts w:ascii="Arial Narrow" w:eastAsia="Times New Roman" w:hAnsi="Arial Narrow" w:cs="Arial"/>
          <w:iCs/>
          <w:szCs w:val="24"/>
        </w:rPr>
        <w:t>), who had held the great majority of the estates in the eastern borderlands, failed to carry out land reforms ‘for the benefit of non-Polish peasantry’; a position which in the rest of east-Central Europe, had allowed governments to expropriate ‘ethnically alien landlords…for the benefit of “national” peasantries.’</w:t>
      </w:r>
      <w:r w:rsidRPr="001B6FE5">
        <w:rPr>
          <w:rFonts w:ascii="Arial Narrow" w:eastAsia="Times New Roman" w:hAnsi="Arial Narrow" w:cs="Arial"/>
          <w:iCs/>
          <w:szCs w:val="24"/>
          <w:vertAlign w:val="superscript"/>
        </w:rPr>
        <w:footnoteReference w:id="108"/>
      </w:r>
      <w:r w:rsidRPr="001B6FE5">
        <w:rPr>
          <w:rFonts w:ascii="Arial Narrow" w:eastAsia="Times New Roman" w:hAnsi="Arial Narrow" w:cs="Arial"/>
          <w:iCs/>
          <w:szCs w:val="24"/>
        </w:rPr>
        <w:t xml:space="preserve"> The Economist regarded this as the ‘Great Agrarian Revolution in Eastern Euro</w:t>
      </w:r>
      <w:r w:rsidR="00E535EE">
        <w:rPr>
          <w:rFonts w:ascii="Arial Narrow" w:eastAsia="Times New Roman" w:hAnsi="Arial Narrow" w:cs="Arial"/>
          <w:iCs/>
          <w:szCs w:val="24"/>
        </w:rPr>
        <w:t>pe’, an event which would sever</w:t>
      </w:r>
      <w:r w:rsidRPr="001B6FE5">
        <w:rPr>
          <w:rFonts w:ascii="Arial Narrow" w:eastAsia="Times New Roman" w:hAnsi="Arial Narrow" w:cs="Arial"/>
          <w:iCs/>
          <w:szCs w:val="24"/>
        </w:rPr>
        <w:t xml:space="preserve"> </w:t>
      </w:r>
      <w:r w:rsidR="00527414">
        <w:rPr>
          <w:rFonts w:ascii="Arial Narrow" w:eastAsia="Times New Roman" w:hAnsi="Arial Narrow" w:cs="Arial"/>
          <w:iCs/>
          <w:szCs w:val="24"/>
        </w:rPr>
        <w:t xml:space="preserve">the </w:t>
      </w:r>
      <w:r w:rsidRPr="001B6FE5">
        <w:rPr>
          <w:rFonts w:ascii="Arial Narrow" w:eastAsia="Times New Roman" w:hAnsi="Arial Narrow" w:cs="Arial"/>
          <w:iCs/>
          <w:szCs w:val="24"/>
        </w:rPr>
        <w:t xml:space="preserve">‘Gordion Knot’ without ‘shattering the whole </w:t>
      </w:r>
      <w:r w:rsidRPr="001B6FE5">
        <w:rPr>
          <w:rFonts w:ascii="Arial Narrow" w:eastAsia="Times New Roman" w:hAnsi="Arial Narrow" w:cs="Arial"/>
          <w:iCs/>
          <w:szCs w:val="24"/>
        </w:rPr>
        <w:lastRenderedPageBreak/>
        <w:t>system’</w:t>
      </w:r>
      <w:r w:rsidR="00527414">
        <w:rPr>
          <w:rFonts w:ascii="Arial Narrow" w:eastAsia="Times New Roman" w:hAnsi="Arial Narrow" w:cs="Arial"/>
          <w:iCs/>
          <w:szCs w:val="24"/>
        </w:rPr>
        <w:t>,</w:t>
      </w:r>
      <w:r w:rsidRPr="001B6FE5">
        <w:rPr>
          <w:rFonts w:ascii="Arial Narrow" w:eastAsia="Times New Roman" w:hAnsi="Arial Narrow" w:cs="Arial"/>
          <w:iCs/>
          <w:szCs w:val="24"/>
        </w:rPr>
        <w:t xml:space="preserve"> as had been the case in Russia.</w:t>
      </w:r>
      <w:r w:rsidRPr="001B6FE5">
        <w:rPr>
          <w:rFonts w:ascii="Arial Narrow" w:eastAsia="Times New Roman" w:hAnsi="Arial Narrow" w:cs="Arial"/>
          <w:iCs/>
          <w:szCs w:val="24"/>
          <w:vertAlign w:val="superscript"/>
        </w:rPr>
        <w:footnoteReference w:id="109"/>
      </w:r>
      <w:r w:rsidRPr="001B6FE5">
        <w:rPr>
          <w:rFonts w:ascii="Arial Narrow" w:eastAsia="Times New Roman" w:hAnsi="Arial Narrow" w:cs="Arial"/>
          <w:iCs/>
          <w:szCs w:val="24"/>
        </w:rPr>
        <w:t xml:space="preserve"> The Soviets attacked Ukrainian nationalism (as ‘Poles’, ‘Belarusians’ or ‘Jews’ amongst others) not because it wished for a ‘separate identity, administrative autonomy or ethno linguistic rights’ – that was official policy. It was the Ukrainian’s insistence, particularly the so-called Union for the Liberation of Ukraine, on defining and celebrating a ‘rural utopia from the remote but recoverable past, not an urban utopia from the near but ethnically fragmented future.’</w:t>
      </w:r>
      <w:r w:rsidRPr="001B6FE5">
        <w:rPr>
          <w:rFonts w:ascii="Arial Narrow" w:eastAsia="Times New Roman" w:hAnsi="Arial Narrow" w:cs="Arial"/>
          <w:iCs/>
          <w:szCs w:val="24"/>
          <w:vertAlign w:val="superscript"/>
        </w:rPr>
        <w:footnoteReference w:id="110"/>
      </w:r>
      <w:r w:rsidRPr="001B6FE5">
        <w:rPr>
          <w:rFonts w:ascii="Arial Narrow" w:eastAsia="Times New Roman" w:hAnsi="Arial Narrow" w:cs="Arial"/>
          <w:iCs/>
          <w:szCs w:val="24"/>
        </w:rPr>
        <w:t xml:space="preserve"> As with any colonization, it was the local particularities which were undermined, in order to ensure continuity within the appendage so as not to damage the whole. </w:t>
      </w:r>
      <w:r w:rsidRPr="001B6FE5">
        <w:rPr>
          <w:rFonts w:ascii="Arial Narrow" w:eastAsia="Times New Roman" w:hAnsi="Arial Narrow" w:cs="Arial"/>
          <w:iCs/>
          <w:szCs w:val="24"/>
        </w:rPr>
        <w:tab/>
      </w:r>
      <w:r w:rsidRPr="001B6FE5">
        <w:rPr>
          <w:rFonts w:ascii="Arial Narrow" w:eastAsia="Times New Roman" w:hAnsi="Arial Narrow" w:cs="Arial"/>
          <w:iCs/>
          <w:szCs w:val="24"/>
        </w:rPr>
        <w:tab/>
      </w:r>
      <w:r w:rsidR="00C12CD2">
        <w:rPr>
          <w:rFonts w:ascii="Arial Narrow" w:eastAsia="Times New Roman" w:hAnsi="Arial Narrow" w:cs="Arial"/>
          <w:iCs/>
          <w:szCs w:val="24"/>
        </w:rPr>
        <w:tab/>
      </w:r>
      <w:r w:rsidR="00C12CD2">
        <w:rPr>
          <w:rFonts w:ascii="Arial Narrow" w:eastAsia="Times New Roman" w:hAnsi="Arial Narrow" w:cs="Arial"/>
          <w:iCs/>
          <w:szCs w:val="24"/>
        </w:rPr>
        <w:tab/>
      </w:r>
      <w:r w:rsidR="00C12CD2">
        <w:rPr>
          <w:rFonts w:ascii="Arial Narrow" w:eastAsia="Times New Roman" w:hAnsi="Arial Narrow" w:cs="Arial"/>
          <w:iCs/>
          <w:szCs w:val="24"/>
        </w:rPr>
        <w:tab/>
      </w:r>
      <w:r w:rsidR="00C12CD2">
        <w:rPr>
          <w:rFonts w:ascii="Arial Narrow" w:eastAsia="Times New Roman" w:hAnsi="Arial Narrow" w:cs="Arial"/>
          <w:iCs/>
          <w:szCs w:val="24"/>
        </w:rPr>
        <w:tab/>
      </w:r>
      <w:r w:rsidR="00C12CD2">
        <w:rPr>
          <w:rFonts w:ascii="Arial Narrow" w:eastAsia="Times New Roman" w:hAnsi="Arial Narrow" w:cs="Arial"/>
          <w:iCs/>
          <w:szCs w:val="24"/>
        </w:rPr>
        <w:tab/>
      </w:r>
    </w:p>
    <w:p w:rsidR="00CD278D" w:rsidRDefault="00AF7F79" w:rsidP="003D2CE4">
      <w:pPr>
        <w:keepNext/>
        <w:tabs>
          <w:tab w:val="left" w:pos="180"/>
        </w:tabs>
        <w:spacing w:after="0" w:line="480" w:lineRule="auto"/>
        <w:jc w:val="both"/>
        <w:rPr>
          <w:rFonts w:ascii="Arial Narrow" w:eastAsia="Times New Roman" w:hAnsi="Arial Narrow" w:cs="Arial"/>
          <w:iCs/>
          <w:szCs w:val="24"/>
        </w:rPr>
      </w:pPr>
      <w:r>
        <w:rPr>
          <w:rFonts w:ascii="Arial Narrow" w:eastAsia="Times New Roman" w:hAnsi="Arial Narrow" w:cs="Arial"/>
          <w:iCs/>
          <w:noProof/>
          <w:szCs w:val="24"/>
          <w:lang w:eastAsia="en-GB"/>
        </w:rPr>
        <w:drawing>
          <wp:inline distT="0" distB="0" distL="0" distR="0" wp14:anchorId="691C16DB" wp14:editId="75A5BEC0">
            <wp:extent cx="5486400" cy="3814294"/>
            <wp:effectExtent l="0" t="0" r="0" b="0"/>
            <wp:docPr id="23" name="Picture 23" descr="C:\Documents and Settings\Gemma\Desktop\dissertation maps &amp; pics\Ukraine-Interwar-Yea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Gemma\Desktop\dissertation maps &amp; pics\Ukraine-Interwar-Years.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86400" cy="3814294"/>
                    </a:xfrm>
                    <a:prstGeom prst="rect">
                      <a:avLst/>
                    </a:prstGeom>
                    <a:noFill/>
                    <a:ln>
                      <a:noFill/>
                    </a:ln>
                  </pic:spPr>
                </pic:pic>
              </a:graphicData>
            </a:graphic>
          </wp:inline>
        </w:drawing>
      </w:r>
    </w:p>
    <w:p w:rsidR="00CD278D" w:rsidRDefault="00877CF1" w:rsidP="003D2CE4">
      <w:pPr>
        <w:keepNext/>
        <w:tabs>
          <w:tab w:val="left" w:pos="180"/>
        </w:tabs>
        <w:spacing w:after="0" w:line="48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Figs.  </w:t>
      </w:r>
      <w:r w:rsidR="00830CAD" w:rsidRPr="001B6FE5">
        <w:rPr>
          <w:rFonts w:ascii="Arial Narrow" w:eastAsia="Times New Roman" w:hAnsi="Arial Narrow" w:cs="Arial"/>
          <w:b/>
          <w:bCs/>
          <w:szCs w:val="24"/>
        </w:rPr>
        <w:t>14 Ethnographical</w:t>
      </w:r>
      <w:r w:rsidR="00273DD8" w:rsidRPr="001B6FE5">
        <w:rPr>
          <w:rFonts w:ascii="Arial Narrow" w:eastAsia="Times New Roman" w:hAnsi="Arial Narrow" w:cs="Arial"/>
          <w:b/>
          <w:bCs/>
          <w:szCs w:val="24"/>
        </w:rPr>
        <w:t xml:space="preserve"> Ukraine in East-Central Europe. </w:t>
      </w:r>
    </w:p>
    <w:p w:rsidR="00273DD8" w:rsidRPr="001B6FE5" w:rsidRDefault="00273DD8" w:rsidP="003D2CE4">
      <w:pPr>
        <w:tabs>
          <w:tab w:val="left" w:pos="180"/>
        </w:tabs>
        <w:spacing w:after="0" w:line="480" w:lineRule="auto"/>
        <w:ind w:firstLine="720"/>
        <w:jc w:val="both"/>
        <w:rPr>
          <w:rFonts w:ascii="Arial Narrow" w:eastAsia="Times New Roman" w:hAnsi="Arial Narrow" w:cs="Arial"/>
          <w:iCs/>
          <w:szCs w:val="24"/>
        </w:rPr>
      </w:pPr>
      <w:r w:rsidRPr="001B6FE5">
        <w:rPr>
          <w:rFonts w:ascii="Arial Narrow" w:eastAsia="Times New Roman" w:hAnsi="Arial Narrow" w:cs="Arial"/>
          <w:iCs/>
          <w:szCs w:val="24"/>
        </w:rPr>
        <w:t>Long before foreign factors became the “</w:t>
      </w:r>
      <w:r w:rsidRPr="001B6FE5">
        <w:rPr>
          <w:rFonts w:ascii="Arial Narrow" w:eastAsia="Times New Roman" w:hAnsi="Arial Narrow" w:cs="Arial"/>
          <w:i/>
          <w:iCs/>
          <w:szCs w:val="24"/>
        </w:rPr>
        <w:t>leitmotiv</w:t>
      </w:r>
      <w:r w:rsidRPr="001B6FE5">
        <w:rPr>
          <w:rFonts w:ascii="Arial Narrow" w:eastAsia="Times New Roman" w:hAnsi="Arial Narrow" w:cs="Arial"/>
          <w:iCs/>
          <w:szCs w:val="24"/>
        </w:rPr>
        <w:t xml:space="preserve"> of the Great Terror”, and Stalin (who as Commissar at </w:t>
      </w:r>
      <w:r w:rsidRPr="001B6FE5">
        <w:rPr>
          <w:rFonts w:ascii="Arial Narrow" w:eastAsia="Times New Roman" w:hAnsi="Arial Narrow" w:cs="Arial"/>
          <w:i/>
          <w:iCs/>
          <w:szCs w:val="24"/>
        </w:rPr>
        <w:t>Narkomnats</w:t>
      </w:r>
      <w:r w:rsidRPr="001B6FE5">
        <w:rPr>
          <w:rFonts w:ascii="Arial Narrow" w:eastAsia="Times New Roman" w:hAnsi="Arial Narrow" w:cs="Arial"/>
          <w:iCs/>
          <w:szCs w:val="24"/>
        </w:rPr>
        <w:t xml:space="preserve"> – the Peoples Commissariat of Nationality Affairs – between 1918 and 1923 had effectively created the bureaucracy of the USSR) galvanized a Kremlin reception to, ‘mercilessly annihilate everyone who by his actions and thoughts (yes, thoughts too) assails the unity of the socialist state’, east-</w:t>
      </w:r>
      <w:r w:rsidRPr="001B6FE5">
        <w:rPr>
          <w:rFonts w:ascii="Arial Narrow" w:eastAsia="Times New Roman" w:hAnsi="Arial Narrow" w:cs="Arial"/>
          <w:iCs/>
          <w:szCs w:val="24"/>
        </w:rPr>
        <w:lastRenderedPageBreak/>
        <w:t>Central Europeans realised that the spirit of the age was not, as had been naively predicted before the war, ‘supranational’, but ‘ultranational.’</w:t>
      </w:r>
      <w:r w:rsidRPr="001B6FE5">
        <w:rPr>
          <w:rFonts w:ascii="Arial Narrow" w:eastAsia="Times New Roman" w:hAnsi="Arial Narrow" w:cs="Arial"/>
          <w:iCs/>
          <w:szCs w:val="24"/>
          <w:vertAlign w:val="superscript"/>
        </w:rPr>
        <w:footnoteReference w:id="111"/>
      </w:r>
      <w:r w:rsidRPr="001B6FE5">
        <w:rPr>
          <w:rFonts w:ascii="Arial Narrow" w:eastAsia="Times New Roman" w:hAnsi="Arial Narrow" w:cs="Arial"/>
          <w:iCs/>
          <w:szCs w:val="24"/>
        </w:rPr>
        <w:t xml:space="preserve"> British intelligence reports revealed their appraisal of the postwar situation: </w:t>
      </w:r>
    </w:p>
    <w:p w:rsidR="00273DD8" w:rsidRPr="001B6FE5" w:rsidRDefault="00273DD8" w:rsidP="003D2CE4">
      <w:pPr>
        <w:tabs>
          <w:tab w:val="left" w:pos="180"/>
        </w:tabs>
        <w:spacing w:after="0" w:line="480" w:lineRule="auto"/>
        <w:ind w:left="720" w:firstLine="720"/>
        <w:jc w:val="both"/>
        <w:rPr>
          <w:rFonts w:ascii="Arial Narrow" w:eastAsia="Times New Roman" w:hAnsi="Arial Narrow" w:cs="Arial"/>
          <w:iCs/>
          <w:szCs w:val="24"/>
        </w:rPr>
      </w:pPr>
      <w:r w:rsidRPr="001B6FE5">
        <w:rPr>
          <w:rFonts w:ascii="Arial Narrow" w:eastAsia="Times New Roman" w:hAnsi="Arial Narrow" w:cs="Arial"/>
          <w:iCs/>
          <w:szCs w:val="24"/>
        </w:rPr>
        <w:t>‘Austria no doubt fears the restoration of Russia under an autocratic monarchy in alliance with Germany as it would enable the latter to keep her in complete subjection in the future; she would prefer a weak and independent Ukraine on her eastern frontier. A significant sign of the way Austria is being ignored in the Ukraine is the fact that Germany is insisting on the inclusion of Cholm in the Ukraine, while Austria, anxious to conciliate Poles, is doing her best to get it restored to Poland and find compensation fro the Ukrainians in Northern Bessarabia.’</w:t>
      </w:r>
      <w:r w:rsidRPr="001B6FE5">
        <w:rPr>
          <w:rFonts w:ascii="Arial Narrow" w:eastAsia="Times New Roman" w:hAnsi="Arial Narrow" w:cs="Arial"/>
          <w:iCs/>
          <w:szCs w:val="24"/>
          <w:vertAlign w:val="superscript"/>
        </w:rPr>
        <w:footnoteReference w:id="112"/>
      </w:r>
    </w:p>
    <w:p w:rsidR="00273DD8" w:rsidRPr="001B6FE5" w:rsidRDefault="00273DD8" w:rsidP="003D2CE4">
      <w:pPr>
        <w:tabs>
          <w:tab w:val="left" w:pos="180"/>
        </w:tabs>
        <w:spacing w:after="0" w:line="480" w:lineRule="auto"/>
        <w:jc w:val="both"/>
        <w:rPr>
          <w:rFonts w:ascii="Arial Narrow" w:eastAsia="Times New Roman" w:hAnsi="Arial Narrow" w:cs="Arial"/>
          <w:iCs/>
          <w:szCs w:val="24"/>
        </w:rPr>
      </w:pPr>
      <w:r w:rsidRPr="001B6FE5">
        <w:rPr>
          <w:rFonts w:ascii="Arial Narrow" w:eastAsia="Times New Roman" w:hAnsi="Arial Narrow" w:cs="Arial"/>
          <w:iCs/>
          <w:szCs w:val="24"/>
        </w:rPr>
        <w:t>Outside interference, especially after the Civil Wars,</w:t>
      </w:r>
      <w:r w:rsidR="00FD22CE">
        <w:rPr>
          <w:rFonts w:ascii="Arial Narrow" w:eastAsia="Times New Roman" w:hAnsi="Arial Narrow" w:cs="Arial"/>
          <w:iCs/>
          <w:szCs w:val="24"/>
        </w:rPr>
        <w:t xml:space="preserve"> was extremely limited. Britain</w:t>
      </w:r>
      <w:r w:rsidR="00FD22CE" w:rsidRPr="001B6FE5">
        <w:rPr>
          <w:rFonts w:ascii="Arial Narrow" w:eastAsia="Times New Roman" w:hAnsi="Arial Narrow" w:cs="Arial"/>
          <w:iCs/>
          <w:szCs w:val="24"/>
        </w:rPr>
        <w:t>’s</w:t>
      </w:r>
      <w:r w:rsidRPr="001B6FE5">
        <w:rPr>
          <w:rFonts w:ascii="Arial Narrow" w:eastAsia="Times New Roman" w:hAnsi="Arial Narrow" w:cs="Arial"/>
          <w:iCs/>
          <w:szCs w:val="24"/>
        </w:rPr>
        <w:t xml:space="preserve"> approach, along with the rest of the League of Nations members with no contiguous borders, was exemplified by Balfour in particular, and summarized succinctly by the Foreign Office; dryly filing the question away they suggested: ‘The League of Nations has now refused [in 1920] the request of the Ukrainian Government [for recognition]. The present series of documents [concerning the application] may be useful for reference.’</w:t>
      </w:r>
      <w:r w:rsidRPr="001B6FE5">
        <w:rPr>
          <w:rFonts w:ascii="Arial Narrow" w:eastAsia="Times New Roman" w:hAnsi="Arial Narrow" w:cs="Arial"/>
          <w:iCs/>
          <w:szCs w:val="24"/>
          <w:vertAlign w:val="superscript"/>
        </w:rPr>
        <w:footnoteReference w:id="113"/>
      </w:r>
      <w:r w:rsidRPr="001B6FE5">
        <w:rPr>
          <w:rFonts w:ascii="Arial Narrow" w:eastAsia="Times New Roman" w:hAnsi="Arial Narrow" w:cs="Arial"/>
          <w:iCs/>
          <w:szCs w:val="24"/>
        </w:rPr>
        <w:t xml:space="preserve"> But as we have seen, in the “borderlands”, group identification did not necessarily correlate with a parents or even their own linguistic background. The creation of the ‘Successor States’ (the ‘non-Bolshevik alternative[s] to the Habsburgs’), became an endemic crisis, fuelling annoyance in the West at the ‘quarrelsome, extremely sensitive and short-sighted people with whom they had to deal.’</w:t>
      </w:r>
      <w:r w:rsidRPr="001B6FE5">
        <w:rPr>
          <w:rFonts w:ascii="Arial Narrow" w:eastAsia="Times New Roman" w:hAnsi="Arial Narrow" w:cs="Arial"/>
          <w:iCs/>
          <w:szCs w:val="24"/>
          <w:vertAlign w:val="superscript"/>
        </w:rPr>
        <w:footnoteReference w:id="114"/>
      </w:r>
      <w:r w:rsidRPr="001B6FE5">
        <w:rPr>
          <w:rFonts w:ascii="Arial Narrow" w:eastAsia="Times New Roman" w:hAnsi="Arial Narrow" w:cs="Arial"/>
          <w:iCs/>
          <w:szCs w:val="24"/>
        </w:rPr>
        <w:t xml:space="preserve"> Their own ‘Minorities’ (particularly those in the French and British Empires), which they had conveniently removed from the more substantial parts of the Minorities Treaty, were quietly and temporarily forgotten.</w:t>
      </w:r>
      <w:r w:rsidR="00660691">
        <w:rPr>
          <w:rStyle w:val="FootnoteReference"/>
          <w:rFonts w:ascii="Arial Narrow" w:eastAsia="Times New Roman" w:hAnsi="Arial Narrow" w:cs="Arial"/>
          <w:iCs/>
          <w:szCs w:val="24"/>
        </w:rPr>
        <w:footnoteReference w:id="115"/>
      </w:r>
    </w:p>
    <w:p w:rsidR="00293BEA" w:rsidRDefault="00293BEA" w:rsidP="003D2CE4">
      <w:pPr>
        <w:tabs>
          <w:tab w:val="left" w:pos="709"/>
        </w:tabs>
        <w:spacing w:after="0" w:line="480" w:lineRule="auto"/>
        <w:jc w:val="both"/>
        <w:rPr>
          <w:rFonts w:ascii="Arial Narrow" w:eastAsia="Times New Roman" w:hAnsi="Arial Narrow" w:cs="Arial"/>
          <w:iCs/>
          <w:szCs w:val="24"/>
        </w:rPr>
      </w:pPr>
      <w:r>
        <w:rPr>
          <w:rFonts w:ascii="Arial Narrow" w:eastAsia="Times New Roman" w:hAnsi="Arial Narrow" w:cs="Arial"/>
          <w:iCs/>
          <w:szCs w:val="24"/>
        </w:rPr>
        <w:lastRenderedPageBreak/>
        <w:tab/>
      </w:r>
      <w:r w:rsidR="00273DD8" w:rsidRPr="001B6FE5">
        <w:rPr>
          <w:rFonts w:ascii="Arial Narrow" w:eastAsia="Times New Roman" w:hAnsi="Arial Narrow" w:cs="Arial"/>
          <w:iCs/>
          <w:szCs w:val="24"/>
        </w:rPr>
        <w:t>The Ukraine, and therefore the contiguous territory with Poland, Czechoslovakia and Romania, contained a large proportion of European Jewry (in Ukraine about 1.6 million), mostly settled in Right Bank Ukraine, with almost three quarters living in urban centres such as Odessa, Kiev and Kharkiv.</w:t>
      </w:r>
      <w:r w:rsidR="00273DD8" w:rsidRPr="001B6FE5">
        <w:rPr>
          <w:rFonts w:ascii="Arial Narrow" w:eastAsia="Times New Roman" w:hAnsi="Arial Narrow" w:cs="Arial"/>
          <w:iCs/>
          <w:szCs w:val="24"/>
          <w:vertAlign w:val="superscript"/>
        </w:rPr>
        <w:footnoteReference w:id="116"/>
      </w:r>
      <w:r>
        <w:rPr>
          <w:rFonts w:ascii="Arial Narrow" w:eastAsia="Times New Roman" w:hAnsi="Arial Narrow" w:cs="Arial"/>
          <w:iCs/>
          <w:szCs w:val="24"/>
        </w:rPr>
        <w:t xml:space="preserve"> This </w:t>
      </w:r>
      <w:r w:rsidR="00830CAD">
        <w:rPr>
          <w:rFonts w:ascii="Arial Narrow" w:eastAsia="Times New Roman" w:hAnsi="Arial Narrow" w:cs="Arial"/>
          <w:iCs/>
          <w:szCs w:val="24"/>
        </w:rPr>
        <w:t>area</w:t>
      </w:r>
      <w:r w:rsidR="00830CAD" w:rsidRPr="001B6FE5">
        <w:rPr>
          <w:rFonts w:ascii="Arial Narrow" w:eastAsia="Times New Roman" w:hAnsi="Arial Narrow" w:cs="Arial"/>
          <w:iCs/>
          <w:szCs w:val="24"/>
        </w:rPr>
        <w:t xml:space="preserve"> was</w:t>
      </w:r>
      <w:r w:rsidR="00273DD8" w:rsidRPr="001B6FE5">
        <w:rPr>
          <w:rFonts w:ascii="Arial Narrow" w:eastAsia="Times New Roman" w:hAnsi="Arial Narrow" w:cs="Arial"/>
          <w:iCs/>
          <w:szCs w:val="24"/>
        </w:rPr>
        <w:t xml:space="preserve"> ‘frontier country’ on the edge of the old Tsarist ‘Pale of Settlement’, and the Jews who settled there were ‘true pioneers who brought material and spiritual culture.’ They contained perhaps the ‘most civilized part of the population’, largely because of the historical legacy that the ‘Pale’ and its laws superimposed upon them.</w:t>
      </w:r>
      <w:r w:rsidR="00273DD8" w:rsidRPr="001B6FE5">
        <w:rPr>
          <w:rFonts w:ascii="Arial Narrow" w:eastAsia="Times New Roman" w:hAnsi="Arial Narrow" w:cs="Arial"/>
          <w:iCs/>
          <w:szCs w:val="24"/>
          <w:vertAlign w:val="superscript"/>
        </w:rPr>
        <w:footnoteReference w:id="117"/>
      </w:r>
      <w:r w:rsidR="00273DD8" w:rsidRPr="001B6FE5">
        <w:rPr>
          <w:rFonts w:ascii="Arial Narrow" w:eastAsia="Times New Roman" w:hAnsi="Arial Narrow" w:cs="Arial"/>
          <w:iCs/>
          <w:szCs w:val="24"/>
        </w:rPr>
        <w:t xml:space="preserve"> They had also ‘closely cooperated with the Polish landlords (</w:t>
      </w:r>
      <w:r w:rsidR="006068E4">
        <w:rPr>
          <w:rFonts w:ascii="Arial Narrow" w:eastAsia="Times New Roman" w:hAnsi="Arial Narrow" w:cs="Arial"/>
          <w:i/>
          <w:iCs/>
          <w:szCs w:val="24"/>
        </w:rPr>
        <w:t>S</w:t>
      </w:r>
      <w:r w:rsidR="00273DD8" w:rsidRPr="001B6FE5">
        <w:rPr>
          <w:rFonts w:ascii="Arial Narrow" w:eastAsia="Times New Roman" w:hAnsi="Arial Narrow" w:cs="Arial"/>
          <w:i/>
          <w:iCs/>
          <w:szCs w:val="24"/>
        </w:rPr>
        <w:t>zlachta</w:t>
      </w:r>
      <w:r w:rsidR="00273DD8" w:rsidRPr="001B6FE5">
        <w:rPr>
          <w:rFonts w:ascii="Arial Narrow" w:eastAsia="Times New Roman" w:hAnsi="Arial Narrow" w:cs="Arial"/>
          <w:iCs/>
          <w:szCs w:val="24"/>
        </w:rPr>
        <w:t>) who developed the country’, and were therefore largely the impetus for the ‘tremendous effort to colonise it.’</w:t>
      </w:r>
      <w:r w:rsidR="00273DD8" w:rsidRPr="001B6FE5">
        <w:rPr>
          <w:rFonts w:ascii="Arial Narrow" w:eastAsia="Times New Roman" w:hAnsi="Arial Narrow" w:cs="Arial"/>
          <w:iCs/>
          <w:szCs w:val="24"/>
          <w:vertAlign w:val="superscript"/>
        </w:rPr>
        <w:footnoteReference w:id="118"/>
      </w:r>
      <w:r w:rsidR="00273DD8" w:rsidRPr="001B6FE5">
        <w:rPr>
          <w:rFonts w:ascii="Arial Narrow" w:eastAsia="Times New Roman" w:hAnsi="Arial Narrow" w:cs="Arial"/>
          <w:iCs/>
          <w:szCs w:val="24"/>
        </w:rPr>
        <w:t xml:space="preserve"> Notably, relations between the two are described as ‘frozen into and by history’, and even up to the present it is significant that the ‘Jewish encyclopaedia does not have a separate entry for Ukraine’; rather the discussion is located under Russia, Poland or Austria-Hungary.</w:t>
      </w:r>
      <w:r w:rsidR="00273DD8" w:rsidRPr="001B6FE5">
        <w:rPr>
          <w:rFonts w:ascii="Arial Narrow" w:eastAsia="Times New Roman" w:hAnsi="Arial Narrow" w:cs="Arial"/>
          <w:iCs/>
          <w:szCs w:val="24"/>
          <w:vertAlign w:val="superscript"/>
        </w:rPr>
        <w:footnoteReference w:id="119"/>
      </w:r>
      <w:r w:rsidR="00273DD8" w:rsidRPr="001B6FE5">
        <w:rPr>
          <w:rFonts w:ascii="Arial Narrow" w:eastAsia="Times New Roman" w:hAnsi="Arial Narrow" w:cs="Arial"/>
          <w:iCs/>
          <w:szCs w:val="24"/>
        </w:rPr>
        <w:t xml:space="preserve"> As a fundamental part of east-Central Europe, in the political, social and particularly economic frames of reference, the Jewish population found themselves increasingly at the mercy of nationalising influences within the “Succession States” and Stalin’s own search for “Deviationist” tendencies. The continuity between their seventeenth century positions was striking.  In their essays</w:t>
      </w:r>
      <w:r w:rsidR="00273DD8" w:rsidRPr="001B6FE5">
        <w:rPr>
          <w:rFonts w:ascii="Arial Narrow" w:eastAsia="Times New Roman" w:hAnsi="Arial Narrow" w:cs="Arial"/>
          <w:i/>
          <w:iCs/>
          <w:szCs w:val="24"/>
        </w:rPr>
        <w:t xml:space="preserve"> Two Solitudes</w:t>
      </w:r>
      <w:r w:rsidR="00273DD8" w:rsidRPr="001B6FE5">
        <w:rPr>
          <w:rFonts w:ascii="Arial Narrow" w:eastAsia="Times New Roman" w:hAnsi="Arial Narrow" w:cs="Arial"/>
          <w:iCs/>
          <w:szCs w:val="24"/>
        </w:rPr>
        <w:t>, the authors describe the Jewish predicament as ‘between a hammer an anvil: between landlord and serf, between Polish Catholic and Ukrainian and Muscovite Greek Orthodox, and between Pole and Muscovite.’</w:t>
      </w:r>
      <w:r w:rsidR="00273DD8" w:rsidRPr="001B6FE5">
        <w:rPr>
          <w:rFonts w:ascii="Arial Narrow" w:eastAsia="Times New Roman" w:hAnsi="Arial Narrow" w:cs="Arial"/>
          <w:iCs/>
          <w:szCs w:val="24"/>
          <w:vertAlign w:val="superscript"/>
        </w:rPr>
        <w:footnoteReference w:id="120"/>
      </w:r>
      <w:r w:rsidR="00273DD8" w:rsidRPr="001B6FE5">
        <w:rPr>
          <w:rFonts w:ascii="Arial Narrow" w:eastAsia="Times New Roman" w:hAnsi="Arial Narrow" w:cs="Arial"/>
          <w:iCs/>
          <w:szCs w:val="24"/>
        </w:rPr>
        <w:t xml:space="preserve"> Contrast this with the </w:t>
      </w:r>
      <w:r w:rsidR="006068E4">
        <w:rPr>
          <w:rFonts w:ascii="Arial Narrow" w:eastAsia="Times New Roman" w:hAnsi="Arial Narrow" w:cs="Arial"/>
          <w:i/>
          <w:iCs/>
          <w:szCs w:val="24"/>
        </w:rPr>
        <w:t>Economist</w:t>
      </w:r>
      <w:r w:rsidR="00273DD8" w:rsidRPr="001B6FE5">
        <w:rPr>
          <w:rFonts w:ascii="Arial Narrow" w:eastAsia="Times New Roman" w:hAnsi="Arial Narrow" w:cs="Arial"/>
          <w:i/>
          <w:iCs/>
          <w:szCs w:val="24"/>
        </w:rPr>
        <w:t>s</w:t>
      </w:r>
      <w:r w:rsidR="00273DD8" w:rsidRPr="001B6FE5">
        <w:rPr>
          <w:rFonts w:ascii="Arial Narrow" w:eastAsia="Times New Roman" w:hAnsi="Arial Narrow" w:cs="Arial"/>
          <w:iCs/>
          <w:szCs w:val="24"/>
        </w:rPr>
        <w:t xml:space="preserve"> </w:t>
      </w:r>
      <w:r w:rsidR="006068E4">
        <w:rPr>
          <w:rFonts w:ascii="Arial Narrow" w:eastAsia="Times New Roman" w:hAnsi="Arial Narrow" w:cs="Arial"/>
          <w:iCs/>
          <w:szCs w:val="24"/>
        </w:rPr>
        <w:t>1924 synopsis of Eastern Europe’</w:t>
      </w:r>
      <w:r w:rsidR="00273DD8" w:rsidRPr="001B6FE5">
        <w:rPr>
          <w:rFonts w:ascii="Arial Narrow" w:eastAsia="Times New Roman" w:hAnsi="Arial Narrow" w:cs="Arial"/>
          <w:iCs/>
          <w:szCs w:val="24"/>
        </w:rPr>
        <w:t>s ‘Great A</w:t>
      </w:r>
      <w:r w:rsidR="00CB565C">
        <w:rPr>
          <w:rFonts w:ascii="Arial Narrow" w:eastAsia="Times New Roman" w:hAnsi="Arial Narrow" w:cs="Arial"/>
          <w:iCs/>
          <w:szCs w:val="24"/>
        </w:rPr>
        <w:t>grarian Revolution’, where ‘on the whole, the change has been for the better, since agricultural and cattle-breeding are showing rapid signs of recovery…[as] before the reform, by far the greater part of large estates were leased to peasants and worked by their primitive methods.’</w:t>
      </w:r>
      <w:r w:rsidR="00CB565C">
        <w:rPr>
          <w:rStyle w:val="FootnoteReference"/>
          <w:rFonts w:ascii="Arial Narrow" w:eastAsia="Times New Roman" w:hAnsi="Arial Narrow" w:cs="Arial"/>
          <w:iCs/>
          <w:szCs w:val="24"/>
        </w:rPr>
        <w:footnoteReference w:id="121"/>
      </w:r>
      <w:r w:rsidR="00CB565C">
        <w:rPr>
          <w:rFonts w:ascii="Arial Narrow" w:eastAsia="Times New Roman" w:hAnsi="Arial Narrow" w:cs="Arial"/>
          <w:iCs/>
          <w:szCs w:val="24"/>
        </w:rPr>
        <w:t xml:space="preserve"> </w:t>
      </w:r>
      <w:r w:rsidR="00273DD8" w:rsidRPr="001B6FE5">
        <w:rPr>
          <w:rFonts w:ascii="Arial Narrow" w:eastAsia="Times New Roman" w:hAnsi="Arial Narrow" w:cs="Arial"/>
          <w:iCs/>
          <w:szCs w:val="24"/>
        </w:rPr>
        <w:t xml:space="preserve">The modernisation of east-Central Europe, despite later incursions, was a significant factor in interwar Europe, and it was largely successful in its implementation. The Second Polish Republic’s </w:t>
      </w:r>
      <w:r w:rsidR="00273DD8" w:rsidRPr="001B6FE5">
        <w:rPr>
          <w:rFonts w:ascii="Arial Narrow" w:eastAsia="Times New Roman" w:hAnsi="Arial Narrow" w:cs="Arial"/>
          <w:i/>
          <w:iCs/>
          <w:szCs w:val="24"/>
        </w:rPr>
        <w:t>Sejm</w:t>
      </w:r>
      <w:r w:rsidR="00273DD8" w:rsidRPr="001B6FE5">
        <w:rPr>
          <w:rFonts w:ascii="Arial Narrow" w:eastAsia="Times New Roman" w:hAnsi="Arial Narrow" w:cs="Arial"/>
          <w:iCs/>
          <w:szCs w:val="24"/>
        </w:rPr>
        <w:t xml:space="preserve">, under Dmowski’s </w:t>
      </w:r>
      <w:r w:rsidR="00273DD8" w:rsidRPr="001B6FE5">
        <w:rPr>
          <w:rFonts w:ascii="Arial Narrow" w:eastAsia="Times New Roman" w:hAnsi="Arial Narrow" w:cs="Arial"/>
          <w:i/>
          <w:iCs/>
          <w:szCs w:val="24"/>
        </w:rPr>
        <w:t>Endecja</w:t>
      </w:r>
      <w:r w:rsidR="00273DD8" w:rsidRPr="001B6FE5">
        <w:rPr>
          <w:rFonts w:ascii="Arial Narrow" w:eastAsia="Times New Roman" w:hAnsi="Arial Narrow" w:cs="Arial"/>
          <w:iCs/>
          <w:szCs w:val="24"/>
        </w:rPr>
        <w:t>,</w:t>
      </w:r>
      <w:r w:rsidR="00273DD8" w:rsidRPr="001B6FE5">
        <w:rPr>
          <w:rFonts w:ascii="Arial Narrow" w:eastAsia="Times New Roman" w:hAnsi="Arial Narrow" w:cs="Arial"/>
          <w:i/>
          <w:iCs/>
          <w:szCs w:val="24"/>
        </w:rPr>
        <w:t xml:space="preserve"> </w:t>
      </w:r>
      <w:r w:rsidR="00273DD8" w:rsidRPr="001B6FE5">
        <w:rPr>
          <w:rFonts w:ascii="Arial Narrow" w:eastAsia="Times New Roman" w:hAnsi="Arial Narrow" w:cs="Arial"/>
          <w:iCs/>
          <w:szCs w:val="24"/>
        </w:rPr>
        <w:t xml:space="preserve">attempted </w:t>
      </w:r>
      <w:r w:rsidR="00273DD8" w:rsidRPr="001B6FE5">
        <w:rPr>
          <w:rFonts w:ascii="Arial Narrow" w:eastAsia="Times New Roman" w:hAnsi="Arial Narrow" w:cs="Arial"/>
          <w:iCs/>
          <w:szCs w:val="24"/>
        </w:rPr>
        <w:lastRenderedPageBreak/>
        <w:t xml:space="preserve">an expansionist exclusive state (albeit with fourteen different administrations), which Pilsudski’s </w:t>
      </w:r>
      <w:r w:rsidR="00273DD8" w:rsidRPr="001B6FE5">
        <w:rPr>
          <w:rFonts w:ascii="Arial Narrow" w:eastAsia="Times New Roman" w:hAnsi="Arial Narrow" w:cs="Arial"/>
          <w:i/>
          <w:iCs/>
          <w:szCs w:val="24"/>
        </w:rPr>
        <w:t>Coup</w:t>
      </w:r>
      <w:r w:rsidR="00273DD8" w:rsidRPr="001B6FE5">
        <w:rPr>
          <w:rFonts w:ascii="Arial Narrow" w:eastAsia="Times New Roman" w:hAnsi="Arial Narrow" w:cs="Arial"/>
          <w:iCs/>
          <w:szCs w:val="24"/>
        </w:rPr>
        <w:t xml:space="preserve"> (1926) failed to over-turn. Soviet Russia’s industrialisation through collectivisation hit the </w:t>
      </w:r>
      <w:r w:rsidR="00273DD8" w:rsidRPr="001B6FE5">
        <w:rPr>
          <w:rFonts w:ascii="Arial Narrow" w:eastAsia="Times New Roman" w:hAnsi="Arial Narrow" w:cs="Arial"/>
          <w:i/>
          <w:iCs/>
          <w:szCs w:val="24"/>
        </w:rPr>
        <w:t>Kresy</w:t>
      </w:r>
      <w:r w:rsidR="00273DD8" w:rsidRPr="001B6FE5">
        <w:rPr>
          <w:rFonts w:ascii="Arial Narrow" w:eastAsia="Times New Roman" w:hAnsi="Arial Narrow" w:cs="Arial"/>
          <w:iCs/>
          <w:szCs w:val="24"/>
        </w:rPr>
        <w:t xml:space="preserve"> harder and sooner than most. For Ukraine ‘the year 1937 began with the year 1933’, and the peasantry and Jewish </w:t>
      </w:r>
      <w:r w:rsidR="006068E4">
        <w:rPr>
          <w:rFonts w:ascii="Arial Narrow" w:eastAsia="Times New Roman" w:hAnsi="Arial Narrow" w:cs="Arial"/>
          <w:i/>
          <w:iCs/>
          <w:szCs w:val="24"/>
        </w:rPr>
        <w:t>S</w:t>
      </w:r>
      <w:r w:rsidR="00273DD8" w:rsidRPr="001B6FE5">
        <w:rPr>
          <w:rFonts w:ascii="Arial Narrow" w:eastAsia="Times New Roman" w:hAnsi="Arial Narrow" w:cs="Arial"/>
          <w:i/>
          <w:iCs/>
          <w:szCs w:val="24"/>
        </w:rPr>
        <w:t>htetls</w:t>
      </w:r>
      <w:r w:rsidR="00273DD8" w:rsidRPr="001B6FE5">
        <w:rPr>
          <w:rFonts w:ascii="Arial Narrow" w:eastAsia="Times New Roman" w:hAnsi="Arial Narrow" w:cs="Arial"/>
          <w:iCs/>
          <w:szCs w:val="24"/>
        </w:rPr>
        <w:t xml:space="preserve"> were increasingly caught ‘between a hammer and the eagle.’</w:t>
      </w:r>
      <w:r w:rsidR="00273DD8" w:rsidRPr="001B6FE5">
        <w:rPr>
          <w:rFonts w:ascii="Arial Narrow" w:eastAsia="Times New Roman" w:hAnsi="Arial Narrow" w:cs="Arial"/>
          <w:iCs/>
          <w:szCs w:val="24"/>
          <w:vertAlign w:val="superscript"/>
        </w:rPr>
        <w:footnoteReference w:id="122"/>
      </w:r>
    </w:p>
    <w:p w:rsidR="00273DD8" w:rsidRPr="001B6FE5" w:rsidRDefault="00293BEA" w:rsidP="003D2CE4">
      <w:pPr>
        <w:tabs>
          <w:tab w:val="left" w:pos="567"/>
        </w:tabs>
        <w:spacing w:after="0" w:line="480" w:lineRule="auto"/>
        <w:jc w:val="both"/>
        <w:rPr>
          <w:rFonts w:ascii="Arial Narrow" w:eastAsia="Times New Roman" w:hAnsi="Arial Narrow" w:cs="Arial"/>
          <w:iCs/>
          <w:szCs w:val="24"/>
        </w:rPr>
      </w:pPr>
      <w:r>
        <w:rPr>
          <w:rFonts w:ascii="Arial Narrow" w:eastAsia="Times New Roman" w:hAnsi="Arial Narrow" w:cs="Arial"/>
          <w:iCs/>
          <w:szCs w:val="24"/>
        </w:rPr>
        <w:tab/>
      </w:r>
      <w:r w:rsidR="00273DD8" w:rsidRPr="001B6FE5">
        <w:rPr>
          <w:rFonts w:ascii="Arial Narrow" w:eastAsia="Times New Roman" w:hAnsi="Arial Narrow" w:cs="Arial"/>
          <w:iCs/>
          <w:szCs w:val="24"/>
        </w:rPr>
        <w:t xml:space="preserve">Brubaker makes a key point in understanding the ‘bricolage’ and ‘cultural scraps’ which make up ‘minorities’. The status of all minorities he suggests: ‘are…inscribed in the triadic nexus linking the minority communities </w:t>
      </w:r>
      <w:r w:rsidR="00273DD8" w:rsidRPr="001B6FE5">
        <w:rPr>
          <w:rFonts w:ascii="Arial Narrow" w:eastAsia="Times New Roman" w:hAnsi="Arial Narrow" w:cs="Arial"/>
          <w:i/>
          <w:iCs/>
          <w:szCs w:val="24"/>
        </w:rPr>
        <w:t>themselves</w:t>
      </w:r>
      <w:r w:rsidR="00273DD8" w:rsidRPr="001B6FE5">
        <w:rPr>
          <w:rFonts w:ascii="Arial Narrow" w:eastAsia="Times New Roman" w:hAnsi="Arial Narrow" w:cs="Arial"/>
          <w:iCs/>
          <w:szCs w:val="24"/>
        </w:rPr>
        <w:t xml:space="preserve">, the </w:t>
      </w:r>
      <w:r w:rsidR="00273DD8" w:rsidRPr="001B6FE5">
        <w:rPr>
          <w:rFonts w:ascii="Arial Narrow" w:eastAsia="Times New Roman" w:hAnsi="Arial Narrow" w:cs="Arial"/>
          <w:i/>
          <w:iCs/>
          <w:szCs w:val="24"/>
        </w:rPr>
        <w:t>states</w:t>
      </w:r>
      <w:r w:rsidR="00273DD8" w:rsidRPr="001B6FE5">
        <w:rPr>
          <w:rFonts w:ascii="Arial Narrow" w:eastAsia="Times New Roman" w:hAnsi="Arial Narrow" w:cs="Arial"/>
          <w:iCs/>
          <w:szCs w:val="24"/>
        </w:rPr>
        <w:t xml:space="preserve"> in which they live, and their external national “</w:t>
      </w:r>
      <w:r w:rsidR="00273DD8" w:rsidRPr="001B6FE5">
        <w:rPr>
          <w:rFonts w:ascii="Arial Narrow" w:eastAsia="Times New Roman" w:hAnsi="Arial Narrow" w:cs="Arial"/>
          <w:i/>
          <w:iCs/>
          <w:szCs w:val="24"/>
        </w:rPr>
        <w:t>homelands</w:t>
      </w:r>
      <w:r w:rsidR="00273DD8" w:rsidRPr="001B6FE5">
        <w:rPr>
          <w:rFonts w:ascii="Arial Narrow" w:eastAsia="Times New Roman" w:hAnsi="Arial Narrow" w:cs="Arial"/>
          <w:iCs/>
          <w:szCs w:val="24"/>
        </w:rPr>
        <w:t xml:space="preserve">”’ [my </w:t>
      </w:r>
      <w:r w:rsidR="00273DD8" w:rsidRPr="001B6FE5">
        <w:rPr>
          <w:rFonts w:ascii="Arial Narrow" w:eastAsia="Times New Roman" w:hAnsi="Arial Narrow" w:cs="Arial"/>
          <w:i/>
          <w:iCs/>
          <w:szCs w:val="24"/>
        </w:rPr>
        <w:t>italics</w:t>
      </w:r>
      <w:r w:rsidR="00273DD8" w:rsidRPr="001B6FE5">
        <w:rPr>
          <w:rFonts w:ascii="Arial Narrow" w:eastAsia="Times New Roman" w:hAnsi="Arial Narrow" w:cs="Arial"/>
          <w:iCs/>
          <w:szCs w:val="24"/>
        </w:rPr>
        <w:t>].</w:t>
      </w:r>
      <w:r w:rsidR="00273DD8" w:rsidRPr="001B6FE5">
        <w:rPr>
          <w:rFonts w:ascii="Arial Narrow" w:eastAsia="Times New Roman" w:hAnsi="Arial Narrow" w:cs="Arial"/>
          <w:iCs/>
          <w:szCs w:val="24"/>
          <w:vertAlign w:val="superscript"/>
        </w:rPr>
        <w:footnoteReference w:id="123"/>
      </w:r>
      <w:r w:rsidR="00273DD8" w:rsidRPr="001B6FE5">
        <w:rPr>
          <w:rFonts w:ascii="Arial Narrow" w:eastAsia="Times New Roman" w:hAnsi="Arial Narrow" w:cs="Arial"/>
          <w:iCs/>
          <w:szCs w:val="24"/>
        </w:rPr>
        <w:t xml:space="preserve"> In the Volchansky district, during the famine-stricken spring of 1933, Kopelev recalls visiting ‘several Russian villages’ (which for several centuries had been neighbou</w:t>
      </w:r>
      <w:r w:rsidR="002B7229">
        <w:rPr>
          <w:rFonts w:ascii="Arial Narrow" w:eastAsia="Times New Roman" w:hAnsi="Arial Narrow" w:cs="Arial"/>
          <w:iCs/>
          <w:szCs w:val="24"/>
        </w:rPr>
        <w:t>rs with their fellow ‘Ukrainian</w:t>
      </w:r>
      <w:r w:rsidR="00273DD8" w:rsidRPr="001B6FE5">
        <w:rPr>
          <w:rFonts w:ascii="Arial Narrow" w:eastAsia="Times New Roman" w:hAnsi="Arial Narrow" w:cs="Arial"/>
          <w:iCs/>
          <w:szCs w:val="24"/>
        </w:rPr>
        <w:t>s</w:t>
      </w:r>
      <w:r w:rsidR="002B7229">
        <w:rPr>
          <w:rFonts w:ascii="Arial Narrow" w:eastAsia="Times New Roman" w:hAnsi="Arial Narrow" w:cs="Arial"/>
          <w:iCs/>
          <w:szCs w:val="24"/>
        </w:rPr>
        <w:t>’</w:t>
      </w:r>
      <w:r w:rsidR="00273DD8" w:rsidRPr="001B6FE5">
        <w:rPr>
          <w:rFonts w:ascii="Arial Narrow" w:eastAsia="Times New Roman" w:hAnsi="Arial Narrow" w:cs="Arial"/>
          <w:iCs/>
          <w:szCs w:val="24"/>
        </w:rPr>
        <w:t xml:space="preserve">), where a ‘pallid, edema-swollen’ peasant woman would not permit her son to </w:t>
      </w:r>
      <w:r w:rsidR="002B7229">
        <w:rPr>
          <w:rFonts w:ascii="Arial Narrow" w:eastAsia="Times New Roman" w:hAnsi="Arial Narrow" w:cs="Arial"/>
          <w:iCs/>
          <w:szCs w:val="24"/>
        </w:rPr>
        <w:t>marry a young Ukrainian woman: “</w:t>
      </w:r>
      <w:r w:rsidR="00273DD8" w:rsidRPr="001B6FE5">
        <w:rPr>
          <w:rFonts w:ascii="Arial Narrow" w:eastAsia="Times New Roman" w:hAnsi="Arial Narrow" w:cs="Arial"/>
          <w:iCs/>
          <w:szCs w:val="24"/>
        </w:rPr>
        <w:t>I won’t let that Uke girl in my cabin – she’s unkept, unkempt; unclean. It’s all show with them: they whitewash their huts and dress up on holidays. Just like gypsies. But take a look under their ribbons, their beads, and what do you find? Lice and nits besides.  Not a single bathhouse for the whole village.” Not surprisingly, in a nearby Ukrainian village he hears the following: “If my son takes a Russky girl, he can go and live in the home of his father-in-law. I swear I won’t live under the same roof with her. Those Russkies live like pigs: their huts aren’t whitewashed, never swept, cockroaches everywhere, bedbugs. Their main claim to fame is that they all go running to the bathhouse every Saturday. Big deal; they whip themselves like madmen and then sleep in the filth again.’</w:t>
      </w:r>
      <w:r w:rsidR="00273DD8" w:rsidRPr="001B6FE5">
        <w:rPr>
          <w:rFonts w:ascii="Arial Narrow" w:eastAsia="Times New Roman" w:hAnsi="Arial Narrow" w:cs="Arial"/>
          <w:iCs/>
          <w:szCs w:val="24"/>
          <w:vertAlign w:val="superscript"/>
        </w:rPr>
        <w:footnoteReference w:id="124"/>
      </w:r>
      <w:r w:rsidR="00273DD8" w:rsidRPr="001B6FE5">
        <w:rPr>
          <w:rFonts w:ascii="Arial Narrow" w:eastAsia="Times New Roman" w:hAnsi="Arial Narrow" w:cs="Arial"/>
          <w:iCs/>
          <w:szCs w:val="24"/>
        </w:rPr>
        <w:t xml:space="preserve"> Such an identity is familiar and not national, it is firmly situated in ‘the Idols of the Cave” and not traced upon the idea’s of ‘learned men’ or the ‘dogmas of philosophers’. </w:t>
      </w: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lastRenderedPageBreak/>
        <w:t>Externally, peasant political parties throughout the region propagated action in the so-called “Green International.” The appellation was an alternative to the “Red International” of communism and the “White International” of landlords and capitalists. The borderland regions were still characterised by a ‘low degree of ethnoterritorial identification and a high degree of indifference’, and an awareness of the international interests in commodity prices and exchange rates were therefore correspondingly patchy. The peasantry understood that there were external pressures but, just as in the more modernised western states, they also either chose to ignore the warnings or were unable to implement reforms in time.</w:t>
      </w:r>
      <w:r w:rsidRPr="001B6FE5">
        <w:rPr>
          <w:rFonts w:ascii="Arial Narrow" w:eastAsia="Times New Roman" w:hAnsi="Arial Narrow" w:cs="Arial"/>
          <w:iCs/>
          <w:szCs w:val="24"/>
          <w:vertAlign w:val="superscript"/>
        </w:rPr>
        <w:footnoteReference w:id="125"/>
      </w:r>
      <w:r w:rsidRPr="001B6FE5">
        <w:rPr>
          <w:rFonts w:ascii="Arial Narrow" w:eastAsia="Times New Roman" w:hAnsi="Arial Narrow" w:cs="Arial"/>
          <w:szCs w:val="24"/>
        </w:rPr>
        <w:t xml:space="preserve"> In Poland large scale peasant rebellions increased during the 1930s, with 40,000 to 50,000 gathered in Kolbuszowa, a town of just 4,000 (fifty per cent Jewish). There, they were protesting against – and boycotting - the marketplace, in favour of their own cooperatives. The Warsaw government and the catholic hierarchy ‘muttered darkly about the Jewish problem’ and the need to ‘regain control of the economy.’</w:t>
      </w:r>
      <w:r w:rsidRPr="001B6FE5">
        <w:rPr>
          <w:rFonts w:ascii="Arial Narrow" w:eastAsia="Times New Roman" w:hAnsi="Arial Narrow" w:cs="Arial"/>
          <w:szCs w:val="24"/>
          <w:vertAlign w:val="superscript"/>
        </w:rPr>
        <w:footnoteReference w:id="126"/>
      </w:r>
      <w:r w:rsidRPr="001B6FE5">
        <w:rPr>
          <w:rFonts w:ascii="Arial Narrow" w:eastAsia="Times New Roman" w:hAnsi="Arial Narrow" w:cs="Arial"/>
          <w:szCs w:val="24"/>
        </w:rPr>
        <w:t xml:space="preserve"> However, Peasant politicians often used the requisite language but did not have the impetus to carry out reforms. Roumanian politicians exemplified this approach. They stated that: ‘the program of the newly created National Peasant Party in Rumania pledges…to "propagate the principles of a decentralization of administration and local autonomy within the framework of the political unity of the State as a whole.”’</w:t>
      </w:r>
      <w:r w:rsidRPr="001B6FE5">
        <w:rPr>
          <w:rFonts w:ascii="Arial Narrow" w:eastAsia="Times New Roman" w:hAnsi="Arial Narrow" w:cs="Arial"/>
          <w:szCs w:val="24"/>
          <w:vertAlign w:val="superscript"/>
        </w:rPr>
        <w:footnoteReference w:id="127"/>
      </w:r>
      <w:r w:rsidRPr="001B6FE5">
        <w:rPr>
          <w:rFonts w:ascii="Arial Narrow" w:eastAsia="Times New Roman" w:hAnsi="Arial Narrow" w:cs="Arial"/>
          <w:szCs w:val="24"/>
        </w:rPr>
        <w:t xml:space="preserve"> A worthy example of modern ‘spinning’ techniques. Roumanian nationalism had evolved from a prewar movement, organizing on behalf of its extra-territorial population, into a Kingdom satiated with its acquisitions (Banat, Bukovina, Maramures, Bessarabia and Transylvania), with the impetus and “revolutionary ethos” that this new-found political union garnered. (Fig. 15) The</w:t>
      </w:r>
      <w:r w:rsidR="003156AF">
        <w:rPr>
          <w:rFonts w:ascii="Arial Narrow" w:eastAsia="Times New Roman" w:hAnsi="Arial Narrow" w:cs="Arial"/>
          <w:szCs w:val="24"/>
        </w:rPr>
        <w:t xml:space="preserve"> National Peasant Party (1926), a fusion of several failed smaller peasant groups, (who gained a 75% majority at the ‘freest’ elections held in interwar Romania a year later) was only ‘successful’ in accelerating the impoverishment of small holders.</w:t>
      </w:r>
      <w:r w:rsidR="003156AF">
        <w:rPr>
          <w:rStyle w:val="FootnoteReference"/>
          <w:rFonts w:ascii="Arial Narrow" w:eastAsia="Times New Roman" w:hAnsi="Arial Narrow" w:cs="Arial"/>
          <w:szCs w:val="24"/>
        </w:rPr>
        <w:footnoteReference w:id="128"/>
      </w:r>
      <w:r w:rsidR="003156AF">
        <w:rPr>
          <w:rFonts w:ascii="Arial Narrow" w:eastAsia="Times New Roman" w:hAnsi="Arial Narrow" w:cs="Arial"/>
          <w:szCs w:val="24"/>
        </w:rPr>
        <w:t xml:space="preserve"> </w:t>
      </w:r>
      <w:r w:rsidRPr="001B6FE5">
        <w:rPr>
          <w:rFonts w:ascii="Arial Narrow" w:eastAsia="Times New Roman" w:hAnsi="Arial Narrow" w:cs="Arial"/>
          <w:szCs w:val="24"/>
        </w:rPr>
        <w:t xml:space="preserve">There was also a particularly strong anti-modernism in Romania and its roots were evident in a recurring theme across east-Central Europe, an ideology which emerged most especially from the </w:t>
      </w:r>
      <w:r w:rsidR="00924A58">
        <w:rPr>
          <w:rFonts w:ascii="Arial Narrow" w:eastAsia="Times New Roman" w:hAnsi="Arial Narrow" w:cs="Arial"/>
          <w:i/>
          <w:szCs w:val="24"/>
        </w:rPr>
        <w:t>N</w:t>
      </w:r>
      <w:r w:rsidRPr="001B6FE5">
        <w:rPr>
          <w:rFonts w:ascii="Arial Narrow" w:eastAsia="Times New Roman" w:hAnsi="Arial Narrow" w:cs="Arial"/>
          <w:i/>
          <w:szCs w:val="24"/>
        </w:rPr>
        <w:t>arodnyks</w:t>
      </w:r>
      <w:r w:rsidRPr="001B6FE5">
        <w:rPr>
          <w:rFonts w:ascii="Arial Narrow" w:eastAsia="Times New Roman" w:hAnsi="Arial Narrow" w:cs="Arial"/>
          <w:szCs w:val="24"/>
        </w:rPr>
        <w:t xml:space="preserve"> in Tsarist Russia and morphed, later on, into similar German </w:t>
      </w:r>
      <w:r w:rsidR="00924A58">
        <w:rPr>
          <w:rFonts w:ascii="Arial Narrow" w:eastAsia="Times New Roman" w:hAnsi="Arial Narrow" w:cs="Arial"/>
          <w:i/>
          <w:szCs w:val="24"/>
        </w:rPr>
        <w:lastRenderedPageBreak/>
        <w:t>V</w:t>
      </w:r>
      <w:r w:rsidR="00791894" w:rsidRPr="00791894">
        <w:rPr>
          <w:rFonts w:ascii="Arial Narrow" w:eastAsia="Times New Roman" w:hAnsi="Arial Narrow" w:cs="Arial"/>
          <w:i/>
          <w:szCs w:val="24"/>
        </w:rPr>
        <w:t>ö</w:t>
      </w:r>
      <w:r w:rsidRPr="001B6FE5">
        <w:rPr>
          <w:rFonts w:ascii="Arial Narrow" w:eastAsia="Times New Roman" w:hAnsi="Arial Narrow" w:cs="Arial"/>
          <w:i/>
          <w:szCs w:val="24"/>
        </w:rPr>
        <w:t>lkisch</w:t>
      </w:r>
      <w:r w:rsidRPr="001B6FE5">
        <w:rPr>
          <w:rFonts w:ascii="Arial Narrow" w:eastAsia="Times New Roman" w:hAnsi="Arial Narrow" w:cs="Arial"/>
          <w:szCs w:val="24"/>
        </w:rPr>
        <w:t xml:space="preserve"> or Hungarian </w:t>
      </w:r>
      <w:r w:rsidR="00924A58">
        <w:rPr>
          <w:rFonts w:ascii="Arial Narrow" w:eastAsia="Times New Roman" w:hAnsi="Arial Narrow" w:cs="Arial"/>
          <w:i/>
          <w:szCs w:val="24"/>
        </w:rPr>
        <w:t>N</w:t>
      </w:r>
      <w:r w:rsidRPr="001B6FE5">
        <w:rPr>
          <w:rFonts w:ascii="Arial Narrow" w:eastAsia="Times New Roman" w:hAnsi="Arial Narrow" w:cs="Arial"/>
          <w:i/>
          <w:szCs w:val="24"/>
        </w:rPr>
        <w:t>epies</w:t>
      </w:r>
      <w:r w:rsidRPr="001B6FE5">
        <w:rPr>
          <w:rFonts w:ascii="Arial Narrow" w:eastAsia="Times New Roman" w:hAnsi="Arial Narrow" w:cs="Arial"/>
          <w:szCs w:val="24"/>
        </w:rPr>
        <w:t xml:space="preserve"> movements. The national struggle was serialised as a ‘clash between [Romanian] culture and the Semitic’ in a syllogistic proposition which went: ‘modernity is foreign to national culture; the foreigner is the Semite par excellence, therefore anything modern was likely to be Semitic.’</w:t>
      </w:r>
      <w:r w:rsidRPr="001B6FE5">
        <w:rPr>
          <w:rFonts w:ascii="Arial Narrow" w:eastAsia="Times New Roman" w:hAnsi="Arial Narrow" w:cs="Arial"/>
          <w:szCs w:val="24"/>
          <w:vertAlign w:val="superscript"/>
        </w:rPr>
        <w:footnoteReference w:id="129"/>
      </w:r>
      <w:r w:rsidR="008D4CD6">
        <w:rPr>
          <w:rFonts w:ascii="Arial Narrow" w:eastAsia="Times New Roman" w:hAnsi="Arial Narrow" w:cs="Arial"/>
          <w:szCs w:val="24"/>
        </w:rPr>
        <w:t xml:space="preserve">  </w:t>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drawing>
          <wp:inline distT="0" distB="0" distL="0" distR="0" wp14:anchorId="7293BADE" wp14:editId="2874BEE0">
            <wp:extent cx="5485582" cy="3895725"/>
            <wp:effectExtent l="0" t="0" r="1270" b="0"/>
            <wp:docPr id="16" name="Picture 16" descr="depressed eur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epressed europ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86400" cy="3896306"/>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Fig. 15 Political and economic developments in interwar East-Central Europe.</w:t>
      </w:r>
    </w:p>
    <w:p w:rsidR="00C12CD2" w:rsidRDefault="00C12CD2" w:rsidP="003D2CE4">
      <w:pPr>
        <w:keepNext/>
        <w:spacing w:after="0" w:line="480" w:lineRule="auto"/>
        <w:jc w:val="both"/>
        <w:rPr>
          <w:rFonts w:ascii="Arial Narrow" w:eastAsia="Times New Roman" w:hAnsi="Arial Narrow" w:cs="Arial"/>
          <w:szCs w:val="24"/>
        </w:rPr>
      </w:pP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szCs w:val="24"/>
        </w:rPr>
        <w:t xml:space="preserve">Razvan Paraianu describes this ‘movement’ as an ‘idealist </w:t>
      </w:r>
      <w:r w:rsidRPr="001B6FE5">
        <w:rPr>
          <w:rFonts w:ascii="Arial Narrow" w:eastAsia="Times New Roman" w:hAnsi="Arial Narrow" w:cs="Arial"/>
          <w:i/>
          <w:szCs w:val="24"/>
        </w:rPr>
        <w:t>Weltanschauung</w:t>
      </w:r>
      <w:r w:rsidRPr="001B6FE5">
        <w:rPr>
          <w:rFonts w:ascii="Arial Narrow" w:eastAsia="Times New Roman" w:hAnsi="Arial Narrow" w:cs="Arial"/>
          <w:szCs w:val="24"/>
        </w:rPr>
        <w:t>’ within which intellectuals became ‘acquainted with…</w:t>
      </w:r>
      <w:r w:rsidR="00791894">
        <w:rPr>
          <w:rFonts w:ascii="Arial Narrow" w:eastAsia="Times New Roman" w:hAnsi="Arial Narrow" w:cs="Arial"/>
          <w:i/>
          <w:szCs w:val="24"/>
        </w:rPr>
        <w:t>V</w:t>
      </w:r>
      <w:r w:rsidR="00791894" w:rsidRPr="006068E4">
        <w:rPr>
          <w:rFonts w:ascii="Arial Narrow" w:eastAsia="Times New Roman" w:hAnsi="Arial Narrow" w:cs="Arial"/>
          <w:i/>
          <w:szCs w:val="24"/>
        </w:rPr>
        <w:t>o</w:t>
      </w:r>
      <w:r w:rsidR="00791894" w:rsidRPr="001B6FE5">
        <w:rPr>
          <w:rFonts w:ascii="Arial Narrow" w:eastAsia="Times New Roman" w:hAnsi="Arial Narrow" w:cs="Arial"/>
          <w:i/>
          <w:szCs w:val="24"/>
        </w:rPr>
        <w:t>lkisch</w:t>
      </w:r>
      <w:r w:rsidRPr="001B6FE5">
        <w:rPr>
          <w:rFonts w:ascii="Arial Narrow" w:eastAsia="Times New Roman" w:hAnsi="Arial Narrow" w:cs="Arial"/>
          <w:szCs w:val="24"/>
        </w:rPr>
        <w:t xml:space="preserve"> ideology, Social Darwinism, Wagnerian mythology, Nietzschean philosophy’, an attempt at “togetherness” rather than the “loneliness” of the modern world.</w:t>
      </w:r>
      <w:r w:rsidRPr="001B6FE5">
        <w:rPr>
          <w:rFonts w:ascii="Arial Narrow" w:eastAsia="Times New Roman" w:hAnsi="Arial Narrow" w:cs="Arial"/>
          <w:szCs w:val="24"/>
          <w:vertAlign w:val="superscript"/>
        </w:rPr>
        <w:footnoteReference w:id="130"/>
      </w:r>
      <w:r w:rsidRPr="001B6FE5">
        <w:rPr>
          <w:rFonts w:ascii="Arial Narrow" w:eastAsia="Times New Roman" w:hAnsi="Arial Narrow" w:cs="Arial"/>
          <w:szCs w:val="24"/>
        </w:rPr>
        <w:t xml:space="preserve"> Here indeed are the “Idols of the Market Place”, forlornly gazing upon the “Idols of the Theatre”. </w:t>
      </w:r>
    </w:p>
    <w:p w:rsidR="008D4CD6" w:rsidRDefault="008D4CD6" w:rsidP="003D2CE4">
      <w:pPr>
        <w:spacing w:after="0" w:line="480" w:lineRule="auto"/>
        <w:ind w:left="3600"/>
        <w:jc w:val="both"/>
        <w:rPr>
          <w:rFonts w:ascii="Times New Roman" w:eastAsia="Times New Roman" w:hAnsi="Times New Roman" w:cs="Times New Roman"/>
          <w:b/>
          <w:iCs/>
          <w:szCs w:val="24"/>
        </w:rPr>
      </w:pPr>
    </w:p>
    <w:p w:rsidR="008D4CD6" w:rsidRDefault="008D4CD6" w:rsidP="003D2CE4">
      <w:pPr>
        <w:spacing w:after="0" w:line="480" w:lineRule="auto"/>
        <w:ind w:left="3600"/>
        <w:jc w:val="both"/>
        <w:rPr>
          <w:rFonts w:ascii="Times New Roman" w:eastAsia="Times New Roman" w:hAnsi="Times New Roman" w:cs="Times New Roman"/>
          <w:b/>
          <w:iCs/>
          <w:szCs w:val="24"/>
        </w:rPr>
      </w:pPr>
    </w:p>
    <w:p w:rsidR="008D4CD6" w:rsidRDefault="008D4CD6" w:rsidP="003D2CE4">
      <w:pPr>
        <w:spacing w:after="0" w:line="480" w:lineRule="auto"/>
        <w:ind w:left="3600"/>
        <w:jc w:val="both"/>
        <w:rPr>
          <w:rFonts w:ascii="Times New Roman" w:eastAsia="Times New Roman" w:hAnsi="Times New Roman" w:cs="Times New Roman"/>
          <w:b/>
          <w:iCs/>
          <w:szCs w:val="24"/>
        </w:rPr>
      </w:pPr>
    </w:p>
    <w:p w:rsidR="00273DD8" w:rsidRPr="00D65758" w:rsidRDefault="00206096" w:rsidP="003D2CE4">
      <w:pPr>
        <w:spacing w:after="0" w:line="480" w:lineRule="auto"/>
        <w:ind w:left="3600"/>
        <w:jc w:val="both"/>
        <w:rPr>
          <w:rFonts w:ascii="Times New Roman" w:eastAsia="Times New Roman" w:hAnsi="Times New Roman" w:cs="Times New Roman"/>
          <w:b/>
          <w:iCs/>
          <w:szCs w:val="24"/>
        </w:rPr>
      </w:pPr>
      <w:r>
        <w:rPr>
          <w:rFonts w:ascii="Times New Roman" w:eastAsia="Times New Roman" w:hAnsi="Times New Roman" w:cs="Times New Roman"/>
          <w:b/>
          <w:iCs/>
          <w:szCs w:val="24"/>
        </w:rPr>
        <w:lastRenderedPageBreak/>
        <w:t xml:space="preserve">    </w:t>
      </w:r>
      <w:r w:rsidR="00273DD8" w:rsidRPr="00D65758">
        <w:rPr>
          <w:rFonts w:ascii="Times New Roman" w:eastAsia="Times New Roman" w:hAnsi="Times New Roman" w:cs="Times New Roman"/>
          <w:b/>
          <w:iCs/>
          <w:szCs w:val="24"/>
        </w:rPr>
        <w:t>IV</w:t>
      </w:r>
    </w:p>
    <w:p w:rsidR="00273DD8" w:rsidRPr="00206096" w:rsidRDefault="00206096" w:rsidP="003D2CE4">
      <w:pPr>
        <w:spacing w:after="0" w:line="480" w:lineRule="auto"/>
        <w:ind w:left="1440"/>
        <w:jc w:val="both"/>
        <w:rPr>
          <w:rFonts w:ascii="Arial Narrow" w:eastAsia="Times New Roman" w:hAnsi="Arial Narrow" w:cs="Arial"/>
          <w:szCs w:val="24"/>
          <w:u w:val="single"/>
        </w:rPr>
      </w:pPr>
      <w:r>
        <w:rPr>
          <w:rFonts w:ascii="Arial Narrow" w:eastAsia="Times New Roman" w:hAnsi="Arial Narrow" w:cs="Arial"/>
          <w:b/>
          <w:iCs/>
          <w:szCs w:val="24"/>
        </w:rPr>
        <w:t xml:space="preserve">      </w:t>
      </w:r>
      <w:r w:rsidR="00273DD8" w:rsidRPr="00206096">
        <w:rPr>
          <w:rFonts w:ascii="Arial Narrow" w:eastAsia="Times New Roman" w:hAnsi="Arial Narrow" w:cs="Arial"/>
          <w:b/>
          <w:iCs/>
          <w:szCs w:val="24"/>
          <w:u w:val="single"/>
        </w:rPr>
        <w:t xml:space="preserve">Shtetls, Peasants and change: towards the un-tasted fruit. </w:t>
      </w:r>
    </w:p>
    <w:p w:rsidR="00273DD8" w:rsidRPr="001B6FE5" w:rsidRDefault="009B7CB6" w:rsidP="003D2CE4">
      <w:pPr>
        <w:spacing w:after="0" w:line="480" w:lineRule="auto"/>
        <w:ind w:firstLine="720"/>
        <w:jc w:val="both"/>
        <w:rPr>
          <w:rFonts w:ascii="Arial Narrow" w:eastAsia="Times New Roman" w:hAnsi="Arial Narrow" w:cs="Arial"/>
          <w:szCs w:val="24"/>
        </w:rPr>
      </w:pPr>
      <w:r>
        <w:rPr>
          <w:rFonts w:ascii="Arial Narrow" w:eastAsia="Times New Roman" w:hAnsi="Arial Narrow" w:cs="Arial"/>
          <w:szCs w:val="24"/>
        </w:rPr>
        <w:t xml:space="preserve">This chapter will focus upon outside accounts of the region, simultaneously reviewing the political and economic events which drew all of Europe </w:t>
      </w:r>
      <w:r w:rsidR="006E09D8">
        <w:rPr>
          <w:rFonts w:ascii="Arial Narrow" w:eastAsia="Times New Roman" w:hAnsi="Arial Narrow" w:cs="Arial"/>
          <w:szCs w:val="24"/>
        </w:rPr>
        <w:t>both closer together and increasingly</w:t>
      </w:r>
      <w:r w:rsidR="003A6532">
        <w:rPr>
          <w:rFonts w:ascii="Arial Narrow" w:eastAsia="Times New Roman" w:hAnsi="Arial Narrow" w:cs="Arial"/>
          <w:szCs w:val="24"/>
        </w:rPr>
        <w:t>,</w:t>
      </w:r>
      <w:r w:rsidR="006E09D8">
        <w:rPr>
          <w:rFonts w:ascii="Arial Narrow" w:eastAsia="Times New Roman" w:hAnsi="Arial Narrow" w:cs="Arial"/>
          <w:szCs w:val="24"/>
        </w:rPr>
        <w:t xml:space="preserve"> diametrically opposed. Individual reminiscences will draw upon memories </w:t>
      </w:r>
      <w:r w:rsidR="0018795E">
        <w:rPr>
          <w:rFonts w:ascii="Arial Narrow" w:eastAsia="Times New Roman" w:hAnsi="Arial Narrow" w:cs="Arial"/>
          <w:szCs w:val="24"/>
        </w:rPr>
        <w:t>that, al</w:t>
      </w:r>
      <w:r w:rsidR="006E09D8">
        <w:rPr>
          <w:rFonts w:ascii="Arial Narrow" w:eastAsia="Times New Roman" w:hAnsi="Arial Narrow" w:cs="Arial"/>
          <w:szCs w:val="24"/>
        </w:rPr>
        <w:t xml:space="preserve">though touched by subsequent events, often illicit events which on reflection, reveal more than contemporary accounts are able to provide. </w:t>
      </w:r>
      <w:r w:rsidR="00273DD8" w:rsidRPr="001B6FE5">
        <w:rPr>
          <w:rFonts w:ascii="Arial Narrow" w:eastAsia="Times New Roman" w:hAnsi="Arial Narrow" w:cs="Arial"/>
          <w:szCs w:val="24"/>
        </w:rPr>
        <w:t xml:space="preserve">Elie Wiesel was born in the </w:t>
      </w:r>
      <w:r w:rsidR="00301646">
        <w:rPr>
          <w:rFonts w:ascii="Arial Narrow" w:eastAsia="Times New Roman" w:hAnsi="Arial Narrow" w:cs="Arial"/>
          <w:i/>
          <w:szCs w:val="24"/>
        </w:rPr>
        <w:t>S</w:t>
      </w:r>
      <w:r w:rsidR="00273DD8" w:rsidRPr="001B6FE5">
        <w:rPr>
          <w:rFonts w:ascii="Arial Narrow" w:eastAsia="Times New Roman" w:hAnsi="Arial Narrow" w:cs="Arial"/>
          <w:i/>
          <w:szCs w:val="24"/>
        </w:rPr>
        <w:t>htetl</w:t>
      </w:r>
      <w:r w:rsidR="00273DD8" w:rsidRPr="001B6FE5">
        <w:rPr>
          <w:rFonts w:ascii="Arial Narrow" w:eastAsia="Times New Roman" w:hAnsi="Arial Narrow" w:cs="Arial"/>
          <w:szCs w:val="24"/>
        </w:rPr>
        <w:t xml:space="preserve"> of Sighet Marmatei (1928), which had been a small regional capital in the North-Eastern corner of Austria-Hungary, but ‘reverted to Transylvania and the postwar’ enlarged Kingdom of Romania. Two million Magyars were therefore added to Romania - a subject for festering irredentism amongst Hungarians - as well as approximately 800,000 Jews, whom Crown Prince Michael of Romania regarded as ‘Galician’, consisting mainly of ‘petty tradesmen and small money-lenders.’</w:t>
      </w:r>
      <w:r w:rsidR="00273DD8" w:rsidRPr="001B6FE5">
        <w:rPr>
          <w:rFonts w:ascii="Arial Narrow" w:eastAsia="Times New Roman" w:hAnsi="Arial Narrow" w:cs="Arial"/>
          <w:szCs w:val="24"/>
          <w:vertAlign w:val="superscript"/>
        </w:rPr>
        <w:footnoteReference w:id="131"/>
      </w:r>
      <w:r w:rsidR="00273DD8" w:rsidRPr="001B6FE5">
        <w:rPr>
          <w:rFonts w:ascii="Arial Narrow" w:eastAsia="Times New Roman" w:hAnsi="Arial Narrow" w:cs="Arial"/>
          <w:szCs w:val="24"/>
        </w:rPr>
        <w:t xml:space="preserve"> ‘Revisionist’ Hungarian children, ‘within’ and ‘without’ their mutilated state, were drilled in the mantra: “Hungary truncated is not a country; Hungary intact is the divine will.”</w:t>
      </w:r>
      <w:r w:rsidR="00273DD8" w:rsidRPr="001B6FE5">
        <w:rPr>
          <w:rFonts w:ascii="Arial Narrow" w:eastAsia="Times New Roman" w:hAnsi="Arial Narrow" w:cs="Arial"/>
          <w:szCs w:val="24"/>
          <w:vertAlign w:val="superscript"/>
        </w:rPr>
        <w:footnoteReference w:id="132"/>
      </w:r>
      <w:r w:rsidR="00273DD8" w:rsidRPr="001B6FE5">
        <w:rPr>
          <w:rFonts w:ascii="Arial Narrow" w:eastAsia="Times New Roman" w:hAnsi="Arial Narrow" w:cs="Arial"/>
          <w:szCs w:val="24"/>
        </w:rPr>
        <w:t xml:space="preserve"> Indeed, Wiesel later recalls having to ‘learn the Hungarian national anthem overnight’, this following the Second Vienna Award in 1940. His recollections on language illustrate the complex ethnolinguistics which existed in this largely Jewish border town. Yiddish predominated, which suggests this was a largely Hasidic community (Yiddish is still taught today amongst this particular Jewish sect), but he also spoke ‘German, Romanian, and Hungarian’, whilst in the family store, ‘you might also hear Ruthenian, Ukrainian and Russian.’ He admits ‘you need to be a polyglot to communicate with the peasants’ - shades of Lev Kopelev’s youthful infatuation with Esperanto here – adding that just a few words would often do as ‘most of our customers could get along in Yiddish.’</w:t>
      </w:r>
      <w:r w:rsidR="00273DD8" w:rsidRPr="001B6FE5">
        <w:rPr>
          <w:rFonts w:ascii="Arial Narrow" w:eastAsia="Times New Roman" w:hAnsi="Arial Narrow" w:cs="Arial"/>
          <w:szCs w:val="24"/>
          <w:vertAlign w:val="superscript"/>
        </w:rPr>
        <w:footnoteReference w:id="133"/>
      </w:r>
      <w:r w:rsidR="00273DD8" w:rsidRPr="001B6FE5">
        <w:rPr>
          <w:rFonts w:ascii="Arial Narrow" w:eastAsia="Times New Roman" w:hAnsi="Arial Narrow" w:cs="Arial"/>
          <w:szCs w:val="24"/>
        </w:rPr>
        <w:t xml:space="preserve"> In Poland – in the ex-Austrian province of west Galicia – Jewish shopkeepers looked back to “the golden times”, whilst  those in the </w:t>
      </w:r>
      <w:r w:rsidR="001F1C2E">
        <w:rPr>
          <w:rFonts w:ascii="Arial Narrow" w:eastAsia="Times New Roman" w:hAnsi="Arial Narrow" w:cs="Arial"/>
          <w:i/>
          <w:szCs w:val="24"/>
        </w:rPr>
        <w:t>S</w:t>
      </w:r>
      <w:r w:rsidR="00273DD8" w:rsidRPr="001B6FE5">
        <w:rPr>
          <w:rFonts w:ascii="Arial Narrow" w:eastAsia="Times New Roman" w:hAnsi="Arial Narrow" w:cs="Arial"/>
          <w:i/>
          <w:szCs w:val="24"/>
        </w:rPr>
        <w:t>htetls</w:t>
      </w:r>
      <w:r w:rsidR="00273DD8" w:rsidRPr="001B6FE5">
        <w:rPr>
          <w:rFonts w:ascii="Arial Narrow" w:eastAsia="Times New Roman" w:hAnsi="Arial Narrow" w:cs="Arial"/>
          <w:szCs w:val="24"/>
        </w:rPr>
        <w:t xml:space="preserve">, who had had the strongest ties with the Austrian ‘Polish peasantry’, </w:t>
      </w:r>
      <w:r w:rsidR="00273DD8" w:rsidRPr="001B6FE5">
        <w:rPr>
          <w:rFonts w:ascii="Arial Narrow" w:eastAsia="Times New Roman" w:hAnsi="Arial Narrow" w:cs="Arial"/>
          <w:szCs w:val="24"/>
        </w:rPr>
        <w:lastRenderedPageBreak/>
        <w:t>increasingly in-migrated to the towns because of their ‘growing sense of isolation and increasing pressure to leave.’</w:t>
      </w:r>
      <w:r w:rsidR="00273DD8" w:rsidRPr="001B6FE5">
        <w:rPr>
          <w:rFonts w:ascii="Arial Narrow" w:eastAsia="Times New Roman" w:hAnsi="Arial Narrow" w:cs="Arial"/>
          <w:szCs w:val="24"/>
          <w:vertAlign w:val="superscript"/>
        </w:rPr>
        <w:footnoteReference w:id="134"/>
      </w:r>
    </w:p>
    <w:p w:rsidR="000F30D2" w:rsidRPr="001B6FE5" w:rsidRDefault="00273DD8" w:rsidP="003D2CE4">
      <w:pPr>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Romanian peasants, as with the rest of east-Central Europe, were a predominantly youthful population (over half of Eastern Europeans were under thirty), on farms which were largely unable to support even the existing tenants. The problem of population surplus was immediate. Regional ‘holdings’ were half that of German or French farms, with Czechoslovakia having an excess population of two million, Romania three million and Poland around six million.</w:t>
      </w:r>
      <w:r w:rsidRPr="001B6FE5">
        <w:rPr>
          <w:rFonts w:ascii="Arial Narrow" w:eastAsia="Times New Roman" w:hAnsi="Arial Narrow" w:cs="Arial"/>
          <w:szCs w:val="24"/>
          <w:vertAlign w:val="superscript"/>
        </w:rPr>
        <w:footnoteReference w:id="135"/>
      </w:r>
      <w:r w:rsidRPr="001B6FE5">
        <w:rPr>
          <w:rFonts w:ascii="Arial Narrow" w:eastAsia="Times New Roman" w:hAnsi="Arial Narrow" w:cs="Arial"/>
          <w:szCs w:val="24"/>
        </w:rPr>
        <w:t xml:space="preserve"> Without the ‘benefit’ of totalitarian government, at least one as powerful as the Soviet Union, east-Central European states were at the mercy of world farm prices and in particular, western governments immigration policies. Peasant parties were often brutally frank as to whom they regarded as their enemy: “The way of life in the village is uniform; its members hold the same ideas in common. That accounts for the superiority of the village over the village over the city. The city people live by deceit, by idleness, by parasitism, by perversion.”</w:t>
      </w:r>
      <w:r w:rsidRPr="001B6FE5">
        <w:rPr>
          <w:rFonts w:ascii="Arial Narrow" w:eastAsia="Times New Roman" w:hAnsi="Arial Narrow" w:cs="Arial"/>
          <w:szCs w:val="24"/>
          <w:vertAlign w:val="superscript"/>
        </w:rPr>
        <w:footnoteReference w:id="136"/>
      </w:r>
      <w:r w:rsidRPr="001B6FE5">
        <w:rPr>
          <w:rFonts w:ascii="Arial Narrow" w:eastAsia="Times New Roman" w:hAnsi="Arial Narrow" w:cs="Arial"/>
          <w:szCs w:val="24"/>
        </w:rPr>
        <w:t xml:space="preserve"> It is surely more than coincidental that the transformation of the Soviet economy ‘from a rural peasant-based economy to an industrialized, mechanized agricultural economy…in the 1930s led to mass deaths from famine and dislocation.’</w:t>
      </w:r>
      <w:r w:rsidRPr="001B6FE5">
        <w:rPr>
          <w:rFonts w:ascii="Arial Narrow" w:eastAsia="Times New Roman" w:hAnsi="Arial Narrow" w:cs="Arial"/>
          <w:szCs w:val="24"/>
          <w:vertAlign w:val="superscript"/>
        </w:rPr>
        <w:footnoteReference w:id="137"/>
      </w:r>
      <w:r w:rsidRPr="001B6FE5">
        <w:rPr>
          <w:rFonts w:ascii="Arial Narrow" w:eastAsia="Times New Roman" w:hAnsi="Arial Narrow" w:cs="Arial"/>
          <w:szCs w:val="24"/>
        </w:rPr>
        <w:t xml:space="preserve"> (Fig. 16)</w:t>
      </w:r>
      <w:r w:rsidR="003E7155">
        <w:rPr>
          <w:rFonts w:ascii="Arial Narrow" w:eastAsia="Times New Roman" w:hAnsi="Arial Narrow" w:cs="Arial"/>
          <w:szCs w:val="24"/>
        </w:rPr>
        <w:t xml:space="preserve"> The disparate nature of the peasants, from the ‘better-off’ and ‘agriculturalists’, </w:t>
      </w:r>
      <w:r w:rsidR="00F70F65">
        <w:rPr>
          <w:rFonts w:ascii="Arial Narrow" w:eastAsia="Times New Roman" w:hAnsi="Arial Narrow" w:cs="Arial"/>
          <w:szCs w:val="24"/>
        </w:rPr>
        <w:t>‘down gradations of cottagers’ who possessed a home but no land, through to ‘rural proletarians in varying degrees of destitution’, contributed towards their failure to escape the poverty trap and offer effective political reform.</w:t>
      </w:r>
      <w:r w:rsidR="00F70F65">
        <w:rPr>
          <w:rStyle w:val="FootnoteReference"/>
          <w:rFonts w:ascii="Arial Narrow" w:eastAsia="Times New Roman" w:hAnsi="Arial Narrow" w:cs="Arial"/>
          <w:szCs w:val="24"/>
        </w:rPr>
        <w:footnoteReference w:id="138"/>
      </w:r>
    </w:p>
    <w:p w:rsidR="000F30D2" w:rsidRDefault="000F30D2"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noProof/>
          <w:szCs w:val="24"/>
          <w:lang w:eastAsia="en-GB"/>
        </w:rPr>
        <w:lastRenderedPageBreak/>
        <w:drawing>
          <wp:inline distT="0" distB="0" distL="0" distR="0" wp14:anchorId="21CB6454" wp14:editId="12D4B2E6">
            <wp:extent cx="5410200" cy="3238500"/>
            <wp:effectExtent l="0" t="0" r="0" b="0"/>
            <wp:docPr id="26" name="Picture 26" descr="Chagall_IandTheVill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hagall_IandTheVillag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10200" cy="3238500"/>
                    </a:xfrm>
                    <a:prstGeom prst="rect">
                      <a:avLst/>
                    </a:prstGeom>
                    <a:noFill/>
                    <a:ln>
                      <a:noFill/>
                    </a:ln>
                  </pic:spPr>
                </pic:pic>
              </a:graphicData>
            </a:graphic>
          </wp:inline>
        </w:drawing>
      </w:r>
    </w:p>
    <w:p w:rsidR="00273DD8"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w:t>
      </w:r>
      <w:r w:rsidR="006278AC" w:rsidRPr="001B6FE5">
        <w:rPr>
          <w:rFonts w:ascii="Arial Narrow" w:eastAsia="Times New Roman" w:hAnsi="Arial Narrow" w:cs="Arial"/>
          <w:b/>
          <w:bCs/>
          <w:szCs w:val="24"/>
        </w:rPr>
        <w:t>16 Marc</w:t>
      </w:r>
      <w:r w:rsidRPr="001B6FE5">
        <w:rPr>
          <w:rFonts w:ascii="Arial Narrow" w:eastAsia="Times New Roman" w:hAnsi="Arial Narrow" w:cs="Arial"/>
          <w:b/>
          <w:bCs/>
          <w:szCs w:val="24"/>
        </w:rPr>
        <w:t xml:space="preserve"> Chagall, </w:t>
      </w:r>
      <w:r w:rsidRPr="001B6FE5">
        <w:rPr>
          <w:rFonts w:ascii="Arial Narrow" w:eastAsia="Times New Roman" w:hAnsi="Arial Narrow" w:cs="Arial"/>
          <w:b/>
          <w:bCs/>
          <w:i/>
          <w:szCs w:val="24"/>
        </w:rPr>
        <w:t>I and the Village</w:t>
      </w:r>
      <w:r w:rsidR="00F70F65">
        <w:rPr>
          <w:rFonts w:ascii="Arial Narrow" w:eastAsia="Times New Roman" w:hAnsi="Arial Narrow" w:cs="Arial"/>
          <w:b/>
          <w:bCs/>
          <w:szCs w:val="24"/>
        </w:rPr>
        <w:t xml:space="preserve"> (1911)</w:t>
      </w:r>
    </w:p>
    <w:p w:rsidR="00F70F65" w:rsidRPr="00F70F65" w:rsidRDefault="00F70F65" w:rsidP="003D2CE4">
      <w:pPr>
        <w:spacing w:after="0" w:line="240" w:lineRule="auto"/>
        <w:jc w:val="both"/>
        <w:rPr>
          <w:rFonts w:ascii="Arial Narrow" w:eastAsia="Times New Roman" w:hAnsi="Arial Narrow" w:cs="Arial"/>
          <w:b/>
          <w:bCs/>
          <w:szCs w:val="24"/>
        </w:rPr>
      </w:pPr>
    </w:p>
    <w:p w:rsidR="00273DD8" w:rsidRPr="001B6FE5" w:rsidRDefault="00273DD8" w:rsidP="003D2CE4">
      <w:pPr>
        <w:keepNext/>
        <w:spacing w:after="0" w:line="480" w:lineRule="auto"/>
        <w:ind w:firstLine="720"/>
        <w:jc w:val="both"/>
        <w:rPr>
          <w:rFonts w:ascii="Arial Narrow" w:eastAsia="Times New Roman" w:hAnsi="Arial Narrow" w:cs="Arial"/>
          <w:szCs w:val="24"/>
        </w:rPr>
      </w:pPr>
      <w:r w:rsidRPr="001B6FE5">
        <w:rPr>
          <w:rFonts w:ascii="Arial Narrow" w:eastAsia="Times New Roman" w:hAnsi="Arial Narrow" w:cs="Arial"/>
          <w:szCs w:val="24"/>
        </w:rPr>
        <w:t xml:space="preserve">The </w:t>
      </w:r>
      <w:r w:rsidRPr="001B6FE5">
        <w:rPr>
          <w:rFonts w:ascii="Arial Narrow" w:eastAsia="Times New Roman" w:hAnsi="Arial Narrow" w:cs="Arial"/>
          <w:i/>
          <w:szCs w:val="24"/>
        </w:rPr>
        <w:t>Economist</w:t>
      </w:r>
      <w:r w:rsidRPr="001B6FE5">
        <w:rPr>
          <w:rFonts w:ascii="Arial Narrow" w:eastAsia="Times New Roman" w:hAnsi="Arial Narrow" w:cs="Arial"/>
          <w:szCs w:val="24"/>
        </w:rPr>
        <w:t>’s 1929 summary of Europe’s economic outlook was bleak. Hungary’s crops were satisfactory but ‘prices on the world market were so low that exports were often made at a loss.’ Romania, which also had the benefit of oil production fared little better. Both countries decreased their debts but the overall tax takes were lower, because ‘[t]he decreasing deficit of foreign trade [was] due to the diminishing purchasing power of the [peasant] population.’</w:t>
      </w:r>
      <w:r w:rsidRPr="001B6FE5">
        <w:rPr>
          <w:rFonts w:ascii="Arial Narrow" w:eastAsia="Times New Roman" w:hAnsi="Arial Narrow" w:cs="Arial"/>
          <w:szCs w:val="24"/>
          <w:vertAlign w:val="superscript"/>
        </w:rPr>
        <w:footnoteReference w:id="139"/>
      </w:r>
      <w:r w:rsidRPr="001B6FE5">
        <w:rPr>
          <w:rFonts w:ascii="Arial Narrow" w:eastAsia="Times New Roman" w:hAnsi="Arial Narrow" w:cs="Arial"/>
          <w:szCs w:val="24"/>
        </w:rPr>
        <w:t xml:space="preserve"> In a re-run of Russia’s prewar economic problems, the discrepancy between agricultural and industrial prices directly affected the peasantry, a situation which could only be ameliorated by tariff reform.</w:t>
      </w:r>
      <w:r w:rsidRPr="001B6FE5">
        <w:rPr>
          <w:rFonts w:ascii="Arial Narrow" w:eastAsia="Times New Roman" w:hAnsi="Arial Narrow" w:cs="Arial"/>
          <w:szCs w:val="24"/>
          <w:vertAlign w:val="superscript"/>
        </w:rPr>
        <w:footnoteReference w:id="140"/>
      </w:r>
      <w:r w:rsidRPr="001B6FE5">
        <w:rPr>
          <w:rFonts w:ascii="Arial Narrow" w:eastAsia="Times New Roman" w:hAnsi="Arial Narrow" w:cs="Arial"/>
          <w:szCs w:val="24"/>
        </w:rPr>
        <w:t xml:space="preserve"> The world-wide depression – particularly in agriculture – encouraged a new defensive ‘huddling’ of those agrarian countries which had failed to industrialise.</w:t>
      </w:r>
      <w:r w:rsidRPr="001B6FE5">
        <w:rPr>
          <w:rFonts w:ascii="Arial Narrow" w:eastAsia="Times New Roman" w:hAnsi="Arial Narrow" w:cs="Arial"/>
          <w:szCs w:val="24"/>
          <w:vertAlign w:val="superscript"/>
        </w:rPr>
        <w:footnoteReference w:id="141"/>
      </w:r>
      <w:r w:rsidRPr="001B6FE5">
        <w:rPr>
          <w:rFonts w:ascii="Arial Narrow" w:eastAsia="Times New Roman" w:hAnsi="Arial Narrow" w:cs="Arial"/>
          <w:szCs w:val="24"/>
        </w:rPr>
        <w:t xml:space="preserve"> The dislocation in the east-Central Europe economy and the growth of ‘national capitalism’ hinged upon ‘Poland and her fellows.’ Any goodwill that she and others undertook for their own minorities, would always be on the condition that ‘similar obligations were accepted by all sovereign states in the world’; the persecuted minorities in Upper Silesia who were seeking sanctuary in Germany, were only the thin end of a wedge </w:t>
      </w:r>
      <w:r w:rsidRPr="001B6FE5">
        <w:rPr>
          <w:rFonts w:ascii="Arial Narrow" w:eastAsia="Times New Roman" w:hAnsi="Arial Narrow" w:cs="Arial"/>
          <w:szCs w:val="24"/>
        </w:rPr>
        <w:lastRenderedPageBreak/>
        <w:t>which had already experienced economic ruin, ‘brought about by policies of economic self-sufficiency practised by both new and old nations’.</w:t>
      </w:r>
      <w:r w:rsidRPr="001B6FE5">
        <w:rPr>
          <w:rFonts w:ascii="Arial Narrow" w:eastAsia="Times New Roman" w:hAnsi="Arial Narrow" w:cs="Arial"/>
          <w:szCs w:val="24"/>
          <w:vertAlign w:val="superscript"/>
        </w:rPr>
        <w:footnoteReference w:id="142"/>
      </w:r>
      <w:r w:rsidRPr="001B6FE5">
        <w:rPr>
          <w:rFonts w:ascii="Arial Narrow" w:eastAsia="Times New Roman" w:hAnsi="Arial Narrow" w:cs="Arial"/>
          <w:szCs w:val="24"/>
        </w:rPr>
        <w:t xml:space="preserve"> German economic expansion was a necessity for the region, and rather than flooding east-Central Europe with ‘cuckoo clocks, aspirin, and thermometers’ in exchange for raw materials, it could and did ‘encourage the diversification of vulnerable one-crop agricultures, and offered a steady market at reasonable prices.’</w:t>
      </w:r>
      <w:r w:rsidRPr="001B6FE5">
        <w:rPr>
          <w:rFonts w:ascii="Arial Narrow" w:eastAsia="Times New Roman" w:hAnsi="Arial Narrow" w:cs="Arial"/>
          <w:szCs w:val="24"/>
          <w:vertAlign w:val="superscript"/>
        </w:rPr>
        <w:footnoteReference w:id="143"/>
      </w:r>
      <w:r w:rsidRPr="001B6FE5">
        <w:rPr>
          <w:rFonts w:ascii="Arial Narrow" w:eastAsia="Times New Roman" w:hAnsi="Arial Narrow" w:cs="Arial"/>
          <w:szCs w:val="24"/>
        </w:rPr>
        <w:t xml:space="preserve"> The portents were however, not good. Reader Bullard a British Diplomat in Moscow in the 1920s and 1930s, whilst speaking to a German agricultural expert, discovered that in the Ukraine famine prevailed, but ‘doctors have been ordered to cease giving certificates that deaths are due to starvation.’ (Fig. 17) Worse still Schiller, the Agricultural Attaché at the German Embassy, reported taking a photograph of a boy whose thighs were ‘only about three or four inches thick.’ He was told: ‘That is going to happen to us’, by two women ‘with tears streaming down their faces’ who then asked tellingly, ‘to give that picture to the newspapers in America so they may send us food?’.</w:t>
      </w:r>
      <w:r w:rsidRPr="001B6FE5">
        <w:rPr>
          <w:rFonts w:ascii="Arial Narrow" w:eastAsia="Times New Roman" w:hAnsi="Arial Narrow" w:cs="Arial"/>
          <w:szCs w:val="24"/>
          <w:vertAlign w:val="superscript"/>
        </w:rPr>
        <w:footnoteReference w:id="144"/>
      </w:r>
      <w:r w:rsidR="00D87420">
        <w:rPr>
          <w:rFonts w:ascii="Arial Narrow" w:eastAsia="Times New Roman" w:hAnsi="Arial Narrow" w:cs="Arial"/>
          <w:szCs w:val="24"/>
        </w:rPr>
        <w:tab/>
      </w:r>
      <w:r w:rsidRPr="001B6FE5">
        <w:rPr>
          <w:rFonts w:ascii="Arial Narrow" w:eastAsia="Times New Roman" w:hAnsi="Arial Narrow" w:cs="Arial"/>
          <w:szCs w:val="24"/>
        </w:rPr>
        <w:tab/>
      </w:r>
      <w:r w:rsidRPr="001B6FE5">
        <w:rPr>
          <w:rFonts w:ascii="Arial Narrow" w:eastAsia="Times New Roman" w:hAnsi="Arial Narrow" w:cs="Arial"/>
          <w:szCs w:val="24"/>
        </w:rPr>
        <w:tab/>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drawing>
          <wp:inline distT="0" distB="0" distL="0" distR="0" wp14:anchorId="04DFE6DE" wp14:editId="1CA886CD">
            <wp:extent cx="5391150" cy="3133725"/>
            <wp:effectExtent l="0" t="0" r="0" b="0"/>
            <wp:docPr id="18" name="Picture 18" descr="fam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amin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391150" cy="3133725"/>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17 ‘Refugees’. </w:t>
      </w:r>
    </w:p>
    <w:p w:rsidR="00273DD8" w:rsidRPr="001B6FE5" w:rsidRDefault="00273DD8" w:rsidP="003D2CE4">
      <w:pPr>
        <w:spacing w:after="0" w:line="240" w:lineRule="auto"/>
        <w:jc w:val="both"/>
        <w:rPr>
          <w:rFonts w:ascii="Arial Narrow" w:eastAsia="Times New Roman" w:hAnsi="Arial Narrow" w:cs="Arial"/>
          <w:szCs w:val="24"/>
        </w:rPr>
      </w:pP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szCs w:val="24"/>
        </w:rPr>
        <w:lastRenderedPageBreak/>
        <w:t xml:space="preserve">The dislocation of people was not representative of the geography of the region which, though complex, was not as insular and isolated as that of south Eastern Europe. Broad rivers gave access to the sea and, apart from the arch of the Carpathians, much of the region is relatively flat and low-lying. The </w:t>
      </w:r>
      <w:r w:rsidRPr="001B6FE5">
        <w:rPr>
          <w:rFonts w:ascii="Arial Narrow" w:eastAsia="Times New Roman" w:hAnsi="Arial Narrow" w:cs="Arial"/>
          <w:i/>
          <w:szCs w:val="24"/>
        </w:rPr>
        <w:t>Kresy</w:t>
      </w:r>
      <w:r w:rsidRPr="001B6FE5">
        <w:rPr>
          <w:rFonts w:ascii="Arial Narrow" w:eastAsia="Times New Roman" w:hAnsi="Arial Narrow" w:cs="Arial"/>
          <w:szCs w:val="24"/>
        </w:rPr>
        <w:t xml:space="preserve"> exemplifies the organic trade which existed and which could be built upon. The majority of the peasantry were bi-lingual and had developed skills which could take advantage of the benevolent landscape but often harsh climate. </w:t>
      </w:r>
      <w:r w:rsidRPr="001B6FE5">
        <w:rPr>
          <w:rFonts w:ascii="Arial Narrow" w:eastAsia="Times New Roman" w:hAnsi="Arial Narrow" w:cs="Arial"/>
          <w:bCs/>
          <w:szCs w:val="24"/>
        </w:rPr>
        <w:t>However, the reforms that governments did introduce in the interwar period, such as support for cooperatives, an expansion of rural credit, and the promotion of industrial crops, ‘benefited almost exclusively the relatively small number of prosperous peasants.’</w:t>
      </w:r>
      <w:r w:rsidRPr="001B6FE5">
        <w:rPr>
          <w:rFonts w:ascii="Arial Narrow" w:eastAsia="Times New Roman" w:hAnsi="Arial Narrow" w:cs="Arial"/>
          <w:bCs/>
          <w:szCs w:val="24"/>
          <w:vertAlign w:val="superscript"/>
        </w:rPr>
        <w:footnoteReference w:id="145"/>
      </w:r>
      <w:r w:rsidRPr="001B6FE5">
        <w:rPr>
          <w:rFonts w:ascii="Arial Narrow" w:eastAsia="Times New Roman" w:hAnsi="Arial Narrow" w:cs="Arial"/>
          <w:bCs/>
          <w:szCs w:val="24"/>
        </w:rPr>
        <w:t xml:space="preserve"> Underlying the interwar drive towards self-sufficiency, and the concomitant desire to both improve agriculture and produce a mono-cultural population, was the necessity to expand the armed forces for the ‘coming inevitable armed conflicts.’ The improvement in the peasantry and Stalin’s “poor and rotten soldiers” - winnowing out unsuitable potential soldiery - is suggestive of in itself, the self-same need to improve the countries land/soil and its ‘fruits/seed’. In </w:t>
      </w:r>
      <w:r w:rsidRPr="001B6FE5">
        <w:rPr>
          <w:rFonts w:ascii="Arial Narrow" w:eastAsia="Times New Roman" w:hAnsi="Arial Narrow" w:cs="Arial"/>
          <w:bCs/>
          <w:i/>
          <w:szCs w:val="24"/>
        </w:rPr>
        <w:t>Between the Woods and the Water</w:t>
      </w:r>
      <w:r w:rsidRPr="001B6FE5">
        <w:rPr>
          <w:rFonts w:ascii="Arial Narrow" w:eastAsia="Times New Roman" w:hAnsi="Arial Narrow" w:cs="Arial"/>
          <w:bCs/>
          <w:szCs w:val="24"/>
        </w:rPr>
        <w:t>, the author notes that the old Hungarian rulers were no more illiberal than the new ‘Rumanian rulers’, and that in the past there ‘were fierce times in Eastern Europe; and they still are.’ He equates the Transylvanian region to the ‘tumbling demesnes of the Anglo-Irish in Waterford or Galway, with all their sadness and their magic. Homesick for the past, seeing nobody but their own congeners on the neighbouring estates who worked there, they lived in a backward-looking, a genealogical, almost a Confucian dream and many sentences ended with a sigh.’</w:t>
      </w:r>
      <w:r w:rsidRPr="001B6FE5">
        <w:rPr>
          <w:rFonts w:ascii="Arial Narrow" w:eastAsia="Times New Roman" w:hAnsi="Arial Narrow" w:cs="Arial"/>
          <w:bCs/>
          <w:szCs w:val="24"/>
          <w:vertAlign w:val="superscript"/>
        </w:rPr>
        <w:footnoteReference w:id="146"/>
      </w:r>
      <w:r w:rsidRPr="001B6FE5">
        <w:rPr>
          <w:rFonts w:ascii="Arial Narrow" w:eastAsia="Times New Roman" w:hAnsi="Arial Narrow" w:cs="Arial"/>
          <w:bCs/>
          <w:szCs w:val="24"/>
        </w:rPr>
        <w:t xml:space="preserve"> Amongst their ‘Rumanian multitude’ one could be forgiven for thinking that the expropriated were no less disorientated than their ‘oppressors’, with the kindness shown to a stranger the last opportunity to prove their own personal civilization was still intact.</w:t>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Lewis Namier (1888-1960) was a British subject born into a Galician Jewish family, and as part of </w:t>
      </w:r>
      <w:r w:rsidRPr="001B6FE5">
        <w:rPr>
          <w:rFonts w:ascii="Arial Narrow" w:eastAsia="Times New Roman" w:hAnsi="Arial Narrow" w:cs="Arial"/>
          <w:bCs/>
          <w:i/>
          <w:szCs w:val="24"/>
        </w:rPr>
        <w:t>The New Europe</w:t>
      </w:r>
      <w:r w:rsidRPr="001B6FE5">
        <w:rPr>
          <w:rFonts w:ascii="Arial Narrow" w:eastAsia="Times New Roman" w:hAnsi="Arial Narrow" w:cs="Arial"/>
          <w:bCs/>
          <w:szCs w:val="24"/>
        </w:rPr>
        <w:t xml:space="preserve"> group of historians, he favoured national self-determination with, ‘a few echoes of the Whig vision of history as a series of hard-fought battles against monarchical absolutism’, leading ‘inevitably’ </w:t>
      </w:r>
      <w:r w:rsidRPr="001B6FE5">
        <w:rPr>
          <w:rFonts w:ascii="Arial Narrow" w:eastAsia="Times New Roman" w:hAnsi="Arial Narrow" w:cs="Arial"/>
          <w:bCs/>
          <w:szCs w:val="24"/>
        </w:rPr>
        <w:lastRenderedPageBreak/>
        <w:t xml:space="preserve">to a cabinet led constitutional government and religious tolerance. Namier also held more Marxist interpretations, which formed part of a singularly Galician socialist reading of ‘what was to be done.’ There they had decried both the ‘exploitation of underdeveloped Galicia by developed Western Austria and the exploitation of the Ukrainian Peasants by the Polish landlords’; and under the tutelage of the Eastern Galician socialist Weissburg, adopted a progressive approach to reform, which was unfortunately overturned by the first waves of fleeing students from Tsarist Russia. Back from the war and working within the </w:t>
      </w:r>
      <w:r w:rsidR="006073DA">
        <w:rPr>
          <w:rFonts w:ascii="Arial Narrow" w:eastAsia="Times New Roman" w:hAnsi="Arial Narrow" w:cs="Arial"/>
          <w:bCs/>
          <w:szCs w:val="24"/>
        </w:rPr>
        <w:t xml:space="preserve">British </w:t>
      </w:r>
      <w:r w:rsidRPr="001B6FE5">
        <w:rPr>
          <w:rFonts w:ascii="Arial Narrow" w:eastAsia="Times New Roman" w:hAnsi="Arial Narrow" w:cs="Arial"/>
          <w:bCs/>
          <w:szCs w:val="24"/>
        </w:rPr>
        <w:t>Political Intelligence Department (PID), Namier held to the belief that the nationality problems were a symptom of the underlying class struggle. He explained that Polish imperialism, advocated in particular by his old nemesis Dmowski, existed because the ‘Little Russians, White Russians, and Lithuanians of these [Galician] provinces hate the Poles with a truly fanatical hatred; it is the hatred of a land-hungry peasantry against alien landlords.’</w:t>
      </w:r>
      <w:r w:rsidRPr="001B6FE5">
        <w:rPr>
          <w:rFonts w:ascii="Arial Narrow" w:eastAsia="Times New Roman" w:hAnsi="Arial Narrow" w:cs="Arial"/>
          <w:bCs/>
          <w:szCs w:val="24"/>
          <w:vertAlign w:val="superscript"/>
        </w:rPr>
        <w:footnoteReference w:id="147"/>
      </w:r>
      <w:r w:rsidRPr="001B6FE5">
        <w:rPr>
          <w:rFonts w:ascii="Arial Narrow" w:eastAsia="Times New Roman" w:hAnsi="Arial Narrow" w:cs="Arial"/>
          <w:bCs/>
          <w:szCs w:val="24"/>
        </w:rPr>
        <w:t xml:space="preserve"> Leigh Fermors experiences in Transylvania, and his assessment of its roots fits closely within the Galician problems which Namier and others hoped to solve. Namier went further by insisting that: ‘For the last 100 years the Conservative elements in Poland have been opposed to “maximalist” or revolutionary tactics with regard to the partitioning Powers; having much at stake they disliked a policy of adventure and preferred to gain some measure of power and freedom by a show of loyalty to their rulers (moreover they naturally disliked revolution of any kind).’</w:t>
      </w:r>
      <w:r w:rsidRPr="001B6FE5">
        <w:rPr>
          <w:rFonts w:ascii="Arial Narrow" w:eastAsia="Times New Roman" w:hAnsi="Arial Narrow" w:cs="Arial"/>
          <w:bCs/>
          <w:szCs w:val="24"/>
          <w:vertAlign w:val="superscript"/>
        </w:rPr>
        <w:footnoteReference w:id="148"/>
      </w:r>
      <w:r w:rsidRPr="001B6FE5">
        <w:rPr>
          <w:rFonts w:ascii="Arial Narrow" w:eastAsia="Times New Roman" w:hAnsi="Arial Narrow" w:cs="Arial"/>
          <w:bCs/>
          <w:szCs w:val="24"/>
        </w:rPr>
        <w:t xml:space="preserve"> This not only ignored the numerous </w:t>
      </w:r>
      <w:r w:rsidRPr="001B6FE5">
        <w:rPr>
          <w:rFonts w:ascii="Arial Narrow" w:eastAsia="Times New Roman" w:hAnsi="Arial Narrow" w:cs="Arial"/>
          <w:bCs/>
          <w:i/>
          <w:szCs w:val="24"/>
        </w:rPr>
        <w:t xml:space="preserve">Szlachty </w:t>
      </w:r>
      <w:r w:rsidRPr="001B6FE5">
        <w:rPr>
          <w:rFonts w:ascii="Arial Narrow" w:eastAsia="Times New Roman" w:hAnsi="Arial Narrow" w:cs="Arial"/>
          <w:bCs/>
          <w:szCs w:val="24"/>
        </w:rPr>
        <w:t xml:space="preserve">led up-risings - further alienating him from an increasingly antisemitic British intelligentsia - he was forced, as were many others, to conclude that: </w:t>
      </w:r>
    </w:p>
    <w:p w:rsidR="00273DD8" w:rsidRPr="001B6FE5" w:rsidRDefault="00273DD8" w:rsidP="003D2CE4">
      <w:pPr>
        <w:spacing w:after="0" w:line="480" w:lineRule="auto"/>
        <w:ind w:left="720" w:firstLine="720"/>
        <w:jc w:val="both"/>
        <w:rPr>
          <w:rFonts w:ascii="Arial Narrow" w:eastAsia="Times New Roman" w:hAnsi="Arial Narrow" w:cs="Arial"/>
          <w:bCs/>
          <w:szCs w:val="24"/>
        </w:rPr>
      </w:pPr>
      <w:r w:rsidRPr="001B6FE5">
        <w:rPr>
          <w:rFonts w:ascii="Arial Narrow" w:eastAsia="Times New Roman" w:hAnsi="Arial Narrow" w:cs="Arial"/>
          <w:bCs/>
          <w:szCs w:val="24"/>
        </w:rPr>
        <w:t>‘[T]here is no reason why an ultra-nationalist, anti-Semitic Communism should not arise. Capitalism, in its individualist outlook, was international; Communism, aiming at a nationalized economy, is basically national, and its internationalism will probably disappear like that of the French Revolution. And then woe to him who in a Socialist community will be considered as a stranger!’</w:t>
      </w:r>
      <w:r w:rsidRPr="001B6FE5">
        <w:rPr>
          <w:rFonts w:ascii="Arial Narrow" w:eastAsia="Times New Roman" w:hAnsi="Arial Narrow" w:cs="Arial"/>
          <w:bCs/>
          <w:szCs w:val="24"/>
          <w:vertAlign w:val="superscript"/>
        </w:rPr>
        <w:footnoteReference w:id="149"/>
      </w:r>
      <w:r w:rsidRPr="001B6FE5">
        <w:rPr>
          <w:rFonts w:ascii="Arial Narrow" w:eastAsia="Times New Roman" w:hAnsi="Arial Narrow" w:cs="Arial"/>
          <w:bCs/>
          <w:szCs w:val="24"/>
        </w:rPr>
        <w:tab/>
      </w:r>
    </w:p>
    <w:p w:rsidR="00273DD8" w:rsidRPr="001B6FE5" w:rsidRDefault="00273DD8" w:rsidP="003D2CE4">
      <w:pPr>
        <w:keepNext/>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lastRenderedPageBreak/>
        <w:t xml:space="preserve">The Poles and the Magyars shared, along with the Germans, the notion that they represented the ‘Bulwark’ against the invasive east (Fig. 18). They had of course also forged </w:t>
      </w:r>
      <w:r w:rsidRPr="001B6FE5">
        <w:rPr>
          <w:rFonts w:ascii="Arial Narrow" w:eastAsia="Times New Roman" w:hAnsi="Arial Narrow" w:cs="Arial"/>
          <w:bCs/>
          <w:i/>
          <w:szCs w:val="24"/>
        </w:rPr>
        <w:t>their own</w:t>
      </w:r>
      <w:r w:rsidRPr="001B6FE5">
        <w:rPr>
          <w:rFonts w:ascii="Arial Narrow" w:eastAsia="Times New Roman" w:hAnsi="Arial Narrow" w:cs="Arial"/>
          <w:bCs/>
          <w:szCs w:val="24"/>
        </w:rPr>
        <w:t xml:space="preserve"> identity and statehood by such incursions. The Poles had recently ‘saved Europe’ with their own modern version of Marathon or Waterloo, and had also defeated the Turks</w:t>
      </w:r>
      <w:r w:rsidR="00056F5D">
        <w:rPr>
          <w:rFonts w:ascii="Arial Narrow" w:eastAsia="Times New Roman" w:hAnsi="Arial Narrow" w:cs="Arial"/>
          <w:bCs/>
          <w:szCs w:val="24"/>
        </w:rPr>
        <w:t xml:space="preserve"> at the gates of Vienna. </w:t>
      </w:r>
      <w:r w:rsidR="006278AC">
        <w:rPr>
          <w:rFonts w:ascii="Arial Narrow" w:eastAsia="Times New Roman" w:hAnsi="Arial Narrow" w:cs="Arial"/>
          <w:bCs/>
          <w:szCs w:val="24"/>
        </w:rPr>
        <w:t>Poland</w:t>
      </w:r>
      <w:r w:rsidR="006278AC" w:rsidRPr="001B6FE5">
        <w:rPr>
          <w:rFonts w:ascii="Arial Narrow" w:eastAsia="Times New Roman" w:hAnsi="Arial Narrow" w:cs="Arial"/>
          <w:bCs/>
          <w:szCs w:val="24"/>
        </w:rPr>
        <w:t>’s</w:t>
      </w:r>
      <w:r w:rsidRPr="001B6FE5">
        <w:rPr>
          <w:rFonts w:ascii="Arial Narrow" w:eastAsia="Times New Roman" w:hAnsi="Arial Narrow" w:cs="Arial"/>
          <w:bCs/>
          <w:szCs w:val="24"/>
        </w:rPr>
        <w:t xml:space="preserve"> pride in its achievements was echoed by Lord D’Abernon on an epic scale, highlighting</w:t>
      </w:r>
      <w:r w:rsidR="001F6F08">
        <w:rPr>
          <w:rFonts w:ascii="Arial Narrow" w:eastAsia="Times New Roman" w:hAnsi="Arial Narrow" w:cs="Arial"/>
          <w:bCs/>
          <w:szCs w:val="24"/>
        </w:rPr>
        <w:t xml:space="preserve"> at once</w:t>
      </w:r>
      <w:r w:rsidRPr="001B6FE5">
        <w:rPr>
          <w:rFonts w:ascii="Arial Narrow" w:eastAsia="Times New Roman" w:hAnsi="Arial Narrow" w:cs="Arial"/>
          <w:bCs/>
          <w:szCs w:val="24"/>
        </w:rPr>
        <w:t xml:space="preserve"> the growing ethnic and religious tensions in the world: “If Charles Martel had not checked the Saracen Conquest…at Tours…the Koran would now be taught at Oxford. Had Pilsudski…failed to arrest…the Soviet Army at…Warsaw…the very existence of Western Civilization would have been imperilled.”</w:t>
      </w:r>
      <w:r w:rsidRPr="001B6FE5">
        <w:rPr>
          <w:rFonts w:ascii="Arial Narrow" w:eastAsia="Times New Roman" w:hAnsi="Arial Narrow" w:cs="Arial"/>
          <w:bCs/>
          <w:szCs w:val="24"/>
          <w:vertAlign w:val="superscript"/>
        </w:rPr>
        <w:footnoteReference w:id="150"/>
      </w:r>
      <w:r w:rsidRPr="001B6FE5">
        <w:rPr>
          <w:rFonts w:ascii="Arial Narrow" w:eastAsia="Times New Roman" w:hAnsi="Arial Narrow" w:cs="Arial"/>
          <w:bCs/>
          <w:szCs w:val="24"/>
        </w:rPr>
        <w:t xml:space="preserve"> But by 1926 the Poles and their </w:t>
      </w:r>
      <w:r w:rsidRPr="001B6FE5">
        <w:rPr>
          <w:rFonts w:ascii="Arial Narrow" w:eastAsia="Times New Roman" w:hAnsi="Arial Narrow" w:cs="Arial"/>
          <w:bCs/>
          <w:i/>
          <w:szCs w:val="24"/>
        </w:rPr>
        <w:t>Sejm</w:t>
      </w:r>
      <w:r w:rsidRPr="001B6FE5">
        <w:rPr>
          <w:rFonts w:ascii="Arial Narrow" w:eastAsia="Times New Roman" w:hAnsi="Arial Narrow" w:cs="Arial"/>
          <w:bCs/>
          <w:szCs w:val="24"/>
        </w:rPr>
        <w:t xml:space="preserve"> had become ponderous and its members continually bickered; as we have seen no cabinet could control the pressing problems that one of Europe’s fastest growing populations had to deal with. Pilsudski’s coup and the implementation of “</w:t>
      </w:r>
      <w:r w:rsidR="00121F6C">
        <w:rPr>
          <w:rFonts w:ascii="Arial Narrow" w:eastAsia="Times New Roman" w:hAnsi="Arial Narrow" w:cs="Arial"/>
          <w:bCs/>
          <w:i/>
          <w:szCs w:val="24"/>
        </w:rPr>
        <w:t>S</w:t>
      </w:r>
      <w:r w:rsidRPr="001B6FE5">
        <w:rPr>
          <w:rFonts w:ascii="Arial Narrow" w:eastAsia="Times New Roman" w:hAnsi="Arial Narrow" w:cs="Arial"/>
          <w:bCs/>
          <w:i/>
          <w:szCs w:val="24"/>
        </w:rPr>
        <w:t>anajca”</w:t>
      </w:r>
      <w:r w:rsidRPr="001B6FE5">
        <w:rPr>
          <w:rFonts w:ascii="Arial Narrow" w:eastAsia="Times New Roman" w:hAnsi="Arial Narrow" w:cs="Arial"/>
          <w:bCs/>
          <w:szCs w:val="24"/>
        </w:rPr>
        <w:t xml:space="preserve"> (literally, purification) was an attempt ‘at recreating a political entity that reflected past glories’, but not at least initially, at the expense of the ‘minorities’.</w:t>
      </w:r>
      <w:r w:rsidRPr="001B6FE5">
        <w:rPr>
          <w:rFonts w:ascii="Arial Narrow" w:eastAsia="Times New Roman" w:hAnsi="Arial Narrow" w:cs="Arial"/>
          <w:bCs/>
          <w:szCs w:val="24"/>
          <w:vertAlign w:val="superscript"/>
        </w:rPr>
        <w:footnoteReference w:id="151"/>
      </w:r>
      <w:r w:rsidRPr="001B6FE5">
        <w:rPr>
          <w:rFonts w:ascii="Arial Narrow" w:eastAsia="Times New Roman" w:hAnsi="Arial Narrow" w:cs="Arial"/>
          <w:bCs/>
          <w:szCs w:val="24"/>
        </w:rPr>
        <w:t xml:space="preserve"> Pilsudski’s </w:t>
      </w:r>
      <w:r w:rsidRPr="001B6FE5">
        <w:rPr>
          <w:rFonts w:ascii="Arial Narrow" w:eastAsia="Times New Roman" w:hAnsi="Arial Narrow" w:cs="Arial"/>
          <w:bCs/>
          <w:i/>
          <w:szCs w:val="24"/>
        </w:rPr>
        <w:t>Sejm</w:t>
      </w:r>
      <w:r w:rsidRPr="001B6FE5">
        <w:rPr>
          <w:rFonts w:ascii="Arial Narrow" w:eastAsia="Times New Roman" w:hAnsi="Arial Narrow" w:cs="Arial"/>
          <w:bCs/>
          <w:szCs w:val="24"/>
        </w:rPr>
        <w:t xml:space="preserve"> set about encouraging Jewish businesses and even rescinded the still extant Tsarist Russian anti-Jewish legislation. The new premier, Kazimierz Bartel expressed the belief that ‘attacking Polish citizens because of their language or religion [stood] in contradiction to the Polish spirit’, and Pilsudski (who exercised power from his position as ‘war minister’) regarded his ‘regime’ as a ‘guided democracy’, an ‘oxymoronic phrase’ taken up with gusto by the “Third World” after the Second World War.</w:t>
      </w:r>
      <w:r w:rsidRPr="001B6FE5">
        <w:rPr>
          <w:rFonts w:ascii="Arial Narrow" w:eastAsia="Times New Roman" w:hAnsi="Arial Narrow" w:cs="Arial"/>
          <w:bCs/>
          <w:szCs w:val="24"/>
          <w:vertAlign w:val="superscript"/>
        </w:rPr>
        <w:footnoteReference w:id="152"/>
      </w:r>
      <w:r w:rsidRPr="001B6FE5">
        <w:rPr>
          <w:rFonts w:ascii="Arial Narrow" w:eastAsia="Times New Roman" w:hAnsi="Arial Narrow" w:cs="Arial"/>
          <w:bCs/>
          <w:szCs w:val="24"/>
        </w:rPr>
        <w:t xml:space="preserve"> Jewish groups were encouraged by the new regimes rhetoric, and in this paternalist climate published a newspaper called simply </w:t>
      </w:r>
      <w:r w:rsidRPr="001B6FE5">
        <w:rPr>
          <w:rFonts w:ascii="Arial Narrow" w:eastAsia="Times New Roman" w:hAnsi="Arial Narrow" w:cs="Arial"/>
          <w:bCs/>
          <w:i/>
          <w:szCs w:val="24"/>
        </w:rPr>
        <w:t>Nation</w:t>
      </w:r>
      <w:r w:rsidRPr="001B6FE5">
        <w:rPr>
          <w:rFonts w:ascii="Arial Narrow" w:eastAsia="Times New Roman" w:hAnsi="Arial Narrow" w:cs="Arial"/>
          <w:bCs/>
          <w:szCs w:val="24"/>
        </w:rPr>
        <w:t xml:space="preserve"> (1927).  (Pilsudski’s death in 1935 brought an unusual invitation from local Poles to ‘join in paying the towns respects’ - which Salsitz himself thought unique). But the ‘cold pogrom’ continued and Neville Laski, a prominent member of the Anglo-Jewish Association, on visit in 1934 found the conditions even more distressing. Interviewing Mr. Wieslicki, a prominent Polish businessman, he asked if the conditions of the Jews that he had seen could be associated with both the Minorities Protection Treaty and the continued discrimination. Wieslicki remarked that: ‘the Treaty would soon be liquidated by the Polish government; </w:t>
      </w:r>
      <w:r w:rsidRPr="001B6FE5">
        <w:rPr>
          <w:rFonts w:ascii="Arial Narrow" w:eastAsia="Times New Roman" w:hAnsi="Arial Narrow" w:cs="Arial"/>
          <w:bCs/>
          <w:szCs w:val="24"/>
        </w:rPr>
        <w:lastRenderedPageBreak/>
        <w:t>Poland would not be deterred from denouncing the…Treaty merely because of her minorities [living] outside, or because of the Treaty of Versailles.’</w:t>
      </w:r>
      <w:r w:rsidRPr="001B6FE5">
        <w:rPr>
          <w:rFonts w:ascii="Arial Narrow" w:eastAsia="Times New Roman" w:hAnsi="Arial Narrow" w:cs="Arial"/>
          <w:bCs/>
          <w:szCs w:val="24"/>
          <w:vertAlign w:val="superscript"/>
        </w:rPr>
        <w:footnoteReference w:id="153"/>
      </w:r>
      <w:r w:rsidRPr="001B6FE5">
        <w:rPr>
          <w:rFonts w:ascii="Arial Narrow" w:eastAsia="Times New Roman" w:hAnsi="Arial Narrow" w:cs="Arial"/>
          <w:bCs/>
          <w:szCs w:val="24"/>
        </w:rPr>
        <w:t xml:space="preserve"> As the brother of the British Labour MP Harold Laski, this may have been an attempt to neuter the negative response, which the British government was highly likely to proffer in the la</w:t>
      </w:r>
      <w:r w:rsidR="00F5057D">
        <w:rPr>
          <w:rFonts w:ascii="Arial Narrow" w:eastAsia="Times New Roman" w:hAnsi="Arial Narrow" w:cs="Arial"/>
          <w:bCs/>
          <w:szCs w:val="24"/>
        </w:rPr>
        <w:t>ter negotiations at Geneva. The F</w:t>
      </w:r>
      <w:r w:rsidRPr="001B6FE5">
        <w:rPr>
          <w:rFonts w:ascii="Arial Narrow" w:eastAsia="Times New Roman" w:hAnsi="Arial Narrow" w:cs="Arial"/>
          <w:bCs/>
          <w:szCs w:val="24"/>
        </w:rPr>
        <w:t>ifteenth Assembly of the League (1934) was broadly speaking, an attempt by France to instigate an “Eastern Locarno” which was to resemble the “Western Locarno”; in gaining Russia but ‘losing’ Poland and Germany this was made impossible. Poland’s use of Article XIX, which allowed for the ‘reconsideration of obsolete treaties’, not only ‘whittled down the existing minorities tr</w:t>
      </w:r>
      <w:r w:rsidR="003202CC">
        <w:rPr>
          <w:rFonts w:ascii="Arial Narrow" w:eastAsia="Times New Roman" w:hAnsi="Arial Narrow" w:cs="Arial"/>
          <w:bCs/>
          <w:szCs w:val="24"/>
        </w:rPr>
        <w:t>eaties to vanishing point’, it promoted</w:t>
      </w:r>
      <w:r w:rsidRPr="001B6FE5">
        <w:rPr>
          <w:rFonts w:ascii="Arial Narrow" w:eastAsia="Times New Roman" w:hAnsi="Arial Narrow" w:cs="Arial"/>
          <w:bCs/>
          <w:szCs w:val="24"/>
        </w:rPr>
        <w:t xml:space="preserve"> ‘pressure for territorial treaty revision which will increase until it reaches breaking-point.’</w:t>
      </w:r>
      <w:r w:rsidRPr="001B6FE5">
        <w:rPr>
          <w:rFonts w:ascii="Arial Narrow" w:eastAsia="Times New Roman" w:hAnsi="Arial Narrow" w:cs="Arial"/>
          <w:bCs/>
          <w:szCs w:val="24"/>
          <w:vertAlign w:val="superscript"/>
        </w:rPr>
        <w:footnoteReference w:id="154"/>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bCs/>
          <w:szCs w:val="24"/>
        </w:rPr>
        <w:t xml:space="preserve"> </w:t>
      </w:r>
      <w:r w:rsidRPr="001B6FE5">
        <w:rPr>
          <w:rFonts w:ascii="Arial Narrow" w:eastAsia="Times New Roman" w:hAnsi="Arial Narrow" w:cs="Arial"/>
          <w:bCs/>
          <w:noProof/>
          <w:szCs w:val="24"/>
          <w:lang w:eastAsia="en-GB"/>
        </w:rPr>
        <w:drawing>
          <wp:inline distT="0" distB="0" distL="0" distR="0" wp14:anchorId="08482A23" wp14:editId="53853504">
            <wp:extent cx="5372100" cy="3676650"/>
            <wp:effectExtent l="0" t="0" r="0" b="0"/>
            <wp:docPr id="19" name="Picture 19" descr="german bulwark v asia 1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erman bulwark v asia 193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72100" cy="3676650"/>
                    </a:xfrm>
                    <a:prstGeom prst="rect">
                      <a:avLst/>
                    </a:prstGeom>
                    <a:noFill/>
                    <a:ln>
                      <a:noFill/>
                    </a:ln>
                  </pic:spPr>
                </pic:pic>
              </a:graphicData>
            </a:graphic>
          </wp:inline>
        </w:drawing>
      </w:r>
    </w:p>
    <w:p w:rsidR="00273DD8"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18 The Bulwark against the East. </w:t>
      </w:r>
    </w:p>
    <w:p w:rsidR="00D65758" w:rsidRPr="001B6FE5" w:rsidRDefault="00D65758" w:rsidP="003D2CE4">
      <w:pPr>
        <w:spacing w:after="0" w:line="240" w:lineRule="auto"/>
        <w:jc w:val="both"/>
        <w:rPr>
          <w:rFonts w:ascii="Arial Narrow" w:eastAsia="Times New Roman" w:hAnsi="Arial Narrow" w:cs="Arial"/>
          <w:b/>
          <w:szCs w:val="24"/>
        </w:rPr>
      </w:pP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Isaac Metzker’s (1901-1984) short story </w:t>
      </w:r>
      <w:r w:rsidRPr="001B6FE5">
        <w:rPr>
          <w:rFonts w:ascii="Arial Narrow" w:eastAsia="Times New Roman" w:hAnsi="Arial Narrow" w:cs="Arial"/>
          <w:bCs/>
          <w:i/>
          <w:szCs w:val="24"/>
        </w:rPr>
        <w:t>To The New World</w:t>
      </w:r>
      <w:r w:rsidR="003202CC">
        <w:rPr>
          <w:rFonts w:ascii="Arial Narrow" w:eastAsia="Times New Roman" w:hAnsi="Arial Narrow" w:cs="Arial"/>
          <w:bCs/>
          <w:szCs w:val="24"/>
        </w:rPr>
        <w:t xml:space="preserve">, describes a young </w:t>
      </w:r>
      <w:r w:rsidR="00630C82">
        <w:rPr>
          <w:rFonts w:ascii="Arial Narrow" w:eastAsia="Times New Roman" w:hAnsi="Arial Narrow" w:cs="Arial"/>
          <w:bCs/>
          <w:szCs w:val="24"/>
        </w:rPr>
        <w:t>Galician</w:t>
      </w:r>
      <w:r w:rsidR="00630C82" w:rsidRPr="001B6FE5">
        <w:rPr>
          <w:rFonts w:ascii="Arial Narrow" w:eastAsia="Times New Roman" w:hAnsi="Arial Narrow" w:cs="Arial"/>
          <w:bCs/>
          <w:szCs w:val="24"/>
        </w:rPr>
        <w:t>’s</w:t>
      </w:r>
      <w:r w:rsidRPr="001B6FE5">
        <w:rPr>
          <w:rFonts w:ascii="Arial Narrow" w:eastAsia="Times New Roman" w:hAnsi="Arial Narrow" w:cs="Arial"/>
          <w:bCs/>
          <w:szCs w:val="24"/>
        </w:rPr>
        <w:t xml:space="preserve"> last few days before leaving for America (the author emigrated as a stowaway in the early 1920s), and the gentiles </w:t>
      </w:r>
      <w:r w:rsidRPr="001B6FE5">
        <w:rPr>
          <w:rFonts w:ascii="Arial Narrow" w:eastAsia="Times New Roman" w:hAnsi="Arial Narrow" w:cs="Arial"/>
          <w:bCs/>
          <w:szCs w:val="24"/>
        </w:rPr>
        <w:lastRenderedPageBreak/>
        <w:t>relationship with their Jewish neighbours. The Eastern Jews lived in an environment alongside their neighbours, limited by its soil and harsh climate; where ‘the fragrance of the hops tickles…nostrils and mingles with the fragrance of fresh chalk and white earth and thin young trees with their thin branches. Pretty, beloved, dirty village in Galicia…'</w:t>
      </w:r>
      <w:r w:rsidRPr="001B6FE5">
        <w:rPr>
          <w:rFonts w:ascii="Arial Narrow" w:eastAsia="Times New Roman" w:hAnsi="Arial Narrow" w:cs="Arial"/>
          <w:bCs/>
          <w:szCs w:val="24"/>
          <w:vertAlign w:val="superscript"/>
        </w:rPr>
        <w:footnoteReference w:id="155"/>
      </w:r>
      <w:r w:rsidRPr="001B6FE5">
        <w:rPr>
          <w:rFonts w:ascii="Arial Narrow" w:eastAsia="Times New Roman" w:hAnsi="Arial Narrow" w:cs="Arial"/>
          <w:bCs/>
          <w:szCs w:val="24"/>
        </w:rPr>
        <w:t xml:space="preserve"> This world had made virtually impossible the ‘power-hunger’ and the ‘pretensions to aristocracy’, which they regarded had blighted the intellectual life of the West. But beliefs were changing. Even in orthodox societies, the new generation ‘did not accept as readily the traditions…so revered by [their] fathers.’</w:t>
      </w:r>
      <w:r w:rsidRPr="001B6FE5">
        <w:rPr>
          <w:rFonts w:ascii="Arial Narrow" w:eastAsia="Times New Roman" w:hAnsi="Arial Narrow" w:cs="Arial"/>
          <w:bCs/>
          <w:szCs w:val="24"/>
          <w:vertAlign w:val="superscript"/>
        </w:rPr>
        <w:footnoteReference w:id="156"/>
      </w:r>
      <w:r w:rsidRPr="001B6FE5">
        <w:rPr>
          <w:rFonts w:ascii="Arial Narrow" w:eastAsia="Times New Roman" w:hAnsi="Arial Narrow" w:cs="Arial"/>
          <w:bCs/>
          <w:szCs w:val="24"/>
        </w:rPr>
        <w:t xml:space="preserve"> Before the War, and ‘the time the Jews on the Russian side of the border were driven from their homes, [and] forced to flee from the Cossacks’, their gentile neighbours on Holy Days had ‘greeted them respectfully and wished them a good year.’</w:t>
      </w:r>
      <w:r w:rsidRPr="001B6FE5">
        <w:rPr>
          <w:rFonts w:ascii="Arial Narrow" w:eastAsia="Times New Roman" w:hAnsi="Arial Narrow" w:cs="Arial"/>
          <w:bCs/>
          <w:szCs w:val="24"/>
          <w:vertAlign w:val="superscript"/>
        </w:rPr>
        <w:footnoteReference w:id="157"/>
      </w:r>
      <w:r w:rsidRPr="001B6FE5">
        <w:rPr>
          <w:rFonts w:ascii="Arial Narrow" w:eastAsia="Times New Roman" w:hAnsi="Arial Narrow" w:cs="Arial"/>
          <w:bCs/>
          <w:szCs w:val="24"/>
        </w:rPr>
        <w:t xml:space="preserve"> Peter Potichnyj found himself in the new Polish state - having been born in Western Ukraine – and his family, not unlike most, were ‘caught in the storm of repression and intimidation unleashed by some chauvinistic elements in the Polish elite.’</w:t>
      </w:r>
      <w:r w:rsidRPr="001B6FE5">
        <w:rPr>
          <w:rFonts w:ascii="Arial Narrow" w:eastAsia="Times New Roman" w:hAnsi="Arial Narrow" w:cs="Arial"/>
          <w:bCs/>
          <w:szCs w:val="24"/>
          <w:vertAlign w:val="superscript"/>
        </w:rPr>
        <w:footnoteReference w:id="158"/>
      </w:r>
      <w:r w:rsidRPr="001B6FE5">
        <w:rPr>
          <w:rFonts w:ascii="Arial Narrow" w:eastAsia="Times New Roman" w:hAnsi="Arial Narrow" w:cs="Arial"/>
          <w:bCs/>
          <w:szCs w:val="24"/>
        </w:rPr>
        <w:t xml:space="preserve"> The </w:t>
      </w:r>
      <w:r w:rsidRPr="001B6FE5">
        <w:rPr>
          <w:rFonts w:ascii="Arial Narrow" w:eastAsia="Times New Roman" w:hAnsi="Arial Narrow" w:cs="Arial"/>
          <w:bCs/>
          <w:i/>
          <w:szCs w:val="24"/>
        </w:rPr>
        <w:t>Kresy</w:t>
      </w:r>
      <w:r w:rsidRPr="001B6FE5">
        <w:rPr>
          <w:rFonts w:ascii="Arial Narrow" w:eastAsia="Times New Roman" w:hAnsi="Arial Narrow" w:cs="Arial"/>
          <w:bCs/>
          <w:szCs w:val="24"/>
        </w:rPr>
        <w:t xml:space="preserve"> was contiguous with Galicia and both communities sought emigration - particularly those young men from the </w:t>
      </w:r>
      <w:r w:rsidR="00121F6C">
        <w:rPr>
          <w:rFonts w:ascii="Arial Narrow" w:eastAsia="Times New Roman" w:hAnsi="Arial Narrow" w:cs="Arial"/>
          <w:bCs/>
          <w:i/>
          <w:szCs w:val="24"/>
        </w:rPr>
        <w:t>Y</w:t>
      </w:r>
      <w:r w:rsidRPr="001B6FE5">
        <w:rPr>
          <w:rFonts w:ascii="Arial Narrow" w:eastAsia="Times New Roman" w:hAnsi="Arial Narrow" w:cs="Arial"/>
          <w:bCs/>
          <w:i/>
          <w:szCs w:val="24"/>
        </w:rPr>
        <w:t>eshivas</w:t>
      </w:r>
      <w:r w:rsidRPr="001B6FE5">
        <w:rPr>
          <w:rFonts w:ascii="Arial Narrow" w:eastAsia="Times New Roman" w:hAnsi="Arial Narrow" w:cs="Arial"/>
          <w:bCs/>
          <w:szCs w:val="24"/>
        </w:rPr>
        <w:t xml:space="preserve"> (academies) - to such an extent the Neville Laski carried certificates for Palestine around in his pocket whilst ‘visiting Warsaw.’ The population in the Polish capital was growing at forty thousand annually, and emigration was often unfeasible because of lack of money and ‘destinations.’</w:t>
      </w:r>
      <w:r w:rsidRPr="001B6FE5">
        <w:rPr>
          <w:rFonts w:ascii="Arial Narrow" w:eastAsia="Times New Roman" w:hAnsi="Arial Narrow" w:cs="Arial"/>
          <w:bCs/>
          <w:szCs w:val="24"/>
          <w:vertAlign w:val="superscript"/>
        </w:rPr>
        <w:footnoteReference w:id="159"/>
      </w:r>
      <w:r w:rsidRPr="001B6FE5">
        <w:rPr>
          <w:rFonts w:ascii="Arial Narrow" w:eastAsia="Times New Roman" w:hAnsi="Arial Narrow" w:cs="Arial"/>
          <w:bCs/>
          <w:szCs w:val="24"/>
        </w:rPr>
        <w:t xml:space="preserve"> Rational explanations as to the nature of Moscow’s plans for the </w:t>
      </w:r>
      <w:r w:rsidRPr="001B6FE5">
        <w:rPr>
          <w:rFonts w:ascii="Arial Narrow" w:eastAsia="Times New Roman" w:hAnsi="Arial Narrow" w:cs="Arial"/>
          <w:bCs/>
          <w:i/>
          <w:szCs w:val="24"/>
        </w:rPr>
        <w:t>Kresy</w:t>
      </w:r>
      <w:r w:rsidRPr="001B6FE5">
        <w:rPr>
          <w:rFonts w:ascii="Arial Narrow" w:eastAsia="Times New Roman" w:hAnsi="Arial Narrow" w:cs="Arial"/>
          <w:bCs/>
          <w:szCs w:val="24"/>
        </w:rPr>
        <w:t>, which was still recovering from the 1924-25 droughts, had by 1933 convinced, amongst millions of others</w:t>
      </w:r>
      <w:r w:rsidR="003202CC">
        <w:rPr>
          <w:rFonts w:ascii="Arial Narrow" w:eastAsia="Times New Roman" w:hAnsi="Arial Narrow" w:cs="Arial"/>
          <w:bCs/>
          <w:szCs w:val="24"/>
        </w:rPr>
        <w:t>,</w:t>
      </w:r>
      <w:r w:rsidRPr="001B6FE5">
        <w:rPr>
          <w:rFonts w:ascii="Arial Narrow" w:eastAsia="Times New Roman" w:hAnsi="Arial Narrow" w:cs="Arial"/>
          <w:bCs/>
          <w:szCs w:val="24"/>
        </w:rPr>
        <w:t xml:space="preserve"> Lev Kopelev. Confiscating grain was important, for as ‘warriors on an invisible front, fighting against kulak sabotage’ it was a struggle for socialism, as Stalin had stated. But they also fought ‘for the souls of the peasants who were mired in unconscientiousness, in ignorance, who succumbed to enemy agitation, who did not understand the truth…’</w:t>
      </w:r>
      <w:r w:rsidRPr="001B6FE5">
        <w:rPr>
          <w:rFonts w:ascii="Arial Narrow" w:eastAsia="Times New Roman" w:hAnsi="Arial Narrow" w:cs="Arial"/>
          <w:bCs/>
          <w:szCs w:val="24"/>
          <w:vertAlign w:val="superscript"/>
        </w:rPr>
        <w:footnoteReference w:id="160"/>
      </w:r>
      <w:r w:rsidRPr="001B6FE5">
        <w:rPr>
          <w:rFonts w:ascii="Arial Narrow" w:eastAsia="Times New Roman" w:hAnsi="Arial Narrow" w:cs="Arial"/>
          <w:bCs/>
          <w:szCs w:val="24"/>
        </w:rPr>
        <w:t xml:space="preserve"> (Fig. 19)</w:t>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lastRenderedPageBreak/>
        <w:drawing>
          <wp:inline distT="0" distB="0" distL="0" distR="0" wp14:anchorId="384FAC0D" wp14:editId="63884124">
            <wp:extent cx="5476875" cy="3009900"/>
            <wp:effectExtent l="0" t="0" r="9525" b="0"/>
            <wp:docPr id="20" name="Picture 20" descr="europe deceiv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urope deceiv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76875" cy="3009900"/>
                    </a:xfrm>
                    <a:prstGeom prst="rect">
                      <a:avLst/>
                    </a:prstGeom>
                    <a:noFill/>
                    <a:ln>
                      <a:noFill/>
                    </a:ln>
                  </pic:spPr>
                </pic:pic>
              </a:graphicData>
            </a:graphic>
          </wp:inline>
        </w:drawing>
      </w:r>
    </w:p>
    <w:p w:rsidR="00273DD8"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19 </w:t>
      </w:r>
      <w:r w:rsidRPr="001B6FE5">
        <w:rPr>
          <w:rFonts w:ascii="Arial Narrow" w:eastAsia="Times New Roman" w:hAnsi="Arial Narrow" w:cs="Arial"/>
          <w:b/>
          <w:bCs/>
          <w:i/>
          <w:szCs w:val="24"/>
        </w:rPr>
        <w:t>‘Europe Deceived.’</w:t>
      </w:r>
      <w:r w:rsidR="006073DA">
        <w:rPr>
          <w:rFonts w:ascii="Arial Narrow" w:eastAsia="Times New Roman" w:hAnsi="Arial Narrow" w:cs="Arial"/>
          <w:b/>
          <w:bCs/>
          <w:szCs w:val="24"/>
        </w:rPr>
        <w:t xml:space="preserve"> </w:t>
      </w:r>
    </w:p>
    <w:p w:rsidR="006073DA" w:rsidRPr="006073DA" w:rsidRDefault="006073DA" w:rsidP="003D2CE4">
      <w:pPr>
        <w:spacing w:after="0" w:line="240" w:lineRule="auto"/>
        <w:jc w:val="both"/>
        <w:rPr>
          <w:rFonts w:ascii="Arial Narrow" w:eastAsia="Times New Roman" w:hAnsi="Arial Narrow" w:cs="Arial"/>
          <w:b/>
          <w:bCs/>
          <w:szCs w:val="24"/>
        </w:rPr>
      </w:pPr>
    </w:p>
    <w:p w:rsidR="00273DD8" w:rsidRPr="00D65758"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The Great Leap Forward was to have catastrophic consequences for the borderlands -literally mired in superstition - where in order to combat drought the locals would either pour water over the grave of a drowned man (to the consternation of ‘their faithless priest’), or ‘harness a woman (preferable young and pretty) to a plow and scatter poppy seeds behind her.’ A seasoned veteran of both the ‘German war’ and Civil War scoffed at the </w:t>
      </w:r>
      <w:r w:rsidR="00121F6C">
        <w:rPr>
          <w:rFonts w:ascii="Arial Narrow" w:eastAsia="Times New Roman" w:hAnsi="Arial Narrow" w:cs="Arial"/>
          <w:bCs/>
          <w:i/>
          <w:szCs w:val="24"/>
        </w:rPr>
        <w:t>K</w:t>
      </w:r>
      <w:r w:rsidRPr="001B6FE5">
        <w:rPr>
          <w:rFonts w:ascii="Arial Narrow" w:eastAsia="Times New Roman" w:hAnsi="Arial Narrow" w:cs="Arial"/>
          <w:bCs/>
          <w:i/>
          <w:szCs w:val="24"/>
        </w:rPr>
        <w:t>urkuls</w:t>
      </w:r>
      <w:r w:rsidRPr="001B6FE5">
        <w:rPr>
          <w:rFonts w:ascii="Arial Narrow" w:eastAsia="Times New Roman" w:hAnsi="Arial Narrow" w:cs="Arial"/>
          <w:bCs/>
          <w:szCs w:val="24"/>
        </w:rPr>
        <w:t xml:space="preserve"> (also “turkeys, gobblers, hoaxers”), who would hide seventy thousand pounds of grain whilst allowing their kids to starve: </w:t>
      </w:r>
      <w:r w:rsidRPr="001B6FE5">
        <w:rPr>
          <w:rFonts w:ascii="Arial Narrow" w:eastAsia="Times New Roman" w:hAnsi="Arial Narrow" w:cs="Arial"/>
          <w:szCs w:val="24"/>
        </w:rPr>
        <w:t>‘The hoaxers hope he can sit out the…collections, we’ll give up, then he’ll stuff himself silly. Or else he’s afraid we’ll find the hoard, take away the grain. Then his family’ ll be hungry…and he’ll be cooling his heals with the polar bears. Cunning as cunning can be, but stupid. I know them real good. Born here, ten kilometres away.’</w:t>
      </w:r>
      <w:r w:rsidRPr="001B6FE5">
        <w:rPr>
          <w:rFonts w:ascii="Arial Narrow" w:eastAsia="Times New Roman" w:hAnsi="Arial Narrow" w:cs="Arial"/>
          <w:bCs/>
          <w:szCs w:val="24"/>
          <w:vertAlign w:val="superscript"/>
        </w:rPr>
        <w:footnoteReference w:id="161"/>
      </w:r>
      <w:r w:rsidRPr="001B6FE5">
        <w:rPr>
          <w:rFonts w:ascii="Arial Narrow" w:eastAsia="Times New Roman" w:hAnsi="Arial Narrow" w:cs="Arial"/>
          <w:szCs w:val="24"/>
        </w:rPr>
        <w:t xml:space="preserve"> It should be noted that the inference given through the translation is </w:t>
      </w:r>
      <w:r w:rsidRPr="001B6FE5">
        <w:rPr>
          <w:rFonts w:ascii="Arial Narrow" w:eastAsia="Times New Roman" w:hAnsi="Arial Narrow" w:cs="Arial"/>
          <w:i/>
          <w:szCs w:val="24"/>
        </w:rPr>
        <w:t>en passant</w:t>
      </w:r>
      <w:r w:rsidRPr="001B6FE5">
        <w:rPr>
          <w:rFonts w:ascii="Arial Narrow" w:eastAsia="Times New Roman" w:hAnsi="Arial Narrow" w:cs="Arial"/>
          <w:szCs w:val="24"/>
        </w:rPr>
        <w:t xml:space="preserve">, distinctly that of a ‘good ol’ boy’ with both negative and positive connotations. Indeed Ukraine as a melting pot comprised of Germans, Russians, Greeks, Italians, Jews, Moldavians and Swedes, with a temperate climate, large river valleys and rolling plains has something of the ‘wild west’, situated as it were between the Cossacks and the Tatars (Native American tribal regions?). Further, the plantations of America’s southern states (Virginia, Georgia) could be analogous to the Pale of </w:t>
      </w:r>
      <w:r w:rsidRPr="001B6FE5">
        <w:rPr>
          <w:rFonts w:ascii="Arial Narrow" w:eastAsia="Times New Roman" w:hAnsi="Arial Narrow" w:cs="Arial"/>
          <w:szCs w:val="24"/>
        </w:rPr>
        <w:lastRenderedPageBreak/>
        <w:t xml:space="preserve">Settlement and Catherine’s </w:t>
      </w:r>
      <w:r w:rsidRPr="001B6FE5">
        <w:rPr>
          <w:rFonts w:ascii="Arial Narrow" w:eastAsia="Times New Roman" w:hAnsi="Arial Narrow" w:cs="Arial"/>
          <w:i/>
          <w:szCs w:val="24"/>
        </w:rPr>
        <w:t>Novorossiya</w:t>
      </w:r>
      <w:r w:rsidRPr="001B6FE5">
        <w:rPr>
          <w:rFonts w:ascii="Arial Narrow" w:eastAsia="Times New Roman" w:hAnsi="Arial Narrow" w:cs="Arial"/>
          <w:szCs w:val="24"/>
        </w:rPr>
        <w:t xml:space="preserve"> (new Russia). The </w:t>
      </w:r>
      <w:r w:rsidR="001D4FA4">
        <w:rPr>
          <w:rFonts w:ascii="Arial Narrow" w:eastAsia="Times New Roman" w:hAnsi="Arial Narrow" w:cs="Arial"/>
          <w:szCs w:val="24"/>
        </w:rPr>
        <w:t xml:space="preserve">distinctive summary justice (the </w:t>
      </w:r>
      <w:r w:rsidR="001D4FA4">
        <w:rPr>
          <w:rFonts w:ascii="Arial Narrow" w:eastAsia="Times New Roman" w:hAnsi="Arial Narrow" w:cs="Arial"/>
          <w:i/>
          <w:szCs w:val="24"/>
        </w:rPr>
        <w:t>S</w:t>
      </w:r>
      <w:r w:rsidRPr="001B6FE5">
        <w:rPr>
          <w:rFonts w:ascii="Arial Narrow" w:eastAsia="Times New Roman" w:hAnsi="Arial Narrow" w:cs="Arial"/>
          <w:i/>
          <w:szCs w:val="24"/>
        </w:rPr>
        <w:t>amosud</w:t>
      </w:r>
      <w:r w:rsidRPr="001B6FE5">
        <w:rPr>
          <w:rFonts w:ascii="Arial Narrow" w:eastAsia="Times New Roman" w:hAnsi="Arial Narrow" w:cs="Arial"/>
          <w:szCs w:val="24"/>
        </w:rPr>
        <w:t xml:space="preserve">) or Jewish </w:t>
      </w:r>
      <w:r w:rsidRPr="001B6FE5">
        <w:rPr>
          <w:rFonts w:ascii="Arial Narrow" w:eastAsia="Times New Roman" w:hAnsi="Arial Narrow" w:cs="Arial"/>
          <w:i/>
          <w:szCs w:val="24"/>
        </w:rPr>
        <w:t>kahal</w:t>
      </w:r>
      <w:r w:rsidRPr="001B6FE5">
        <w:rPr>
          <w:rFonts w:ascii="Arial Narrow" w:eastAsia="Times New Roman" w:hAnsi="Arial Narrow" w:cs="Arial"/>
          <w:szCs w:val="24"/>
        </w:rPr>
        <w:t xml:space="preserve"> - where the community and rabbi dealt with disputes and meted out punishment – are all indicative of a “backward” subsistence culture which understood its own limitations but was prepared to defend itself. It also should be remembered that whilst the railways could bring cheaper factory-produced goods, they would also as likely as not, tie whole regions into a cycle of dependency and out-compete with similar products produced locally. “Home-grown” stone hammers, chisels, knives and household implements ensured that the ‘</w:t>
      </w:r>
      <w:r w:rsidRPr="001B6FE5">
        <w:rPr>
          <w:rFonts w:ascii="Arial Narrow" w:eastAsia="Times New Roman" w:hAnsi="Arial Narrow" w:cs="Arial"/>
          <w:i/>
          <w:szCs w:val="24"/>
        </w:rPr>
        <w:t xml:space="preserve">kresy </w:t>
      </w:r>
      <w:r w:rsidRPr="001B6FE5">
        <w:rPr>
          <w:rFonts w:ascii="Arial Narrow" w:eastAsia="Times New Roman" w:hAnsi="Arial Narrow" w:cs="Arial"/>
          <w:szCs w:val="24"/>
        </w:rPr>
        <w:t>postrevolutionary economy [had] a good measure of economic and cultural self-sufficiency…[and] the nonhierarchical and syncretic nature of culture and religion…was well adapted to going underground, to subsisting quietly, unofficially, beyond the reach of cultural authorities.’</w:t>
      </w:r>
      <w:r w:rsidRPr="001B6FE5">
        <w:rPr>
          <w:rFonts w:ascii="Arial Narrow" w:eastAsia="Times New Roman" w:hAnsi="Arial Narrow" w:cs="Arial"/>
          <w:bCs/>
          <w:szCs w:val="24"/>
          <w:vertAlign w:val="superscript"/>
        </w:rPr>
        <w:footnoteReference w:id="162"/>
      </w:r>
      <w:r w:rsidRPr="001B6FE5">
        <w:rPr>
          <w:rFonts w:ascii="Arial Narrow" w:eastAsia="Times New Roman" w:hAnsi="Arial Narrow" w:cs="Arial"/>
          <w:szCs w:val="24"/>
        </w:rPr>
        <w:t xml:space="preserve"> (Fig. 20)  </w:t>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The incursions of the Soviet NKVD into the borderlands and subsequent forced emigration contrasted markedly with the Polish response to the Great Depression. The eastern Borderlands had not added to Poland’s economic output in any substantial way, and their </w:t>
      </w:r>
      <w:r w:rsidR="006073DA">
        <w:rPr>
          <w:rFonts w:ascii="Arial Narrow" w:eastAsia="Times New Roman" w:hAnsi="Arial Narrow" w:cs="Arial"/>
          <w:bCs/>
          <w:szCs w:val="24"/>
        </w:rPr>
        <w:t>inclusion</w:t>
      </w:r>
      <w:r w:rsidRPr="001B6FE5">
        <w:rPr>
          <w:rFonts w:ascii="Arial Narrow" w:eastAsia="Times New Roman" w:hAnsi="Arial Narrow" w:cs="Arial"/>
          <w:bCs/>
          <w:szCs w:val="24"/>
        </w:rPr>
        <w:t xml:space="preserve"> in no way compensated for the loss of the old Tsarist Russian market. Poland’s bloated army (taking a whopping thirty five per cent of GDP) exacerbated a collapsing industrial sector, which by 1932 was producing only fifty four per cent of her 1913 finished cotton output, and a paltry thirty four per cent of her prewar steel production.</w:t>
      </w:r>
      <w:r w:rsidRPr="001B6FE5">
        <w:rPr>
          <w:rFonts w:ascii="Arial Narrow" w:eastAsia="Times New Roman" w:hAnsi="Arial Narrow" w:cs="Arial"/>
          <w:bCs/>
          <w:szCs w:val="24"/>
          <w:vertAlign w:val="superscript"/>
        </w:rPr>
        <w:footnoteReference w:id="163"/>
      </w:r>
      <w:r w:rsidRPr="001B6FE5">
        <w:rPr>
          <w:rFonts w:ascii="Arial Narrow" w:eastAsia="Times New Roman" w:hAnsi="Arial Narrow" w:cs="Arial"/>
          <w:bCs/>
          <w:szCs w:val="24"/>
        </w:rPr>
        <w:t xml:space="preserve"> Caught between the necessity to reschedule foreign loans or utilise Soviet-style modernisation of her industrial sector  (which she probably was ‘more impressed by’), the Poles failed to join the ‘Little Entente’, and having signed a worthless Convention with the French in 1921, signed separate pacts with her insular and unruly neighbours.</w:t>
      </w:r>
      <w:r w:rsidRPr="001B6FE5">
        <w:rPr>
          <w:rFonts w:ascii="Arial Narrow" w:eastAsia="Times New Roman" w:hAnsi="Arial Narrow" w:cs="Arial"/>
          <w:bCs/>
          <w:szCs w:val="24"/>
          <w:vertAlign w:val="superscript"/>
        </w:rPr>
        <w:footnoteReference w:id="164"/>
      </w:r>
      <w:r w:rsidRPr="001B6FE5">
        <w:rPr>
          <w:rFonts w:ascii="Arial Narrow" w:eastAsia="Times New Roman" w:hAnsi="Arial Narrow" w:cs="Arial"/>
          <w:bCs/>
          <w:szCs w:val="24"/>
        </w:rPr>
        <w:t xml:space="preserve"> The question of minorities - though it should be remembered this did not apply to Ukrainian ‘nationals’ - was not pressing for the Poles. Poland, along with other nations, was reaching its dénouement in respect of the minorities. Was she ‘more anxious to be quit of her own obligations…than to persuade other Powers to undertake the like’, or were they also ‘less anxious to preserve for Poland’s [and by </w:t>
      </w:r>
      <w:r w:rsidRPr="001B6FE5">
        <w:rPr>
          <w:rFonts w:ascii="Arial Narrow" w:eastAsia="Times New Roman" w:hAnsi="Arial Narrow" w:cs="Arial"/>
          <w:bCs/>
          <w:szCs w:val="24"/>
        </w:rPr>
        <w:lastRenderedPageBreak/>
        <w:t>implication all other] subject minorities their existing guarantees than to avoid being manoeuvred into putting themselves under the same obligations a</w:t>
      </w:r>
      <w:r w:rsidR="00AD2169">
        <w:rPr>
          <w:rFonts w:ascii="Arial Narrow" w:eastAsia="Times New Roman" w:hAnsi="Arial Narrow" w:cs="Arial"/>
          <w:bCs/>
          <w:szCs w:val="24"/>
        </w:rPr>
        <w:t>s are now incumbent upon Poland.</w:t>
      </w:r>
      <w:r w:rsidRPr="001B6FE5">
        <w:rPr>
          <w:rFonts w:ascii="Arial Narrow" w:eastAsia="Times New Roman" w:hAnsi="Arial Narrow" w:cs="Arial"/>
          <w:bCs/>
          <w:szCs w:val="24"/>
        </w:rPr>
        <w:t>’ The United States had no ‘minorities’, and they would not have been ‘obliged’ under the Treaty anyway; neither were the Imperial powers subject peoples.</w:t>
      </w:r>
      <w:r w:rsidRPr="001B6FE5">
        <w:rPr>
          <w:rFonts w:ascii="Arial Narrow" w:eastAsia="Times New Roman" w:hAnsi="Arial Narrow" w:cs="Arial"/>
          <w:bCs/>
          <w:szCs w:val="24"/>
          <w:vertAlign w:val="superscript"/>
        </w:rPr>
        <w:footnoteReference w:id="165"/>
      </w:r>
      <w:r w:rsidRPr="001B6FE5">
        <w:rPr>
          <w:rFonts w:ascii="Arial Narrow" w:eastAsia="Times New Roman" w:hAnsi="Arial Narrow" w:cs="Arial"/>
          <w:bCs/>
          <w:szCs w:val="24"/>
        </w:rPr>
        <w:t xml:space="preserve"> But as ‘Article 74 [Minorities Protection Treaty]’ stated: ‘“nationality” was to be a matter of individual choice, not something automatically deduced from native language, and not subject to review or correction by officials.’ However, for millions of people the infatuation that the Leagues ‘League of Governments’ had with their own sovereign status, was increasingly seen to be made at </w:t>
      </w:r>
      <w:r w:rsidRPr="001B6FE5">
        <w:rPr>
          <w:rFonts w:ascii="Arial Narrow" w:eastAsia="Times New Roman" w:hAnsi="Arial Narrow" w:cs="Arial"/>
          <w:bCs/>
          <w:i/>
          <w:szCs w:val="24"/>
        </w:rPr>
        <w:t xml:space="preserve">their </w:t>
      </w:r>
      <w:r w:rsidRPr="001B6FE5">
        <w:rPr>
          <w:rFonts w:ascii="Arial Narrow" w:eastAsia="Times New Roman" w:hAnsi="Arial Narrow" w:cs="Arial"/>
          <w:bCs/>
          <w:szCs w:val="24"/>
        </w:rPr>
        <w:t>expense.</w:t>
      </w:r>
      <w:r w:rsidRPr="001B6FE5">
        <w:rPr>
          <w:rFonts w:ascii="Arial Narrow" w:eastAsia="Times New Roman" w:hAnsi="Arial Narrow" w:cs="Arial"/>
          <w:bCs/>
          <w:szCs w:val="24"/>
          <w:vertAlign w:val="superscript"/>
        </w:rPr>
        <w:footnoteReference w:id="166"/>
      </w:r>
      <w:r w:rsidRPr="001B6FE5">
        <w:rPr>
          <w:rFonts w:ascii="Arial Narrow" w:eastAsia="Times New Roman" w:hAnsi="Arial Narrow" w:cs="Arial"/>
          <w:bCs/>
          <w:szCs w:val="24"/>
        </w:rPr>
        <w:t xml:space="preserve"> </w:t>
      </w:r>
    </w:p>
    <w:p w:rsidR="00273DD8" w:rsidRPr="001B6FE5" w:rsidRDefault="00273DD8" w:rsidP="003D2CE4">
      <w:pPr>
        <w:spacing w:after="0" w:line="480" w:lineRule="auto"/>
        <w:jc w:val="both"/>
        <w:rPr>
          <w:rFonts w:ascii="Arial Narrow" w:eastAsia="Times New Roman" w:hAnsi="Arial Narrow" w:cs="Arial"/>
          <w:bCs/>
          <w:szCs w:val="24"/>
        </w:rPr>
      </w:pPr>
      <w:r w:rsidRPr="001B6FE5">
        <w:rPr>
          <w:rFonts w:ascii="Arial Narrow" w:eastAsia="Times New Roman" w:hAnsi="Arial Narrow" w:cs="Arial"/>
          <w:bCs/>
          <w:noProof/>
          <w:szCs w:val="24"/>
          <w:lang w:eastAsia="en-GB"/>
        </w:rPr>
        <w:drawing>
          <wp:inline distT="0" distB="0" distL="0" distR="0" wp14:anchorId="7D37FAC9" wp14:editId="679CE2C2">
            <wp:extent cx="5467350" cy="3343275"/>
            <wp:effectExtent l="0" t="0" r="0" b="0"/>
            <wp:docPr id="21" name="Picture 21" descr="david burliuk carousel 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avid burliuk carousel 192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67350" cy="3343275"/>
                    </a:xfrm>
                    <a:prstGeom prst="rect">
                      <a:avLst/>
                    </a:prstGeom>
                    <a:noFill/>
                    <a:ln>
                      <a:noFill/>
                    </a:ln>
                  </pic:spPr>
                </pic:pic>
              </a:graphicData>
            </a:graphic>
          </wp:inline>
        </w:drawing>
      </w:r>
    </w:p>
    <w:p w:rsidR="00273DD8" w:rsidRPr="001B6FE5" w:rsidRDefault="00273DD8" w:rsidP="003D2CE4">
      <w:pPr>
        <w:spacing w:after="0" w:line="240" w:lineRule="auto"/>
        <w:jc w:val="both"/>
        <w:rPr>
          <w:rFonts w:ascii="Arial Narrow" w:eastAsia="Times New Roman" w:hAnsi="Arial Narrow" w:cs="Arial"/>
          <w:b/>
          <w:bCs/>
          <w:szCs w:val="24"/>
        </w:rPr>
      </w:pPr>
      <w:r w:rsidRPr="001B6FE5">
        <w:rPr>
          <w:rFonts w:ascii="Arial Narrow" w:eastAsia="Times New Roman" w:hAnsi="Arial Narrow" w:cs="Arial"/>
          <w:b/>
          <w:bCs/>
          <w:szCs w:val="24"/>
        </w:rPr>
        <w:t xml:space="preserve">Fig. 20 </w:t>
      </w:r>
      <w:r w:rsidRPr="001B6FE5">
        <w:rPr>
          <w:rFonts w:ascii="Arial Narrow" w:eastAsia="Times New Roman" w:hAnsi="Arial Narrow" w:cs="Arial"/>
          <w:b/>
          <w:bCs/>
          <w:i/>
          <w:szCs w:val="24"/>
        </w:rPr>
        <w:t>Carousel,</w:t>
      </w:r>
      <w:r w:rsidRPr="001B6FE5">
        <w:rPr>
          <w:rFonts w:ascii="Arial Narrow" w:eastAsia="Times New Roman" w:hAnsi="Arial Narrow" w:cs="Arial"/>
          <w:b/>
          <w:bCs/>
          <w:szCs w:val="24"/>
        </w:rPr>
        <w:t xml:space="preserve"> 1921. </w:t>
      </w:r>
    </w:p>
    <w:p w:rsidR="00273DD8" w:rsidRPr="001B6FE5" w:rsidRDefault="00273DD8" w:rsidP="003D2CE4">
      <w:pPr>
        <w:keepNext/>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 </w:t>
      </w:r>
    </w:p>
    <w:p w:rsidR="00273DD8" w:rsidRPr="001B6FE5" w:rsidRDefault="00273DD8" w:rsidP="003D2CE4">
      <w:pPr>
        <w:keepNext/>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Reconstruction of east-Central Europe would have been no small undertaking at any other time in history. But Poland did not achieve ‘economic union’ until the new currency was finally applied in Upper Silesia in 1924, this in a nation with 66 types of rail and 165 different locomotives. The emigration rate had reduced from 178,000 per annum in 1906-10, to 58,000 across Eastern Europe by the mid-twenties; </w:t>
      </w:r>
      <w:r w:rsidRPr="001B6FE5">
        <w:rPr>
          <w:rFonts w:ascii="Arial Narrow" w:eastAsia="Times New Roman" w:hAnsi="Arial Narrow" w:cs="Arial"/>
          <w:bCs/>
          <w:szCs w:val="24"/>
        </w:rPr>
        <w:lastRenderedPageBreak/>
        <w:t>population pressure was further exacerbated by a rising population and ‘nostrification’ of industry, particularly in Romania and Czechoslovakia. In the ‘Danubian Lands’ confiscation of assets belonging to Austrian, German and Hungarian capitalists, fed upon the idea that ‘political independence was incompatible with economic dependence…acting as a powerful stimulus to industrial development in [these] primarily agricultural countries.’</w:t>
      </w:r>
      <w:r w:rsidRPr="001B6FE5">
        <w:rPr>
          <w:rFonts w:ascii="Arial Narrow" w:eastAsia="Times New Roman" w:hAnsi="Arial Narrow" w:cs="Arial"/>
          <w:bCs/>
          <w:szCs w:val="24"/>
          <w:vertAlign w:val="superscript"/>
        </w:rPr>
        <w:footnoteReference w:id="167"/>
      </w:r>
      <w:r w:rsidRPr="001B6FE5">
        <w:rPr>
          <w:rFonts w:ascii="Arial Narrow" w:eastAsia="Times New Roman" w:hAnsi="Arial Narrow" w:cs="Arial"/>
          <w:bCs/>
          <w:szCs w:val="24"/>
        </w:rPr>
        <w:t xml:space="preserve"> Hayek, assessing the conjuncture of socialism and nationalism suggested that: ‘In the Central European countries the socialist parties had familiarised the masses with political organisations of a semi-military character designed to absorb as much as possible of the private life of the members.’ There was both a strong anti-capitalism and a corralling of the group throughout the region, combining forces which on the one-hand defined the enemy as internal - “Jew” or “Kulak” - or an externalised threat of the ‘other’. The more libertarian postwar views of Hayek were in marked contrast to those of the time. Harold Laski in </w:t>
      </w:r>
      <w:r w:rsidRPr="001B6FE5">
        <w:rPr>
          <w:rFonts w:ascii="Arial Narrow" w:eastAsia="Times New Roman" w:hAnsi="Arial Narrow" w:cs="Arial"/>
          <w:bCs/>
          <w:i/>
          <w:szCs w:val="24"/>
        </w:rPr>
        <w:t>Liberty in the Modern State</w:t>
      </w:r>
      <w:r w:rsidRPr="001B6FE5">
        <w:rPr>
          <w:rFonts w:ascii="Arial Narrow" w:eastAsia="Times New Roman" w:hAnsi="Arial Narrow" w:cs="Arial"/>
          <w:bCs/>
          <w:szCs w:val="24"/>
        </w:rPr>
        <w:t xml:space="preserve"> perhaps sums up his own era more acutely: “Those who know the normal life of the poor, its haunting sense of impending disaster, its fitful search for beauty </w:t>
      </w:r>
      <w:r w:rsidR="00D65758">
        <w:rPr>
          <w:rFonts w:ascii="Arial Narrow" w:eastAsia="Times New Roman" w:hAnsi="Arial Narrow" w:cs="Arial"/>
          <w:bCs/>
          <w:szCs w:val="24"/>
        </w:rPr>
        <w:t xml:space="preserve">which perpetually eludes, will </w:t>
      </w:r>
      <w:r w:rsidRPr="001B6FE5">
        <w:rPr>
          <w:rFonts w:ascii="Arial Narrow" w:eastAsia="Times New Roman" w:hAnsi="Arial Narrow" w:cs="Arial"/>
          <w:bCs/>
          <w:szCs w:val="24"/>
        </w:rPr>
        <w:t>realise well enough that, without economic security, liberty is not worth having.’</w:t>
      </w:r>
      <w:r w:rsidRPr="001B6FE5">
        <w:rPr>
          <w:rFonts w:ascii="Arial Narrow" w:eastAsia="Times New Roman" w:hAnsi="Arial Narrow" w:cs="Arial"/>
          <w:bCs/>
          <w:szCs w:val="24"/>
          <w:vertAlign w:val="superscript"/>
        </w:rPr>
        <w:footnoteReference w:id="168"/>
      </w:r>
      <w:r w:rsidRPr="001B6FE5">
        <w:rPr>
          <w:rFonts w:ascii="Arial Narrow" w:eastAsia="Times New Roman" w:hAnsi="Arial Narrow" w:cs="Arial"/>
          <w:bCs/>
          <w:szCs w:val="24"/>
        </w:rPr>
        <w:t xml:space="preserve"> </w:t>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noProof/>
          <w:szCs w:val="24"/>
          <w:lang w:eastAsia="en-GB"/>
        </w:rPr>
        <w:lastRenderedPageBreak/>
        <w:drawing>
          <wp:inline distT="0" distB="0" distL="0" distR="0" wp14:anchorId="08B4227E" wp14:editId="019BF27A">
            <wp:extent cx="5353050" cy="5162550"/>
            <wp:effectExtent l="0" t="0" r="0" b="0"/>
            <wp:docPr id="22" name="Picture 22" descr="kasimir malevich the running man 19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kasimir malevich the running man 1933-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353050" cy="5162550"/>
                    </a:xfrm>
                    <a:prstGeom prst="rect">
                      <a:avLst/>
                    </a:prstGeom>
                    <a:noFill/>
                    <a:ln>
                      <a:noFill/>
                    </a:ln>
                  </pic:spPr>
                </pic:pic>
              </a:graphicData>
            </a:graphic>
          </wp:inline>
        </w:drawing>
      </w:r>
    </w:p>
    <w:p w:rsidR="00273DD8" w:rsidRPr="001B6FE5" w:rsidRDefault="00273DD8" w:rsidP="003D2CE4">
      <w:pPr>
        <w:keepNext/>
        <w:spacing w:after="0" w:line="480" w:lineRule="auto"/>
        <w:jc w:val="both"/>
        <w:rPr>
          <w:rFonts w:ascii="Arial Narrow" w:eastAsia="Times New Roman" w:hAnsi="Arial Narrow" w:cs="Arial"/>
          <w:szCs w:val="24"/>
        </w:rPr>
      </w:pPr>
      <w:r w:rsidRPr="001B6FE5">
        <w:rPr>
          <w:rFonts w:ascii="Arial Narrow" w:eastAsia="Times New Roman" w:hAnsi="Arial Narrow" w:cs="Arial"/>
          <w:b/>
          <w:szCs w:val="24"/>
        </w:rPr>
        <w:t xml:space="preserve">Fig. 21 Kasimir Malevich, </w:t>
      </w:r>
      <w:r w:rsidR="00614004">
        <w:rPr>
          <w:rFonts w:ascii="Arial Narrow" w:eastAsia="Times New Roman" w:hAnsi="Arial Narrow" w:cs="Arial"/>
          <w:b/>
          <w:i/>
          <w:szCs w:val="24"/>
        </w:rPr>
        <w:t>The Running M</w:t>
      </w:r>
      <w:r w:rsidRPr="001B6FE5">
        <w:rPr>
          <w:rFonts w:ascii="Arial Narrow" w:eastAsia="Times New Roman" w:hAnsi="Arial Narrow" w:cs="Arial"/>
          <w:b/>
          <w:i/>
          <w:szCs w:val="24"/>
        </w:rPr>
        <w:t>an</w:t>
      </w:r>
      <w:r w:rsidRPr="001B6FE5">
        <w:rPr>
          <w:rFonts w:ascii="Arial Narrow" w:eastAsia="Times New Roman" w:hAnsi="Arial Narrow" w:cs="Arial"/>
          <w:b/>
          <w:szCs w:val="24"/>
        </w:rPr>
        <w:t xml:space="preserve">, 1933-34. </w:t>
      </w:r>
    </w:p>
    <w:p w:rsidR="00D65758" w:rsidRDefault="00273DD8" w:rsidP="003D2CE4">
      <w:pPr>
        <w:keepNext/>
        <w:spacing w:after="0" w:line="480" w:lineRule="auto"/>
        <w:jc w:val="both"/>
        <w:rPr>
          <w:rFonts w:ascii="Arial Narrow" w:eastAsia="Times New Roman" w:hAnsi="Arial Narrow" w:cs="Arial"/>
          <w:bCs/>
          <w:szCs w:val="24"/>
        </w:rPr>
      </w:pPr>
      <w:r w:rsidRPr="001B6FE5">
        <w:rPr>
          <w:rFonts w:ascii="Arial Narrow" w:eastAsia="Times New Roman" w:hAnsi="Arial Narrow" w:cs="Arial"/>
          <w:szCs w:val="24"/>
        </w:rPr>
        <w:tab/>
      </w:r>
      <w:r w:rsidRPr="001B6FE5">
        <w:rPr>
          <w:rFonts w:ascii="Arial Narrow" w:eastAsia="Times New Roman" w:hAnsi="Arial Narrow" w:cs="Arial"/>
          <w:b/>
          <w:szCs w:val="24"/>
        </w:rPr>
        <w:t xml:space="preserve"> </w:t>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Pr="001B6FE5">
        <w:rPr>
          <w:rFonts w:ascii="Arial Narrow" w:eastAsia="Times New Roman" w:hAnsi="Arial Narrow" w:cs="Arial"/>
          <w:b/>
          <w:szCs w:val="24"/>
        </w:rPr>
        <w:tab/>
      </w:r>
      <w:r w:rsidR="00056F5D">
        <w:rPr>
          <w:rFonts w:ascii="Arial Narrow" w:eastAsia="Times New Roman" w:hAnsi="Arial Narrow" w:cs="Arial"/>
          <w:bCs/>
          <w:szCs w:val="24"/>
        </w:rPr>
        <w:tab/>
        <w:t xml:space="preserve">  </w:t>
      </w:r>
    </w:p>
    <w:p w:rsidR="00D65758" w:rsidRPr="00D65758" w:rsidRDefault="00D65758" w:rsidP="003D2CE4">
      <w:pPr>
        <w:keepNext/>
        <w:spacing w:after="0" w:line="480" w:lineRule="auto"/>
        <w:jc w:val="both"/>
        <w:rPr>
          <w:rFonts w:ascii="Times New Roman" w:eastAsia="Times New Roman" w:hAnsi="Times New Roman" w:cs="Times New Roman"/>
          <w:b/>
          <w:szCs w:val="24"/>
        </w:rPr>
      </w:pPr>
      <w:r>
        <w:rPr>
          <w:rFonts w:ascii="Arial Narrow" w:eastAsia="Times New Roman" w:hAnsi="Arial Narrow" w:cs="Arial"/>
          <w:bCs/>
          <w:szCs w:val="24"/>
        </w:rPr>
        <w:tab/>
      </w:r>
      <w:r>
        <w:rPr>
          <w:rFonts w:ascii="Arial Narrow" w:eastAsia="Times New Roman" w:hAnsi="Arial Narrow" w:cs="Arial"/>
          <w:bCs/>
          <w:szCs w:val="24"/>
        </w:rPr>
        <w:tab/>
      </w:r>
      <w:r>
        <w:rPr>
          <w:rFonts w:ascii="Arial Narrow" w:eastAsia="Times New Roman" w:hAnsi="Arial Narrow" w:cs="Arial"/>
          <w:bCs/>
          <w:szCs w:val="24"/>
        </w:rPr>
        <w:tab/>
      </w:r>
      <w:r>
        <w:rPr>
          <w:rFonts w:ascii="Arial Narrow" w:eastAsia="Times New Roman" w:hAnsi="Arial Narrow" w:cs="Arial"/>
          <w:bCs/>
          <w:szCs w:val="24"/>
        </w:rPr>
        <w:tab/>
      </w:r>
      <w:r>
        <w:rPr>
          <w:rFonts w:ascii="Arial Narrow" w:eastAsia="Times New Roman" w:hAnsi="Arial Narrow" w:cs="Arial"/>
          <w:bCs/>
          <w:szCs w:val="24"/>
        </w:rPr>
        <w:tab/>
      </w:r>
      <w:r w:rsidR="00B74A52">
        <w:rPr>
          <w:rFonts w:ascii="Arial Narrow" w:eastAsia="Times New Roman" w:hAnsi="Arial Narrow" w:cs="Arial"/>
          <w:bCs/>
          <w:szCs w:val="24"/>
        </w:rPr>
        <w:t xml:space="preserve">   </w:t>
      </w:r>
      <w:r w:rsidRPr="00D65758">
        <w:rPr>
          <w:rFonts w:ascii="Times New Roman" w:eastAsia="Times New Roman" w:hAnsi="Times New Roman" w:cs="Times New Roman"/>
          <w:bCs/>
          <w:szCs w:val="24"/>
        </w:rPr>
        <w:t>V</w:t>
      </w:r>
    </w:p>
    <w:p w:rsidR="00273DD8" w:rsidRPr="001B6FE5" w:rsidRDefault="00B74A52" w:rsidP="003D2CE4">
      <w:pPr>
        <w:spacing w:after="0" w:line="480" w:lineRule="auto"/>
        <w:ind w:left="2880"/>
        <w:jc w:val="both"/>
        <w:rPr>
          <w:rFonts w:ascii="Arial Narrow" w:eastAsia="Times New Roman" w:hAnsi="Arial Narrow" w:cs="Arial"/>
          <w:b/>
          <w:szCs w:val="24"/>
          <w:u w:val="single"/>
        </w:rPr>
      </w:pPr>
      <w:r>
        <w:rPr>
          <w:rFonts w:ascii="Arial Narrow" w:eastAsia="Times New Roman" w:hAnsi="Arial Narrow" w:cs="Arial"/>
          <w:b/>
          <w:szCs w:val="24"/>
        </w:rPr>
        <w:t xml:space="preserve">   </w:t>
      </w:r>
      <w:r w:rsidR="00273DD8" w:rsidRPr="001B6FE5">
        <w:rPr>
          <w:rFonts w:ascii="Arial Narrow" w:eastAsia="Times New Roman" w:hAnsi="Arial Narrow" w:cs="Arial"/>
          <w:b/>
          <w:szCs w:val="24"/>
        </w:rPr>
        <w:t xml:space="preserve"> </w:t>
      </w:r>
      <w:r w:rsidR="00273DD8" w:rsidRPr="001B6FE5">
        <w:rPr>
          <w:rFonts w:ascii="Arial Narrow" w:eastAsia="Times New Roman" w:hAnsi="Arial Narrow" w:cs="Arial"/>
          <w:b/>
          <w:szCs w:val="24"/>
          <w:u w:val="single"/>
        </w:rPr>
        <w:t>Return to Babylon.</w:t>
      </w:r>
    </w:p>
    <w:p w:rsidR="00273DD8" w:rsidRPr="001B6FE5" w:rsidRDefault="00273DD8" w:rsidP="003D2CE4">
      <w:pPr>
        <w:spacing w:after="0" w:line="480" w:lineRule="auto"/>
        <w:ind w:firstLine="720"/>
        <w:jc w:val="both"/>
        <w:rPr>
          <w:rFonts w:ascii="Arial Narrow" w:eastAsia="Times New Roman" w:hAnsi="Arial Narrow" w:cs="Arial"/>
          <w:b/>
          <w:szCs w:val="24"/>
        </w:rPr>
      </w:pPr>
      <w:r w:rsidRPr="001B6FE5">
        <w:rPr>
          <w:rFonts w:ascii="Arial Narrow" w:eastAsia="Times New Roman" w:hAnsi="Arial Narrow" w:cs="Arial"/>
          <w:i/>
          <w:szCs w:val="24"/>
        </w:rPr>
        <w:t>“Like the Jews that Moses led out of Egyptian slavery, the half-savage, stupid, ponderous people of the Russian villages…will die out, and a new tribe will take their place – literate, sensible, hearty people.”</w:t>
      </w:r>
      <w:r w:rsidRPr="001B6FE5">
        <w:rPr>
          <w:rFonts w:ascii="Arial Narrow" w:eastAsia="Times New Roman" w:hAnsi="Arial Narrow" w:cs="Arial"/>
          <w:i/>
          <w:szCs w:val="24"/>
          <w:vertAlign w:val="superscript"/>
        </w:rPr>
        <w:footnoteReference w:id="169"/>
      </w:r>
      <w:r w:rsidRPr="001B6FE5">
        <w:rPr>
          <w:rFonts w:ascii="Arial Narrow" w:eastAsia="Times New Roman" w:hAnsi="Arial Narrow" w:cs="Arial"/>
          <w:i/>
          <w:szCs w:val="24"/>
        </w:rPr>
        <w:t xml:space="preserve"> </w:t>
      </w:r>
    </w:p>
    <w:p w:rsidR="00273DD8" w:rsidRPr="001B6FE5" w:rsidRDefault="0094046E" w:rsidP="003D2CE4">
      <w:pPr>
        <w:spacing w:after="0" w:line="480" w:lineRule="auto"/>
        <w:ind w:firstLine="720"/>
        <w:jc w:val="both"/>
        <w:rPr>
          <w:rFonts w:ascii="Arial Narrow" w:eastAsia="Times New Roman" w:hAnsi="Arial Narrow" w:cs="Arial"/>
          <w:bCs/>
          <w:szCs w:val="24"/>
        </w:rPr>
      </w:pPr>
      <w:r>
        <w:rPr>
          <w:rFonts w:ascii="Arial Narrow" w:eastAsia="Times New Roman" w:hAnsi="Arial Narrow" w:cs="Arial"/>
          <w:bCs/>
          <w:szCs w:val="24"/>
        </w:rPr>
        <w:lastRenderedPageBreak/>
        <w:t xml:space="preserve">This chapter utilises oral history and personal testimony, with particular reference to the sharpening of appetites on the ‘national front.’ German, Polish and Jewish relationships are at the forefront, but attention is also paid to the regions peasantry and the political repercussions which increasingly centralising states had upon their ‘subject’ peoples.  </w:t>
      </w:r>
      <w:r w:rsidR="00273DD8" w:rsidRPr="001B6FE5">
        <w:rPr>
          <w:rFonts w:ascii="Arial Narrow" w:eastAsia="Times New Roman" w:hAnsi="Arial Narrow" w:cs="Arial"/>
          <w:bCs/>
          <w:szCs w:val="24"/>
        </w:rPr>
        <w:t>William J.Rose on a visit to Silesia in 1932-3 was determined ‘to discover what people felt about the changes affected (sic) by the moving of the frontier’ a decade earlier. His methodology was not to leave a ‘few responsible people, of both nations, an exhaustive questionnaire’, as those of his fellow countryman had done before, but to investigate the human factors. His predecessors had had too ‘cavalier a view’ of economic and social re</w:t>
      </w:r>
      <w:r w:rsidR="00056F5D">
        <w:rPr>
          <w:rFonts w:ascii="Arial Narrow" w:eastAsia="Times New Roman" w:hAnsi="Arial Narrow" w:cs="Arial"/>
          <w:bCs/>
          <w:szCs w:val="24"/>
        </w:rPr>
        <w:t xml:space="preserve">lations, hoping in a few weeks </w:t>
      </w:r>
      <w:r w:rsidR="00273DD8" w:rsidRPr="001B6FE5">
        <w:rPr>
          <w:rFonts w:ascii="Arial Narrow" w:eastAsia="Times New Roman" w:hAnsi="Arial Narrow" w:cs="Arial"/>
          <w:bCs/>
          <w:szCs w:val="24"/>
        </w:rPr>
        <w:t>to unravel the complex five-century-long tortuous inter-connections and conflicts, but often returning ‘empty-handed’ (at least one had ‘ended with a nervous breakdown’).</w:t>
      </w:r>
      <w:r w:rsidR="00273DD8" w:rsidRPr="001B6FE5">
        <w:rPr>
          <w:rFonts w:ascii="Arial Narrow" w:eastAsia="Times New Roman" w:hAnsi="Arial Narrow" w:cs="Arial"/>
          <w:bCs/>
          <w:szCs w:val="24"/>
          <w:vertAlign w:val="superscript"/>
        </w:rPr>
        <w:footnoteReference w:id="170"/>
      </w:r>
      <w:r w:rsidR="00273DD8" w:rsidRPr="001B6FE5">
        <w:rPr>
          <w:rFonts w:ascii="Arial Narrow" w:eastAsia="Times New Roman" w:hAnsi="Arial Narrow" w:cs="Arial"/>
          <w:bCs/>
          <w:szCs w:val="24"/>
        </w:rPr>
        <w:t xml:space="preserve"> In Katowice/Kattowitz, Rose noticed an Officer in charge of a ‘city kitchen’ and was informed, ‘if you want to eat here you must go and get tickets at the office.’ His surprise at appearing ‘thin’ was not shared by a friend who told him ‘that of late the number of the intelligentsia out of work as such that no one could tell from clothes whether one is in need or not.’</w:t>
      </w:r>
      <w:r w:rsidR="00273DD8" w:rsidRPr="001B6FE5">
        <w:rPr>
          <w:rFonts w:ascii="Arial Narrow" w:eastAsia="Times New Roman" w:hAnsi="Arial Narrow" w:cs="Arial"/>
          <w:bCs/>
          <w:szCs w:val="24"/>
          <w:vertAlign w:val="superscript"/>
        </w:rPr>
        <w:footnoteReference w:id="171"/>
      </w:r>
      <w:r w:rsidR="00273DD8" w:rsidRPr="001B6FE5">
        <w:rPr>
          <w:rFonts w:ascii="Arial Narrow" w:eastAsia="Times New Roman" w:hAnsi="Arial Narrow" w:cs="Arial"/>
          <w:bCs/>
          <w:szCs w:val="24"/>
        </w:rPr>
        <w:t>Rose noted ‘only half of the great chimneys were smoking’ whilst ‘hundreds of men, women and children busy in the fields’ collecting potatoes, which is suggestive of substantial under-employment and poor social welfare. But his encounter in a café full of bilingual Poles and Germans led him to conclude that ‘in ordinary living there is no nationalist friction at all.’ Speaking in German he asked (after twenty minutes of listening), how it was that people could know in which language they were to greet one another. ‘</w:t>
      </w:r>
      <w:r w:rsidR="00273DD8" w:rsidRPr="001B6FE5">
        <w:rPr>
          <w:rFonts w:ascii="Arial Narrow" w:eastAsia="Times New Roman" w:hAnsi="Arial Narrow" w:cs="Arial"/>
          <w:bCs/>
          <w:i/>
          <w:szCs w:val="24"/>
        </w:rPr>
        <w:t>Ach, man kennt seine Leute</w:t>
      </w:r>
      <w:r w:rsidR="00273DD8" w:rsidRPr="001B6FE5">
        <w:rPr>
          <w:rFonts w:ascii="Arial Narrow" w:eastAsia="Times New Roman" w:hAnsi="Arial Narrow" w:cs="Arial"/>
          <w:bCs/>
          <w:szCs w:val="24"/>
        </w:rPr>
        <w:t>! [One knows its people!]’, was the response from a woman, who added that she had started school ‘in German’ and left it ‘in Polish.’ Katowice was and still is the most heavily industrialised part of east-Central Europe, often suffering from chronic economic problems, but its people ‘lived their lives’ in and around the city, where there was ‘scarcely a bit of tillable soil lying waste – at the worst it is pastured by sheep and goats.’</w:t>
      </w:r>
      <w:r w:rsidR="00273DD8" w:rsidRPr="001B6FE5">
        <w:rPr>
          <w:rFonts w:ascii="Arial Narrow" w:eastAsia="Times New Roman" w:hAnsi="Arial Narrow" w:cs="Arial"/>
          <w:bCs/>
          <w:szCs w:val="24"/>
          <w:vertAlign w:val="superscript"/>
        </w:rPr>
        <w:footnoteReference w:id="172"/>
      </w:r>
      <w:r w:rsidR="00273DD8" w:rsidRPr="001B6FE5">
        <w:rPr>
          <w:rFonts w:ascii="Arial Narrow" w:eastAsia="Times New Roman" w:hAnsi="Arial Narrow" w:cs="Arial"/>
          <w:bCs/>
          <w:szCs w:val="24"/>
        </w:rPr>
        <w:t xml:space="preserve"> This was a land in which country and town lived side-by-side, where the land had a temporary status and fluctuated, as did its people. Another William, this time from England, visiting Poland in the Eighteenth Century had noted: “In </w:t>
      </w:r>
      <w:r w:rsidR="00273DD8" w:rsidRPr="001B6FE5">
        <w:rPr>
          <w:rFonts w:ascii="Arial Narrow" w:eastAsia="Times New Roman" w:hAnsi="Arial Narrow" w:cs="Arial"/>
          <w:bCs/>
          <w:szCs w:val="24"/>
        </w:rPr>
        <w:lastRenderedPageBreak/>
        <w:t>many places I observed the wood encroaching upon the fields…I was informed that this was the case in most parts of Poland, many traces of former enclosures, and even the vestiges of paved streets, being discernable in the centre of forests.’</w:t>
      </w:r>
      <w:r w:rsidR="00273DD8" w:rsidRPr="001B6FE5">
        <w:rPr>
          <w:rFonts w:ascii="Arial Narrow" w:eastAsia="Times New Roman" w:hAnsi="Arial Narrow" w:cs="Arial"/>
          <w:bCs/>
          <w:szCs w:val="24"/>
          <w:vertAlign w:val="superscript"/>
        </w:rPr>
        <w:footnoteReference w:id="173"/>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Claude Lanzmann’s 1985 film </w:t>
      </w:r>
      <w:r w:rsidRPr="001B6FE5">
        <w:rPr>
          <w:rFonts w:ascii="Arial Narrow" w:eastAsia="Times New Roman" w:hAnsi="Arial Narrow" w:cs="Arial"/>
          <w:bCs/>
          <w:i/>
          <w:szCs w:val="24"/>
        </w:rPr>
        <w:t>Shoah</w:t>
      </w:r>
      <w:r w:rsidRPr="001B6FE5">
        <w:rPr>
          <w:rFonts w:ascii="Arial Narrow" w:eastAsia="Times New Roman" w:hAnsi="Arial Narrow" w:cs="Arial"/>
          <w:bCs/>
          <w:szCs w:val="24"/>
        </w:rPr>
        <w:t xml:space="preserve"> </w:t>
      </w:r>
      <w:r w:rsidR="001765CE">
        <w:rPr>
          <w:rFonts w:ascii="Arial Narrow" w:eastAsia="Times New Roman" w:hAnsi="Arial Narrow" w:cs="Arial"/>
          <w:bCs/>
          <w:szCs w:val="24"/>
        </w:rPr>
        <w:t xml:space="preserve">is </w:t>
      </w:r>
      <w:r w:rsidR="00D87420">
        <w:rPr>
          <w:rFonts w:ascii="Arial Narrow" w:eastAsia="Times New Roman" w:hAnsi="Arial Narrow" w:cs="Arial"/>
          <w:bCs/>
          <w:szCs w:val="24"/>
        </w:rPr>
        <w:t>described</w:t>
      </w:r>
      <w:r w:rsidRPr="001B6FE5">
        <w:rPr>
          <w:rFonts w:ascii="Arial Narrow" w:eastAsia="Times New Roman" w:hAnsi="Arial Narrow" w:cs="Arial"/>
          <w:bCs/>
          <w:szCs w:val="24"/>
        </w:rPr>
        <w:t xml:space="preserve"> as having ‘mysterious power’, and Lanzmann himself </w:t>
      </w:r>
      <w:r w:rsidR="00D87420">
        <w:rPr>
          <w:rFonts w:ascii="Arial Narrow" w:eastAsia="Times New Roman" w:hAnsi="Arial Narrow" w:cs="Arial"/>
          <w:bCs/>
          <w:szCs w:val="24"/>
        </w:rPr>
        <w:t>regarded</w:t>
      </w:r>
      <w:r w:rsidRPr="001B6FE5">
        <w:rPr>
          <w:rFonts w:ascii="Arial Narrow" w:eastAsia="Times New Roman" w:hAnsi="Arial Narrow" w:cs="Arial"/>
          <w:bCs/>
          <w:szCs w:val="24"/>
        </w:rPr>
        <w:t xml:space="preserve"> it as a reminder that: “[G]enocide cannot be brought to life and to attempt this is in some ways to deny the reality of it, to ignore the upsurge of violence.”  In </w:t>
      </w:r>
      <w:r w:rsidR="00D87420">
        <w:rPr>
          <w:rFonts w:ascii="Arial Narrow" w:eastAsia="Times New Roman" w:hAnsi="Arial Narrow" w:cs="Arial"/>
          <w:bCs/>
          <w:szCs w:val="24"/>
        </w:rPr>
        <w:t>recovering</w:t>
      </w:r>
      <w:r w:rsidRPr="001B6FE5">
        <w:rPr>
          <w:rFonts w:ascii="Arial Narrow" w:eastAsia="Times New Roman" w:hAnsi="Arial Narrow" w:cs="Arial"/>
          <w:bCs/>
          <w:szCs w:val="24"/>
        </w:rPr>
        <w:t xml:space="preserve"> the details of the </w:t>
      </w:r>
      <w:r w:rsidR="00D87420">
        <w:rPr>
          <w:rFonts w:ascii="Arial Narrow" w:eastAsia="Times New Roman" w:hAnsi="Arial Narrow" w:cs="Arial"/>
          <w:bCs/>
          <w:szCs w:val="24"/>
        </w:rPr>
        <w:t>events</w:t>
      </w:r>
      <w:r w:rsidRPr="001B6FE5">
        <w:rPr>
          <w:rFonts w:ascii="Arial Narrow" w:eastAsia="Times New Roman" w:hAnsi="Arial Narrow" w:cs="Arial"/>
          <w:bCs/>
          <w:szCs w:val="24"/>
        </w:rPr>
        <w:t>, we are in some way searching for a continuity using realistic representations, and if ‘those living reality find its representation inadequate’, then searching into the past using the same methods would appear even more insurmountable.</w:t>
      </w:r>
      <w:r w:rsidRPr="001B6FE5">
        <w:rPr>
          <w:rFonts w:ascii="Arial Narrow" w:eastAsia="Times New Roman" w:hAnsi="Arial Narrow" w:cs="Arial"/>
          <w:bCs/>
          <w:szCs w:val="24"/>
          <w:vertAlign w:val="superscript"/>
        </w:rPr>
        <w:footnoteReference w:id="174"/>
      </w:r>
      <w:r w:rsidRPr="001B6FE5">
        <w:rPr>
          <w:rFonts w:ascii="Arial Narrow" w:eastAsia="Times New Roman" w:hAnsi="Arial Narrow" w:cs="Arial"/>
          <w:bCs/>
          <w:szCs w:val="24"/>
        </w:rPr>
        <w:t xml:space="preserve"> His use of geography, in ‘nine and a half hours of “travelling shots, pans”’, and utilising ‘small sites’ in juxtaposition with individual and group interviews, not only replaces pictures of emaciated ‘survivors’ by ‘liberating armies’, it provides a rare opportunity to listen to east-Central European oral history. His ‘refusal to visualize the past’, instead revisiting geographical sites as ‘pieces of earth where the events happened’, is beautifully displayed in his ‘interview’ technique. Martha Michelson, the wife of a German school teacher in Kulmhof (Chelmno) is asked why she had gone to the area (probably in 1939): “Because I was young [and] wanted to be useful.” She elaborates on the conditions (she had </w:t>
      </w:r>
      <w:r w:rsidRPr="001B6FE5">
        <w:rPr>
          <w:rFonts w:ascii="Arial Narrow" w:eastAsia="Times New Roman" w:hAnsi="Arial Narrow" w:cs="Arial"/>
          <w:bCs/>
          <w:i/>
          <w:szCs w:val="24"/>
        </w:rPr>
        <w:t>wanted</w:t>
      </w:r>
      <w:r w:rsidRPr="001B6FE5">
        <w:rPr>
          <w:rFonts w:ascii="Arial Narrow" w:eastAsia="Times New Roman" w:hAnsi="Arial Narrow" w:cs="Arial"/>
          <w:bCs/>
          <w:szCs w:val="24"/>
        </w:rPr>
        <w:t xml:space="preserve"> to go to ‘Wartheland’): “It was primitive; Super-primitive.” Lanzmann agrees that this is ‘difficult to understand’, so Martha elaborates: “The sanitary facilities were disastrous… [t]he only toilet was in Warthbrucken, in the town. You had to go there, the rest was a disaster!” It was a disaster because, “[t]here were no toilets at all [only] privies.” The memory of the toilets was instantly recalled and the ‘backwards’ environment is encompassed within Martha’s recollections, but this short piece also reminds us of the importance that all nationalities in the region attached to education. The teaching of language was integral to any nationalization programme, and the decline in the ‘minority-school system’ was felt especially amongst those who had been made an ‘internal other’ in the ‘Successor States.’ Germans were particularly </w:t>
      </w:r>
      <w:r w:rsidRPr="001B6FE5">
        <w:rPr>
          <w:rFonts w:ascii="Arial Narrow" w:eastAsia="Times New Roman" w:hAnsi="Arial Narrow" w:cs="Arial"/>
          <w:bCs/>
          <w:szCs w:val="24"/>
        </w:rPr>
        <w:lastRenderedPageBreak/>
        <w:t>vulner</w:t>
      </w:r>
      <w:r w:rsidR="00537E03">
        <w:rPr>
          <w:rFonts w:ascii="Arial Narrow" w:eastAsia="Times New Roman" w:hAnsi="Arial Narrow" w:cs="Arial"/>
          <w:bCs/>
          <w:szCs w:val="24"/>
        </w:rPr>
        <w:t>able in the Corridor Area where</w:t>
      </w:r>
      <w:r w:rsidRPr="001B6FE5">
        <w:rPr>
          <w:rFonts w:ascii="Arial Narrow" w:eastAsia="Times New Roman" w:hAnsi="Arial Narrow" w:cs="Arial"/>
          <w:bCs/>
          <w:szCs w:val="24"/>
        </w:rPr>
        <w:t>, ‘fewer than 25 per cent of German children attended such institutions in the 1930s, and in Swiecie/Schwetz county (Pomorze) the decline of German schools was absolute, from forty-one in 1925 to Zero in 1939.’</w:t>
      </w:r>
      <w:r w:rsidRPr="001B6FE5">
        <w:rPr>
          <w:rFonts w:ascii="Arial Narrow" w:eastAsia="Times New Roman" w:hAnsi="Arial Narrow" w:cs="Arial"/>
          <w:bCs/>
          <w:szCs w:val="24"/>
          <w:vertAlign w:val="superscript"/>
        </w:rPr>
        <w:footnoteReference w:id="175"/>
      </w:r>
      <w:r w:rsidRPr="001B6FE5">
        <w:rPr>
          <w:rFonts w:ascii="Arial Narrow" w:eastAsia="Times New Roman" w:hAnsi="Arial Narrow" w:cs="Arial"/>
          <w:bCs/>
          <w:szCs w:val="24"/>
        </w:rPr>
        <w:t xml:space="preserve"> The ‘bureaucratic’ necessity to reassert German teaching, as part of a re-colonization process was apparently self-evident.</w:t>
      </w:r>
      <w:r w:rsidRPr="001B6FE5">
        <w:rPr>
          <w:rFonts w:ascii="Arial Narrow" w:eastAsia="Times New Roman" w:hAnsi="Arial Narrow" w:cs="Arial"/>
          <w:bCs/>
          <w:szCs w:val="24"/>
          <w:vertAlign w:val="superscript"/>
        </w:rPr>
        <w:footnoteReference w:id="176"/>
      </w:r>
      <w:r w:rsidRPr="001B6FE5">
        <w:rPr>
          <w:rFonts w:ascii="Arial Narrow" w:eastAsia="Times New Roman" w:hAnsi="Arial Narrow" w:cs="Arial"/>
          <w:bCs/>
          <w:szCs w:val="24"/>
        </w:rPr>
        <w:t xml:space="preserve"> </w:t>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The pioneers of previous German colonization in the east, those in the Ukraine, the North Caucasus, and the Crimea, suffered disproportionately in the ‘dekulakization’ of the early 1930s. In an all-Soviet population of 147 million, approximately 1.8 million, or one and a half per cent, were resettled as “kulaks”; the German total between 1928 and 1932 was 50,000 out of around 1.2 million, or four per cent.</w:t>
      </w:r>
      <w:r w:rsidRPr="001B6FE5">
        <w:rPr>
          <w:rFonts w:ascii="Arial Narrow" w:eastAsia="Times New Roman" w:hAnsi="Arial Narrow" w:cs="Arial"/>
          <w:bCs/>
          <w:szCs w:val="24"/>
          <w:vertAlign w:val="superscript"/>
        </w:rPr>
        <w:footnoteReference w:id="177"/>
      </w:r>
      <w:r w:rsidRPr="001B6FE5">
        <w:rPr>
          <w:rFonts w:ascii="Arial Narrow" w:eastAsia="Times New Roman" w:hAnsi="Arial Narrow" w:cs="Arial"/>
          <w:bCs/>
          <w:szCs w:val="24"/>
        </w:rPr>
        <w:t xml:space="preserve"> (Fig. 21) Following on from Stalin’s ‘dizziness’, the subsequent famine killed a further 150,000 ethnic Germans, representing around twelve per cent of the 1926 Soviet census figures.</w:t>
      </w:r>
      <w:r w:rsidRPr="001B6FE5">
        <w:rPr>
          <w:rFonts w:ascii="Arial Narrow" w:eastAsia="Times New Roman" w:hAnsi="Arial Narrow" w:cs="Arial"/>
          <w:bCs/>
          <w:szCs w:val="24"/>
          <w:vertAlign w:val="superscript"/>
        </w:rPr>
        <w:footnoteReference w:id="178"/>
      </w:r>
      <w:r w:rsidRPr="001B6FE5">
        <w:rPr>
          <w:rFonts w:ascii="Arial Narrow" w:eastAsia="Times New Roman" w:hAnsi="Arial Narrow" w:cs="Arial"/>
          <w:bCs/>
          <w:szCs w:val="24"/>
        </w:rPr>
        <w:t xml:space="preserve"> Further winnowing occurred as the international temperature was raised. “The enemy is everywhere” reported a borderland newspaper the </w:t>
      </w:r>
      <w:r w:rsidRPr="001B6FE5">
        <w:rPr>
          <w:rFonts w:ascii="Arial Narrow" w:eastAsia="Times New Roman" w:hAnsi="Arial Narrow" w:cs="Arial"/>
          <w:bCs/>
          <w:i/>
          <w:szCs w:val="24"/>
        </w:rPr>
        <w:t>Marchlewska Radziecka</w:t>
      </w:r>
      <w:r w:rsidRPr="001B6FE5">
        <w:rPr>
          <w:rFonts w:ascii="Arial Narrow" w:eastAsia="Times New Roman" w:hAnsi="Arial Narrow" w:cs="Arial"/>
          <w:bCs/>
          <w:szCs w:val="24"/>
        </w:rPr>
        <w:t xml:space="preserve"> in 1933; even local schoolteachers joining in what was increasingly becoming an ‘early modern’ style witch-hunt. A Ukrainian party boss reported ‘long lists of suspicious people sabotaging the border zone’; leaving open to question both the existence and motivations of those ‘others’ that remained in the Ukrainian Republic. Moscow informed the borderlands that: “The commission [on German and Polish Regions of the borderland] should explain to the population that Soviet power does not stand for the smallest attempts at anti-Soviet activity or agitation and will not stop at refusal of the right to live in the Soviet Union and exile to far-off places.”</w:t>
      </w:r>
      <w:r w:rsidRPr="001B6FE5">
        <w:rPr>
          <w:rFonts w:ascii="Arial Narrow" w:eastAsia="Times New Roman" w:hAnsi="Arial Narrow" w:cs="Arial"/>
          <w:bCs/>
          <w:szCs w:val="24"/>
          <w:vertAlign w:val="superscript"/>
        </w:rPr>
        <w:footnoteReference w:id="179"/>
      </w:r>
      <w:r w:rsidRPr="001B6FE5">
        <w:rPr>
          <w:rFonts w:ascii="Arial Narrow" w:eastAsia="Times New Roman" w:hAnsi="Arial Narrow" w:cs="Arial"/>
          <w:bCs/>
          <w:szCs w:val="24"/>
        </w:rPr>
        <w:t xml:space="preserve"> The desperate plight of ethnic Germans had not gone unnoticed in North America, where German language papers such as the </w:t>
      </w:r>
      <w:r w:rsidRPr="001B6FE5">
        <w:rPr>
          <w:rFonts w:ascii="Arial Narrow" w:eastAsia="Times New Roman" w:hAnsi="Arial Narrow" w:cs="Arial"/>
          <w:bCs/>
          <w:i/>
          <w:szCs w:val="24"/>
        </w:rPr>
        <w:t>Dakota Freie Presse</w:t>
      </w:r>
      <w:r w:rsidRPr="001B6FE5">
        <w:rPr>
          <w:rFonts w:ascii="Arial Narrow" w:eastAsia="Times New Roman" w:hAnsi="Arial Narrow" w:cs="Arial"/>
          <w:bCs/>
          <w:szCs w:val="24"/>
        </w:rPr>
        <w:t xml:space="preserve"> (Bismarck, North Dakota) published excerpts of letters from overseas. They contained veiled messages, frequently using biblical sayings - which Soviet censors schooled in anti-religious doctrines found hard to understand – </w:t>
      </w:r>
      <w:r w:rsidRPr="001B6FE5">
        <w:rPr>
          <w:rFonts w:ascii="Arial Narrow" w:eastAsia="Times New Roman" w:hAnsi="Arial Narrow" w:cs="Arial"/>
          <w:bCs/>
          <w:szCs w:val="24"/>
        </w:rPr>
        <w:lastRenderedPageBreak/>
        <w:t>alluding to the Book of Job or “Read Isaiah, chapter twenty four”; or folk sayings such as “Nothing on the pot, nothing under the pot either.” A letter from 1933 stated:</w:t>
      </w:r>
    </w:p>
    <w:p w:rsidR="00273DD8" w:rsidRPr="001B6FE5" w:rsidRDefault="00273DD8" w:rsidP="003D2CE4">
      <w:pPr>
        <w:spacing w:after="0" w:line="480" w:lineRule="auto"/>
        <w:ind w:left="720"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 ‘[T[he commandants of our collective have told us, “Now you will see that wherever you destructive insects have settled in our land…that no God will drop manna from heaven to help you, and nowhere will anyone hear your miserable complaints. Hangings, shootings, starvation and freezing – all of those will be done to you if you don’t work to exactly meet the requirements of the predetermined plan.”</w:t>
      </w:r>
      <w:r w:rsidRPr="001B6FE5">
        <w:rPr>
          <w:rFonts w:ascii="Arial Narrow" w:eastAsia="Times New Roman" w:hAnsi="Arial Narrow" w:cs="Arial"/>
          <w:bCs/>
          <w:szCs w:val="24"/>
          <w:vertAlign w:val="superscript"/>
        </w:rPr>
        <w:footnoteReference w:id="180"/>
      </w:r>
    </w:p>
    <w:p w:rsidR="00273DD8" w:rsidRPr="001B6FE5" w:rsidRDefault="00273DD8" w:rsidP="003D2CE4">
      <w:pPr>
        <w:spacing w:after="0" w:line="480" w:lineRule="auto"/>
        <w:jc w:val="both"/>
        <w:rPr>
          <w:rFonts w:ascii="Arial Narrow" w:eastAsia="Times New Roman" w:hAnsi="Arial Narrow" w:cs="Arial"/>
          <w:bCs/>
          <w:szCs w:val="24"/>
        </w:rPr>
      </w:pPr>
      <w:r w:rsidRPr="001B6FE5">
        <w:rPr>
          <w:rFonts w:ascii="Arial Narrow" w:eastAsia="Times New Roman" w:hAnsi="Arial Narrow" w:cs="Arial"/>
          <w:bCs/>
          <w:szCs w:val="24"/>
        </w:rPr>
        <w:t>In something of an allegorical tale for its time, Vashchenko, the head of the Petrivtsy Soviet in Ukraine explained his method of catching peasants/kurkuls:</w:t>
      </w:r>
    </w:p>
    <w:p w:rsidR="00273DD8" w:rsidRPr="001B6FE5" w:rsidRDefault="00D4477A" w:rsidP="003D2CE4">
      <w:pPr>
        <w:spacing w:after="0" w:line="480" w:lineRule="auto"/>
        <w:ind w:left="720" w:firstLine="60"/>
        <w:jc w:val="both"/>
        <w:rPr>
          <w:rFonts w:ascii="Arial Narrow" w:eastAsia="Times New Roman" w:hAnsi="Arial Narrow" w:cs="Arial"/>
          <w:bCs/>
          <w:szCs w:val="24"/>
        </w:rPr>
      </w:pPr>
      <w:r>
        <w:rPr>
          <w:rFonts w:ascii="Arial Narrow" w:eastAsia="Times New Roman" w:hAnsi="Arial Narrow" w:cs="Arial"/>
          <w:bCs/>
          <w:szCs w:val="24"/>
        </w:rPr>
        <w:t xml:space="preserve">“He thought </w:t>
      </w:r>
      <w:r w:rsidR="00273DD8" w:rsidRPr="001B6FE5">
        <w:rPr>
          <w:rFonts w:ascii="Arial Narrow" w:eastAsia="Times New Roman" w:hAnsi="Arial Narrow" w:cs="Arial"/>
          <w:bCs/>
          <w:szCs w:val="24"/>
        </w:rPr>
        <w:t xml:space="preserve">he </w:t>
      </w:r>
      <w:r>
        <w:rPr>
          <w:rFonts w:ascii="Arial Narrow" w:eastAsia="Times New Roman" w:hAnsi="Arial Narrow" w:cs="Arial"/>
          <w:bCs/>
          <w:szCs w:val="24"/>
        </w:rPr>
        <w:t xml:space="preserve">was </w:t>
      </w:r>
      <w:r w:rsidR="00273DD8" w:rsidRPr="001B6FE5">
        <w:rPr>
          <w:rFonts w:ascii="Arial Narrow" w:eastAsia="Times New Roman" w:hAnsi="Arial Narrow" w:cs="Arial"/>
          <w:bCs/>
          <w:szCs w:val="24"/>
        </w:rPr>
        <w:t>so smart. Buried it in a distant field. Only he didn’t outsmart the mice. They found his hoard. And the fox found them. And our lads there, who love hunting, noticed that the fox was always in the same place, mousing in the same field. So that’s how they found that smart hoard. It was filled up – half with grain and half with mouse shit.”</w:t>
      </w:r>
      <w:r w:rsidR="00273DD8" w:rsidRPr="001B6FE5">
        <w:rPr>
          <w:rFonts w:ascii="Arial Narrow" w:eastAsia="Times New Roman" w:hAnsi="Arial Narrow" w:cs="Arial"/>
          <w:bCs/>
          <w:szCs w:val="24"/>
          <w:vertAlign w:val="superscript"/>
        </w:rPr>
        <w:footnoteReference w:id="181"/>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Whilst Soviet planning entailed implementing </w:t>
      </w:r>
      <w:r w:rsidRPr="001B6FE5">
        <w:rPr>
          <w:rFonts w:ascii="Arial Narrow" w:eastAsia="Times New Roman" w:hAnsi="Arial Narrow" w:cs="Arial"/>
          <w:bCs/>
          <w:i/>
          <w:szCs w:val="24"/>
        </w:rPr>
        <w:t>tout suite</w:t>
      </w:r>
      <w:r w:rsidRPr="001B6FE5">
        <w:rPr>
          <w:rFonts w:ascii="Arial Narrow" w:eastAsia="Times New Roman" w:hAnsi="Arial Narrow" w:cs="Arial"/>
          <w:bCs/>
          <w:szCs w:val="24"/>
        </w:rPr>
        <w:t xml:space="preserve"> the agrarian policies of Tsarist Russia, in a swift attempt to feed its burgeoning industrialization policies (which Moscow regarded as essential in order to defend itself against a resurgent Germany), it also represented “social prophylaxis” and “prophylactic cleansing” in what Peter Holquist correctly identifies as a ‘unionwide antibandit operation’. Implementation of passports (by 1934 their were over 27 million ‘internal’ passports in the Russian Federation alone), which primarily kept ‘starving peasants on the land and out of cities’, prompted the son a dekulakized peasant who had moved from Ukraine to Moscow in 1932, to comment in his diary that: “not only institutions, but also the population follows this work with suspense…All in all, [passportization] is a sorting out, the newest model of a human cleansing machine.”</w:t>
      </w:r>
      <w:r w:rsidRPr="001B6FE5">
        <w:rPr>
          <w:rFonts w:ascii="Arial Narrow" w:eastAsia="Times New Roman" w:hAnsi="Arial Narrow" w:cs="Arial"/>
          <w:bCs/>
          <w:szCs w:val="24"/>
          <w:vertAlign w:val="superscript"/>
        </w:rPr>
        <w:footnoteReference w:id="182"/>
      </w:r>
      <w:r w:rsidRPr="001B6FE5">
        <w:rPr>
          <w:rFonts w:ascii="Arial Narrow" w:eastAsia="Times New Roman" w:hAnsi="Arial Narrow" w:cs="Arial"/>
          <w:bCs/>
          <w:szCs w:val="24"/>
        </w:rPr>
        <w:t xml:space="preserve"> This process, utilised in modern Europe with somewhat more subtlety, ‘played a critical role in fostering a sense of personal nationality amongst Soviet citizens by forcing </w:t>
      </w:r>
      <w:r w:rsidRPr="001B6FE5">
        <w:rPr>
          <w:rFonts w:ascii="Arial Narrow" w:eastAsia="Times New Roman" w:hAnsi="Arial Narrow" w:cs="Arial"/>
          <w:bCs/>
          <w:szCs w:val="24"/>
        </w:rPr>
        <w:lastRenderedPageBreak/>
        <w:t>individuals to proclaim a national sense of affiliation and thus fit themselves within a national grid.’</w:t>
      </w:r>
      <w:r w:rsidRPr="001B6FE5">
        <w:rPr>
          <w:rFonts w:ascii="Arial Narrow" w:eastAsia="Times New Roman" w:hAnsi="Arial Narrow" w:cs="Arial"/>
          <w:bCs/>
          <w:szCs w:val="24"/>
          <w:vertAlign w:val="superscript"/>
        </w:rPr>
        <w:footnoteReference w:id="183"/>
      </w:r>
      <w:r w:rsidRPr="001B6FE5">
        <w:rPr>
          <w:rFonts w:ascii="Arial Narrow" w:eastAsia="Times New Roman" w:hAnsi="Arial Narrow" w:cs="Arial"/>
          <w:bCs/>
          <w:szCs w:val="24"/>
        </w:rPr>
        <w:t xml:space="preserve"> The apogee of such a process was reached in July 1937, with the infamous NKVD ‘order 00447’, which provided a quota system for those to be repressed in two categories within which : ‘To Category 1 belong the most hostile elements…they are to be arrested immediately and once their cases have been examined by a three-judge panel-SHOT.’</w:t>
      </w:r>
      <w:r w:rsidRPr="001B6FE5">
        <w:rPr>
          <w:rFonts w:ascii="Arial Narrow" w:eastAsia="Times New Roman" w:hAnsi="Arial Narrow" w:cs="Arial"/>
          <w:bCs/>
          <w:szCs w:val="24"/>
          <w:vertAlign w:val="superscript"/>
        </w:rPr>
        <w:footnoteReference w:id="184"/>
      </w:r>
      <w:r w:rsidRPr="001B6FE5">
        <w:rPr>
          <w:rFonts w:ascii="Arial Narrow" w:eastAsia="Times New Roman" w:hAnsi="Arial Narrow" w:cs="Arial"/>
          <w:bCs/>
          <w:szCs w:val="24"/>
        </w:rPr>
        <w:t xml:space="preserve"> The People’s Commissar for Internal Affairs and State Security, N. Ezhov, had become ‘witch-finder general’, and led (with Stalin’s blessings of course) the attacks upon the ‘the fascist hirelings’ in an atmosphere of fear and poisonous denunciations. Solzhenitsyn succinctly conveys the</w:t>
      </w:r>
      <w:r w:rsidRPr="001B6FE5">
        <w:rPr>
          <w:rFonts w:ascii="Arial Narrow" w:eastAsia="Times New Roman" w:hAnsi="Arial Narrow" w:cs="Arial"/>
          <w:bCs/>
          <w:i/>
          <w:szCs w:val="24"/>
        </w:rPr>
        <w:t xml:space="preserve"> zeitgeist</w:t>
      </w:r>
      <w:r w:rsidRPr="001B6FE5">
        <w:rPr>
          <w:rFonts w:ascii="Arial Narrow" w:eastAsia="Times New Roman" w:hAnsi="Arial Narrow" w:cs="Arial"/>
          <w:bCs/>
          <w:szCs w:val="24"/>
        </w:rPr>
        <w:t xml:space="preserve">:  </w:t>
      </w:r>
    </w:p>
    <w:p w:rsidR="00273DD8" w:rsidRPr="001B6FE5" w:rsidRDefault="00273DD8" w:rsidP="003D2CE4">
      <w:pPr>
        <w:spacing w:after="0" w:line="480" w:lineRule="auto"/>
        <w:ind w:left="720"/>
        <w:jc w:val="both"/>
        <w:rPr>
          <w:rFonts w:ascii="Arial Narrow" w:eastAsia="Times New Roman" w:hAnsi="Arial Narrow" w:cs="Arial"/>
          <w:bCs/>
          <w:szCs w:val="24"/>
        </w:rPr>
      </w:pPr>
      <w:r w:rsidRPr="001B6FE5">
        <w:rPr>
          <w:rFonts w:ascii="Arial Narrow" w:eastAsia="Times New Roman" w:hAnsi="Arial Narrow" w:cs="Arial"/>
          <w:bCs/>
          <w:szCs w:val="24"/>
        </w:rPr>
        <w:t>“A new generation had grown up. Its members had no personal memories of the preceding period…they accepted the interpretation placed upon it by their Komsomol instructors…During those years Russia underwent a kind of retrogressive development. The Party had become our father and we, the children obeyed.”</w:t>
      </w:r>
      <w:r w:rsidRPr="001B6FE5">
        <w:rPr>
          <w:rFonts w:ascii="Arial Narrow" w:eastAsia="Times New Roman" w:hAnsi="Arial Narrow" w:cs="Arial"/>
          <w:bCs/>
          <w:szCs w:val="24"/>
          <w:vertAlign w:val="superscript"/>
        </w:rPr>
        <w:footnoteReference w:id="185"/>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 xml:space="preserve">That the state was to be obeyed - despite the harshness of the methods used - and where the very words “me” and “mine” had been forbidden, are testament to Solzhenitsyn’s </w:t>
      </w:r>
      <w:r w:rsidR="007402B1">
        <w:rPr>
          <w:rFonts w:ascii="Arial Narrow" w:eastAsia="Times New Roman" w:hAnsi="Arial Narrow" w:cs="Arial"/>
          <w:bCs/>
          <w:szCs w:val="24"/>
        </w:rPr>
        <w:t>statement</w:t>
      </w:r>
      <w:r w:rsidRPr="001B6FE5">
        <w:rPr>
          <w:rFonts w:ascii="Arial Narrow" w:eastAsia="Times New Roman" w:hAnsi="Arial Narrow" w:cs="Arial"/>
          <w:bCs/>
          <w:szCs w:val="24"/>
        </w:rPr>
        <w:t xml:space="preserve">. In some instances where deportees were transferred from western Ukraine to eastern Ukraine, and officials had been notified to not disclose the ‘refugees’ national identity, they arrived as “foreigners” (in </w:t>
      </w:r>
      <w:r w:rsidRPr="001B6FE5">
        <w:rPr>
          <w:rFonts w:ascii="Arial Narrow" w:eastAsia="Times New Roman" w:hAnsi="Arial Narrow" w:cs="Arial"/>
          <w:bCs/>
          <w:i/>
          <w:szCs w:val="24"/>
        </w:rPr>
        <w:t xml:space="preserve">their </w:t>
      </w:r>
      <w:r w:rsidRPr="001B6FE5">
        <w:rPr>
          <w:rFonts w:ascii="Arial Narrow" w:eastAsia="Times New Roman" w:hAnsi="Arial Narrow" w:cs="Arial"/>
          <w:bCs/>
          <w:szCs w:val="24"/>
        </w:rPr>
        <w:t xml:space="preserve">own country!); but once they ‘stepped down from the trains…the secret was out.’ Poles and Germans were easily identified (thanks to Moscow’s previous policy of encouraging linguistic diversity, amongst others) and were greeted thereafter, Edward Guzovskii recalled, as “resettled persons” to whom the ‘locals’ shouted: “We’re going to drag you Poles out and feed you to the dogs.” Identity was firmly established in the minds of ‘others’ and state policies had neither subsumed or alienated those whom it had wished to supersede. It was also the isolation, as Solzhenitsyn had noted, that individuals remembered. A woman from the </w:t>
      </w:r>
      <w:r w:rsidRPr="001B6FE5">
        <w:rPr>
          <w:rFonts w:ascii="Arial Narrow" w:eastAsia="Times New Roman" w:hAnsi="Arial Narrow" w:cs="Arial"/>
          <w:bCs/>
          <w:i/>
          <w:szCs w:val="24"/>
        </w:rPr>
        <w:t>Kresy</w:t>
      </w:r>
      <w:r w:rsidRPr="001B6FE5">
        <w:rPr>
          <w:rFonts w:ascii="Arial Narrow" w:eastAsia="Times New Roman" w:hAnsi="Arial Narrow" w:cs="Arial"/>
          <w:bCs/>
          <w:szCs w:val="24"/>
        </w:rPr>
        <w:t xml:space="preserve">, Vera </w:t>
      </w:r>
      <w:r w:rsidRPr="001B6FE5">
        <w:rPr>
          <w:rFonts w:ascii="Arial Narrow" w:eastAsia="Times New Roman" w:hAnsi="Arial Narrow" w:cs="Arial"/>
          <w:bCs/>
          <w:szCs w:val="24"/>
        </w:rPr>
        <w:lastRenderedPageBreak/>
        <w:t>Mikhailovna, seeking to expunge NKVD records in the Zhytomyr State Archive, as a passing remark said sadly, “I was hoping to find some family member, but everyone is gone. I don’t find my maiden name now anywhere in town, I am all alone.” Asked why it was important to see just a name of an arrested or imprisoned relative she elaborates. “Until not long ago, family histories were something to hide. Everyone had scars on their family tree, a repressed father, an exiled aunt, someone with a prison record. It was better not to pass that information on to the children. So now people don’t know anything about where they come from or who their family members were.”</w:t>
      </w:r>
      <w:r w:rsidRPr="001B6FE5">
        <w:rPr>
          <w:rFonts w:ascii="Arial Narrow" w:eastAsia="Times New Roman" w:hAnsi="Arial Narrow" w:cs="Arial"/>
          <w:bCs/>
          <w:szCs w:val="24"/>
          <w:vertAlign w:val="superscript"/>
        </w:rPr>
        <w:footnoteReference w:id="186"/>
      </w:r>
      <w:r w:rsidRPr="001B6FE5">
        <w:rPr>
          <w:rFonts w:ascii="Arial Narrow" w:eastAsia="Times New Roman" w:hAnsi="Arial Narrow" w:cs="Arial"/>
          <w:bCs/>
          <w:szCs w:val="24"/>
        </w:rPr>
        <w:t xml:space="preserve"> The archivist could give her a thorough knowledge of her family history – but no individuals. </w:t>
      </w:r>
    </w:p>
    <w:p w:rsidR="001765CE" w:rsidRDefault="00273DD8" w:rsidP="003D2CE4">
      <w:pPr>
        <w:spacing w:after="0" w:line="480" w:lineRule="auto"/>
        <w:jc w:val="both"/>
        <w:rPr>
          <w:rFonts w:ascii="Arial Narrow" w:eastAsia="Times New Roman" w:hAnsi="Arial Narrow" w:cs="Arial"/>
          <w:bCs/>
          <w:szCs w:val="24"/>
        </w:rPr>
      </w:pPr>
      <w:r w:rsidRPr="001B6FE5">
        <w:rPr>
          <w:rFonts w:ascii="Arial Narrow" w:eastAsia="Times New Roman" w:hAnsi="Arial Narrow" w:cs="Arial"/>
          <w:bCs/>
          <w:szCs w:val="24"/>
        </w:rPr>
        <w:tab/>
        <w:t>The Jewish population in Poland, and other groups who were contiguous with the Soviet border, had to contend with their state authorities, in an increasingly fractious climate of fear in east-Central Europe. Zhytomyr was just sixty miles from Poland’s western border and it is difficult to believe that in such a traditional borderland, encompassing a broad range of customs, attitudes and sharing religious and historical consciousness, that common knowledge of the extent to which populations were being “resettled” was not widely diffused.  (Fig. 10) The Soviets decision to join the League of Nation (1934), heightened fears in Poland that’s it significant Russian minority would now find a v</w:t>
      </w:r>
      <w:r w:rsidR="00A67A06">
        <w:rPr>
          <w:rFonts w:ascii="Arial Narrow" w:eastAsia="Times New Roman" w:hAnsi="Arial Narrow" w:cs="Arial"/>
          <w:bCs/>
          <w:szCs w:val="24"/>
        </w:rPr>
        <w:t>oice in the wilderness. Germany</w:t>
      </w:r>
      <w:r w:rsidRPr="001B6FE5">
        <w:rPr>
          <w:rFonts w:ascii="Arial Narrow" w:eastAsia="Times New Roman" w:hAnsi="Arial Narrow" w:cs="Arial"/>
          <w:bCs/>
          <w:szCs w:val="24"/>
        </w:rPr>
        <w:t xml:space="preserve">s decision to withdraw probably emboldened the Poles to follow suit; and it also allowed them to ignore their responsibilities under the Minorities Treaty, particularly in the still contested borderlands. As the Soviets cleansed their borders - though Belarusian Poles and Germans seem to have stayed longer than in Ukraine, which had established its minorities programme seven years earlier - locals who remained viewed the resettlement not as shoring-up defences but as a ‘premature military defeat.’  Deportees recalled the Ukraine in a similar manner as Germans recall </w:t>
      </w:r>
      <w:r w:rsidRPr="001B6FE5">
        <w:rPr>
          <w:rFonts w:ascii="Arial Narrow" w:eastAsia="Times New Roman" w:hAnsi="Arial Narrow" w:cs="Arial"/>
          <w:bCs/>
          <w:i/>
          <w:szCs w:val="24"/>
        </w:rPr>
        <w:t>Heimat</w:t>
      </w:r>
      <w:r w:rsidRPr="001B6FE5">
        <w:rPr>
          <w:rFonts w:ascii="Arial Narrow" w:eastAsia="Times New Roman" w:hAnsi="Arial Narrow" w:cs="Arial"/>
          <w:bCs/>
          <w:szCs w:val="24"/>
        </w:rPr>
        <w:t>, with nature and forests alongside memories of ‘sticking…hands deep into my grandfather’s beehive and eating the honey by the fistful’, or everything ‘had been fine, until the spring of 1935’, but ‘[w]e were given a few hours to pack our things, only those which we could take in our hands. We left all the rest behind, the hives, our house, and the furniture.’</w:t>
      </w:r>
      <w:r w:rsidRPr="001B6FE5">
        <w:rPr>
          <w:rFonts w:ascii="Arial Narrow" w:eastAsia="Times New Roman" w:hAnsi="Arial Narrow" w:cs="Arial"/>
          <w:bCs/>
          <w:szCs w:val="24"/>
          <w:vertAlign w:val="superscript"/>
        </w:rPr>
        <w:footnoteReference w:id="187"/>
      </w:r>
      <w:r w:rsidRPr="001B6FE5">
        <w:rPr>
          <w:rFonts w:ascii="Arial Narrow" w:eastAsia="Times New Roman" w:hAnsi="Arial Narrow" w:cs="Arial"/>
          <w:bCs/>
          <w:szCs w:val="24"/>
        </w:rPr>
        <w:t xml:space="preserve"> Elements </w:t>
      </w:r>
      <w:r w:rsidRPr="001B6FE5">
        <w:rPr>
          <w:rFonts w:ascii="Arial Narrow" w:eastAsia="Times New Roman" w:hAnsi="Arial Narrow" w:cs="Arial"/>
          <w:bCs/>
          <w:szCs w:val="24"/>
        </w:rPr>
        <w:lastRenderedPageBreak/>
        <w:t>within the Polish elite were, on a much smaller scale, executing their own clean-up operations. Peter Potichnyj recalls that his own father (a Ukrainian Jew) spent time in jails ‘on several occasions’, the last time ‘in the infamous concentration camp Bereza Kartuzska.’</w:t>
      </w:r>
      <w:r w:rsidRPr="001B6FE5">
        <w:rPr>
          <w:rFonts w:ascii="Arial Narrow" w:eastAsia="Times New Roman" w:hAnsi="Arial Narrow" w:cs="Arial"/>
          <w:bCs/>
          <w:szCs w:val="24"/>
          <w:vertAlign w:val="superscript"/>
        </w:rPr>
        <w:footnoteReference w:id="188"/>
      </w:r>
      <w:r w:rsidRPr="001B6FE5">
        <w:rPr>
          <w:rFonts w:ascii="Arial Narrow" w:eastAsia="Times New Roman" w:hAnsi="Arial Narrow" w:cs="Arial"/>
          <w:bCs/>
          <w:szCs w:val="24"/>
        </w:rPr>
        <w:t xml:space="preserve"> The chipp</w:t>
      </w:r>
      <w:r w:rsidR="00537E03">
        <w:rPr>
          <w:rFonts w:ascii="Arial Narrow" w:eastAsia="Times New Roman" w:hAnsi="Arial Narrow" w:cs="Arial"/>
          <w:bCs/>
          <w:szCs w:val="24"/>
        </w:rPr>
        <w:t>ing away at east-Central Europe’</w:t>
      </w:r>
      <w:r w:rsidRPr="001B6FE5">
        <w:rPr>
          <w:rFonts w:ascii="Arial Narrow" w:eastAsia="Times New Roman" w:hAnsi="Arial Narrow" w:cs="Arial"/>
          <w:bCs/>
          <w:szCs w:val="24"/>
        </w:rPr>
        <w:t xml:space="preserve">s diversity was well under way, and the sculpting of the individual nations could begin apace. Lev Kopelev equates the ‘foreign…essence of Stalin’s rule’ with the drive to establish ‘agriculture as a cooperative enterprise’ in the Kolkhozes. The village commune’s organic development from the Old Russian </w:t>
      </w:r>
      <w:r w:rsidR="007776C0">
        <w:rPr>
          <w:rFonts w:ascii="Arial Narrow" w:eastAsia="Times New Roman" w:hAnsi="Arial Narrow" w:cs="Arial"/>
          <w:bCs/>
          <w:i/>
          <w:szCs w:val="24"/>
        </w:rPr>
        <w:t>O</w:t>
      </w:r>
      <w:r w:rsidRPr="001B6FE5">
        <w:rPr>
          <w:rFonts w:ascii="Arial Narrow" w:eastAsia="Times New Roman" w:hAnsi="Arial Narrow" w:cs="Arial"/>
          <w:bCs/>
          <w:i/>
          <w:szCs w:val="24"/>
        </w:rPr>
        <w:t>bshchina</w:t>
      </w:r>
      <w:r w:rsidRPr="001B6FE5">
        <w:rPr>
          <w:rFonts w:ascii="Arial Narrow" w:eastAsia="Times New Roman" w:hAnsi="Arial Narrow" w:cs="Arial"/>
          <w:bCs/>
          <w:szCs w:val="24"/>
        </w:rPr>
        <w:t xml:space="preserve"> and the Ukrainian </w:t>
      </w:r>
      <w:r w:rsidR="007776C0">
        <w:rPr>
          <w:rFonts w:ascii="Arial Narrow" w:eastAsia="Times New Roman" w:hAnsi="Arial Narrow" w:cs="Arial"/>
          <w:bCs/>
          <w:i/>
          <w:szCs w:val="24"/>
        </w:rPr>
        <w:t>G</w:t>
      </w:r>
      <w:r w:rsidRPr="001B6FE5">
        <w:rPr>
          <w:rFonts w:ascii="Arial Narrow" w:eastAsia="Times New Roman" w:hAnsi="Arial Narrow" w:cs="Arial"/>
          <w:bCs/>
          <w:i/>
          <w:szCs w:val="24"/>
        </w:rPr>
        <w:t>romada</w:t>
      </w:r>
      <w:r w:rsidRPr="001B6FE5">
        <w:rPr>
          <w:rFonts w:ascii="Arial Narrow" w:eastAsia="Times New Roman" w:hAnsi="Arial Narrow" w:cs="Arial"/>
          <w:bCs/>
          <w:szCs w:val="24"/>
        </w:rPr>
        <w:t xml:space="preserve"> ‘did not contradict the principles proclaimed…in 1917.’ The new ‘reforms’ were foreign, and ‘had already become an autocracy of bureaucratic serfdom.’</w:t>
      </w:r>
      <w:r w:rsidRPr="001B6FE5">
        <w:rPr>
          <w:rFonts w:ascii="Arial Narrow" w:eastAsia="Times New Roman" w:hAnsi="Arial Narrow" w:cs="Arial"/>
          <w:bCs/>
          <w:szCs w:val="24"/>
          <w:vertAlign w:val="superscript"/>
        </w:rPr>
        <w:footnoteReference w:id="189"/>
      </w:r>
      <w:r w:rsidRPr="001B6FE5">
        <w:rPr>
          <w:rFonts w:ascii="Arial Narrow" w:eastAsia="Times New Roman" w:hAnsi="Arial Narrow" w:cs="Arial"/>
          <w:bCs/>
          <w:szCs w:val="24"/>
        </w:rPr>
        <w:t xml:space="preserve"> </w:t>
      </w:r>
      <w:r w:rsidR="001765CE" w:rsidRPr="001B6FE5">
        <w:rPr>
          <w:rFonts w:ascii="Arial Narrow" w:eastAsia="Times New Roman" w:hAnsi="Arial Narrow" w:cs="Arial"/>
          <w:bCs/>
          <w:szCs w:val="24"/>
        </w:rPr>
        <w:t>(Fig. 19)</w:t>
      </w:r>
      <w:r w:rsidR="001765CE">
        <w:rPr>
          <w:rFonts w:ascii="Arial Narrow" w:eastAsia="Times New Roman" w:hAnsi="Arial Narrow" w:cs="Arial"/>
          <w:bCs/>
          <w:szCs w:val="24"/>
        </w:rPr>
        <w:t xml:space="preserve"> </w:t>
      </w:r>
      <w:r w:rsidRPr="001B6FE5">
        <w:rPr>
          <w:rFonts w:ascii="Arial Narrow" w:eastAsia="Times New Roman" w:hAnsi="Arial Narrow" w:cs="Arial"/>
          <w:bCs/>
          <w:szCs w:val="24"/>
        </w:rPr>
        <w:t>A pastoral ideal was being posited throughout much of Europe, but it was in the east that it was dev</w:t>
      </w:r>
      <w:r w:rsidR="001765CE">
        <w:rPr>
          <w:rFonts w:ascii="Arial Narrow" w:eastAsia="Times New Roman" w:hAnsi="Arial Narrow" w:cs="Arial"/>
          <w:bCs/>
          <w:szCs w:val="24"/>
        </w:rPr>
        <w:t xml:space="preserve">eloping its cynical dénouement. </w:t>
      </w:r>
    </w:p>
    <w:p w:rsidR="00273DD8" w:rsidRPr="001B6FE5" w:rsidRDefault="00273DD8" w:rsidP="003D2CE4">
      <w:pPr>
        <w:spacing w:after="0" w:line="480" w:lineRule="auto"/>
        <w:ind w:firstLine="720"/>
        <w:jc w:val="both"/>
        <w:rPr>
          <w:rFonts w:ascii="Arial Narrow" w:eastAsia="Times New Roman" w:hAnsi="Arial Narrow" w:cs="Arial"/>
          <w:bCs/>
          <w:szCs w:val="24"/>
        </w:rPr>
      </w:pPr>
      <w:r w:rsidRPr="001B6FE5">
        <w:rPr>
          <w:rFonts w:ascii="Arial Narrow" w:eastAsia="Times New Roman" w:hAnsi="Arial Narrow" w:cs="Arial"/>
          <w:bCs/>
          <w:szCs w:val="24"/>
        </w:rPr>
        <w:t>Resistance in the linguistically Ukrainian parts of the borderlands was led by the UVO (the Ukrainian Military Organisation), and in the Polish parts of the Soviet borderland by the POV (the Polish Military Organisation). These groups along with the Ukrainian OUN (the Organisation of Ukrainian Nationalists) - a ‘highly disciplined underground movement dedicated to the overthrow of Polish, Romanian, and…Soviet rule’ - intended to destabilise the oppressive host nation and, in a similar manner to Pilsudski, Hitler and Stalin</w:t>
      </w:r>
      <w:r w:rsidR="00537E03">
        <w:rPr>
          <w:rFonts w:ascii="Arial Narrow" w:eastAsia="Times New Roman" w:hAnsi="Arial Narrow" w:cs="Arial"/>
          <w:bCs/>
          <w:szCs w:val="24"/>
        </w:rPr>
        <w:t>,</w:t>
      </w:r>
      <w:r w:rsidRPr="001B6FE5">
        <w:rPr>
          <w:rFonts w:ascii="Arial Narrow" w:eastAsia="Times New Roman" w:hAnsi="Arial Narrow" w:cs="Arial"/>
          <w:bCs/>
          <w:szCs w:val="24"/>
        </w:rPr>
        <w:t xml:space="preserve"> instigate a defensive programme of ‘integral nationalism.’</w:t>
      </w:r>
      <w:r w:rsidRPr="001B6FE5">
        <w:rPr>
          <w:rFonts w:ascii="Arial Narrow" w:eastAsia="Times New Roman" w:hAnsi="Arial Narrow" w:cs="Arial"/>
          <w:bCs/>
          <w:szCs w:val="24"/>
          <w:vertAlign w:val="superscript"/>
        </w:rPr>
        <w:footnoteReference w:id="190"/>
      </w:r>
      <w:r w:rsidRPr="001B6FE5">
        <w:rPr>
          <w:rFonts w:ascii="Arial Narrow" w:eastAsia="Times New Roman" w:hAnsi="Arial Narrow" w:cs="Arial"/>
          <w:bCs/>
          <w:szCs w:val="24"/>
        </w:rPr>
        <w:t xml:space="preserve"> By 1933 the POV had become largely redundant, but Vsevolod Balytskyi, the Chief of Security in Ukraine, ‘conjured POV back to life’ to ‘provide overwhelming evidence…of enemy nations’ and nationalist conspiracies. His ‘talent’ was to combine these external threats within the autonomous regions of ‘Polish’ Marchlevsk and ‘German’ Pulin in the </w:t>
      </w:r>
      <w:r w:rsidRPr="001B6FE5">
        <w:rPr>
          <w:rFonts w:ascii="Arial Narrow" w:eastAsia="Times New Roman" w:hAnsi="Arial Narrow" w:cs="Arial"/>
          <w:bCs/>
          <w:i/>
          <w:szCs w:val="24"/>
        </w:rPr>
        <w:t>Kresy</w:t>
      </w:r>
      <w:r w:rsidRPr="001B6FE5">
        <w:rPr>
          <w:rFonts w:ascii="Arial Narrow" w:eastAsia="Times New Roman" w:hAnsi="Arial Narrow" w:cs="Arial"/>
          <w:bCs/>
          <w:szCs w:val="24"/>
        </w:rPr>
        <w:t>.</w:t>
      </w:r>
      <w:r w:rsidRPr="001B6FE5">
        <w:rPr>
          <w:rFonts w:ascii="Arial Narrow" w:eastAsia="Times New Roman" w:hAnsi="Arial Narrow" w:cs="Arial"/>
          <w:bCs/>
          <w:szCs w:val="24"/>
          <w:vertAlign w:val="superscript"/>
        </w:rPr>
        <w:footnoteReference w:id="191"/>
      </w:r>
      <w:r w:rsidRPr="001B6FE5">
        <w:rPr>
          <w:rFonts w:ascii="Arial Narrow" w:eastAsia="Times New Roman" w:hAnsi="Arial Narrow" w:cs="Arial"/>
          <w:bCs/>
          <w:szCs w:val="24"/>
        </w:rPr>
        <w:t xml:space="preserve"> (Fig. 10) Inspections organised by Balytskyi in 1934 revealed that whilst the Union average for c</w:t>
      </w:r>
      <w:r w:rsidR="007402B1">
        <w:rPr>
          <w:rFonts w:ascii="Arial Narrow" w:eastAsia="Times New Roman" w:hAnsi="Arial Narrow" w:cs="Arial"/>
          <w:bCs/>
          <w:szCs w:val="24"/>
        </w:rPr>
        <w:t xml:space="preserve">ollectivization was 71 per </w:t>
      </w:r>
      <w:r w:rsidR="007D7044">
        <w:rPr>
          <w:rFonts w:ascii="Arial Narrow" w:eastAsia="Times New Roman" w:hAnsi="Arial Narrow" w:cs="Arial"/>
          <w:bCs/>
          <w:szCs w:val="24"/>
        </w:rPr>
        <w:t xml:space="preserve">cent </w:t>
      </w:r>
      <w:r w:rsidR="007D7044" w:rsidRPr="001B6FE5">
        <w:rPr>
          <w:rFonts w:ascii="Arial Narrow" w:eastAsia="Times New Roman" w:hAnsi="Arial Narrow" w:cs="Arial"/>
          <w:bCs/>
          <w:szCs w:val="24"/>
        </w:rPr>
        <w:t>in</w:t>
      </w:r>
      <w:r w:rsidRPr="001B6FE5">
        <w:rPr>
          <w:rFonts w:ascii="Arial Narrow" w:eastAsia="Times New Roman" w:hAnsi="Arial Narrow" w:cs="Arial"/>
          <w:bCs/>
          <w:szCs w:val="24"/>
        </w:rPr>
        <w:t xml:space="preserve"> Marchlevsk they ‘achieved’ only 32 per cent; German colonies in Left Bank Ukraine (Eastern Ukraine) collectivized 89 per cent whilst those in Pulin had registered only 34 per cent.</w:t>
      </w:r>
      <w:r w:rsidRPr="001B6FE5">
        <w:rPr>
          <w:rFonts w:ascii="Arial Narrow" w:eastAsia="Times New Roman" w:hAnsi="Arial Narrow" w:cs="Arial"/>
          <w:bCs/>
          <w:szCs w:val="24"/>
          <w:vertAlign w:val="superscript"/>
        </w:rPr>
        <w:footnoteReference w:id="192"/>
      </w:r>
      <w:r w:rsidRPr="001B6FE5">
        <w:rPr>
          <w:rFonts w:ascii="Arial Narrow" w:eastAsia="Times New Roman" w:hAnsi="Arial Narrow" w:cs="Arial"/>
          <w:bCs/>
          <w:szCs w:val="24"/>
        </w:rPr>
        <w:t xml:space="preserve"> Clearly the region was “infested” with wreckers, pro-emigration agitators, smugglers or those </w:t>
      </w:r>
      <w:r w:rsidRPr="001B6FE5">
        <w:rPr>
          <w:rFonts w:ascii="Arial Narrow" w:eastAsia="Times New Roman" w:hAnsi="Arial Narrow" w:cs="Arial"/>
          <w:bCs/>
          <w:szCs w:val="24"/>
        </w:rPr>
        <w:lastRenderedPageBreak/>
        <w:t>seeking aid from foreign governments. In Upper Silesia (Western Galicia), two hundred miles to the west, W.J.Rose in 1933-4 was ‘on a visit to Myslowice, the last German station on the line leading to Cracow…to look at the “corner of the three empires.”’ He borrowed a bicycle and rode for two days throughout Polish Silesia, where he noted that on points on the new frontier, “roads, and even one railway, had been cut off rudely…causing no end of inconvenience to the local inhabitants.”</w:t>
      </w:r>
      <w:r w:rsidRPr="001B6FE5">
        <w:rPr>
          <w:rFonts w:ascii="Arial Narrow" w:eastAsia="Times New Roman" w:hAnsi="Arial Narrow" w:cs="Arial"/>
          <w:bCs/>
          <w:szCs w:val="24"/>
          <w:vertAlign w:val="superscript"/>
        </w:rPr>
        <w:t xml:space="preserve"> </w:t>
      </w:r>
      <w:r w:rsidRPr="001B6FE5">
        <w:rPr>
          <w:rFonts w:ascii="Arial Narrow" w:eastAsia="Times New Roman" w:hAnsi="Arial Narrow" w:cs="Arial"/>
          <w:bCs/>
          <w:szCs w:val="24"/>
          <w:vertAlign w:val="superscript"/>
        </w:rPr>
        <w:footnoteReference w:id="193"/>
      </w:r>
      <w:r w:rsidRPr="001B6FE5">
        <w:rPr>
          <w:rFonts w:ascii="Arial Narrow" w:eastAsia="Times New Roman" w:hAnsi="Arial Narrow" w:cs="Arial"/>
          <w:bCs/>
          <w:szCs w:val="24"/>
        </w:rPr>
        <w:t xml:space="preserve"> It was he thought, ‘this kind of thing that made the Germans talk about the “bleeding” frontier. We also saw points on the pre-war frontier with Russia which had been notorious haunts of smugglers.’  Reader Bullard was discussing Ukraine with the Italian Vice-Consul (who had recently been in Kharkov), a highly regarded official, who having attacked the Party for its exploitation in the Ukraine, was told to ‘recant’ at the next party meeting: ‘He went to the meeting, asked for a few minutes to correct his speech, went into a side room, telephoned his wife to come for his body, and shot himself.’</w:t>
      </w:r>
      <w:r w:rsidRPr="001B6FE5">
        <w:rPr>
          <w:rFonts w:ascii="Arial Narrow" w:eastAsia="Times New Roman" w:hAnsi="Arial Narrow" w:cs="Arial"/>
          <w:bCs/>
          <w:szCs w:val="24"/>
          <w:vertAlign w:val="superscript"/>
        </w:rPr>
        <w:footnoteReference w:id="194"/>
      </w:r>
      <w:r w:rsidRPr="001B6FE5">
        <w:rPr>
          <w:rFonts w:ascii="Arial Narrow" w:eastAsia="Times New Roman" w:hAnsi="Arial Narrow" w:cs="Arial"/>
          <w:bCs/>
          <w:szCs w:val="24"/>
        </w:rPr>
        <w:t xml:space="preserve"> </w:t>
      </w:r>
    </w:p>
    <w:p w:rsidR="00E21697" w:rsidRDefault="00273DD8" w:rsidP="003D2CE4">
      <w:pPr>
        <w:spacing w:line="480" w:lineRule="auto"/>
        <w:ind w:firstLine="720"/>
        <w:jc w:val="both"/>
        <w:rPr>
          <w:rFonts w:ascii="Arial Narrow" w:hAnsi="Arial Narrow"/>
        </w:rPr>
      </w:pPr>
      <w:r w:rsidRPr="001B6FE5">
        <w:rPr>
          <w:rFonts w:ascii="Arial Narrow" w:eastAsia="Times New Roman" w:hAnsi="Arial Narrow" w:cs="Arial"/>
          <w:bCs/>
          <w:szCs w:val="24"/>
        </w:rPr>
        <w:t xml:space="preserve">Grabow lies between Warsaw and Upper Silesia, an interwar Jewish </w:t>
      </w:r>
      <w:r w:rsidRPr="001B6FE5">
        <w:rPr>
          <w:rFonts w:ascii="Arial Narrow" w:eastAsia="Times New Roman" w:hAnsi="Arial Narrow" w:cs="Arial"/>
          <w:bCs/>
          <w:i/>
          <w:szCs w:val="24"/>
        </w:rPr>
        <w:t>Shtetl</w:t>
      </w:r>
      <w:r w:rsidRPr="001B6FE5">
        <w:rPr>
          <w:rFonts w:ascii="Arial Narrow" w:eastAsia="Times New Roman" w:hAnsi="Arial Narrow" w:cs="Arial"/>
          <w:bCs/>
          <w:szCs w:val="24"/>
        </w:rPr>
        <w:t xml:space="preserve">, and not affected by the </w:t>
      </w:r>
      <w:r w:rsidRPr="001B6FE5">
        <w:rPr>
          <w:rFonts w:ascii="Arial Narrow" w:eastAsia="Times New Roman" w:hAnsi="Arial Narrow" w:cs="Arial"/>
          <w:bCs/>
          <w:i/>
          <w:szCs w:val="24"/>
        </w:rPr>
        <w:t>Gleichschaltung</w:t>
      </w:r>
      <w:r w:rsidRPr="001B6FE5">
        <w:rPr>
          <w:rFonts w:ascii="Arial Narrow" w:eastAsia="Times New Roman" w:hAnsi="Arial Narrow" w:cs="Arial"/>
          <w:bCs/>
          <w:szCs w:val="24"/>
        </w:rPr>
        <w:t xml:space="preserve"> policy of ‘coordination’ in post ‘Reichstag’ </w:t>
      </w:r>
      <w:r w:rsidR="00D108CE">
        <w:rPr>
          <w:rFonts w:ascii="Arial Narrow" w:eastAsia="Times New Roman" w:hAnsi="Arial Narrow" w:cs="Arial"/>
          <w:bCs/>
          <w:i/>
          <w:szCs w:val="24"/>
        </w:rPr>
        <w:t>V</w:t>
      </w:r>
      <w:r w:rsidR="00D108CE" w:rsidRPr="00D108CE">
        <w:rPr>
          <w:rFonts w:ascii="Arial Narrow" w:eastAsia="Times New Roman" w:hAnsi="Arial Narrow" w:cs="Arial"/>
          <w:bCs/>
          <w:i/>
          <w:szCs w:val="24"/>
        </w:rPr>
        <w:t>ö</w:t>
      </w:r>
      <w:r w:rsidR="002B5B04">
        <w:rPr>
          <w:rFonts w:ascii="Arial Narrow" w:eastAsia="Times New Roman" w:hAnsi="Arial Narrow" w:cs="Arial"/>
          <w:bCs/>
          <w:i/>
          <w:szCs w:val="24"/>
        </w:rPr>
        <w:t>lksdeutsche</w:t>
      </w:r>
      <w:r w:rsidRPr="001B6FE5">
        <w:rPr>
          <w:rFonts w:ascii="Arial Narrow" w:eastAsia="Times New Roman" w:hAnsi="Arial Narrow" w:cs="Arial"/>
          <w:bCs/>
          <w:szCs w:val="24"/>
        </w:rPr>
        <w:t xml:space="preserve"> Poland. As Lanzmann discovered it had a thriving Synagogue (Polish: “</w:t>
      </w:r>
      <w:r w:rsidRPr="001B6FE5">
        <w:rPr>
          <w:rFonts w:ascii="Arial Narrow" w:eastAsia="Times New Roman" w:hAnsi="Arial Narrow" w:cs="Arial"/>
          <w:bCs/>
          <w:i/>
          <w:szCs w:val="24"/>
        </w:rPr>
        <w:t>Buzinica</w:t>
      </w:r>
      <w:r w:rsidRPr="001B6FE5">
        <w:rPr>
          <w:rFonts w:ascii="Arial Narrow" w:eastAsia="Times New Roman" w:hAnsi="Arial Narrow" w:cs="Arial"/>
          <w:bCs/>
          <w:szCs w:val="24"/>
        </w:rPr>
        <w:t>”) which modern Poles remembered well. An elderly Pole could not remember the Rabbi because “her memory isn’t too good”, but Lanzmann (puffing on a cigarette and leaning nonchalantly against the woman’s outside wall) persists: “Barbara [the interpreter] tell this couple they live in a lovely house. Do they agree? Do they think it’s a lovely house? Tell me about the decoration of this house, the doors, what does it mean?” The couple responded that “[p]eople used to do carvings like that.” The doors had been decorated by Jewish people, they were over a century old; and in fact all the houses within the village square were owned by Jewish businesses. Lanzmann asks where the Poles lived – they lived in the courtyards where the privies are now. Such encounters are rare, and the interviewer has to understand his subject in order to illicit information.</w:t>
      </w:r>
      <w:r w:rsidR="00CF0FD5">
        <w:rPr>
          <w:rFonts w:ascii="Arial Narrow" w:eastAsia="Times New Roman" w:hAnsi="Arial Narrow" w:cs="Arial"/>
          <w:bCs/>
          <w:szCs w:val="24"/>
        </w:rPr>
        <w:t xml:space="preserve"> Later an SS</w:t>
      </w:r>
      <w:r w:rsidR="002B5B04">
        <w:rPr>
          <w:rFonts w:ascii="Arial Narrow" w:eastAsia="Times New Roman" w:hAnsi="Arial Narrow" w:cs="Arial"/>
          <w:bCs/>
          <w:szCs w:val="24"/>
        </w:rPr>
        <w:t xml:space="preserve"> </w:t>
      </w:r>
      <w:r w:rsidR="002B5B04" w:rsidRPr="002B5B04">
        <w:rPr>
          <w:rFonts w:ascii="Arial Narrow" w:eastAsia="Times New Roman" w:hAnsi="Arial Narrow" w:cs="Arial"/>
          <w:bCs/>
          <w:i/>
          <w:szCs w:val="24"/>
        </w:rPr>
        <w:t>Unterscharführer</w:t>
      </w:r>
      <w:r w:rsidR="00CF0FD5">
        <w:rPr>
          <w:rFonts w:ascii="Arial Narrow" w:eastAsia="Times New Roman" w:hAnsi="Arial Narrow" w:cs="Arial"/>
          <w:bCs/>
          <w:szCs w:val="24"/>
        </w:rPr>
        <w:t xml:space="preserve"> Franz Suchomel, breaks into a song that “worker Jews” in Treblinka were “encouraged” to sing as they marched off to their daily labours; </w:t>
      </w:r>
      <w:r w:rsidR="006278AC">
        <w:rPr>
          <w:rFonts w:ascii="Arial Narrow" w:eastAsia="Times New Roman" w:hAnsi="Arial Narrow" w:cs="Arial"/>
          <w:bCs/>
          <w:szCs w:val="24"/>
        </w:rPr>
        <w:t>Lanzmann’s</w:t>
      </w:r>
      <w:r w:rsidR="00CF0FD5">
        <w:rPr>
          <w:rFonts w:ascii="Arial Narrow" w:eastAsia="Times New Roman" w:hAnsi="Arial Narrow" w:cs="Arial"/>
          <w:bCs/>
          <w:szCs w:val="24"/>
        </w:rPr>
        <w:t xml:space="preserve"> “magic” </w:t>
      </w:r>
      <w:r w:rsidR="004731C9">
        <w:rPr>
          <w:rFonts w:ascii="Arial Narrow" w:eastAsia="Times New Roman" w:hAnsi="Arial Narrow" w:cs="Arial"/>
          <w:bCs/>
          <w:szCs w:val="24"/>
        </w:rPr>
        <w:t xml:space="preserve">prompts </w:t>
      </w:r>
      <w:r w:rsidR="00CF0FD5">
        <w:rPr>
          <w:rFonts w:ascii="Arial Narrow" w:eastAsia="Times New Roman" w:hAnsi="Arial Narrow" w:cs="Arial"/>
          <w:bCs/>
          <w:szCs w:val="24"/>
        </w:rPr>
        <w:t xml:space="preserve">Suchomel to remark: “That’s unique – no Jew knows </w:t>
      </w:r>
      <w:r w:rsidR="00CF0FD5">
        <w:rPr>
          <w:rFonts w:ascii="Arial Narrow" w:eastAsia="Times New Roman" w:hAnsi="Arial Narrow" w:cs="Arial"/>
          <w:bCs/>
          <w:szCs w:val="24"/>
        </w:rPr>
        <w:lastRenderedPageBreak/>
        <w:t xml:space="preserve">that today.” </w:t>
      </w:r>
      <w:r w:rsidRPr="001B6FE5">
        <w:rPr>
          <w:rFonts w:ascii="Arial Narrow" w:eastAsia="Times New Roman" w:hAnsi="Arial Narrow" w:cs="Arial"/>
          <w:bCs/>
          <w:szCs w:val="24"/>
        </w:rPr>
        <w:t>But the circumstances are not peculiar to Jewish Poland – similar dialogues would certainly occur across east-Central Europe and in the context of different nationalities. Germans in Upper Silesia were the subject of ‘expulsionist’ policies so as to increase Polish power. The ZPS (the Union of Silesian Insurgents) had a programme in German Silesia of “consolidating…the Polish position… [Whilst] combating the ‘privileged’ German position…by means of administrative measure not always consistent with the stipulations of the Upper Silesian Convention.”</w:t>
      </w:r>
      <w:r w:rsidRPr="001B6FE5">
        <w:rPr>
          <w:rFonts w:ascii="Arial Narrow" w:eastAsia="Times New Roman" w:hAnsi="Arial Narrow" w:cs="Arial"/>
          <w:bCs/>
          <w:szCs w:val="24"/>
          <w:vertAlign w:val="superscript"/>
        </w:rPr>
        <w:footnoteReference w:id="195"/>
      </w:r>
      <w:r w:rsidRPr="001B6FE5">
        <w:rPr>
          <w:rFonts w:ascii="Arial Narrow" w:eastAsia="Times New Roman" w:hAnsi="Arial Narrow" w:cs="Arial"/>
          <w:bCs/>
          <w:szCs w:val="24"/>
        </w:rPr>
        <w:t xml:space="preserve"> In other words Polish nationalists were willing, despite an Internationally agreed convention on ‘human rights’ for all Upper Silesian citizens, to use illicit means in ‘extra-territorial’ Poland, in executing an ‘integral-nationalist ideology.’ It would appear that Vansittart’s gratefulness that the Upper Silesian dispute would eventually please the Germans, whilst the ‘Poles swallowed the pill with reasonable docility’, had been premature.</w:t>
      </w:r>
      <w:r w:rsidRPr="001B6FE5">
        <w:rPr>
          <w:rFonts w:ascii="Arial Narrow" w:eastAsia="Times New Roman" w:hAnsi="Arial Narrow" w:cs="Arial"/>
          <w:bCs/>
          <w:szCs w:val="24"/>
          <w:vertAlign w:val="superscript"/>
        </w:rPr>
        <w:footnoteReference w:id="196"/>
      </w:r>
      <w:r w:rsidR="00E21697" w:rsidRPr="00E21697">
        <w:rPr>
          <w:rFonts w:ascii="Arial Narrow" w:hAnsi="Arial Narrow"/>
        </w:rPr>
        <w:t xml:space="preserve"> </w:t>
      </w:r>
      <w:r w:rsidR="00E21697">
        <w:rPr>
          <w:rFonts w:ascii="Arial Narrow" w:hAnsi="Arial Narrow"/>
        </w:rPr>
        <w:tab/>
      </w:r>
      <w:r w:rsidR="00E21697">
        <w:rPr>
          <w:rFonts w:ascii="Arial Narrow" w:hAnsi="Arial Narrow"/>
        </w:rPr>
        <w:tab/>
      </w:r>
      <w:r w:rsidR="00E21697">
        <w:rPr>
          <w:rFonts w:ascii="Arial Narrow" w:hAnsi="Arial Narrow"/>
        </w:rPr>
        <w:tab/>
      </w:r>
      <w:r w:rsidR="00E21697">
        <w:rPr>
          <w:rFonts w:ascii="Arial Narrow" w:hAnsi="Arial Narrow"/>
        </w:rPr>
        <w:tab/>
      </w:r>
    </w:p>
    <w:p w:rsidR="00E21697" w:rsidRDefault="000F5711" w:rsidP="003D2CE4">
      <w:pPr>
        <w:spacing w:line="480" w:lineRule="auto"/>
        <w:ind w:left="2880" w:firstLine="720"/>
        <w:jc w:val="both"/>
        <w:rPr>
          <w:rFonts w:ascii="Arial Narrow" w:hAnsi="Arial Narrow"/>
          <w:b/>
          <w:u w:val="single"/>
        </w:rPr>
      </w:pPr>
      <w:r>
        <w:rPr>
          <w:rFonts w:ascii="Arial Narrow" w:hAnsi="Arial Narrow"/>
          <w:b/>
          <w:u w:val="single"/>
        </w:rPr>
        <w:t>Conclusion</w:t>
      </w:r>
    </w:p>
    <w:p w:rsidR="00F3263C" w:rsidRDefault="009F013F" w:rsidP="003D2CE4">
      <w:pPr>
        <w:spacing w:after="0" w:line="480" w:lineRule="auto"/>
        <w:ind w:firstLine="709"/>
        <w:jc w:val="both"/>
        <w:rPr>
          <w:rFonts w:ascii="Arial Narrow" w:hAnsi="Arial Narrow"/>
        </w:rPr>
      </w:pPr>
      <w:r>
        <w:rPr>
          <w:rFonts w:ascii="Arial Narrow" w:hAnsi="Arial Narrow"/>
        </w:rPr>
        <w:t xml:space="preserve">The interwar period proved to be a hiatus which, as we have seen, was to be firmly pushed backed; for the policies of Stalin and others were ‘increasingly </w:t>
      </w:r>
      <w:r w:rsidR="009172C7">
        <w:rPr>
          <w:rFonts w:ascii="Arial Narrow" w:hAnsi="Arial Narrow"/>
        </w:rPr>
        <w:t xml:space="preserve">[directed] </w:t>
      </w:r>
      <w:r>
        <w:rPr>
          <w:rFonts w:ascii="Arial Narrow" w:hAnsi="Arial Narrow"/>
        </w:rPr>
        <w:t xml:space="preserve">to the exigencies of the future’ – foreign factors </w:t>
      </w:r>
      <w:r w:rsidRPr="00157778">
        <w:rPr>
          <w:rFonts w:ascii="Arial Narrow" w:hAnsi="Arial Narrow"/>
          <w:i/>
        </w:rPr>
        <w:t xml:space="preserve">were </w:t>
      </w:r>
      <w:r>
        <w:rPr>
          <w:rFonts w:ascii="Arial Narrow" w:hAnsi="Arial Narrow"/>
        </w:rPr>
        <w:t>to be the ‘</w:t>
      </w:r>
      <w:r w:rsidR="002B5B04">
        <w:rPr>
          <w:rFonts w:ascii="Arial Narrow" w:hAnsi="Arial Narrow"/>
          <w:i/>
        </w:rPr>
        <w:t>L</w:t>
      </w:r>
      <w:r w:rsidRPr="009F013F">
        <w:rPr>
          <w:rFonts w:ascii="Arial Narrow" w:hAnsi="Arial Narrow"/>
          <w:i/>
        </w:rPr>
        <w:t>eitmotiv</w:t>
      </w:r>
      <w:r>
        <w:rPr>
          <w:rFonts w:ascii="Arial Narrow" w:hAnsi="Arial Narrow"/>
        </w:rPr>
        <w:t>’.</w:t>
      </w:r>
      <w:r w:rsidR="009172C7">
        <w:rPr>
          <w:rFonts w:ascii="Arial Narrow" w:hAnsi="Arial Narrow"/>
        </w:rPr>
        <w:t xml:space="preserve">  Indeed the attempts by many to understand this period, and the territorial aspects which it throws-up, are indicative of it representing a possible ‘bridge between the pre-modern world of </w:t>
      </w:r>
      <w:r w:rsidR="009172C7" w:rsidRPr="009172C7">
        <w:rPr>
          <w:rFonts w:ascii="Arial Narrow" w:hAnsi="Arial Narrow"/>
          <w:i/>
        </w:rPr>
        <w:t>ancient regime</w:t>
      </w:r>
      <w:r w:rsidR="009172C7">
        <w:rPr>
          <w:rFonts w:ascii="Arial Narrow" w:hAnsi="Arial Narrow"/>
        </w:rPr>
        <w:t xml:space="preserve"> Russia and the demands of modernity.’</w:t>
      </w:r>
      <w:r>
        <w:rPr>
          <w:rStyle w:val="FootnoteReference"/>
          <w:rFonts w:ascii="Arial Narrow" w:hAnsi="Arial Narrow"/>
        </w:rPr>
        <w:footnoteReference w:id="197"/>
      </w:r>
      <w:r w:rsidR="009172C7">
        <w:rPr>
          <w:rFonts w:ascii="Arial Narrow" w:hAnsi="Arial Narrow"/>
        </w:rPr>
        <w:t xml:space="preserve"> The ‘resettlements’ which were carried out across east-Central Europe – part of a world-wide relocation still extant – came up against both peasant inertia (</w:t>
      </w:r>
      <w:r w:rsidR="00F00168" w:rsidRPr="00F00168">
        <w:rPr>
          <w:rFonts w:ascii="Arial Narrow" w:hAnsi="Arial Narrow"/>
        </w:rPr>
        <w:t xml:space="preserve">particularly </w:t>
      </w:r>
      <w:r w:rsidR="00F00168">
        <w:rPr>
          <w:rFonts w:ascii="Arial Narrow" w:hAnsi="Arial Narrow"/>
        </w:rPr>
        <w:t>in the Kresy</w:t>
      </w:r>
      <w:r w:rsidR="009172C7">
        <w:rPr>
          <w:rFonts w:ascii="Arial Narrow" w:hAnsi="Arial Narrow"/>
        </w:rPr>
        <w:t xml:space="preserve">) and </w:t>
      </w:r>
      <w:r w:rsidR="002B5B04">
        <w:rPr>
          <w:rFonts w:ascii="Arial Narrow" w:hAnsi="Arial Narrow"/>
        </w:rPr>
        <w:t xml:space="preserve">an </w:t>
      </w:r>
      <w:r w:rsidR="002B5B04">
        <w:rPr>
          <w:rFonts w:ascii="Arial Narrow" w:hAnsi="Arial Narrow"/>
          <w:i/>
        </w:rPr>
        <w:t>I</w:t>
      </w:r>
      <w:r w:rsidR="00F00168" w:rsidRPr="00F00168">
        <w:rPr>
          <w:rFonts w:ascii="Arial Narrow" w:hAnsi="Arial Narrow"/>
          <w:i/>
        </w:rPr>
        <w:t>ntelligentsia</w:t>
      </w:r>
      <w:r w:rsidR="00F00168">
        <w:rPr>
          <w:rFonts w:ascii="Arial Narrow" w:hAnsi="Arial Narrow"/>
        </w:rPr>
        <w:t xml:space="preserve"> led </w:t>
      </w:r>
      <w:r w:rsidR="002B5B04">
        <w:rPr>
          <w:rFonts w:ascii="Arial Narrow" w:hAnsi="Arial Narrow"/>
          <w:i/>
        </w:rPr>
        <w:t>G</w:t>
      </w:r>
      <w:r w:rsidR="00F00168" w:rsidRPr="00F00168">
        <w:rPr>
          <w:rFonts w:ascii="Arial Narrow" w:hAnsi="Arial Narrow"/>
          <w:i/>
        </w:rPr>
        <w:t>lumilis’</w:t>
      </w:r>
      <w:r w:rsidR="00F00168">
        <w:rPr>
          <w:rFonts w:ascii="Arial Narrow" w:hAnsi="Arial Narrow"/>
        </w:rPr>
        <w:t xml:space="preserve"> in the Ukraine, which ‘sneered at the Dnieper…Dam and at Soviet Ukrainianization.’</w:t>
      </w:r>
      <w:r w:rsidR="00F00168">
        <w:rPr>
          <w:rStyle w:val="FootnoteReference"/>
          <w:rFonts w:ascii="Arial Narrow" w:hAnsi="Arial Narrow"/>
        </w:rPr>
        <w:footnoteReference w:id="198"/>
      </w:r>
      <w:r w:rsidR="00F00168">
        <w:rPr>
          <w:rFonts w:ascii="Arial Narrow" w:hAnsi="Arial Narrow"/>
        </w:rPr>
        <w:t xml:space="preserve"> Stalin was no normal man. When he had run-out of enemies -  millions of who died throughout this period – and when there were ‘no new kulaks…marshals, generals’, he used ‘[a]n old tested trick, used by Tsar Nicholas</w:t>
      </w:r>
      <w:r w:rsidR="00584871">
        <w:rPr>
          <w:rFonts w:ascii="Arial Narrow" w:hAnsi="Arial Narrow"/>
        </w:rPr>
        <w:t>’ and beat the Jews. The Poles and others had by then beat him to it.</w:t>
      </w:r>
      <w:r w:rsidR="00584871">
        <w:rPr>
          <w:rStyle w:val="FootnoteReference"/>
          <w:rFonts w:ascii="Arial Narrow" w:hAnsi="Arial Narrow"/>
        </w:rPr>
        <w:footnoteReference w:id="199"/>
      </w:r>
      <w:r w:rsidR="00584871">
        <w:rPr>
          <w:rFonts w:ascii="Arial Narrow" w:hAnsi="Arial Narrow"/>
        </w:rPr>
        <w:t xml:space="preserve"> Timothy Garton-Ash warned of the wider-regions complexity, but cre</w:t>
      </w:r>
      <w:r w:rsidR="00157778">
        <w:rPr>
          <w:rFonts w:ascii="Arial Narrow" w:hAnsi="Arial Narrow"/>
        </w:rPr>
        <w:t xml:space="preserve">ative and </w:t>
      </w:r>
      <w:r w:rsidR="00157778">
        <w:rPr>
          <w:rFonts w:ascii="Arial Narrow" w:hAnsi="Arial Narrow"/>
        </w:rPr>
        <w:lastRenderedPageBreak/>
        <w:t xml:space="preserve">imaginative onlookers </w:t>
      </w:r>
      <w:r w:rsidR="007D7044">
        <w:rPr>
          <w:rFonts w:ascii="Arial Narrow" w:hAnsi="Arial Narrow"/>
        </w:rPr>
        <w:t>- Reader</w:t>
      </w:r>
      <w:r w:rsidR="00157778">
        <w:rPr>
          <w:rFonts w:ascii="Arial Narrow" w:hAnsi="Arial Narrow"/>
        </w:rPr>
        <w:t>-Bullard and later Lev Kopelev -</w:t>
      </w:r>
      <w:r w:rsidR="00584871">
        <w:rPr>
          <w:rFonts w:ascii="Arial Narrow" w:hAnsi="Arial Narrow"/>
        </w:rPr>
        <w:t xml:space="preserve"> proved that a regional overview was indeed possible, even here beyond the ‘civilized p</w:t>
      </w:r>
      <w:r w:rsidR="00157778">
        <w:rPr>
          <w:rFonts w:ascii="Arial Narrow" w:hAnsi="Arial Narrow"/>
        </w:rPr>
        <w:t>ale’.</w:t>
      </w:r>
      <w:r w:rsidR="00157778">
        <w:rPr>
          <w:rStyle w:val="FootnoteReference"/>
          <w:rFonts w:ascii="Arial Narrow" w:hAnsi="Arial Narrow"/>
        </w:rPr>
        <w:footnoteReference w:id="200"/>
      </w:r>
      <w:r w:rsidR="00157778">
        <w:rPr>
          <w:rFonts w:ascii="Arial Narrow" w:hAnsi="Arial Narrow"/>
        </w:rPr>
        <w:t xml:space="preserve"> Further researc</w:t>
      </w:r>
      <w:r w:rsidR="007402B1">
        <w:rPr>
          <w:rFonts w:ascii="Arial Narrow" w:hAnsi="Arial Narrow"/>
        </w:rPr>
        <w:t xml:space="preserve">h amongst the Russian archives </w:t>
      </w:r>
      <w:r w:rsidR="00157778">
        <w:rPr>
          <w:rFonts w:ascii="Arial Narrow" w:hAnsi="Arial Narrow"/>
        </w:rPr>
        <w:t>may draw upon the feelings of the peasantry who lived in the borderlands, providing even more detailed thoughts on the region. Kopelev’s rum</w:t>
      </w:r>
      <w:r w:rsidR="007402B1">
        <w:rPr>
          <w:rFonts w:ascii="Arial Narrow" w:hAnsi="Arial Narrow"/>
        </w:rPr>
        <w:t xml:space="preserve">inations upon his own identity </w:t>
      </w:r>
      <w:r w:rsidR="00157778">
        <w:rPr>
          <w:rFonts w:ascii="Arial Narrow" w:hAnsi="Arial Narrow"/>
        </w:rPr>
        <w:t xml:space="preserve">illustrated the confusion which reigned between nationality and human identity as a whole. </w:t>
      </w:r>
      <w:r w:rsidR="00812EB1">
        <w:rPr>
          <w:rFonts w:ascii="Arial Narrow" w:hAnsi="Arial Narrow"/>
        </w:rPr>
        <w:t xml:space="preserve">Spontaneity became confused with forced ‘Exodus’, throwing-up words which were to become increasingly common and meaningless. ‘Citizen-refugees’ is as mealy-mouthed now as it must have been in the 1920s. </w:t>
      </w:r>
      <w:r w:rsidR="00F3263C">
        <w:rPr>
          <w:rFonts w:ascii="Arial Narrow" w:hAnsi="Arial Narrow"/>
        </w:rPr>
        <w:t xml:space="preserve">Only the likes of Benes and Masaryk could fit this neat description. </w:t>
      </w:r>
    </w:p>
    <w:p w:rsidR="00F3263C" w:rsidRDefault="00EF6382" w:rsidP="003D2CE4">
      <w:pPr>
        <w:spacing w:after="0" w:line="480" w:lineRule="auto"/>
        <w:ind w:firstLine="709"/>
        <w:jc w:val="both"/>
        <w:rPr>
          <w:rFonts w:ascii="Arial Narrow" w:hAnsi="Arial Narrow"/>
        </w:rPr>
      </w:pPr>
      <w:r>
        <w:rPr>
          <w:rFonts w:ascii="Arial Narrow" w:hAnsi="Arial Narrow"/>
        </w:rPr>
        <w:t xml:space="preserve">The interruption of the Great War and its possible curtailing of both organic development and the intrusion of the global economy, proved decisive in curtailing as Rugg pointed out, any development of ‘human rights’ in the sense that this was understood in Western Europe. Salsitz confirmed that the new railroad ‘was never completed’. The </w:t>
      </w:r>
      <w:r w:rsidR="007402B1">
        <w:rPr>
          <w:rFonts w:ascii="Arial Narrow" w:hAnsi="Arial Narrow"/>
        </w:rPr>
        <w:t>‘</w:t>
      </w:r>
      <w:r w:rsidR="00263708">
        <w:rPr>
          <w:rFonts w:ascii="Arial Narrow" w:hAnsi="Arial Narrow"/>
        </w:rPr>
        <w:t>built railways</w:t>
      </w:r>
      <w:r w:rsidR="007402B1">
        <w:rPr>
          <w:rFonts w:ascii="Arial Narrow" w:hAnsi="Arial Narrow"/>
        </w:rPr>
        <w:t>’</w:t>
      </w:r>
      <w:r w:rsidR="00263708">
        <w:rPr>
          <w:rFonts w:ascii="Arial Narrow" w:hAnsi="Arial Narrow"/>
        </w:rPr>
        <w:t xml:space="preserve"> were destined to carry-out a grotesque bacchanalian dance of death.</w:t>
      </w:r>
      <w:r w:rsidR="00263708">
        <w:rPr>
          <w:rStyle w:val="FootnoteReference"/>
          <w:rFonts w:ascii="Arial Narrow" w:hAnsi="Arial Narrow"/>
        </w:rPr>
        <w:footnoteReference w:id="201"/>
      </w:r>
      <w:r w:rsidR="00263708">
        <w:rPr>
          <w:rFonts w:ascii="Arial Narrow" w:hAnsi="Arial Narrow"/>
        </w:rPr>
        <w:t xml:space="preserve"> As a contested space, the borderlands elicited highly combustible human emotions; the historical location was indeed a crossroads between the ‘German- speaking world and its eastern neighbours.’</w:t>
      </w:r>
      <w:r w:rsidR="00D07030">
        <w:rPr>
          <w:rStyle w:val="FootnoteReference"/>
          <w:rFonts w:ascii="Arial Narrow" w:hAnsi="Arial Narrow"/>
        </w:rPr>
        <w:footnoteReference w:id="202"/>
      </w:r>
      <w:r w:rsidR="00D04023">
        <w:rPr>
          <w:rFonts w:ascii="Arial Narrow" w:hAnsi="Arial Narrow"/>
        </w:rPr>
        <w:t xml:space="preserve"> Kate Browns ‘natural laws’ confirmed Vansittart’s concern that, ‘</w:t>
      </w:r>
      <w:r w:rsidR="00D04023" w:rsidRPr="00D04023">
        <w:rPr>
          <w:rFonts w:ascii="Arial Narrow" w:hAnsi="Arial Narrow"/>
          <w:i/>
        </w:rPr>
        <w:t>Homo Sapiens</w:t>
      </w:r>
      <w:r w:rsidR="00D04023">
        <w:rPr>
          <w:rFonts w:ascii="Arial Narrow" w:hAnsi="Arial Narrow"/>
        </w:rPr>
        <w:t xml:space="preserve"> is still liable to Palaeolithic homesickness</w:t>
      </w:r>
      <w:r w:rsidR="00651DC3">
        <w:rPr>
          <w:rFonts w:ascii="Arial Narrow" w:hAnsi="Arial Narrow"/>
        </w:rPr>
        <w:t xml:space="preserve">’. Moreover, ‘eating more fruit’ and a fashionable belief amongst anthropologists </w:t>
      </w:r>
      <w:r w:rsidR="00AE7390">
        <w:rPr>
          <w:rFonts w:ascii="Arial Narrow" w:hAnsi="Arial Narrow"/>
        </w:rPr>
        <w:t xml:space="preserve">that: </w:t>
      </w:r>
      <w:r w:rsidR="00651DC3">
        <w:rPr>
          <w:rFonts w:ascii="Arial Narrow" w:hAnsi="Arial Narrow"/>
        </w:rPr>
        <w:t>‘dawn-man was a pacifist full of thalamic goodness and that violence [was] therefore the product of civilisation’</w:t>
      </w:r>
      <w:r w:rsidR="00AE7390">
        <w:rPr>
          <w:rFonts w:ascii="Arial Narrow" w:hAnsi="Arial Narrow"/>
        </w:rPr>
        <w:t>, proved to be a false</w:t>
      </w:r>
      <w:r w:rsidR="005D4BE9">
        <w:rPr>
          <w:rFonts w:ascii="Arial Narrow" w:hAnsi="Arial Narrow"/>
        </w:rPr>
        <w:t>-</w:t>
      </w:r>
      <w:r w:rsidR="00AE7390">
        <w:rPr>
          <w:rFonts w:ascii="Arial Narrow" w:hAnsi="Arial Narrow"/>
        </w:rPr>
        <w:t xml:space="preserve">dawn. The original sins of old Adam were not an opportunity for backslapping. </w:t>
      </w:r>
      <w:r w:rsidR="005D4BE9">
        <w:rPr>
          <w:rFonts w:ascii="Arial Narrow" w:hAnsi="Arial Narrow"/>
        </w:rPr>
        <w:t xml:space="preserve">Padraic Kenney reviewing the possibility of every nation affording a ‘Whiggish view </w:t>
      </w:r>
      <w:r w:rsidR="00670438">
        <w:rPr>
          <w:rFonts w:ascii="Arial Narrow" w:hAnsi="Arial Narrow"/>
        </w:rPr>
        <w:t xml:space="preserve">of history’ </w:t>
      </w:r>
      <w:r w:rsidR="00B470BD">
        <w:rPr>
          <w:rFonts w:ascii="Arial Narrow" w:hAnsi="Arial Narrow"/>
        </w:rPr>
        <w:t>concludes that this ‘twist to modern Poland’s narrative’ may be an invitation to further historical enquiry.</w:t>
      </w:r>
      <w:r w:rsidR="00B470BD">
        <w:rPr>
          <w:rStyle w:val="FootnoteReference"/>
          <w:rFonts w:ascii="Arial Narrow" w:hAnsi="Arial Narrow"/>
        </w:rPr>
        <w:footnoteReference w:id="203"/>
      </w:r>
      <w:r w:rsidR="00B470BD">
        <w:rPr>
          <w:rFonts w:ascii="Arial Narrow" w:hAnsi="Arial Narrow"/>
        </w:rPr>
        <w:t xml:space="preserve"> Polish treatment of their own minorities – </w:t>
      </w:r>
      <w:r w:rsidR="000347D7">
        <w:rPr>
          <w:rFonts w:ascii="Arial Narrow" w:hAnsi="Arial Narrow"/>
        </w:rPr>
        <w:t xml:space="preserve">and it was </w:t>
      </w:r>
      <w:r w:rsidR="00B470BD">
        <w:rPr>
          <w:rFonts w:ascii="Arial Narrow" w:hAnsi="Arial Narrow"/>
        </w:rPr>
        <w:t>the ‘Zbaszyn outrage</w:t>
      </w:r>
      <w:r w:rsidR="000347D7">
        <w:rPr>
          <w:rFonts w:ascii="Arial Narrow" w:hAnsi="Arial Narrow"/>
        </w:rPr>
        <w:t xml:space="preserve"> [which] unchained the tragic sequence of events’ leading to </w:t>
      </w:r>
      <w:r w:rsidR="000347D7" w:rsidRPr="000347D7">
        <w:rPr>
          <w:rFonts w:ascii="Arial Narrow" w:hAnsi="Arial Narrow"/>
          <w:i/>
        </w:rPr>
        <w:t>Kristallnacht</w:t>
      </w:r>
      <w:r w:rsidR="000347D7">
        <w:rPr>
          <w:rFonts w:ascii="Arial Narrow" w:hAnsi="Arial Narrow"/>
        </w:rPr>
        <w:t xml:space="preserve"> – illustrated by </w:t>
      </w:r>
      <w:r w:rsidR="007B364D">
        <w:rPr>
          <w:rFonts w:ascii="Arial Narrow" w:hAnsi="Arial Narrow"/>
        </w:rPr>
        <w:t xml:space="preserve">both </w:t>
      </w:r>
      <w:r w:rsidR="000347D7">
        <w:rPr>
          <w:rFonts w:ascii="Arial Narrow" w:hAnsi="Arial Narrow"/>
        </w:rPr>
        <w:t xml:space="preserve">Blanke and their own pedantic antics </w:t>
      </w:r>
      <w:r w:rsidR="000347D7">
        <w:rPr>
          <w:rFonts w:ascii="Arial Narrow" w:hAnsi="Arial Narrow"/>
        </w:rPr>
        <w:lastRenderedPageBreak/>
        <w:t>over League of Nations rules, needs to be carefully but studiously investigated.</w:t>
      </w:r>
      <w:r w:rsidR="000347D7">
        <w:rPr>
          <w:rStyle w:val="FootnoteReference"/>
          <w:rFonts w:ascii="Arial Narrow" w:hAnsi="Arial Narrow"/>
        </w:rPr>
        <w:footnoteReference w:id="204"/>
      </w:r>
      <w:r w:rsidR="000347D7">
        <w:rPr>
          <w:rFonts w:ascii="Arial Narrow" w:hAnsi="Arial Narrow"/>
        </w:rPr>
        <w:t xml:space="preserve"> The western power</w:t>
      </w:r>
      <w:r w:rsidR="00672CAA">
        <w:rPr>
          <w:rFonts w:ascii="Arial Narrow" w:hAnsi="Arial Narrow"/>
        </w:rPr>
        <w:t xml:space="preserve">s failure to deal with Poland, Germany and Russia and the tensions which existed in League policy where their own minority problems existed (whether in India, Africa, the Caribbean or racial policy in the United States), handicapped both understanding and action. </w:t>
      </w:r>
      <w:r w:rsidR="00672CAA">
        <w:rPr>
          <w:rStyle w:val="FootnoteReference"/>
          <w:rFonts w:ascii="Arial Narrow" w:hAnsi="Arial Narrow"/>
        </w:rPr>
        <w:footnoteReference w:id="205"/>
      </w:r>
      <w:r w:rsidR="00FF6422">
        <w:rPr>
          <w:rFonts w:ascii="Arial Narrow" w:hAnsi="Arial Narrow"/>
        </w:rPr>
        <w:t xml:space="preserve"> Interdependence and the International Monetary Fund are indeed one of the same. Understanding localism and the use of anecdotal evidence can reveal gaps in understanding – indeed contemporary witness accounts were and still are often ignored for political expediency.</w:t>
      </w:r>
      <w:r w:rsidR="00FF6422">
        <w:rPr>
          <w:rStyle w:val="FootnoteReference"/>
          <w:rFonts w:ascii="Arial Narrow" w:hAnsi="Arial Narrow"/>
        </w:rPr>
        <w:footnoteReference w:id="206"/>
      </w:r>
    </w:p>
    <w:p w:rsidR="00372F23" w:rsidRDefault="000347D7" w:rsidP="003D2CE4">
      <w:pPr>
        <w:spacing w:after="0" w:line="480" w:lineRule="auto"/>
        <w:ind w:firstLine="709"/>
        <w:jc w:val="both"/>
        <w:rPr>
          <w:rFonts w:ascii="Arial Narrow" w:hAnsi="Arial Narrow"/>
        </w:rPr>
      </w:pPr>
      <w:r>
        <w:rPr>
          <w:rFonts w:ascii="Arial Narrow" w:hAnsi="Arial Narrow"/>
        </w:rPr>
        <w:tab/>
      </w:r>
      <w:r w:rsidR="00E21697">
        <w:rPr>
          <w:rFonts w:ascii="Arial Narrow" w:hAnsi="Arial Narrow"/>
        </w:rPr>
        <w:t xml:space="preserve">East-Central Europe felt multiple tides of organic German settlers, the wash of wars and the rhizomania-style contamination of </w:t>
      </w:r>
      <w:r w:rsidR="00E21697" w:rsidRPr="00B4660F">
        <w:rPr>
          <w:rFonts w:ascii="Arial Narrow" w:hAnsi="Arial Narrow"/>
          <w:i/>
        </w:rPr>
        <w:t>bourgeois</w:t>
      </w:r>
      <w:r w:rsidR="00E21697">
        <w:rPr>
          <w:rFonts w:ascii="Arial Narrow" w:hAnsi="Arial Narrow"/>
        </w:rPr>
        <w:t xml:space="preserve"> State Socialism, in a period shorter than that which separated the Falklands War from our own. Stalin manoeuvred Russia, and by implication all of Eastern Europe, into a ‘political paradox’, prompting Colonel Beck, the Polish Minister of Foreign Affairs, to invite Romania in joining him in a </w:t>
      </w:r>
      <w:r w:rsidR="00E21697" w:rsidRPr="00C522AB">
        <w:rPr>
          <w:rFonts w:ascii="Arial Narrow" w:hAnsi="Arial Narrow"/>
          <w:i/>
        </w:rPr>
        <w:t>cordon sanitaire</w:t>
      </w:r>
      <w:r w:rsidR="00E21697">
        <w:rPr>
          <w:rFonts w:ascii="Arial Narrow" w:hAnsi="Arial Narrow"/>
        </w:rPr>
        <w:t xml:space="preserve"> between Russia and the west. By 1937 domestic upheavals in Russia had led Britain - not for the first time - to invite members of the German General Staff and attendees at the Imperial Conference to countenance ‘peaceful collaboration.’ This fumbling around in the dark was not only badly thought out; it shattered the Minorities Treaty by conniving at the stultification of ‘solemn international obligations.’ These were not well-judged attempts at ‘meso-government’, making as Namier and others had, detailed observations of local cultures and economic ties; they were offerings to the idols and fetishes of sovereignty, ‘conceived as mystical abstractions or corporate personalities [overriding] the interests of mere flesh-and-blood men, women and children.’</w:t>
      </w:r>
      <w:r w:rsidR="00E21697">
        <w:rPr>
          <w:rStyle w:val="FootnoteReference"/>
          <w:rFonts w:ascii="Arial Narrow" w:hAnsi="Arial Narrow"/>
        </w:rPr>
        <w:footnoteReference w:id="207"/>
      </w:r>
      <w:r w:rsidR="00E21697">
        <w:rPr>
          <w:rFonts w:ascii="Arial Narrow" w:hAnsi="Arial Narrow"/>
        </w:rPr>
        <w:t xml:space="preserve"> Concomitant with the political machinations, in which the ‘agony of small nations’ was all too plain to see, the economic polarity which divided (and continued to divide for another fifty years) the sub-continent of Europe exhibited a Kafkaesque logic; where the peasantry used the ‘“moral economy” to denote popular conceptions of what is economically fair and legitimate</w:t>
      </w:r>
      <w:r w:rsidR="00CF0FD5">
        <w:rPr>
          <w:rFonts w:ascii="Arial Narrow" w:hAnsi="Arial Narrow"/>
        </w:rPr>
        <w:t xml:space="preserve">, based </w:t>
      </w:r>
      <w:r w:rsidR="00CF0FD5">
        <w:rPr>
          <w:rFonts w:ascii="Arial Narrow" w:hAnsi="Arial Narrow"/>
        </w:rPr>
        <w:lastRenderedPageBreak/>
        <w:t>upon</w:t>
      </w:r>
      <w:r w:rsidR="00E21697">
        <w:rPr>
          <w:rFonts w:ascii="Arial Narrow" w:hAnsi="Arial Narrow"/>
        </w:rPr>
        <w:t xml:space="preserve"> customary notions of “social norms and obligations.”’</w:t>
      </w:r>
      <w:r w:rsidR="00E21697">
        <w:rPr>
          <w:rStyle w:val="FootnoteReference"/>
          <w:rFonts w:ascii="Arial Narrow" w:hAnsi="Arial Narrow"/>
        </w:rPr>
        <w:footnoteReference w:id="208"/>
      </w:r>
      <w:r w:rsidR="00E21697">
        <w:rPr>
          <w:rFonts w:ascii="Arial Narrow" w:hAnsi="Arial Narrow"/>
        </w:rPr>
        <w:t xml:space="preserve"> Whereas borderland peasants (and in Silesia evidently industrial workers too) utilised the ‘free market’, both the “Successors” and the “Revisionists” sort sanctuary in statism and its many varied forms. The Soviet economy, along with the Czech and Polish, although hindered by ‘international uneasiness about China and Spain’, saw substantial improvements in 1937. German preponderance in Central European economics was by far the most effective, utilising a complex system of long-term credits and substantial pre-purchasing of agricultural produce,  enabling their poorer neighbours to buy imported manufactured goods which, whether defaulted upon or not, increased commercial and political dependence upon the former. The consequences of this policy are widely kn</w:t>
      </w:r>
      <w:r w:rsidR="00372F23">
        <w:rPr>
          <w:rFonts w:ascii="Arial Narrow" w:hAnsi="Arial Narrow"/>
        </w:rPr>
        <w:t>own.</w:t>
      </w:r>
      <w:r w:rsidR="00372F23">
        <w:rPr>
          <w:rFonts w:ascii="Arial Narrow" w:hAnsi="Arial Narrow"/>
        </w:rPr>
        <w:tab/>
      </w:r>
      <w:r w:rsidR="00E21697">
        <w:rPr>
          <w:rFonts w:ascii="Arial Narrow" w:hAnsi="Arial Narrow"/>
        </w:rPr>
        <w:t xml:space="preserve">Nationalist agitation in Poland fanned the flames of the </w:t>
      </w:r>
      <w:r w:rsidR="00E21697" w:rsidRPr="00B24593">
        <w:rPr>
          <w:rFonts w:ascii="Arial Narrow" w:hAnsi="Arial Narrow"/>
          <w:i/>
        </w:rPr>
        <w:t>Auslandsdeutsche</w:t>
      </w:r>
      <w:r w:rsidR="00E21697">
        <w:rPr>
          <w:rFonts w:ascii="Arial Narrow" w:hAnsi="Arial Narrow"/>
        </w:rPr>
        <w:t xml:space="preserve"> (which were utilised in the same way that Joseph Chamberlain used the British </w:t>
      </w:r>
      <w:r w:rsidR="004C44CA">
        <w:rPr>
          <w:rFonts w:ascii="Arial Narrow" w:hAnsi="Arial Narrow"/>
          <w:i/>
        </w:rPr>
        <w:t>U</w:t>
      </w:r>
      <w:r w:rsidR="00E21697" w:rsidRPr="00B24593">
        <w:rPr>
          <w:rFonts w:ascii="Arial Narrow" w:hAnsi="Arial Narrow"/>
          <w:i/>
        </w:rPr>
        <w:t>itlanders</w:t>
      </w:r>
      <w:r w:rsidR="00E21697">
        <w:rPr>
          <w:rFonts w:ascii="Arial Narrow" w:hAnsi="Arial Narrow"/>
        </w:rPr>
        <w:t xml:space="preserve"> in the Transvaal before the Boer War)</w:t>
      </w:r>
      <w:r w:rsidR="00596303">
        <w:rPr>
          <w:rFonts w:ascii="Arial Narrow" w:hAnsi="Arial Narrow"/>
        </w:rPr>
        <w:t>,</w:t>
      </w:r>
      <w:r w:rsidR="00E21697">
        <w:rPr>
          <w:rFonts w:ascii="Arial Narrow" w:hAnsi="Arial Narrow"/>
        </w:rPr>
        <w:t xml:space="preserve"> and similar disturbances in Eastern Galicia were produced amongst the Ukrainians. Richard Evans succinctly describes why the predominantly peasant population of this region failed to escape the poverty trap.</w:t>
      </w:r>
      <w:r w:rsidR="00E21697">
        <w:rPr>
          <w:rStyle w:val="FootnoteReference"/>
          <w:rFonts w:ascii="Arial Narrow" w:hAnsi="Arial Narrow"/>
        </w:rPr>
        <w:footnoteReference w:id="209"/>
      </w:r>
      <w:r w:rsidR="00E21697">
        <w:rPr>
          <w:rFonts w:ascii="Arial Narrow" w:hAnsi="Arial Narrow"/>
        </w:rPr>
        <w:t xml:space="preserve"> At the crossroads between the German-speaking world and its eastern neighbours, this region also ‘illuminated the complexity of national identity’ as an arena in which ‘[n]umerous nerve lines tied together different cultural groups [and] environments [where] border populations understood their neighbours; they learned from them.’</w:t>
      </w:r>
      <w:r w:rsidR="00E21697">
        <w:rPr>
          <w:rStyle w:val="FootnoteReference"/>
          <w:rFonts w:ascii="Arial Narrow" w:hAnsi="Arial Narrow"/>
        </w:rPr>
        <w:footnoteReference w:id="210"/>
      </w:r>
      <w:r w:rsidR="00E21697">
        <w:rPr>
          <w:rFonts w:ascii="Arial Narrow" w:hAnsi="Arial Narrow"/>
        </w:rPr>
        <w:t xml:space="preserve"> When discussing east-Central Europe </w:t>
      </w:r>
      <w:r w:rsidR="00596303">
        <w:rPr>
          <w:rFonts w:ascii="Arial Narrow" w:hAnsi="Arial Narrow"/>
        </w:rPr>
        <w:t>it is tempting, particularly with</w:t>
      </w:r>
      <w:r w:rsidR="00E21697">
        <w:rPr>
          <w:rFonts w:ascii="Arial Narrow" w:hAnsi="Arial Narrow"/>
        </w:rPr>
        <w:t xml:space="preserve"> the frontier realignments, to end with an illustration of the situation extant on 31</w:t>
      </w:r>
      <w:r w:rsidR="00E21697" w:rsidRPr="00B450D2">
        <w:rPr>
          <w:rFonts w:ascii="Arial Narrow" w:hAnsi="Arial Narrow"/>
          <w:vertAlign w:val="superscript"/>
        </w:rPr>
        <w:t>st</w:t>
      </w:r>
      <w:r w:rsidR="00E21697">
        <w:rPr>
          <w:rFonts w:ascii="Arial Narrow" w:hAnsi="Arial Narrow"/>
        </w:rPr>
        <w:t xml:space="preserve"> December 1938. But this dissertation has sought to uncover and describe the less pointed incidents as well as reviewing the </w:t>
      </w:r>
      <w:r w:rsidR="00E21697" w:rsidRPr="00B450D2">
        <w:rPr>
          <w:rFonts w:ascii="Arial Narrow" w:hAnsi="Arial Narrow"/>
          <w:i/>
        </w:rPr>
        <w:t>long duree</w:t>
      </w:r>
      <w:r w:rsidR="00E21697">
        <w:rPr>
          <w:rFonts w:ascii="Arial Narrow" w:hAnsi="Arial Narrow"/>
        </w:rPr>
        <w:t xml:space="preserve">. In the long run, to coin a phrase, all the frontiers (and by implication States) will exist either in paper (or digitally?); all nations ‘will be dead.’ The lines will not be revealed in the soil. But human beings have an uncanny knack of reflecting and revealing the effects </w:t>
      </w:r>
      <w:r w:rsidR="00596303">
        <w:rPr>
          <w:rFonts w:ascii="Arial Narrow" w:hAnsi="Arial Narrow"/>
        </w:rPr>
        <w:t>of</w:t>
      </w:r>
      <w:r w:rsidR="007B364D">
        <w:rPr>
          <w:rFonts w:ascii="Arial Narrow" w:hAnsi="Arial Narrow"/>
        </w:rPr>
        <w:t xml:space="preserve"> ‘Old Adam’. Ome</w:t>
      </w:r>
      <w:r w:rsidR="00E21697">
        <w:rPr>
          <w:rFonts w:ascii="Arial Narrow" w:hAnsi="Arial Narrow"/>
        </w:rPr>
        <w:t xml:space="preserve">r Bartovs tour of old Jewish Ukraine reveals some startling pictures, none more so than from Zolotyi Potik, a small town in Ternopil’ (Polish Tarnopol) </w:t>
      </w:r>
      <w:r w:rsidR="00E21697" w:rsidRPr="006B2741">
        <w:rPr>
          <w:rFonts w:ascii="Arial Narrow" w:hAnsi="Arial Narrow"/>
          <w:i/>
        </w:rPr>
        <w:t xml:space="preserve">Oblast </w:t>
      </w:r>
      <w:r w:rsidR="00E21697">
        <w:rPr>
          <w:rFonts w:ascii="Arial Narrow" w:hAnsi="Arial Narrow"/>
        </w:rPr>
        <w:t xml:space="preserve">in southwest Ukraine (See Fig. 10 </w:t>
      </w:r>
      <w:r w:rsidR="006E3B03">
        <w:rPr>
          <w:rFonts w:ascii="Arial Narrow" w:hAnsi="Arial Narrow"/>
        </w:rPr>
        <w:t xml:space="preserve">- </w:t>
      </w:r>
      <w:r w:rsidR="00E21697">
        <w:rPr>
          <w:rFonts w:ascii="Arial Narrow" w:hAnsi="Arial Narrow"/>
        </w:rPr>
        <w:t xml:space="preserve">where it appears in interwar Poland). The sands of the region are swallowing up the Jewish cemetery. Memorial history both illustrates and changes the uses of history. The </w:t>
      </w:r>
      <w:r w:rsidR="00E21697">
        <w:rPr>
          <w:rFonts w:ascii="Arial Narrow" w:hAnsi="Arial Narrow"/>
        </w:rPr>
        <w:lastRenderedPageBreak/>
        <w:t>memorial at Treblinka, on the borders of the Kresy, may provide a conundrum for future archaeologists when compared to the remains at Zolotyi. (Figs. 22, 23) Nadezhda Mandelstam suggested that:</w:t>
      </w:r>
    </w:p>
    <w:p w:rsidR="00992A75" w:rsidRDefault="00E21697" w:rsidP="003D2CE4">
      <w:pPr>
        <w:spacing w:after="0" w:line="480" w:lineRule="auto"/>
        <w:ind w:left="709"/>
        <w:jc w:val="both"/>
        <w:rPr>
          <w:rFonts w:ascii="Arial Narrow" w:hAnsi="Arial Narrow"/>
        </w:rPr>
      </w:pPr>
      <w:r>
        <w:rPr>
          <w:rFonts w:ascii="Arial Narrow" w:hAnsi="Arial Narrow"/>
        </w:rPr>
        <w:t>Mass deportation is something new, for which we have the twentieth century to thank. Or perhaps the conquering despots of ancient Egypt or Assyria? I have seen the trains taking bearded peasants from the Ukraine…Then there were the trainloads of Volga Germans, Tartars, Poles Estonians…And again cattle cars with prisoners for the camps – sometimes more of them and sometimes less, but never ceasing…I have read somewhere that in the history of all nations there</w:t>
      </w:r>
      <w:r w:rsidR="006B2741">
        <w:rPr>
          <w:rFonts w:ascii="Arial Narrow" w:hAnsi="Arial Narrow"/>
        </w:rPr>
        <w:t xml:space="preserve"> is a time when people “wander </w:t>
      </w:r>
      <w:r>
        <w:rPr>
          <w:rFonts w:ascii="Arial Narrow" w:hAnsi="Arial Narrow"/>
        </w:rPr>
        <w:t>in body and spirit.” This is the youth of a nation, the creative period of its history that affects it for many centuries and sets its cultural development in motion.’</w:t>
      </w:r>
      <w:r>
        <w:rPr>
          <w:rStyle w:val="FootnoteReference"/>
          <w:rFonts w:ascii="Arial Narrow" w:hAnsi="Arial Narrow"/>
        </w:rPr>
        <w:footnoteReference w:id="211"/>
      </w:r>
    </w:p>
    <w:p w:rsidR="00E21697" w:rsidRDefault="00E21697" w:rsidP="003D2CE4">
      <w:pPr>
        <w:spacing w:line="480" w:lineRule="auto"/>
        <w:jc w:val="both"/>
        <w:rPr>
          <w:rFonts w:ascii="Arial Narrow" w:hAnsi="Arial Narrow"/>
        </w:rPr>
      </w:pPr>
      <w:r>
        <w:rPr>
          <w:rFonts w:ascii="Arial Narrow" w:hAnsi="Arial Narrow"/>
        </w:rPr>
        <w:t xml:space="preserve">State intervention in the new accession countries has brought increasing denationalization in the borderlands of EU member states. In Kisselmenc, southwestern Ukraine, a “golden curtain” has replaced the iron one; the locals describing their predicament as needing to “sell your cow to buy a passport”. Under United States pressure a border control point was installed to provide a point of access; a “transition from ancestral lands to commodified space” was hoped for. Instead </w:t>
      </w:r>
      <w:r w:rsidRPr="004641DC">
        <w:rPr>
          <w:rFonts w:ascii="Arial Narrow" w:hAnsi="Arial Narrow"/>
          <w:i/>
        </w:rPr>
        <w:t>ad hoc</w:t>
      </w:r>
      <w:r>
        <w:rPr>
          <w:rFonts w:ascii="Arial Narrow" w:hAnsi="Arial Narrow"/>
        </w:rPr>
        <w:t xml:space="preserve"> arrangements became ‘privatized’ and ‘spatially confined’, with all its intendant modernizing influences.</w:t>
      </w:r>
      <w:r>
        <w:rPr>
          <w:rStyle w:val="FootnoteReference"/>
          <w:rFonts w:ascii="Arial Narrow" w:hAnsi="Arial Narrow"/>
        </w:rPr>
        <w:footnoteReference w:id="212"/>
      </w:r>
      <w:r>
        <w:rPr>
          <w:rFonts w:ascii="Arial Narrow" w:hAnsi="Arial Narrow"/>
        </w:rPr>
        <w:t xml:space="preserve"> </w:t>
      </w:r>
      <w:r w:rsidR="0037327F">
        <w:rPr>
          <w:rFonts w:ascii="Arial Narrow" w:hAnsi="Arial Narrow"/>
        </w:rPr>
        <w:t>Rosa Luxemburg contended</w:t>
      </w:r>
      <w:r w:rsidR="0050001E">
        <w:rPr>
          <w:rFonts w:ascii="Arial Narrow" w:hAnsi="Arial Narrow"/>
        </w:rPr>
        <w:t xml:space="preserve"> that: “Small-scale producers in developed countries and the whole non-industrialised, backward ‘third’ world are the suffering subjects of this constantly recurring process of accumulation and expropriation.”</w:t>
      </w:r>
      <w:r w:rsidR="0050001E">
        <w:rPr>
          <w:rStyle w:val="FootnoteReference"/>
          <w:rFonts w:ascii="Arial Narrow" w:hAnsi="Arial Narrow"/>
        </w:rPr>
        <w:footnoteReference w:id="213"/>
      </w:r>
      <w:r w:rsidR="0050001E">
        <w:rPr>
          <w:rFonts w:ascii="Arial Narrow" w:hAnsi="Arial Narrow"/>
        </w:rPr>
        <w:t xml:space="preserve"> </w:t>
      </w:r>
      <w:r>
        <w:rPr>
          <w:rFonts w:ascii="Arial Narrow" w:hAnsi="Arial Narrow"/>
        </w:rPr>
        <w:t xml:space="preserve">The tensions which further expansion may generate should be carefully thought through, with particular attention paid to the still extant ethno-linguistic nationalization differences which become closer to the ‘cosmopolitan, multicultural European Union’ protection which steam-rollers all </w:t>
      </w:r>
      <w:r w:rsidR="006B2741">
        <w:rPr>
          <w:rFonts w:ascii="Arial Narrow" w:hAnsi="Arial Narrow"/>
        </w:rPr>
        <w:t>in</w:t>
      </w:r>
      <w:r>
        <w:rPr>
          <w:rFonts w:ascii="Arial Narrow" w:hAnsi="Arial Narrow"/>
        </w:rPr>
        <w:t xml:space="preserve"> its path. We should not hurry youthful nations. </w:t>
      </w:r>
      <w:r>
        <w:rPr>
          <w:rFonts w:ascii="Arial Narrow" w:hAnsi="Arial Narrow"/>
        </w:rPr>
        <w:tab/>
      </w:r>
      <w:r>
        <w:rPr>
          <w:rFonts w:ascii="Arial Narrow" w:hAnsi="Arial Narrow"/>
        </w:rPr>
        <w:tab/>
      </w:r>
    </w:p>
    <w:p w:rsidR="00E21697" w:rsidRDefault="00E21697" w:rsidP="003D2CE4">
      <w:pPr>
        <w:keepNext/>
        <w:spacing w:line="480" w:lineRule="auto"/>
        <w:jc w:val="both"/>
      </w:pPr>
      <w:r>
        <w:rPr>
          <w:rFonts w:ascii="Arial Narrow" w:hAnsi="Arial Narrow"/>
          <w:noProof/>
          <w:lang w:eastAsia="en-GB"/>
        </w:rPr>
        <w:lastRenderedPageBreak/>
        <w:drawing>
          <wp:inline distT="0" distB="0" distL="0" distR="0" wp14:anchorId="56B1D65C" wp14:editId="7F796F6C">
            <wp:extent cx="5572125" cy="2876550"/>
            <wp:effectExtent l="0" t="0" r="9525" b="0"/>
            <wp:docPr id="13" name="Picture 13" descr="C:\Documents and Settings\Gemma\Desktop\dissertation maps &amp; pics\jewish cemetary in zolotyi potik 2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Gemma\Desktop\dissertation maps &amp; pics\jewish cemetary in zolotyi potik 2004.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572125" cy="2876550"/>
                    </a:xfrm>
                    <a:prstGeom prst="rect">
                      <a:avLst/>
                    </a:prstGeom>
                    <a:noFill/>
                    <a:ln>
                      <a:noFill/>
                    </a:ln>
                  </pic:spPr>
                </pic:pic>
              </a:graphicData>
            </a:graphic>
          </wp:inline>
        </w:drawing>
      </w:r>
    </w:p>
    <w:p w:rsidR="00E21697" w:rsidRDefault="00E21697" w:rsidP="003D2CE4">
      <w:pPr>
        <w:pStyle w:val="Caption"/>
        <w:jc w:val="both"/>
        <w:rPr>
          <w:sz w:val="22"/>
          <w:szCs w:val="22"/>
        </w:rPr>
      </w:pPr>
      <w:r w:rsidRPr="00AB1741">
        <w:rPr>
          <w:sz w:val="22"/>
          <w:szCs w:val="22"/>
        </w:rPr>
        <w:t xml:space="preserve">Fig. </w:t>
      </w:r>
      <w:r>
        <w:rPr>
          <w:sz w:val="22"/>
          <w:szCs w:val="22"/>
        </w:rPr>
        <w:t>22</w:t>
      </w:r>
      <w:r w:rsidR="00430939">
        <w:rPr>
          <w:sz w:val="22"/>
          <w:szCs w:val="22"/>
        </w:rPr>
        <w:t xml:space="preserve"> </w:t>
      </w:r>
      <w:r w:rsidR="00430939" w:rsidRPr="00430939">
        <w:rPr>
          <w:sz w:val="22"/>
          <w:szCs w:val="22"/>
        </w:rPr>
        <w:t>Zolotyi Potik</w:t>
      </w:r>
      <w:r w:rsidR="00430939">
        <w:rPr>
          <w:sz w:val="22"/>
          <w:szCs w:val="22"/>
        </w:rPr>
        <w:t xml:space="preserve">s old Jewish Cemetery (2004) </w:t>
      </w:r>
    </w:p>
    <w:p w:rsidR="001A3AB3" w:rsidRPr="001A3AB3" w:rsidRDefault="001A3AB3" w:rsidP="003D2CE4">
      <w:pPr>
        <w:jc w:val="both"/>
      </w:pPr>
    </w:p>
    <w:p w:rsidR="00E21697" w:rsidRDefault="00E21697" w:rsidP="003D2CE4">
      <w:pPr>
        <w:keepNext/>
        <w:spacing w:line="480" w:lineRule="auto"/>
        <w:jc w:val="both"/>
      </w:pPr>
      <w:r>
        <w:rPr>
          <w:rFonts w:ascii="Arial Narrow" w:hAnsi="Arial Narrow"/>
          <w:noProof/>
          <w:lang w:eastAsia="en-GB"/>
        </w:rPr>
        <w:drawing>
          <wp:inline distT="0" distB="0" distL="0" distR="0" wp14:anchorId="70B46C08" wp14:editId="54A15B07">
            <wp:extent cx="5734050" cy="2933700"/>
            <wp:effectExtent l="0" t="0" r="0" b="0"/>
            <wp:docPr id="14" name="Picture 14" descr="C:\Documents and Settings\Gemma\Desktop\dissertation maps &amp; pics\treblinka memor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Gemma\Desktop\dissertation maps &amp; pics\treblinka memorial.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2932400"/>
                    </a:xfrm>
                    <a:prstGeom prst="rect">
                      <a:avLst/>
                    </a:prstGeom>
                    <a:noFill/>
                    <a:ln>
                      <a:noFill/>
                    </a:ln>
                  </pic:spPr>
                </pic:pic>
              </a:graphicData>
            </a:graphic>
          </wp:inline>
        </w:drawing>
      </w:r>
    </w:p>
    <w:p w:rsidR="00A02344" w:rsidRDefault="00E21697" w:rsidP="003D2CE4">
      <w:pPr>
        <w:pStyle w:val="Caption"/>
        <w:jc w:val="both"/>
        <w:rPr>
          <w:sz w:val="22"/>
          <w:szCs w:val="22"/>
        </w:rPr>
      </w:pPr>
      <w:r w:rsidRPr="00896942">
        <w:rPr>
          <w:sz w:val="22"/>
          <w:szCs w:val="22"/>
        </w:rPr>
        <w:t xml:space="preserve">Fig.  </w:t>
      </w:r>
      <w:r w:rsidR="00430939">
        <w:rPr>
          <w:sz w:val="22"/>
          <w:szCs w:val="22"/>
        </w:rPr>
        <w:t xml:space="preserve">23 Treblinka’s Jewish Memorial </w:t>
      </w:r>
    </w:p>
    <w:p w:rsidR="00CB2E54" w:rsidRDefault="00CB2E54" w:rsidP="003D2CE4">
      <w:pPr>
        <w:jc w:val="both"/>
      </w:pPr>
    </w:p>
    <w:p w:rsidR="00CB2E54" w:rsidRDefault="00CB2E54" w:rsidP="003D2CE4">
      <w:pPr>
        <w:jc w:val="both"/>
      </w:pPr>
    </w:p>
    <w:p w:rsidR="00CB2E54" w:rsidRDefault="00CB2E54" w:rsidP="003D2CE4">
      <w:pPr>
        <w:jc w:val="both"/>
      </w:pPr>
    </w:p>
    <w:p w:rsidR="00CB2E54" w:rsidRDefault="00CB2E54" w:rsidP="003D2CE4">
      <w:pPr>
        <w:jc w:val="both"/>
      </w:pP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b/>
          <w:color w:val="000000"/>
          <w:sz w:val="32"/>
          <w:szCs w:val="32"/>
          <w:u w:val="single"/>
        </w:rPr>
      </w:pPr>
      <w:r w:rsidRPr="00CB2E54">
        <w:rPr>
          <w:rFonts w:ascii="Arial Narrow" w:eastAsia="Times New Roman" w:hAnsi="Arial Narrow" w:cs="Code"/>
          <w:b/>
          <w:color w:val="000000"/>
          <w:sz w:val="32"/>
          <w:szCs w:val="32"/>
          <w:u w:val="single"/>
        </w:rPr>
        <w:lastRenderedPageBreak/>
        <w:t>Dissertation Bibliography</w:t>
      </w: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b/>
          <w:color w:val="000000"/>
          <w:u w:val="single"/>
        </w:rPr>
      </w:pP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color w:val="000000"/>
        </w:rPr>
      </w:pP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b/>
          <w:color w:val="000000"/>
          <w:u w:val="single"/>
        </w:rPr>
      </w:pPr>
      <w:r w:rsidRPr="00CB2E54">
        <w:rPr>
          <w:rFonts w:ascii="Arial Narrow" w:eastAsia="Times New Roman" w:hAnsi="Arial Narrow" w:cs="Code"/>
          <w:b/>
          <w:color w:val="000000"/>
          <w:u w:val="single"/>
        </w:rPr>
        <w:t>Primary Sources</w:t>
      </w: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b/>
          <w:color w:val="000000"/>
          <w:u w:val="single"/>
        </w:rPr>
      </w:pP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i/>
          <w:color w:val="000000"/>
          <w:u w:val="single"/>
        </w:rPr>
      </w:pP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Acton Edward and Stableford Tom, </w:t>
      </w:r>
      <w:r w:rsidRPr="001016DD">
        <w:rPr>
          <w:rFonts w:ascii="Arial Narrow" w:eastAsia="Times New Roman" w:hAnsi="Arial Narrow" w:cs="Times New Roman"/>
          <w:i/>
        </w:rPr>
        <w:t>The Soviet Union: A Documentary History Vol. I 1917-1940,</w:t>
      </w:r>
      <w:r w:rsidRPr="001016DD">
        <w:rPr>
          <w:rFonts w:ascii="Arial Narrow" w:eastAsia="Times New Roman" w:hAnsi="Arial Narrow" w:cs="Times New Roman"/>
        </w:rPr>
        <w:t xml:space="preserve"> (Exeter: Exeter University Press, 2005). </w:t>
      </w:r>
    </w:p>
    <w:p w:rsidR="001016DD" w:rsidRPr="00CB2E54" w:rsidRDefault="00CB2E54" w:rsidP="003D2CE4">
      <w:pPr>
        <w:autoSpaceDE w:val="0"/>
        <w:autoSpaceDN w:val="0"/>
        <w:adjustRightInd w:val="0"/>
        <w:spacing w:after="0" w:line="480" w:lineRule="auto"/>
        <w:jc w:val="both"/>
        <w:rPr>
          <w:rFonts w:ascii="Arial Narrow" w:eastAsia="Times New Roman" w:hAnsi="Arial Narrow" w:cs="Code"/>
          <w:color w:val="000000"/>
          <w:lang w:val="en-US"/>
        </w:rPr>
      </w:pPr>
      <w:r w:rsidRPr="001016DD">
        <w:rPr>
          <w:rFonts w:ascii="Arial Narrow" w:eastAsia="Times New Roman" w:hAnsi="Arial Narrow" w:cs="Code"/>
          <w:color w:val="000000"/>
          <w:lang w:val="en-US"/>
        </w:rPr>
        <w:t>Ashton S.R &amp; Stockwell S.E eds.,</w:t>
      </w:r>
      <w:r w:rsidRPr="001016DD">
        <w:rPr>
          <w:rFonts w:ascii="Arial Narrow" w:eastAsia="Times New Roman" w:hAnsi="Arial Narrow" w:cs="Code"/>
          <w:i/>
          <w:color w:val="000000"/>
          <w:lang w:val="en-US"/>
        </w:rPr>
        <w:t xml:space="preserve"> British Documents on the End </w:t>
      </w:r>
      <w:r w:rsidR="00697929" w:rsidRPr="00697929">
        <w:rPr>
          <w:rFonts w:ascii="Arial Narrow" w:eastAsia="Times New Roman" w:hAnsi="Arial Narrow" w:cs="Code"/>
          <w:i/>
          <w:color w:val="000000"/>
          <w:lang w:val="en-US"/>
        </w:rPr>
        <w:t xml:space="preserve">Of Empire, Series A, Vol I: Imperial Policy </w:t>
      </w:r>
      <w:r w:rsidR="001016DD" w:rsidRPr="001016DD">
        <w:rPr>
          <w:rFonts w:ascii="Arial Narrow" w:eastAsia="Times New Roman" w:hAnsi="Arial Narrow" w:cs="Code"/>
          <w:i/>
          <w:color w:val="000000"/>
          <w:lang w:val="en-US"/>
        </w:rPr>
        <w:t>and Colonial Practice, 1925-1945</w:t>
      </w:r>
      <w:r w:rsidR="001016DD" w:rsidRPr="001016DD">
        <w:rPr>
          <w:rFonts w:ascii="Arial Narrow" w:eastAsia="Times New Roman" w:hAnsi="Arial Narrow" w:cs="Code"/>
          <w:color w:val="000000"/>
          <w:lang w:val="en-US"/>
        </w:rPr>
        <w:t>,</w:t>
      </w:r>
      <w:r w:rsidR="001016DD" w:rsidRPr="00CB2E54">
        <w:rPr>
          <w:rFonts w:ascii="Arial Narrow" w:eastAsia="Times New Roman" w:hAnsi="Arial Narrow" w:cs="Code"/>
          <w:color w:val="000000"/>
          <w:lang w:val="en-US"/>
        </w:rPr>
        <w:t xml:space="preserve"> (London: HMSO, 1996). </w:t>
      </w:r>
    </w:p>
    <w:p w:rsidR="001016DD" w:rsidRDefault="001016DD"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Bartov Omer, Erased</w:t>
      </w:r>
      <w:r w:rsidRPr="00CB2E54">
        <w:rPr>
          <w:rFonts w:ascii="Arial Narrow" w:eastAsia="Times New Roman" w:hAnsi="Arial Narrow" w:cs="Times New Roman"/>
          <w:i/>
        </w:rPr>
        <w:t>: Vanishing Traces Of Jewish Galicia In Present-Day Ukraine</w:t>
      </w:r>
      <w:r w:rsidRPr="00CB2E54">
        <w:rPr>
          <w:rFonts w:ascii="Arial Narrow" w:eastAsia="Times New Roman" w:hAnsi="Arial Narrow" w:cs="Times New Roman"/>
        </w:rPr>
        <w:t xml:space="preserve">, (Princeton University Press, 2007). </w:t>
      </w:r>
    </w:p>
    <w:p w:rsidR="00697929" w:rsidRPr="00CB2E54" w:rsidRDefault="00697929" w:rsidP="003D2CE4">
      <w:pPr>
        <w:spacing w:after="0" w:line="480" w:lineRule="auto"/>
        <w:jc w:val="both"/>
        <w:rPr>
          <w:rFonts w:ascii="Arial Narrow" w:eastAsia="Times New Roman" w:hAnsi="Arial Narrow" w:cs="Times New Roman"/>
        </w:rPr>
      </w:pPr>
      <w:r w:rsidRPr="00697929">
        <w:rPr>
          <w:rFonts w:ascii="Arial Narrow" w:eastAsia="Times New Roman" w:hAnsi="Arial Narrow" w:cs="Times New Roman"/>
        </w:rPr>
        <w:t xml:space="preserve">Bullard Julian And Margaret eds., </w:t>
      </w:r>
      <w:r w:rsidRPr="00697929">
        <w:rPr>
          <w:rFonts w:ascii="Arial Narrow" w:eastAsia="Times New Roman" w:hAnsi="Arial Narrow" w:cs="Times New Roman"/>
          <w:i/>
        </w:rPr>
        <w:t>Inside Stalin’s Russia: The Diaries Of Reader Bullard 1930-1934,</w:t>
      </w:r>
      <w:r w:rsidRPr="00697929">
        <w:rPr>
          <w:rFonts w:ascii="Arial Narrow" w:eastAsia="Times New Roman" w:hAnsi="Arial Narrow" w:cs="Times New Roman"/>
        </w:rPr>
        <w:t xml:space="preserve"> (Charlbury: Day Books, 2000).</w:t>
      </w:r>
    </w:p>
    <w:p w:rsidR="00CB2E54" w:rsidRDefault="00CB2E54" w:rsidP="003D2CE4">
      <w:pPr>
        <w:autoSpaceDE w:val="0"/>
        <w:autoSpaceDN w:val="0"/>
        <w:adjustRightInd w:val="0"/>
        <w:spacing w:after="0" w:line="240" w:lineRule="auto"/>
        <w:jc w:val="both"/>
        <w:rPr>
          <w:rFonts w:ascii="Arial Narrow" w:eastAsia="Times New Roman" w:hAnsi="Arial Narrow" w:cs="Code"/>
          <w:color w:val="000000"/>
        </w:rPr>
      </w:pPr>
      <w:r w:rsidRPr="00CB2E54">
        <w:rPr>
          <w:rFonts w:ascii="Arial Narrow" w:eastAsia="Times New Roman" w:hAnsi="Arial Narrow" w:cs="Code"/>
          <w:color w:val="000000"/>
        </w:rPr>
        <w:t xml:space="preserve">CAB/24/221; </w:t>
      </w:r>
      <w:r w:rsidRPr="00CB2E54">
        <w:rPr>
          <w:rFonts w:ascii="Arial Narrow" w:eastAsia="Times New Roman" w:hAnsi="Arial Narrow" w:cs="Code"/>
          <w:i/>
          <w:color w:val="000000"/>
        </w:rPr>
        <w:t>An Aspect of International Relations in 1931.</w:t>
      </w:r>
      <w:r w:rsidRPr="00CB2E54">
        <w:rPr>
          <w:rFonts w:ascii="Arial Narrow" w:eastAsia="Times New Roman" w:hAnsi="Arial Narrow" w:cs="Code"/>
          <w:color w:val="000000"/>
        </w:rPr>
        <w:t xml:space="preserve"> </w:t>
      </w:r>
    </w:p>
    <w:p w:rsidR="00FD22CE" w:rsidRPr="00CB2E54" w:rsidRDefault="00FD22CE" w:rsidP="003D2CE4">
      <w:pPr>
        <w:autoSpaceDE w:val="0"/>
        <w:autoSpaceDN w:val="0"/>
        <w:adjustRightInd w:val="0"/>
        <w:spacing w:after="0" w:line="240" w:lineRule="auto"/>
        <w:jc w:val="both"/>
        <w:rPr>
          <w:rFonts w:ascii="Arial Narrow" w:eastAsia="Times New Roman" w:hAnsi="Arial Narrow" w:cs="Code"/>
          <w:color w:val="000000"/>
        </w:rPr>
      </w:pPr>
    </w:p>
    <w:p w:rsidR="00FD22CE" w:rsidRPr="00FD22CE" w:rsidRDefault="00FD22CE" w:rsidP="003D2CE4">
      <w:pPr>
        <w:autoSpaceDE w:val="0"/>
        <w:autoSpaceDN w:val="0"/>
        <w:adjustRightInd w:val="0"/>
        <w:spacing w:after="0" w:line="240" w:lineRule="auto"/>
        <w:jc w:val="both"/>
        <w:rPr>
          <w:rFonts w:ascii="Arial Narrow" w:eastAsia="Times New Roman" w:hAnsi="Arial Narrow" w:cs="Code"/>
          <w:color w:val="000000"/>
        </w:rPr>
      </w:pPr>
      <w:r w:rsidRPr="00FD22CE">
        <w:rPr>
          <w:rFonts w:ascii="Arial Narrow" w:eastAsia="Times New Roman" w:hAnsi="Arial Narrow" w:cs="Code"/>
          <w:color w:val="000000"/>
        </w:rPr>
        <w:t xml:space="preserve">CAB/24/57/ 5010, </w:t>
      </w:r>
      <w:r w:rsidRPr="006068E4">
        <w:rPr>
          <w:rFonts w:ascii="Arial Narrow" w:eastAsia="Times New Roman" w:hAnsi="Arial Narrow" w:cs="Code"/>
          <w:i/>
          <w:color w:val="000000"/>
        </w:rPr>
        <w:t>Recent events in Ukraine, July 1st 1918</w:t>
      </w:r>
      <w:r w:rsidRPr="00FD22CE">
        <w:rPr>
          <w:rFonts w:ascii="Arial Narrow" w:eastAsia="Times New Roman" w:hAnsi="Arial Narrow" w:cs="Code"/>
          <w:color w:val="000000"/>
        </w:rPr>
        <w:t xml:space="preserve">. </w:t>
      </w:r>
    </w:p>
    <w:p w:rsidR="00FD22CE" w:rsidRPr="00FD22CE" w:rsidRDefault="00FD22CE" w:rsidP="003D2CE4">
      <w:pPr>
        <w:autoSpaceDE w:val="0"/>
        <w:autoSpaceDN w:val="0"/>
        <w:adjustRightInd w:val="0"/>
        <w:spacing w:after="0" w:line="240" w:lineRule="auto"/>
        <w:jc w:val="both"/>
        <w:rPr>
          <w:rFonts w:ascii="Arial Narrow" w:eastAsia="Times New Roman" w:hAnsi="Arial Narrow" w:cs="Code"/>
          <w:color w:val="000000"/>
        </w:rPr>
      </w:pPr>
      <w:r>
        <w:rPr>
          <w:rFonts w:ascii="Arial Narrow" w:eastAsia="Times New Roman" w:hAnsi="Arial Narrow" w:cs="Code"/>
          <w:color w:val="000000"/>
        </w:rPr>
        <w:t xml:space="preserve"> </w:t>
      </w:r>
    </w:p>
    <w:p w:rsidR="00CB2E54" w:rsidRDefault="00CB2E54" w:rsidP="003D2CE4">
      <w:pPr>
        <w:autoSpaceDE w:val="0"/>
        <w:autoSpaceDN w:val="0"/>
        <w:adjustRightInd w:val="0"/>
        <w:spacing w:after="0" w:line="240" w:lineRule="auto"/>
        <w:jc w:val="both"/>
        <w:rPr>
          <w:rFonts w:ascii="Arial Narrow" w:eastAsia="Times New Roman" w:hAnsi="Arial Narrow" w:cs="Code"/>
          <w:i/>
          <w:color w:val="000000"/>
        </w:rPr>
      </w:pPr>
      <w:r w:rsidRPr="00CB2E54">
        <w:rPr>
          <w:rFonts w:ascii="Arial Narrow" w:eastAsia="Times New Roman" w:hAnsi="Arial Narrow" w:cs="Code"/>
          <w:i/>
          <w:color w:val="000000"/>
        </w:rPr>
        <w:t xml:space="preserve">Economist 1843 – 2006. </w:t>
      </w:r>
    </w:p>
    <w:p w:rsidR="00FD22CE" w:rsidRDefault="00FD22CE" w:rsidP="003D2CE4">
      <w:pPr>
        <w:autoSpaceDE w:val="0"/>
        <w:autoSpaceDN w:val="0"/>
        <w:adjustRightInd w:val="0"/>
        <w:spacing w:after="0" w:line="240" w:lineRule="auto"/>
        <w:jc w:val="both"/>
        <w:rPr>
          <w:rFonts w:ascii="Arial Narrow" w:eastAsia="Times New Roman" w:hAnsi="Arial Narrow" w:cs="Code"/>
          <w:i/>
          <w:color w:val="000000"/>
        </w:rPr>
      </w:pPr>
    </w:p>
    <w:p w:rsidR="00FD22CE" w:rsidRPr="00CB2E54" w:rsidRDefault="00FD22CE" w:rsidP="003D2CE4">
      <w:pPr>
        <w:autoSpaceDE w:val="0"/>
        <w:autoSpaceDN w:val="0"/>
        <w:adjustRightInd w:val="0"/>
        <w:spacing w:after="0" w:line="240" w:lineRule="auto"/>
        <w:jc w:val="both"/>
        <w:rPr>
          <w:rFonts w:ascii="Arial Narrow" w:eastAsia="Times New Roman" w:hAnsi="Arial Narrow" w:cs="Code"/>
          <w:i/>
          <w:color w:val="000000"/>
        </w:rPr>
      </w:pPr>
      <w:r w:rsidRPr="00FD22CE">
        <w:rPr>
          <w:rFonts w:ascii="Arial Narrow" w:eastAsia="Times New Roman" w:hAnsi="Arial Narrow" w:cs="Code"/>
          <w:i/>
          <w:color w:val="000000"/>
        </w:rPr>
        <w:t>FO/371/5437.</w:t>
      </w: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i/>
          <w:color w:val="000000"/>
        </w:rPr>
      </w:pP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 xml:space="preserve">Kopelev Lev, </w:t>
      </w:r>
      <w:r w:rsidRPr="00CB2E54">
        <w:rPr>
          <w:rFonts w:ascii="Arial Narrow" w:eastAsia="Times New Roman" w:hAnsi="Arial Narrow" w:cs="Times New Roman"/>
          <w:i/>
        </w:rPr>
        <w:t>Ease My Sorrows</w:t>
      </w:r>
      <w:r w:rsidRPr="00CB2E54">
        <w:rPr>
          <w:rFonts w:ascii="Arial Narrow" w:eastAsia="Times New Roman" w:hAnsi="Arial Narrow" w:cs="Times New Roman"/>
        </w:rPr>
        <w:t xml:space="preserve">, (New York: Random House, 1983). </w:t>
      </w: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 xml:space="preserve">Kopelev Lev, </w:t>
      </w:r>
      <w:r w:rsidRPr="00CB2E54">
        <w:rPr>
          <w:rFonts w:ascii="Arial Narrow" w:eastAsia="Times New Roman" w:hAnsi="Arial Narrow" w:cs="Times New Roman"/>
          <w:i/>
        </w:rPr>
        <w:t>The Education Of A True Believer</w:t>
      </w:r>
      <w:r w:rsidRPr="00CB2E54">
        <w:rPr>
          <w:rFonts w:ascii="Arial Narrow" w:eastAsia="Times New Roman" w:hAnsi="Arial Narrow" w:cs="Times New Roman"/>
        </w:rPr>
        <w:t xml:space="preserve">, (New York: Harper &amp; Row, 1978). </w:t>
      </w:r>
    </w:p>
    <w:p w:rsidR="00CB2E54" w:rsidRPr="00CB2E54" w:rsidRDefault="00CB2E54" w:rsidP="003D2CE4">
      <w:pPr>
        <w:spacing w:after="0" w:line="480" w:lineRule="auto"/>
        <w:jc w:val="both"/>
        <w:rPr>
          <w:rFonts w:ascii="Arial Narrow" w:eastAsia="Times New Roman" w:hAnsi="Arial Narrow" w:cs="Arial"/>
          <w:lang w:val="en-US"/>
        </w:rPr>
      </w:pPr>
      <w:r w:rsidRPr="00CB2E54">
        <w:rPr>
          <w:rFonts w:ascii="Arial Narrow" w:eastAsia="Times New Roman" w:hAnsi="Arial Narrow" w:cs="Arial"/>
          <w:lang w:val="en-US"/>
        </w:rPr>
        <w:t xml:space="preserve">Lanzmann Claude, </w:t>
      </w:r>
      <w:r w:rsidRPr="00CB2E54">
        <w:rPr>
          <w:rFonts w:ascii="Arial Narrow" w:eastAsia="Times New Roman" w:hAnsi="Arial Narrow" w:cs="Arial"/>
          <w:i/>
          <w:lang w:val="en-US"/>
        </w:rPr>
        <w:t>Shoah</w:t>
      </w:r>
      <w:r w:rsidRPr="00CB2E54">
        <w:rPr>
          <w:rFonts w:ascii="Arial Narrow" w:eastAsia="Times New Roman" w:hAnsi="Arial Narrow" w:cs="Arial"/>
          <w:lang w:val="en-US"/>
        </w:rPr>
        <w:t xml:space="preserve">, DVD videofilmexpress 2009, (First shown 1985). </w:t>
      </w: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Arial"/>
          <w:bCs/>
        </w:rPr>
        <w:t>Laski</w:t>
      </w:r>
      <w:r w:rsidR="007402B1" w:rsidRPr="007402B1">
        <w:rPr>
          <w:rFonts w:ascii="Arial Narrow" w:eastAsia="Times New Roman" w:hAnsi="Arial Narrow" w:cs="Arial"/>
          <w:bCs/>
        </w:rPr>
        <w:t xml:space="preserve"> </w:t>
      </w:r>
      <w:r w:rsidR="007402B1" w:rsidRPr="00CB2E54">
        <w:rPr>
          <w:rFonts w:ascii="Arial Narrow" w:eastAsia="Times New Roman" w:hAnsi="Arial Narrow" w:cs="Arial"/>
          <w:bCs/>
        </w:rPr>
        <w:t>Neville</w:t>
      </w:r>
      <w:r w:rsidRPr="00CB2E54">
        <w:rPr>
          <w:rFonts w:ascii="Arial Narrow" w:eastAsia="Times New Roman" w:hAnsi="Arial Narrow" w:cs="Arial"/>
          <w:bCs/>
        </w:rPr>
        <w:t xml:space="preserve">, "Report on Journey to Austria, Poland and Danzig. August 15 to 31, 1934,” file 788 (Poland). </w:t>
      </w: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 xml:space="preserve">Leigh Fermor Patrick, </w:t>
      </w:r>
      <w:r w:rsidRPr="00CB2E54">
        <w:rPr>
          <w:rFonts w:ascii="Arial Narrow" w:eastAsia="Times New Roman" w:hAnsi="Arial Narrow" w:cs="Times New Roman"/>
          <w:i/>
        </w:rPr>
        <w:t>A Time Of Gifts:</w:t>
      </w:r>
      <w:r w:rsidRPr="00CB2E54">
        <w:rPr>
          <w:rFonts w:ascii="Arial Narrow" w:eastAsia="Times New Roman" w:hAnsi="Arial Narrow" w:cs="Times New Roman"/>
        </w:rPr>
        <w:t xml:space="preserve"> </w:t>
      </w:r>
      <w:r w:rsidRPr="00CB2E54">
        <w:rPr>
          <w:rFonts w:ascii="Arial Narrow" w:eastAsia="Times New Roman" w:hAnsi="Arial Narrow" w:cs="Times New Roman"/>
          <w:i/>
        </w:rPr>
        <w:t>On Foot to Constantinople from The Hook of Holland</w:t>
      </w:r>
      <w:r w:rsidRPr="00CB2E54">
        <w:rPr>
          <w:rFonts w:ascii="Arial Narrow" w:eastAsia="Times New Roman" w:hAnsi="Arial Narrow" w:cs="Times New Roman"/>
        </w:rPr>
        <w:t xml:space="preserve">, London: John Murray, 1985). </w:t>
      </w: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 xml:space="preserve">Leigh Fermor Patrick, </w:t>
      </w:r>
      <w:r w:rsidRPr="00CB2E54">
        <w:rPr>
          <w:rFonts w:ascii="Arial Narrow" w:eastAsia="Times New Roman" w:hAnsi="Arial Narrow" w:cs="Times New Roman"/>
          <w:i/>
        </w:rPr>
        <w:t>Between The Woods and the Water: On Foot to Constantinople from The Hook of Holland: The Middle Danube to the Iron Gates</w:t>
      </w:r>
      <w:r w:rsidRPr="00CB2E54">
        <w:rPr>
          <w:rFonts w:ascii="Arial Narrow" w:eastAsia="Times New Roman" w:hAnsi="Arial Narrow" w:cs="Times New Roman"/>
        </w:rPr>
        <w:t>, (London: John Murray, 1986).</w:t>
      </w:r>
    </w:p>
    <w:p w:rsidR="00CB2E54" w:rsidRPr="00CB2E54" w:rsidRDefault="00CB2E54" w:rsidP="003D2CE4">
      <w:pPr>
        <w:spacing w:after="0" w:line="480" w:lineRule="auto"/>
        <w:jc w:val="both"/>
        <w:rPr>
          <w:rFonts w:ascii="Arial Narrow" w:eastAsia="Times New Roman" w:hAnsi="Arial Narrow" w:cs="Times New Roman"/>
          <w:lang w:val="en-US"/>
        </w:rPr>
      </w:pPr>
      <w:r w:rsidRPr="00CB2E54">
        <w:rPr>
          <w:rFonts w:ascii="Arial Narrow" w:eastAsia="Times New Roman" w:hAnsi="Arial Narrow" w:cs="Times New Roman"/>
          <w:lang w:val="en-US"/>
        </w:rPr>
        <w:t xml:space="preserve">Namier L.B., </w:t>
      </w:r>
      <w:r w:rsidRPr="00CB2E54">
        <w:rPr>
          <w:rFonts w:ascii="Arial Narrow" w:eastAsia="Times New Roman" w:hAnsi="Arial Narrow" w:cs="Times New Roman"/>
          <w:i/>
          <w:lang w:val="en-US"/>
        </w:rPr>
        <w:t>In The Margin Of History</w:t>
      </w:r>
      <w:r w:rsidRPr="00CB2E54">
        <w:rPr>
          <w:rFonts w:ascii="Arial Narrow" w:eastAsia="Times New Roman" w:hAnsi="Arial Narrow" w:cs="Times New Roman"/>
          <w:lang w:val="en-US"/>
        </w:rPr>
        <w:t xml:space="preserve">, (London: Macmillan, 1939). </w:t>
      </w:r>
    </w:p>
    <w:p w:rsidR="00CB2E54" w:rsidRPr="00CB2E54" w:rsidRDefault="00CB2E54" w:rsidP="003D2CE4">
      <w:pPr>
        <w:spacing w:after="0" w:line="480" w:lineRule="auto"/>
        <w:jc w:val="both"/>
        <w:rPr>
          <w:rFonts w:ascii="Arial Narrow" w:eastAsia="Times New Roman" w:hAnsi="Arial Narrow" w:cs="Times New Roman"/>
          <w:lang w:val="en-US"/>
        </w:rPr>
      </w:pPr>
      <w:r w:rsidRPr="00CB2E54">
        <w:rPr>
          <w:rFonts w:ascii="Arial Narrow" w:eastAsia="Times New Roman" w:hAnsi="Arial Narrow" w:cs="Times New Roman"/>
          <w:lang w:val="en-US"/>
        </w:rPr>
        <w:t xml:space="preserve">Potichnyj Peter J. &amp; Aster Howard, </w:t>
      </w:r>
      <w:r w:rsidRPr="00CB2E54">
        <w:rPr>
          <w:rFonts w:ascii="Arial Narrow" w:eastAsia="Times New Roman" w:hAnsi="Arial Narrow" w:cs="Times New Roman"/>
          <w:i/>
          <w:lang w:val="en-US"/>
        </w:rPr>
        <w:t>Jewish-Ukrainian Relations: Two Solitudes</w:t>
      </w:r>
      <w:r w:rsidRPr="00CB2E54">
        <w:rPr>
          <w:rFonts w:ascii="Arial Narrow" w:eastAsia="Times New Roman" w:hAnsi="Arial Narrow" w:cs="Times New Roman"/>
          <w:lang w:val="en-US"/>
        </w:rPr>
        <w:t xml:space="preserve">, (New York: Mosaic, 1987). </w:t>
      </w: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lastRenderedPageBreak/>
        <w:t xml:space="preserve">Salsitz Norman, </w:t>
      </w:r>
      <w:r w:rsidRPr="00CB2E54">
        <w:rPr>
          <w:rFonts w:ascii="Arial Narrow" w:eastAsia="Times New Roman" w:hAnsi="Arial Narrow" w:cs="Times New Roman"/>
          <w:i/>
        </w:rPr>
        <w:t>A Jewish Boyhood in Poland: Remembering Kolbuszowa</w:t>
      </w:r>
      <w:r w:rsidRPr="00CB2E54">
        <w:rPr>
          <w:rFonts w:ascii="Arial Narrow" w:eastAsia="Times New Roman" w:hAnsi="Arial Narrow" w:cs="Times New Roman"/>
        </w:rPr>
        <w:t xml:space="preserve">, (Syracuse: Syracuse University Press, 1992). </w:t>
      </w:r>
    </w:p>
    <w:p w:rsidR="00CB2E54" w:rsidRPr="00CB2E5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 xml:space="preserve">Wiesel Elie, </w:t>
      </w:r>
      <w:r w:rsidRPr="00CB2E54">
        <w:rPr>
          <w:rFonts w:ascii="Arial Narrow" w:eastAsia="Times New Roman" w:hAnsi="Arial Narrow" w:cs="Times New Roman"/>
          <w:i/>
        </w:rPr>
        <w:t>All Rivers Run To The Sea: Memoirs Volume One</w:t>
      </w:r>
      <w:r w:rsidRPr="00CB2E54">
        <w:rPr>
          <w:rFonts w:ascii="Arial Narrow" w:eastAsia="Times New Roman" w:hAnsi="Arial Narrow" w:cs="Times New Roman"/>
        </w:rPr>
        <w:t xml:space="preserve">, (London: HarpurCollins, 1996). </w:t>
      </w:r>
    </w:p>
    <w:p w:rsidR="00CB2E54" w:rsidRPr="007D7044" w:rsidRDefault="00CB2E54" w:rsidP="003D2CE4">
      <w:pPr>
        <w:spacing w:after="0" w:line="480" w:lineRule="auto"/>
        <w:jc w:val="both"/>
        <w:rPr>
          <w:rFonts w:ascii="Arial Narrow" w:eastAsia="Times New Roman" w:hAnsi="Arial Narrow" w:cs="Times New Roman"/>
        </w:rPr>
      </w:pPr>
      <w:r w:rsidRPr="00CB2E54">
        <w:rPr>
          <w:rFonts w:ascii="Arial Narrow" w:eastAsia="Times New Roman" w:hAnsi="Arial Narrow" w:cs="Times New Roman"/>
        </w:rPr>
        <w:t xml:space="preserve">Wiesel Elie, </w:t>
      </w:r>
      <w:r w:rsidRPr="00CB2E54">
        <w:rPr>
          <w:rFonts w:ascii="Arial Narrow" w:eastAsia="Times New Roman" w:hAnsi="Arial Narrow" w:cs="Times New Roman"/>
          <w:i/>
        </w:rPr>
        <w:t>Night</w:t>
      </w:r>
      <w:r w:rsidRPr="00CB2E54">
        <w:rPr>
          <w:rFonts w:ascii="Arial Narrow" w:eastAsia="Times New Roman" w:hAnsi="Arial Narrow" w:cs="Times New Roman"/>
        </w:rPr>
        <w:t>, (L</w:t>
      </w:r>
      <w:r w:rsidR="007D7044">
        <w:rPr>
          <w:rFonts w:ascii="Arial Narrow" w:eastAsia="Times New Roman" w:hAnsi="Arial Narrow" w:cs="Times New Roman"/>
        </w:rPr>
        <w:t>ondon: Penguin Classics, 2006).</w:t>
      </w: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color w:val="000000"/>
          <w:u w:val="single"/>
          <w:lang w:val="en-US"/>
        </w:rPr>
      </w:pPr>
    </w:p>
    <w:p w:rsidR="00CB2E54" w:rsidRPr="00CB2E54" w:rsidRDefault="00CB2E54" w:rsidP="003D2CE4">
      <w:pPr>
        <w:autoSpaceDE w:val="0"/>
        <w:autoSpaceDN w:val="0"/>
        <w:adjustRightInd w:val="0"/>
        <w:spacing w:after="0" w:line="240" w:lineRule="auto"/>
        <w:jc w:val="both"/>
        <w:rPr>
          <w:rFonts w:ascii="Arial Narrow" w:eastAsia="Times New Roman" w:hAnsi="Arial Narrow" w:cs="Code"/>
          <w:b/>
          <w:color w:val="000000"/>
          <w:u w:val="single"/>
          <w:lang w:val="en-US"/>
        </w:rPr>
      </w:pPr>
      <w:r w:rsidRPr="00CB2E54">
        <w:rPr>
          <w:rFonts w:ascii="Arial Narrow" w:eastAsia="Times New Roman" w:hAnsi="Arial Narrow" w:cs="Code"/>
          <w:b/>
          <w:color w:val="000000"/>
          <w:u w:val="single"/>
          <w:lang w:val="en-US"/>
        </w:rPr>
        <w:t>Secondary Sources</w:t>
      </w:r>
    </w:p>
    <w:p w:rsidR="00CB2E54" w:rsidRPr="00CB2E54" w:rsidRDefault="00CB2E54" w:rsidP="003D2CE4">
      <w:pPr>
        <w:spacing w:after="0" w:line="480" w:lineRule="auto"/>
        <w:jc w:val="both"/>
        <w:rPr>
          <w:rFonts w:ascii="Arial Narrow" w:eastAsia="Times New Roman" w:hAnsi="Arial Narrow" w:cs="Times New Roman"/>
        </w:rPr>
      </w:pP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Abramsky Chimen, Jachimczyk Maciej and Polonsky Antony eds., </w:t>
      </w:r>
      <w:r w:rsidRPr="001016DD">
        <w:rPr>
          <w:rFonts w:ascii="Arial Narrow" w:eastAsia="Times New Roman" w:hAnsi="Arial Narrow" w:cs="Times New Roman"/>
          <w:i/>
        </w:rPr>
        <w:t>The Jews in Poland</w:t>
      </w:r>
      <w:r w:rsidRPr="001016DD">
        <w:rPr>
          <w:rFonts w:ascii="Arial Narrow" w:eastAsia="Times New Roman" w:hAnsi="Arial Narrow" w:cs="Times New Roman"/>
        </w:rPr>
        <w:t xml:space="preserve">, (Oxford and New York: Basil Blackwell, 1986).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Acton Edward, Russia: </w:t>
      </w:r>
      <w:r w:rsidRPr="001016DD">
        <w:rPr>
          <w:rFonts w:ascii="Arial Narrow" w:eastAsia="Times New Roman" w:hAnsi="Arial Narrow" w:cs="Times New Roman"/>
          <w:i/>
        </w:rPr>
        <w:t>The Tsarist And Soviet Legacy, 2</w:t>
      </w:r>
      <w:r w:rsidRPr="001016DD">
        <w:rPr>
          <w:rFonts w:ascii="Arial Narrow" w:eastAsia="Times New Roman" w:hAnsi="Arial Narrow" w:cs="Times New Roman"/>
          <w:i/>
          <w:vertAlign w:val="superscript"/>
        </w:rPr>
        <w:t>nd</w:t>
      </w:r>
      <w:r w:rsidRPr="001016DD">
        <w:rPr>
          <w:rFonts w:ascii="Arial Narrow" w:eastAsia="Times New Roman" w:hAnsi="Arial Narrow" w:cs="Times New Roman"/>
          <w:i/>
        </w:rPr>
        <w:t xml:space="preserve"> </w:t>
      </w:r>
      <w:r w:rsidRPr="001016DD">
        <w:rPr>
          <w:rFonts w:ascii="Arial Narrow" w:eastAsia="Times New Roman" w:hAnsi="Arial Narrow" w:cs="Times New Roman"/>
        </w:rPr>
        <w:t xml:space="preserve">ed., (Harlow: Longman, 1995).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Aldcroft Derek H. and Morewood Steven, </w:t>
      </w:r>
      <w:r w:rsidRPr="001016DD">
        <w:rPr>
          <w:rFonts w:ascii="Arial Narrow" w:eastAsia="Times New Roman" w:hAnsi="Arial Narrow" w:cs="Times New Roman"/>
          <w:i/>
        </w:rPr>
        <w:t>Economic Change in Eastern Europe Since 1918</w:t>
      </w:r>
      <w:r w:rsidRPr="001016DD">
        <w:rPr>
          <w:rFonts w:ascii="Arial Narrow" w:eastAsia="Times New Roman" w:hAnsi="Arial Narrow" w:cs="Times New Roman"/>
        </w:rPr>
        <w:t xml:space="preserve">, (Aldershot: Edward Elgar, 1995).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Allina-Pisano Jessica, ‘From Iron Curtain to Golden Curtain: Remaking Identity in the European Borderlands’, </w:t>
      </w:r>
      <w:r w:rsidRPr="001016DD">
        <w:rPr>
          <w:rFonts w:ascii="Arial Narrow" w:eastAsia="Times New Roman" w:hAnsi="Arial Narrow" w:cs="Times New Roman"/>
          <w:i/>
        </w:rPr>
        <w:t>East European Politics and Societies</w:t>
      </w:r>
      <w:r w:rsidRPr="001016DD">
        <w:rPr>
          <w:rFonts w:ascii="Arial Narrow" w:eastAsia="Times New Roman" w:hAnsi="Arial Narrow" w:cs="Times New Roman"/>
        </w:rPr>
        <w:t xml:space="preserve">, 23 2, (2009), pp. 266-290.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Applebaum Anne, </w:t>
      </w:r>
      <w:r w:rsidRPr="001016DD">
        <w:rPr>
          <w:rFonts w:ascii="Arial Narrow" w:eastAsia="Times New Roman" w:hAnsi="Arial Narrow" w:cs="Times New Roman"/>
          <w:i/>
        </w:rPr>
        <w:t>Gulag: A History</w:t>
      </w:r>
      <w:r w:rsidRPr="001016DD">
        <w:rPr>
          <w:rFonts w:ascii="Arial Narrow" w:eastAsia="Times New Roman" w:hAnsi="Arial Narrow" w:cs="Times New Roman"/>
        </w:rPr>
        <w:t xml:space="preserve">, (London: Penguin, 2004).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Arad Yitzhak, </w:t>
      </w:r>
      <w:r w:rsidRPr="001016DD">
        <w:rPr>
          <w:rFonts w:ascii="Arial Narrow" w:eastAsia="Times New Roman" w:hAnsi="Arial Narrow" w:cs="Times New Roman"/>
          <w:i/>
        </w:rPr>
        <w:t>Belzec, Sobibor, Treblinka: The Operation Reinhard Death Camps</w:t>
      </w:r>
      <w:r w:rsidRPr="001016DD">
        <w:rPr>
          <w:rFonts w:ascii="Arial Narrow" w:eastAsia="Times New Roman" w:hAnsi="Arial Narrow" w:cs="Times New Roman"/>
        </w:rPr>
        <w:t xml:space="preserve">, (Bloomington: Indiana University Press, 1999).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Atkin Nicholas and Biddiss Michael eds., </w:t>
      </w:r>
      <w:r w:rsidRPr="001016DD">
        <w:rPr>
          <w:rFonts w:ascii="Arial Narrow" w:eastAsia="Times New Roman" w:hAnsi="Arial Narrow" w:cs="Times New Roman"/>
          <w:i/>
        </w:rPr>
        <w:t>Themes in Modern History, 1890-1945,</w:t>
      </w:r>
      <w:r w:rsidRPr="001016DD">
        <w:rPr>
          <w:rFonts w:ascii="Arial Narrow" w:eastAsia="Times New Roman" w:hAnsi="Arial Narrow" w:cs="Times New Roman"/>
        </w:rPr>
        <w:t xml:space="preserve"> (Abingdon: Routledge, 2009). </w:t>
      </w:r>
    </w:p>
    <w:p w:rsidR="00CB2E54" w:rsidRPr="001016DD" w:rsidRDefault="00D60BC6" w:rsidP="003D2CE4">
      <w:pPr>
        <w:spacing w:after="0" w:line="480" w:lineRule="auto"/>
        <w:jc w:val="both"/>
        <w:rPr>
          <w:rFonts w:ascii="Arial Narrow" w:eastAsia="Times New Roman" w:hAnsi="Arial Narrow" w:cs="Times New Roman"/>
        </w:rPr>
      </w:pPr>
      <w:r>
        <w:rPr>
          <w:rFonts w:ascii="Arial Narrow" w:eastAsia="Times New Roman" w:hAnsi="Arial Narrow" w:cs="Times New Roman"/>
        </w:rPr>
        <w:t>Ball A</w:t>
      </w:r>
      <w:r w:rsidR="00CB2E54" w:rsidRPr="001016DD">
        <w:rPr>
          <w:rFonts w:ascii="Arial Narrow" w:eastAsia="Times New Roman" w:hAnsi="Arial Narrow" w:cs="Times New Roman"/>
        </w:rPr>
        <w:t xml:space="preserve">, </w:t>
      </w:r>
      <w:r w:rsidR="007402B1">
        <w:rPr>
          <w:rFonts w:ascii="Arial Narrow" w:eastAsia="Times New Roman" w:hAnsi="Arial Narrow" w:cs="Times New Roman"/>
        </w:rPr>
        <w:t>‘</w:t>
      </w:r>
      <w:r w:rsidR="00CB2E54" w:rsidRPr="001016DD">
        <w:rPr>
          <w:rFonts w:ascii="Arial Narrow" w:eastAsia="Times New Roman" w:hAnsi="Arial Narrow" w:cs="Times New Roman"/>
        </w:rPr>
        <w:t>NEP 1921–28</w:t>
      </w:r>
      <w:r w:rsidR="007402B1">
        <w:rPr>
          <w:rFonts w:ascii="Arial Narrow" w:eastAsia="Times New Roman" w:hAnsi="Arial Narrow" w:cs="Times New Roman"/>
        </w:rPr>
        <w:t>’</w:t>
      </w:r>
      <w:r w:rsidR="00CB2E54" w:rsidRPr="001016DD">
        <w:rPr>
          <w:rFonts w:ascii="Arial Narrow" w:eastAsia="Times New Roman" w:hAnsi="Arial Narrow" w:cs="Times New Roman"/>
        </w:rPr>
        <w:t>,</w:t>
      </w:r>
      <w:r w:rsidR="00CB2E54" w:rsidRPr="001016DD">
        <w:rPr>
          <w:rFonts w:ascii="Arial Narrow" w:eastAsia="Times New Roman" w:hAnsi="Arial Narrow" w:cs="Times New Roman"/>
          <w:i/>
        </w:rPr>
        <w:t xml:space="preserve"> </w:t>
      </w:r>
      <w:r w:rsidR="0013548D">
        <w:rPr>
          <w:rFonts w:ascii="Arial Narrow" w:eastAsia="Times New Roman" w:hAnsi="Arial Narrow" w:cs="Times New Roman"/>
        </w:rPr>
        <w:t xml:space="preserve">in </w:t>
      </w:r>
      <w:r w:rsidR="00B635D3">
        <w:rPr>
          <w:rFonts w:ascii="Arial Narrow" w:eastAsia="Times New Roman" w:hAnsi="Arial Narrow" w:cs="Times New Roman"/>
        </w:rPr>
        <w:t xml:space="preserve">Ronald Grigor Suny ed., </w:t>
      </w:r>
      <w:r w:rsidR="00B635D3" w:rsidRPr="001016DD">
        <w:rPr>
          <w:rFonts w:ascii="Arial Narrow" w:eastAsia="Times New Roman" w:hAnsi="Arial Narrow" w:cs="Times New Roman"/>
          <w:i/>
        </w:rPr>
        <w:t xml:space="preserve">The Cambridge History of Russia Vol. </w:t>
      </w:r>
      <w:r w:rsidR="00B635D3" w:rsidRPr="00B635D3">
        <w:rPr>
          <w:rFonts w:ascii="Times New Roman" w:eastAsia="Times New Roman" w:hAnsi="Times New Roman" w:cs="Times New Roman"/>
          <w:i/>
        </w:rPr>
        <w:t>III</w:t>
      </w:r>
      <w:r w:rsidR="00B635D3" w:rsidRPr="00B635D3">
        <w:rPr>
          <w:rFonts w:ascii="Times New Roman" w:eastAsia="Times New Roman" w:hAnsi="Times New Roman" w:cs="Times New Roman"/>
        </w:rPr>
        <w:t>,</w:t>
      </w:r>
      <w:r w:rsidR="00B635D3" w:rsidRPr="001016DD">
        <w:rPr>
          <w:rFonts w:ascii="Arial Narrow" w:eastAsia="Times New Roman" w:hAnsi="Arial Narrow" w:cs="Times New Roman"/>
          <w:i/>
        </w:rPr>
        <w:t xml:space="preserve"> </w:t>
      </w:r>
      <w:r w:rsidR="00B635D3" w:rsidRPr="001016DD">
        <w:rPr>
          <w:rFonts w:ascii="Arial Narrow" w:eastAsia="Times New Roman" w:hAnsi="Arial Narrow" w:cs="Times New Roman"/>
        </w:rPr>
        <w:t>(Cambridge: Cambridge University Press, 2006).</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Baron Nick and Gatrell Peter eds., </w:t>
      </w:r>
      <w:r w:rsidRPr="001016DD">
        <w:rPr>
          <w:rFonts w:ascii="Arial Narrow" w:eastAsia="Times New Roman" w:hAnsi="Arial Narrow" w:cs="Times New Roman"/>
          <w:i/>
        </w:rPr>
        <w:t>Homelands: War, Population and Statehood in Eastern Europe and Russia 1918-1924</w:t>
      </w:r>
      <w:r w:rsidRPr="001016DD">
        <w:rPr>
          <w:rFonts w:ascii="Arial Narrow" w:eastAsia="Times New Roman" w:hAnsi="Arial Narrow" w:cs="Times New Roman"/>
        </w:rPr>
        <w:t>, (London: Anthem Press, 2004).</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Barraclough Geoffrey, </w:t>
      </w:r>
      <w:r w:rsidRPr="001016DD">
        <w:rPr>
          <w:rFonts w:ascii="Arial Narrow" w:eastAsia="Times New Roman" w:hAnsi="Arial Narrow" w:cs="Times New Roman"/>
          <w:i/>
        </w:rPr>
        <w:t>The Origins Of Modern Germany</w:t>
      </w:r>
      <w:r w:rsidRPr="001016DD">
        <w:rPr>
          <w:rFonts w:ascii="Arial Narrow" w:eastAsia="Times New Roman" w:hAnsi="Arial Narrow" w:cs="Times New Roman"/>
        </w:rPr>
        <w:t xml:space="preserve">, (London: Blackwell, 1988).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Bartov Omer, ‘Eastern Europe as the Site of Genocide’, </w:t>
      </w:r>
      <w:r w:rsidRPr="001016DD">
        <w:rPr>
          <w:rFonts w:ascii="Arial Narrow" w:eastAsia="Times New Roman" w:hAnsi="Arial Narrow" w:cs="Times New Roman"/>
          <w:i/>
        </w:rPr>
        <w:t>The Journal of Modern History</w:t>
      </w:r>
      <w:r w:rsidRPr="001016DD">
        <w:rPr>
          <w:rFonts w:ascii="Arial Narrow" w:eastAsia="Times New Roman" w:hAnsi="Arial Narrow" w:cs="Times New Roman"/>
        </w:rPr>
        <w:t xml:space="preserve">, 80 (2008), pp. 557-593.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Batonyi Gabor, </w:t>
      </w:r>
      <w:r w:rsidRPr="001016DD">
        <w:rPr>
          <w:rFonts w:ascii="Arial Narrow" w:eastAsia="Times New Roman" w:hAnsi="Arial Narrow" w:cs="Times New Roman"/>
          <w:i/>
        </w:rPr>
        <w:t>Britain and Central Europe, 1918-1933</w:t>
      </w:r>
      <w:r w:rsidRPr="001016DD">
        <w:rPr>
          <w:rFonts w:ascii="Arial Narrow" w:eastAsia="Times New Roman" w:hAnsi="Arial Narrow" w:cs="Times New Roman"/>
        </w:rPr>
        <w:t xml:space="preserve">, (Oxford: Oxford University Press, 1999).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lastRenderedPageBreak/>
        <w:t xml:space="preserve">Bauer Yehuda, </w:t>
      </w:r>
      <w:r w:rsidRPr="001016DD">
        <w:rPr>
          <w:rFonts w:ascii="Arial Narrow" w:eastAsia="Times New Roman" w:hAnsi="Arial Narrow" w:cs="Times New Roman"/>
          <w:i/>
        </w:rPr>
        <w:t>rethinking the holocaust</w:t>
      </w:r>
      <w:r w:rsidRPr="001016DD">
        <w:rPr>
          <w:rFonts w:ascii="Arial Narrow" w:eastAsia="Times New Roman" w:hAnsi="Arial Narrow" w:cs="Times New Roman"/>
        </w:rPr>
        <w:t xml:space="preserve">, (New Haven: Yale University Press, 2001).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Berend Ivan T., </w:t>
      </w:r>
      <w:r w:rsidRPr="001016DD">
        <w:rPr>
          <w:rFonts w:ascii="Arial Narrow" w:eastAsia="Times New Roman" w:hAnsi="Arial Narrow" w:cs="Times New Roman"/>
          <w:i/>
        </w:rPr>
        <w:t>The crisis zone of Europe: An interpretation of East-Central European history in the first half of the twentieth century</w:t>
      </w:r>
      <w:r w:rsidRPr="001016DD">
        <w:rPr>
          <w:rFonts w:ascii="Arial Narrow" w:eastAsia="Times New Roman" w:hAnsi="Arial Narrow" w:cs="Times New Roman"/>
        </w:rPr>
        <w:t xml:space="preserve">, (Cambridge: Cambridge University Press, 1986).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Berger David, </w:t>
      </w:r>
      <w:r w:rsidRPr="001016DD">
        <w:rPr>
          <w:rFonts w:ascii="Arial Narrow" w:eastAsia="Times New Roman" w:hAnsi="Arial Narrow" w:cs="Times New Roman"/>
          <w:i/>
        </w:rPr>
        <w:t>The Legacy Of Jewish Migration: 1881 And Its Impact</w:t>
      </w:r>
      <w:r w:rsidRPr="001016DD">
        <w:rPr>
          <w:rFonts w:ascii="Arial Narrow" w:eastAsia="Times New Roman" w:hAnsi="Arial Narrow" w:cs="Times New Roman"/>
        </w:rPr>
        <w:t xml:space="preserve">, (New York: Columbia University Press, 1983).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Berger Stefan, ‘Germany’, in Gerwath Robert ed., </w:t>
      </w:r>
      <w:r w:rsidRPr="001016DD">
        <w:rPr>
          <w:rFonts w:ascii="Arial Narrow" w:eastAsia="Times New Roman" w:hAnsi="Arial Narrow" w:cs="Times New Roman"/>
          <w:i/>
        </w:rPr>
        <w:t>Twisted Paths: Europe 1914-1945,</w:t>
      </w:r>
      <w:r w:rsidRPr="001016DD">
        <w:rPr>
          <w:rFonts w:ascii="Arial Narrow" w:eastAsia="Times New Roman" w:hAnsi="Arial Narrow" w:cs="Times New Roman"/>
        </w:rPr>
        <w:t xml:space="preserve"> (Oxford University Press, 2007).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Bernstein Michael, </w:t>
      </w:r>
      <w:r w:rsidRPr="001016DD">
        <w:rPr>
          <w:rFonts w:ascii="Arial Narrow" w:eastAsia="Times New Roman" w:hAnsi="Arial Narrow" w:cs="Times New Roman"/>
          <w:i/>
        </w:rPr>
        <w:t>Foregone Conclusion: Apocalyptic History</w:t>
      </w:r>
      <w:r w:rsidRPr="001016DD">
        <w:rPr>
          <w:rFonts w:ascii="Arial Narrow" w:eastAsia="Times New Roman" w:hAnsi="Arial Narrow" w:cs="Times New Roman"/>
        </w:rPr>
        <w:t xml:space="preserve">, (Berkley, CA: University of California Press, 1996).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Black Jeremy, </w:t>
      </w:r>
      <w:r w:rsidRPr="001016DD">
        <w:rPr>
          <w:rFonts w:ascii="Arial Narrow" w:eastAsia="Times New Roman" w:hAnsi="Arial Narrow" w:cs="Times New Roman"/>
          <w:i/>
          <w:lang w:val="en-US"/>
        </w:rPr>
        <w:t>Visions Of the World: A History of Maps</w:t>
      </w:r>
      <w:r w:rsidRPr="001016DD">
        <w:rPr>
          <w:rFonts w:ascii="Arial Narrow" w:eastAsia="Times New Roman" w:hAnsi="Arial Narrow" w:cs="Times New Roman"/>
          <w:lang w:val="en-US"/>
        </w:rPr>
        <w:t xml:space="preserve">, (London: Mitchell Beazley, 2003).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Blackbourn David and Retallack James eds., </w:t>
      </w:r>
      <w:r w:rsidRPr="001016DD">
        <w:rPr>
          <w:rFonts w:ascii="Arial Narrow" w:eastAsia="Times New Roman" w:hAnsi="Arial Narrow" w:cs="Times New Roman"/>
          <w:i/>
        </w:rPr>
        <w:t>Localism, Landscape, and Place: German-Speaking Central Europe, 1860-1930</w:t>
      </w:r>
      <w:r w:rsidRPr="001016DD">
        <w:rPr>
          <w:rFonts w:ascii="Arial Narrow" w:eastAsia="Times New Roman" w:hAnsi="Arial Narrow" w:cs="Times New Roman"/>
        </w:rPr>
        <w:t xml:space="preserve">, (Toronto: University of Toronto Press, 2007).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Blanke Richard, </w:t>
      </w:r>
      <w:r w:rsidRPr="001016DD">
        <w:rPr>
          <w:rFonts w:ascii="Arial Narrow" w:eastAsia="Times New Roman" w:hAnsi="Arial Narrow" w:cs="Times New Roman"/>
          <w:i/>
        </w:rPr>
        <w:t>Orphans of Versailles: The Germans in Western Poland</w:t>
      </w:r>
      <w:r w:rsidRPr="001016DD">
        <w:rPr>
          <w:rFonts w:ascii="Arial Narrow" w:eastAsia="Times New Roman" w:hAnsi="Arial Narrow" w:cs="Times New Roman"/>
        </w:rPr>
        <w:t xml:space="preserve">, (University of Kentucky Press, 1993).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Blitstein Peter A., ‘Cultural Diversity and the Interwar Conjuncture: Soviet Nationality Policy in Its Comparative’, Slavic</w:t>
      </w:r>
      <w:r w:rsidRPr="001016DD">
        <w:rPr>
          <w:rFonts w:ascii="Arial Narrow" w:eastAsia="Times New Roman" w:hAnsi="Arial Narrow" w:cs="Times New Roman"/>
          <w:i/>
          <w:lang w:val="en-US"/>
        </w:rPr>
        <w:t xml:space="preserve"> Review</w:t>
      </w:r>
      <w:r w:rsidRPr="001016DD">
        <w:rPr>
          <w:rFonts w:ascii="Arial Narrow" w:eastAsia="Times New Roman" w:hAnsi="Arial Narrow" w:cs="Times New Roman"/>
          <w:lang w:val="en-US"/>
        </w:rPr>
        <w:t xml:space="preserve">, 65 2 (2006), pp. 273-293. </w:t>
      </w:r>
    </w:p>
    <w:p w:rsidR="00CB2E54" w:rsidRPr="001016DD" w:rsidRDefault="00CB2E54" w:rsidP="003D2CE4">
      <w:pPr>
        <w:autoSpaceDE w:val="0"/>
        <w:autoSpaceDN w:val="0"/>
        <w:adjustRightInd w:val="0"/>
        <w:spacing w:after="0" w:line="480" w:lineRule="auto"/>
        <w:jc w:val="both"/>
        <w:rPr>
          <w:rFonts w:ascii="Arial Narrow" w:eastAsia="Times New Roman" w:hAnsi="Arial Narrow" w:cs="Code"/>
          <w:color w:val="000000"/>
          <w:lang w:val="en-US"/>
        </w:rPr>
      </w:pPr>
      <w:r w:rsidRPr="001016DD">
        <w:rPr>
          <w:rFonts w:ascii="Arial Narrow" w:eastAsia="Times New Roman" w:hAnsi="Arial Narrow" w:cs="Code"/>
          <w:color w:val="000000"/>
          <w:lang w:val="en-US"/>
        </w:rPr>
        <w:t xml:space="preserve">Brandenberger D. L. and Dubrovsky A. M., ‘The People Need a Tsar': The Emergence of National Bolshevism as Stalinist Ideology, 1931- 1941, </w:t>
      </w:r>
      <w:r w:rsidRPr="001016DD">
        <w:rPr>
          <w:rFonts w:ascii="Arial Narrow" w:eastAsia="Times New Roman" w:hAnsi="Arial Narrow" w:cs="Code"/>
          <w:i/>
          <w:color w:val="000000"/>
          <w:lang w:val="en-US"/>
        </w:rPr>
        <w:t>Europe-Asia Studies</w:t>
      </w:r>
      <w:r w:rsidRPr="001016DD">
        <w:rPr>
          <w:rFonts w:ascii="Arial Narrow" w:eastAsia="Times New Roman" w:hAnsi="Arial Narrow" w:cs="Code"/>
          <w:color w:val="000000"/>
          <w:lang w:val="en-US"/>
        </w:rPr>
        <w:t>, 50 5 (1998), pp. 873-892.</w:t>
      </w:r>
    </w:p>
    <w:p w:rsidR="00CB2E54" w:rsidRPr="001016DD" w:rsidRDefault="00CB2E54" w:rsidP="003D2CE4">
      <w:pPr>
        <w:autoSpaceDE w:val="0"/>
        <w:autoSpaceDN w:val="0"/>
        <w:adjustRightInd w:val="0"/>
        <w:spacing w:after="0" w:line="480" w:lineRule="auto"/>
        <w:jc w:val="both"/>
        <w:rPr>
          <w:rFonts w:ascii="Arial Narrow" w:eastAsia="Times New Roman" w:hAnsi="Arial Narrow" w:cs="Code"/>
          <w:color w:val="000000"/>
          <w:lang w:val="en-US"/>
        </w:rPr>
      </w:pPr>
      <w:r w:rsidRPr="001016DD">
        <w:rPr>
          <w:rFonts w:ascii="Arial Narrow" w:eastAsia="Times New Roman" w:hAnsi="Arial Narrow" w:cs="Code"/>
          <w:color w:val="000000"/>
          <w:lang w:val="en-US"/>
        </w:rPr>
        <w:t xml:space="preserve">Brittan Leon, </w:t>
      </w:r>
      <w:r w:rsidRPr="001016DD">
        <w:rPr>
          <w:rFonts w:ascii="Arial Narrow" w:eastAsia="Times New Roman" w:hAnsi="Arial Narrow" w:cs="Code"/>
          <w:i/>
          <w:color w:val="000000"/>
          <w:lang w:val="en-US"/>
        </w:rPr>
        <w:t>Europe: The Europe We Need</w:t>
      </w:r>
      <w:r w:rsidRPr="001016DD">
        <w:rPr>
          <w:rFonts w:ascii="Arial Narrow" w:eastAsia="Times New Roman" w:hAnsi="Arial Narrow" w:cs="Code"/>
          <w:color w:val="000000"/>
          <w:lang w:val="en-US"/>
        </w:rPr>
        <w:t xml:space="preserve">, (London: Hamish Hamilton, 1994).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Brown Kate, </w:t>
      </w:r>
      <w:r w:rsidRPr="001016DD">
        <w:rPr>
          <w:rFonts w:ascii="Arial Narrow" w:eastAsia="Times New Roman" w:hAnsi="Arial Narrow" w:cs="Times New Roman"/>
          <w:i/>
        </w:rPr>
        <w:t>A Biography Of No Place: From Ethnic Borderland To Soviet Heartland</w:t>
      </w:r>
      <w:r w:rsidRPr="001016DD">
        <w:rPr>
          <w:rFonts w:ascii="Arial Narrow" w:eastAsia="Times New Roman" w:hAnsi="Arial Narrow" w:cs="Times New Roman"/>
        </w:rPr>
        <w:t xml:space="preserve">, (London and Cambridge Ma: Harvard University Press, 2003).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Brubaker Rogers, </w:t>
      </w:r>
      <w:r w:rsidRPr="001016DD">
        <w:rPr>
          <w:rFonts w:ascii="Arial Narrow" w:eastAsia="Times New Roman" w:hAnsi="Arial Narrow" w:cs="Times New Roman"/>
          <w:i/>
        </w:rPr>
        <w:t>Nationalism Reframed: Nationhood and the national question in the New Europe</w:t>
      </w:r>
      <w:r w:rsidRPr="001016DD">
        <w:rPr>
          <w:rFonts w:ascii="Arial Narrow" w:eastAsia="Times New Roman" w:hAnsi="Arial Narrow" w:cs="Times New Roman"/>
        </w:rPr>
        <w:t xml:space="preserve">, (Cambridge: Cambridge University Press,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Bullard Julian And Margaret eds., </w:t>
      </w:r>
      <w:r w:rsidRPr="001016DD">
        <w:rPr>
          <w:rFonts w:ascii="Arial Narrow" w:eastAsia="Times New Roman" w:hAnsi="Arial Narrow" w:cs="Times New Roman"/>
          <w:i/>
        </w:rPr>
        <w:t>Inside Stalin’s Russia: The Diaries Of Reader Bullard 1930-1934</w:t>
      </w:r>
      <w:r w:rsidRPr="001016DD">
        <w:rPr>
          <w:rFonts w:ascii="Arial Narrow" w:eastAsia="Times New Roman" w:hAnsi="Arial Narrow" w:cs="Times New Roman"/>
        </w:rPr>
        <w:t xml:space="preserve">, (Charlbury: Day Books, 2000).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Butler L.J., </w:t>
      </w:r>
      <w:r w:rsidRPr="001016DD">
        <w:rPr>
          <w:rFonts w:ascii="Arial Narrow" w:eastAsia="Times New Roman" w:hAnsi="Arial Narrow" w:cs="Times New Roman"/>
          <w:i/>
        </w:rPr>
        <w:t>Britain and empire: Adjusting to a Post-Imperial World</w:t>
      </w:r>
      <w:r w:rsidRPr="001016DD">
        <w:rPr>
          <w:rFonts w:ascii="Arial Narrow" w:eastAsia="Times New Roman" w:hAnsi="Arial Narrow" w:cs="Times New Roman"/>
        </w:rPr>
        <w:t xml:space="preserve">, (London: I.B.Tauris, 2002).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lastRenderedPageBreak/>
        <w:t xml:space="preserve">Carmichael Cathie, </w:t>
      </w:r>
      <w:r w:rsidRPr="001016DD">
        <w:rPr>
          <w:rFonts w:ascii="Arial Narrow" w:eastAsia="Times New Roman" w:hAnsi="Arial Narrow" w:cs="Times New Roman"/>
          <w:i/>
        </w:rPr>
        <w:t>Genocide Before The Holocaust</w:t>
      </w:r>
      <w:r w:rsidRPr="001016DD">
        <w:rPr>
          <w:rFonts w:ascii="Arial Narrow" w:eastAsia="Times New Roman" w:hAnsi="Arial Narrow" w:cs="Times New Roman"/>
        </w:rPr>
        <w:t xml:space="preserve">, (New Haven and London: Yale University Press, 2009).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Chu Winson, ‘The Geography of Germaneness: Recentering German History in Interwar Poland’, </w:t>
      </w:r>
      <w:r w:rsidRPr="001016DD">
        <w:rPr>
          <w:rFonts w:ascii="Arial Narrow" w:eastAsia="Times New Roman" w:hAnsi="Arial Narrow" w:cs="Times New Roman"/>
          <w:i/>
          <w:lang w:val="en-US"/>
        </w:rPr>
        <w:t>GHI</w:t>
      </w:r>
      <w:r w:rsidRPr="001016DD">
        <w:rPr>
          <w:rFonts w:ascii="Arial Narrow" w:eastAsia="Times New Roman" w:hAnsi="Arial Narrow" w:cs="Times New Roman"/>
          <w:lang w:val="en-US"/>
        </w:rPr>
        <w:t xml:space="preserve">, 42 (2008), pp.94-104.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Cordell Karl and Born Karl Martin, ‘The German Minority in Upper Silesia: Electoral Success and Organizational Patterns’, </w:t>
      </w:r>
      <w:r w:rsidRPr="001016DD">
        <w:rPr>
          <w:rFonts w:ascii="Arial Narrow" w:eastAsia="Times New Roman" w:hAnsi="Arial Narrow" w:cs="Times New Roman"/>
          <w:i/>
          <w:lang w:val="en-US"/>
        </w:rPr>
        <w:t>Nationalism &amp; Ethnic Politics</w:t>
      </w:r>
      <w:r w:rsidRPr="001016DD">
        <w:rPr>
          <w:rFonts w:ascii="Arial Narrow" w:eastAsia="Times New Roman" w:hAnsi="Arial Narrow" w:cs="Times New Roman"/>
          <w:lang w:val="en-US"/>
        </w:rPr>
        <w:t xml:space="preserve">, 7 1 (2001), pp. 41-62.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lang w:val="en-US"/>
        </w:rPr>
        <w:t xml:space="preserve">Crampton R.J., </w:t>
      </w:r>
      <w:r w:rsidRPr="001016DD">
        <w:rPr>
          <w:rFonts w:ascii="Arial Narrow" w:eastAsia="Times New Roman" w:hAnsi="Arial Narrow" w:cs="Times New Roman"/>
          <w:i/>
          <w:lang w:val="en-US"/>
        </w:rPr>
        <w:t>Eastern Europe In The Twentieth Century – And After 2</w:t>
      </w:r>
      <w:r w:rsidRPr="001016DD">
        <w:rPr>
          <w:rFonts w:ascii="Arial Narrow" w:eastAsia="Times New Roman" w:hAnsi="Arial Narrow" w:cs="Times New Roman"/>
          <w:i/>
          <w:vertAlign w:val="superscript"/>
          <w:lang w:val="en-US"/>
        </w:rPr>
        <w:t>nd</w:t>
      </w:r>
      <w:r w:rsidRPr="001016DD">
        <w:rPr>
          <w:rFonts w:ascii="Arial Narrow" w:eastAsia="Times New Roman" w:hAnsi="Arial Narrow" w:cs="Times New Roman"/>
          <w:i/>
          <w:lang w:val="en-US"/>
        </w:rPr>
        <w:t xml:space="preserve"> ed</w:t>
      </w:r>
      <w:r w:rsidRPr="001016DD">
        <w:rPr>
          <w:rFonts w:ascii="Arial Narrow" w:eastAsia="Times New Roman" w:hAnsi="Arial Narrow" w:cs="Times New Roman"/>
          <w:lang w:val="en-US"/>
        </w:rPr>
        <w:t xml:space="preserve">., (London: Routledge, 1994).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rPr>
        <w:t>Cymet</w:t>
      </w:r>
      <w:r w:rsidRPr="001016DD">
        <w:rPr>
          <w:rFonts w:ascii="Arial Narrow" w:eastAsia="Times New Roman" w:hAnsi="Arial Narrow" w:cs="Times New Roman"/>
          <w:lang w:val="en-US"/>
        </w:rPr>
        <w:t xml:space="preserve"> David, ‘Polish state antisemitism as a major factor leading to the Holocaust’, </w:t>
      </w:r>
      <w:r w:rsidRPr="001016DD">
        <w:rPr>
          <w:rFonts w:ascii="Arial Narrow" w:eastAsia="Times New Roman" w:hAnsi="Arial Narrow" w:cs="Times New Roman"/>
          <w:i/>
          <w:lang w:val="en-US"/>
        </w:rPr>
        <w:t xml:space="preserve">Journal of Genocide Research, </w:t>
      </w:r>
      <w:r w:rsidRPr="001016DD">
        <w:rPr>
          <w:rFonts w:ascii="Arial Narrow" w:eastAsia="Times New Roman" w:hAnsi="Arial Narrow" w:cs="Times New Roman"/>
          <w:lang w:val="en-US"/>
        </w:rPr>
        <w:t xml:space="preserve">1 2 (1999), pp. 169-212.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Davies Norman, </w:t>
      </w:r>
      <w:r w:rsidRPr="001016DD">
        <w:rPr>
          <w:rFonts w:ascii="Arial Narrow" w:eastAsia="Times New Roman" w:hAnsi="Arial Narrow" w:cs="Times New Roman"/>
          <w:i/>
          <w:lang w:val="en-US"/>
        </w:rPr>
        <w:t xml:space="preserve">God’s Playground: A History of Poland Vol. </w:t>
      </w:r>
      <w:r w:rsidRPr="007D7044">
        <w:rPr>
          <w:rFonts w:ascii="Times New Roman" w:eastAsia="Times New Roman" w:hAnsi="Times New Roman" w:cs="Times New Roman"/>
          <w:i/>
          <w:lang w:val="en-US"/>
        </w:rPr>
        <w:t>II</w:t>
      </w:r>
      <w:r w:rsidRPr="001016DD">
        <w:rPr>
          <w:rFonts w:ascii="Arial Narrow" w:eastAsia="Times New Roman" w:hAnsi="Arial Narrow" w:cs="Times New Roman"/>
          <w:i/>
          <w:lang w:val="en-US"/>
        </w:rPr>
        <w:t xml:space="preserve"> 1795 to the Present</w:t>
      </w:r>
      <w:r w:rsidRPr="001016DD">
        <w:rPr>
          <w:rFonts w:ascii="Arial Narrow" w:eastAsia="Times New Roman" w:hAnsi="Arial Narrow" w:cs="Times New Roman"/>
          <w:lang w:val="en-US"/>
        </w:rPr>
        <w:t xml:space="preserve">, (Oxford: Clarendon Press, 1981).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Davies Sarah and Harris James eds., </w:t>
      </w:r>
      <w:r w:rsidRPr="001016DD">
        <w:rPr>
          <w:rFonts w:ascii="Arial Narrow" w:eastAsia="Times New Roman" w:hAnsi="Arial Narrow" w:cs="Times New Roman"/>
          <w:i/>
        </w:rPr>
        <w:t>Stalin: A New History</w:t>
      </w:r>
      <w:r w:rsidRPr="001016DD">
        <w:rPr>
          <w:rFonts w:ascii="Arial Narrow" w:eastAsia="Times New Roman" w:hAnsi="Arial Narrow" w:cs="Times New Roman"/>
        </w:rPr>
        <w:t xml:space="preserve">, (Cambridge: Cambridge University Press, 2005).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Dunn Seamus And Fraser T.G. eds., </w:t>
      </w:r>
      <w:r w:rsidRPr="001016DD">
        <w:rPr>
          <w:rFonts w:ascii="Arial Narrow" w:eastAsia="Times New Roman" w:hAnsi="Arial Narrow" w:cs="Times New Roman"/>
          <w:i/>
        </w:rPr>
        <w:t>Europe And Ethnicity: World War I And Contemporary Ethnic Conflict</w:t>
      </w:r>
      <w:r w:rsidRPr="001016DD">
        <w:rPr>
          <w:rFonts w:ascii="Arial Narrow" w:eastAsia="Times New Roman" w:hAnsi="Arial Narrow" w:cs="Times New Roman"/>
        </w:rPr>
        <w:t xml:space="preserve">, (London: Routledge,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Evans R.J.W., ‘The Successor States’ in Gerwath Robert ed., </w:t>
      </w:r>
      <w:r w:rsidRPr="001016DD">
        <w:rPr>
          <w:rFonts w:ascii="Arial Narrow" w:eastAsia="Times New Roman" w:hAnsi="Arial Narrow" w:cs="Times New Roman"/>
          <w:i/>
        </w:rPr>
        <w:t>Twisted Paths: Europe 1914-1945,</w:t>
      </w:r>
      <w:r w:rsidRPr="001016DD">
        <w:rPr>
          <w:rFonts w:ascii="Arial Narrow" w:eastAsia="Times New Roman" w:hAnsi="Arial Narrow" w:cs="Times New Roman"/>
        </w:rPr>
        <w:t xml:space="preserve"> (Oxford University Press, 2007).</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Felstiner John, ‘“All poets are Yids”: The Voice of the “Other” in Paul Celan’ in Robert S.Wistrich, </w:t>
      </w:r>
      <w:r w:rsidRPr="001016DD">
        <w:rPr>
          <w:rFonts w:ascii="Arial Narrow" w:eastAsia="Times New Roman" w:hAnsi="Arial Narrow" w:cs="Times New Roman"/>
          <w:i/>
        </w:rPr>
        <w:t>Demonizing the Other: Antisemitism, Racism, and Xenophobia</w:t>
      </w:r>
      <w:r w:rsidRPr="001016DD">
        <w:rPr>
          <w:rFonts w:ascii="Arial Narrow" w:eastAsia="Times New Roman" w:hAnsi="Arial Narrow" w:cs="Times New Roman"/>
        </w:rPr>
        <w:t xml:space="preserve">, (Amsterdam: Overseas Publishers Assoc., 1999).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Figes Orlando, </w:t>
      </w:r>
      <w:r w:rsidRPr="001016DD">
        <w:rPr>
          <w:rFonts w:ascii="Arial Narrow" w:eastAsia="Times New Roman" w:hAnsi="Arial Narrow" w:cs="Times New Roman"/>
          <w:i/>
          <w:lang w:val="en-US"/>
        </w:rPr>
        <w:t>A People’s Tragedy: The Russian Revolution 1891-1924</w:t>
      </w:r>
      <w:r w:rsidRPr="001016DD">
        <w:rPr>
          <w:rFonts w:ascii="Arial Narrow" w:eastAsia="Times New Roman" w:hAnsi="Arial Narrow" w:cs="Times New Roman"/>
          <w:lang w:val="en-US"/>
        </w:rPr>
        <w:t xml:space="preserve">, (London: Pimlico,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Figes Orlando, </w:t>
      </w:r>
      <w:r w:rsidRPr="001016DD">
        <w:rPr>
          <w:rFonts w:ascii="Arial Narrow" w:eastAsia="Times New Roman" w:hAnsi="Arial Narrow" w:cs="Times New Roman"/>
          <w:i/>
        </w:rPr>
        <w:t>The Whisperers: Private Life In Stalin’s Russia</w:t>
      </w:r>
      <w:r w:rsidRPr="001016DD">
        <w:rPr>
          <w:rFonts w:ascii="Arial Narrow" w:eastAsia="Times New Roman" w:hAnsi="Arial Narrow" w:cs="Times New Roman"/>
        </w:rPr>
        <w:t xml:space="preserve">, (London: Penguin, 2008).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Fink Carole, ‘Stresemann’s Minority Policies, 1924-1929’, </w:t>
      </w:r>
      <w:r w:rsidRPr="001016DD">
        <w:rPr>
          <w:rFonts w:ascii="Arial Narrow" w:eastAsia="Times New Roman" w:hAnsi="Arial Narrow" w:cs="Times New Roman"/>
          <w:i/>
        </w:rPr>
        <w:t>Journal of Contemporary History</w:t>
      </w:r>
      <w:r w:rsidRPr="001016DD">
        <w:rPr>
          <w:rFonts w:ascii="Arial Narrow" w:eastAsia="Times New Roman" w:hAnsi="Arial Narrow" w:cs="Times New Roman"/>
        </w:rPr>
        <w:t xml:space="preserve">, 14 2 (1979), pp. 403-422. </w:t>
      </w:r>
    </w:p>
    <w:p w:rsidR="00CB2E54"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Fitzpatrick Sheila and Gellately Robert, ‘Introduction to the Practices of Denunciation in Modern European History’, </w:t>
      </w:r>
      <w:r w:rsidRPr="001016DD">
        <w:rPr>
          <w:rFonts w:ascii="Arial Narrow" w:eastAsia="Times New Roman" w:hAnsi="Arial Narrow" w:cs="Times New Roman"/>
          <w:i/>
          <w:lang w:val="en-US"/>
        </w:rPr>
        <w:t>The Journal of Modern History</w:t>
      </w:r>
      <w:r w:rsidRPr="001016DD">
        <w:rPr>
          <w:rFonts w:ascii="Arial Narrow" w:eastAsia="Times New Roman" w:hAnsi="Arial Narrow" w:cs="Times New Roman"/>
          <w:lang w:val="en-US"/>
        </w:rPr>
        <w:t xml:space="preserve">, 68 4 (1996), pp. 747-767. </w:t>
      </w:r>
    </w:p>
    <w:p w:rsidR="008D4CD6" w:rsidRPr="001016DD" w:rsidRDefault="008D4CD6" w:rsidP="003D2CE4">
      <w:pPr>
        <w:spacing w:after="0" w:line="480" w:lineRule="auto"/>
        <w:jc w:val="both"/>
        <w:rPr>
          <w:rFonts w:ascii="Arial Narrow" w:eastAsia="Times New Roman" w:hAnsi="Arial Narrow" w:cs="Times New Roman"/>
          <w:lang w:val="en-US"/>
        </w:rPr>
      </w:pPr>
      <w:r w:rsidRPr="008D4CD6">
        <w:rPr>
          <w:rFonts w:ascii="Arial Narrow" w:eastAsia="Times New Roman" w:hAnsi="Arial Narrow" w:cs="Times New Roman"/>
          <w:lang w:val="en-US"/>
        </w:rPr>
        <w:lastRenderedPageBreak/>
        <w:t xml:space="preserve">Friedenthal Richard, </w:t>
      </w:r>
      <w:r w:rsidRPr="008D4CD6">
        <w:rPr>
          <w:rFonts w:ascii="Arial Narrow" w:eastAsia="Times New Roman" w:hAnsi="Arial Narrow" w:cs="Times New Roman"/>
          <w:i/>
          <w:lang w:val="en-US"/>
        </w:rPr>
        <w:t>Luther</w:t>
      </w:r>
      <w:r w:rsidRPr="008D4CD6">
        <w:rPr>
          <w:rFonts w:ascii="Arial Narrow" w:eastAsia="Times New Roman" w:hAnsi="Arial Narrow" w:cs="Times New Roman"/>
          <w:lang w:val="en-US"/>
        </w:rPr>
        <w:t>, (London: Weidenfield and Nicolson, 1967).</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Friedlander Saul, </w:t>
      </w:r>
      <w:r w:rsidRPr="001016DD">
        <w:rPr>
          <w:rFonts w:ascii="Arial Narrow" w:eastAsia="Times New Roman" w:hAnsi="Arial Narrow" w:cs="Times New Roman"/>
          <w:i/>
          <w:lang w:val="en-US"/>
        </w:rPr>
        <w:t>Nazi Germany &amp; The Jews: The Years Of Persecution 1933-39,</w:t>
      </w:r>
      <w:r w:rsidRPr="001016DD">
        <w:rPr>
          <w:rFonts w:ascii="Arial Narrow" w:eastAsia="Times New Roman" w:hAnsi="Arial Narrow" w:cs="Times New Roman"/>
          <w:lang w:val="en-US"/>
        </w:rPr>
        <w:t xml:space="preserve"> (London: Weidenfeld &amp; Nicolson, 1997).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lang w:val="en-US"/>
        </w:rPr>
        <w:t xml:space="preserve">Friedlander Saul, </w:t>
      </w:r>
      <w:r w:rsidRPr="001016DD">
        <w:rPr>
          <w:rFonts w:ascii="Arial Narrow" w:eastAsia="Times New Roman" w:hAnsi="Arial Narrow" w:cs="Times New Roman"/>
          <w:i/>
          <w:lang w:val="en-US"/>
        </w:rPr>
        <w:t xml:space="preserve">The Years Of Extermination: Nazi Germany &amp; The Jews 1939-1945, </w:t>
      </w:r>
      <w:r w:rsidRPr="001016DD">
        <w:rPr>
          <w:rFonts w:ascii="Arial Narrow" w:eastAsia="Times New Roman" w:hAnsi="Arial Narrow" w:cs="Times New Roman"/>
          <w:lang w:val="en-US"/>
        </w:rPr>
        <w:t xml:space="preserve">(London: Weidenfeld &amp; Nicolson, 2007).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Gatrell Peter, </w:t>
      </w:r>
      <w:r w:rsidRPr="001016DD">
        <w:rPr>
          <w:rFonts w:ascii="Arial Narrow" w:eastAsia="Times New Roman" w:hAnsi="Arial Narrow" w:cs="Times New Roman"/>
          <w:i/>
        </w:rPr>
        <w:t>A Whole Empire Walking: Refugees In Russia During World War I</w:t>
      </w:r>
      <w:r w:rsidRPr="001016DD">
        <w:rPr>
          <w:rFonts w:ascii="Arial Narrow" w:eastAsia="Times New Roman" w:hAnsi="Arial Narrow" w:cs="Times New Roman"/>
        </w:rPr>
        <w:t xml:space="preserve">, (Bloomington: Indiana University Press, 1999).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Graham Malbone Jr.  W, ‘Central and Eastern Europe in 1924’,</w:t>
      </w:r>
      <w:r w:rsidRPr="001016DD">
        <w:rPr>
          <w:rFonts w:ascii="Arial Narrow" w:eastAsia="Times New Roman" w:hAnsi="Arial Narrow" w:cs="Times New Roman"/>
          <w:i/>
          <w:lang w:val="en-US"/>
        </w:rPr>
        <w:t xml:space="preserve"> The American Political Science Review</w:t>
      </w:r>
      <w:r w:rsidRPr="001016DD">
        <w:rPr>
          <w:rFonts w:ascii="Arial Narrow" w:eastAsia="Times New Roman" w:hAnsi="Arial Narrow" w:cs="Times New Roman"/>
          <w:lang w:val="en-US"/>
        </w:rPr>
        <w:t xml:space="preserve">, 19 2 (1925), pp. 338-361.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Hartshorne Richard, ‘Geographic and Political Boundaries in Upper Silesia’, </w:t>
      </w:r>
      <w:r w:rsidRPr="001016DD">
        <w:rPr>
          <w:rFonts w:ascii="Arial Narrow" w:eastAsia="Times New Roman" w:hAnsi="Arial Narrow" w:cs="Times New Roman"/>
          <w:i/>
          <w:lang w:val="en-US"/>
        </w:rPr>
        <w:t>Annals of the Association of American Geographers,</w:t>
      </w:r>
      <w:r w:rsidRPr="001016DD">
        <w:rPr>
          <w:rFonts w:ascii="Arial Narrow" w:eastAsia="Times New Roman" w:hAnsi="Arial Narrow" w:cs="Times New Roman"/>
          <w:lang w:val="en-US"/>
        </w:rPr>
        <w:t xml:space="preserve"> </w:t>
      </w:r>
      <w:r w:rsidR="007B364D" w:rsidRPr="001016DD">
        <w:rPr>
          <w:rFonts w:ascii="Arial Narrow" w:eastAsia="Times New Roman" w:hAnsi="Arial Narrow" w:cs="Times New Roman"/>
          <w:lang w:val="en-US"/>
        </w:rPr>
        <w:t>23 4</w:t>
      </w:r>
      <w:r w:rsidRPr="001016DD">
        <w:rPr>
          <w:rFonts w:ascii="Arial Narrow" w:eastAsia="Times New Roman" w:hAnsi="Arial Narrow" w:cs="Times New Roman"/>
          <w:lang w:val="en-US"/>
        </w:rPr>
        <w:t xml:space="preserve"> (1933), pp. 195-228.</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Hayek F.A., </w:t>
      </w:r>
      <w:r w:rsidRPr="001016DD">
        <w:rPr>
          <w:rFonts w:ascii="Arial Narrow" w:eastAsia="Times New Roman" w:hAnsi="Arial Narrow" w:cs="Times New Roman"/>
          <w:i/>
          <w:lang w:val="en-US"/>
        </w:rPr>
        <w:t>The Road to Serfdom</w:t>
      </w:r>
      <w:r w:rsidRPr="001016DD">
        <w:rPr>
          <w:rFonts w:ascii="Arial Narrow" w:eastAsia="Times New Roman" w:hAnsi="Arial Narrow" w:cs="Times New Roman"/>
          <w:lang w:val="en-US"/>
        </w:rPr>
        <w:t xml:space="preserve">, (London: Routledge, 1944).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Hiden John and Smith David, ‘Looking beyond the N</w:t>
      </w:r>
      <w:r w:rsidR="00A020F5" w:rsidRPr="001016DD">
        <w:rPr>
          <w:rFonts w:ascii="Arial Narrow" w:eastAsia="Times New Roman" w:hAnsi="Arial Narrow" w:cs="Times New Roman"/>
          <w:lang w:val="en-US"/>
        </w:rPr>
        <w:t>ation State: A Baltic Vision for</w:t>
      </w:r>
      <w:r w:rsidRPr="001016DD">
        <w:rPr>
          <w:rFonts w:ascii="Arial Narrow" w:eastAsia="Times New Roman" w:hAnsi="Arial Narrow" w:cs="Times New Roman"/>
          <w:lang w:val="en-US"/>
        </w:rPr>
        <w:t xml:space="preserve"> National Minorities between the Wars’, </w:t>
      </w:r>
      <w:r w:rsidRPr="001016DD">
        <w:rPr>
          <w:rFonts w:ascii="Arial Narrow" w:eastAsia="Times New Roman" w:hAnsi="Arial Narrow" w:cs="Times New Roman"/>
          <w:i/>
          <w:lang w:val="en-US"/>
        </w:rPr>
        <w:t>Journal of Contemporary History</w:t>
      </w:r>
      <w:r w:rsidRPr="001016DD">
        <w:rPr>
          <w:rFonts w:ascii="Arial Narrow" w:eastAsia="Times New Roman" w:hAnsi="Arial Narrow" w:cs="Times New Roman"/>
          <w:lang w:val="en-US"/>
        </w:rPr>
        <w:t xml:space="preserve">, 41 3 (2006), pp. 387-399.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Hirsch Francine, ‘Toward an Empire of Nations: Border-Making and the Formation of Soviet National Identities’, </w:t>
      </w:r>
      <w:r w:rsidRPr="001016DD">
        <w:rPr>
          <w:rFonts w:ascii="Arial Narrow" w:eastAsia="Times New Roman" w:hAnsi="Arial Narrow" w:cs="Times New Roman"/>
          <w:i/>
        </w:rPr>
        <w:t>Russian Review</w:t>
      </w:r>
      <w:r w:rsidRPr="001016DD">
        <w:rPr>
          <w:rFonts w:ascii="Arial Narrow" w:eastAsia="Times New Roman" w:hAnsi="Arial Narrow" w:cs="Times New Roman"/>
        </w:rPr>
        <w:t>, 59 2 (2000), pp. 201-226.</w:t>
      </w:r>
    </w:p>
    <w:p w:rsidR="00CB2E54" w:rsidRPr="00AC3D48"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Hodza Milan, ‘The Future of Central Europe’, </w:t>
      </w:r>
      <w:r w:rsidRPr="001016DD">
        <w:rPr>
          <w:rFonts w:ascii="Arial Narrow" w:eastAsia="Times New Roman" w:hAnsi="Arial Narrow" w:cs="Times New Roman"/>
          <w:i/>
          <w:lang w:val="en-US"/>
        </w:rPr>
        <w:t>International Affairs</w:t>
      </w:r>
      <w:r w:rsidR="00B26294" w:rsidRPr="001016DD">
        <w:rPr>
          <w:rFonts w:ascii="Arial Narrow" w:eastAsia="Times New Roman" w:hAnsi="Arial Narrow" w:cs="Times New Roman"/>
          <w:lang w:val="en-US"/>
        </w:rPr>
        <w:t xml:space="preserve">, </w:t>
      </w:r>
      <w:r w:rsidRPr="001016DD">
        <w:rPr>
          <w:rFonts w:ascii="Arial Narrow" w:eastAsia="Times New Roman" w:hAnsi="Arial Narrow" w:cs="Times New Roman"/>
          <w:lang w:val="en-US"/>
        </w:rPr>
        <w:t>(Royal Institute of International Affairs 1931-19</w:t>
      </w:r>
      <w:r w:rsidR="00AC3D48">
        <w:rPr>
          <w:rFonts w:ascii="Arial Narrow" w:eastAsia="Times New Roman" w:hAnsi="Arial Narrow" w:cs="Times New Roman"/>
          <w:lang w:val="en-US"/>
        </w:rPr>
        <w:t>39), 14 4 (1935), pp. 514-530.</w:t>
      </w:r>
      <w:r w:rsidRPr="001016DD">
        <w:rPr>
          <w:rFonts w:ascii="Arial Narrow" w:eastAsia="Times New Roman" w:hAnsi="Arial Narrow" w:cs="Times New Roman"/>
        </w:rPr>
        <w:tab/>
      </w:r>
      <w:r w:rsidRPr="001016DD">
        <w:rPr>
          <w:rFonts w:ascii="Arial Narrow" w:eastAsia="Times New Roman" w:hAnsi="Arial Narrow" w:cs="Times New Roman"/>
        </w:rPr>
        <w:tab/>
      </w:r>
      <w:r w:rsidRPr="001016DD">
        <w:rPr>
          <w:rFonts w:ascii="Arial Narrow" w:eastAsia="Times New Roman" w:hAnsi="Arial Narrow" w:cs="Times New Roman"/>
        </w:rPr>
        <w:tab/>
        <w:t xml:space="preserve"> </w:t>
      </w:r>
      <w:r w:rsidRPr="001016DD">
        <w:rPr>
          <w:rFonts w:ascii="Arial Narrow" w:eastAsia="Times New Roman" w:hAnsi="Arial Narrow" w:cs="Times New Roman"/>
        </w:rPr>
        <w:tab/>
        <w:t xml:space="preserve">   </w:t>
      </w:r>
      <w:r w:rsidRPr="001016DD">
        <w:rPr>
          <w:rFonts w:ascii="Arial Narrow" w:eastAsia="Times New Roman" w:hAnsi="Arial Narrow" w:cs="Times New Roman"/>
        </w:rPr>
        <w:tab/>
      </w:r>
      <w:r w:rsidRPr="001016DD">
        <w:rPr>
          <w:rFonts w:ascii="Arial Narrow" w:eastAsia="Times New Roman" w:hAnsi="Arial Narrow" w:cs="Times New Roman"/>
        </w:rPr>
        <w:tab/>
        <w:t xml:space="preserve">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lang w:val="en-US"/>
        </w:rPr>
        <w:t xml:space="preserve">Howe Irving &amp; Greenberg Eliezer eds., </w:t>
      </w:r>
      <w:r w:rsidRPr="001016DD">
        <w:rPr>
          <w:rFonts w:ascii="Arial Narrow" w:eastAsia="Times New Roman" w:hAnsi="Arial Narrow" w:cs="Times New Roman"/>
          <w:i/>
          <w:lang w:val="en-US"/>
        </w:rPr>
        <w:t>A Treasury of Yiddish Stories</w:t>
      </w:r>
      <w:r w:rsidRPr="001016DD">
        <w:rPr>
          <w:rFonts w:ascii="Arial Narrow" w:eastAsia="Times New Roman" w:hAnsi="Arial Narrow" w:cs="Times New Roman"/>
          <w:lang w:val="en-US"/>
        </w:rPr>
        <w:t xml:space="preserve">, (London: Andre Deutsch, 1955).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Hughes Michael, </w:t>
      </w:r>
      <w:r w:rsidRPr="001016DD">
        <w:rPr>
          <w:rFonts w:ascii="Arial Narrow" w:eastAsia="Times New Roman" w:hAnsi="Arial Narrow" w:cs="Times New Roman"/>
          <w:i/>
        </w:rPr>
        <w:t>Inside The Enigma: British Officials in Russia 1900-1939</w:t>
      </w:r>
      <w:r w:rsidRPr="001016DD">
        <w:rPr>
          <w:rFonts w:ascii="Arial Narrow" w:eastAsia="Times New Roman" w:hAnsi="Arial Narrow" w:cs="Times New Roman"/>
        </w:rPr>
        <w:t xml:space="preserve">, (London &amp; Rio Grande: The Hambledon Press, 1997).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Hunt Tooley T., </w:t>
      </w:r>
      <w:r w:rsidRPr="001016DD">
        <w:rPr>
          <w:rFonts w:ascii="Arial Narrow" w:eastAsia="Times New Roman" w:hAnsi="Arial Narrow" w:cs="Times New Roman"/>
          <w:i/>
        </w:rPr>
        <w:t>National Identity and Weimer Germany: upper Silesia And The Eastern Border, 1918-1922,</w:t>
      </w:r>
      <w:r w:rsidRPr="001016DD">
        <w:rPr>
          <w:rFonts w:ascii="Arial Narrow" w:eastAsia="Times New Roman" w:hAnsi="Arial Narrow" w:cs="Times New Roman"/>
        </w:rPr>
        <w:t xml:space="preserve"> (Lincoln: University of Nebraska, 1997).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Johnson Lonnie R., </w:t>
      </w:r>
      <w:r w:rsidRPr="001016DD">
        <w:rPr>
          <w:rFonts w:ascii="Arial Narrow" w:eastAsia="Times New Roman" w:hAnsi="Arial Narrow" w:cs="Times New Roman"/>
          <w:i/>
        </w:rPr>
        <w:t>Central Europe: Enemies, Neighbours, Friends</w:t>
      </w:r>
      <w:r w:rsidRPr="001016DD">
        <w:rPr>
          <w:rFonts w:ascii="Arial Narrow" w:eastAsia="Times New Roman" w:hAnsi="Arial Narrow" w:cs="Times New Roman"/>
        </w:rPr>
        <w:t xml:space="preserve">, (Oxford and New York: Oxford University Press,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lastRenderedPageBreak/>
        <w:t xml:space="preserve">Kenney Padraic, ‘After the Blank Spots Are Filled: Recent Perspectives on Modern Poland’, </w:t>
      </w:r>
      <w:r w:rsidRPr="001016DD">
        <w:rPr>
          <w:rFonts w:ascii="Arial Narrow" w:eastAsia="Times New Roman" w:hAnsi="Arial Narrow" w:cs="Times New Roman"/>
          <w:i/>
        </w:rPr>
        <w:t>The Journal of Modern History</w:t>
      </w:r>
      <w:r w:rsidRPr="001016DD">
        <w:rPr>
          <w:rFonts w:ascii="Arial Narrow" w:eastAsia="Times New Roman" w:hAnsi="Arial Narrow" w:cs="Times New Roman"/>
        </w:rPr>
        <w:t>, 79 (2007), pp. 134-161.</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Keylor, William R., ‘Anti-Clericalism and Educational Reform in the French Third Republic: A Retrospective Evaluation’, </w:t>
      </w:r>
      <w:r w:rsidRPr="001016DD">
        <w:rPr>
          <w:rFonts w:ascii="Arial Narrow" w:eastAsia="Times New Roman" w:hAnsi="Arial Narrow" w:cs="Times New Roman"/>
          <w:i/>
        </w:rPr>
        <w:t>History of Education Quarterly</w:t>
      </w:r>
      <w:r w:rsidRPr="001016DD">
        <w:rPr>
          <w:rFonts w:ascii="Arial Narrow" w:eastAsia="Times New Roman" w:hAnsi="Arial Narrow" w:cs="Times New Roman"/>
        </w:rPr>
        <w:t xml:space="preserve">, 21 1 (1981), pp. 95-103.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Klier John D. and Lambroza Shlomo eds., </w:t>
      </w:r>
      <w:r w:rsidRPr="001016DD">
        <w:rPr>
          <w:rFonts w:ascii="Arial Narrow" w:eastAsia="Times New Roman" w:hAnsi="Arial Narrow" w:cs="Times New Roman"/>
          <w:i/>
        </w:rPr>
        <w:t>Pogroms: Anti-Jewish violence in modern Russian history</w:t>
      </w:r>
      <w:r w:rsidRPr="001016DD">
        <w:rPr>
          <w:rFonts w:ascii="Arial Narrow" w:eastAsia="Times New Roman" w:hAnsi="Arial Narrow" w:cs="Times New Roman"/>
        </w:rPr>
        <w:t xml:space="preserve">, (Cambridge: Cambridge University Press, 1992).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Kuus Merje, ‘Europe’s eastern expansion and the reinscription of otherness in East-Central Europe’, </w:t>
      </w:r>
      <w:r w:rsidRPr="001016DD">
        <w:rPr>
          <w:rFonts w:ascii="Arial Narrow" w:eastAsia="Times New Roman" w:hAnsi="Arial Narrow" w:cs="Times New Roman"/>
          <w:i/>
        </w:rPr>
        <w:t>Progress in Human Geography</w:t>
      </w:r>
      <w:r w:rsidRPr="001016DD">
        <w:rPr>
          <w:rFonts w:ascii="Arial Narrow" w:eastAsia="Times New Roman" w:hAnsi="Arial Narrow" w:cs="Times New Roman"/>
        </w:rPr>
        <w:t xml:space="preserve">, 28 4 (2004), pp. 472-489.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Lawrence Paul, </w:t>
      </w:r>
      <w:r w:rsidRPr="001016DD">
        <w:rPr>
          <w:rFonts w:ascii="Arial Narrow" w:eastAsia="Times New Roman" w:hAnsi="Arial Narrow" w:cs="Times New Roman"/>
          <w:i/>
        </w:rPr>
        <w:t>Nationalism: History and Theory</w:t>
      </w:r>
      <w:r w:rsidRPr="001016DD">
        <w:rPr>
          <w:rFonts w:ascii="Arial Narrow" w:eastAsia="Times New Roman" w:hAnsi="Arial Narrow" w:cs="Times New Roman"/>
        </w:rPr>
        <w:t xml:space="preserve">, (Harlow: Pearson, 2005).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Lenin, </w:t>
      </w:r>
      <w:r w:rsidRPr="001016DD">
        <w:rPr>
          <w:rFonts w:ascii="Arial Narrow" w:eastAsia="Times New Roman" w:hAnsi="Arial Narrow" w:cs="Times New Roman"/>
          <w:i/>
        </w:rPr>
        <w:t>On Peaceful Coexistence</w:t>
      </w:r>
      <w:r w:rsidRPr="001016DD">
        <w:rPr>
          <w:rFonts w:ascii="Arial Narrow" w:eastAsia="Times New Roman" w:hAnsi="Arial Narrow" w:cs="Times New Roman"/>
        </w:rPr>
        <w:t xml:space="preserve">, (Moscow: Progress Publishers, 1963).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Lewin Abraham, </w:t>
      </w:r>
      <w:r w:rsidRPr="001016DD">
        <w:rPr>
          <w:rFonts w:ascii="Arial Narrow" w:eastAsia="Times New Roman" w:hAnsi="Arial Narrow" w:cs="Times New Roman"/>
          <w:i/>
        </w:rPr>
        <w:t>A Cup of Tears: A Diary of the Warsaw Ghetto</w:t>
      </w:r>
      <w:r w:rsidRPr="001016DD">
        <w:rPr>
          <w:rFonts w:ascii="Arial Narrow" w:eastAsia="Times New Roman" w:hAnsi="Arial Narrow" w:cs="Times New Roman"/>
        </w:rPr>
        <w:t xml:space="preserve">, (London: Fontana, 1990).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Lieven Dominic, ‘The Russian Empire and the Soviet Union as Imperial Polities’, </w:t>
      </w:r>
      <w:r w:rsidRPr="001016DD">
        <w:rPr>
          <w:rFonts w:ascii="Arial Narrow" w:eastAsia="Times New Roman" w:hAnsi="Arial Narrow" w:cs="Times New Roman"/>
          <w:i/>
        </w:rPr>
        <w:t xml:space="preserve">Journal of Contemporary History, </w:t>
      </w:r>
      <w:r w:rsidRPr="001016DD">
        <w:rPr>
          <w:rFonts w:ascii="Arial Narrow" w:eastAsia="Times New Roman" w:hAnsi="Arial Narrow" w:cs="Times New Roman"/>
        </w:rPr>
        <w:t>30 4 (1995), pp. 607-636.</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Lieven Dominic, </w:t>
      </w:r>
      <w:r w:rsidRPr="001016DD">
        <w:rPr>
          <w:rFonts w:ascii="Arial Narrow" w:eastAsia="Times New Roman" w:hAnsi="Arial Narrow" w:cs="Times New Roman"/>
          <w:i/>
          <w:lang w:val="en-US"/>
        </w:rPr>
        <w:t>Russia’s Rulers Under The Old Regime</w:t>
      </w:r>
      <w:r w:rsidRPr="001016DD">
        <w:rPr>
          <w:rFonts w:ascii="Arial Narrow" w:eastAsia="Times New Roman" w:hAnsi="Arial Narrow" w:cs="Times New Roman"/>
          <w:lang w:val="en-US"/>
        </w:rPr>
        <w:t xml:space="preserve">, (London &amp; Newhaven: Yale University Press, 1989).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Longworth Philip, </w:t>
      </w:r>
      <w:r w:rsidRPr="001016DD">
        <w:rPr>
          <w:rFonts w:ascii="Arial Narrow" w:eastAsia="Times New Roman" w:hAnsi="Arial Narrow" w:cs="Times New Roman"/>
          <w:i/>
          <w:lang w:val="en-US"/>
        </w:rPr>
        <w:t>The Making of Eastern Europe</w:t>
      </w:r>
      <w:r w:rsidRPr="001016DD">
        <w:rPr>
          <w:rFonts w:ascii="Arial Narrow" w:eastAsia="Times New Roman" w:hAnsi="Arial Narrow" w:cs="Times New Roman"/>
          <w:lang w:val="en-US"/>
        </w:rPr>
        <w:t xml:space="preserve">, (Basingstoke: Macmillan, 1992).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Lukowski Jerzy and Zawadzki Hubert, </w:t>
      </w:r>
      <w:r w:rsidRPr="001016DD">
        <w:rPr>
          <w:rFonts w:ascii="Arial Narrow" w:eastAsia="Times New Roman" w:hAnsi="Arial Narrow" w:cs="Times New Roman"/>
          <w:i/>
          <w:lang w:val="en-US"/>
        </w:rPr>
        <w:t>A Concise History of Poland</w:t>
      </w:r>
      <w:r w:rsidRPr="001016DD">
        <w:rPr>
          <w:rFonts w:ascii="Arial Narrow" w:eastAsia="Times New Roman" w:hAnsi="Arial Narrow" w:cs="Times New Roman"/>
          <w:lang w:val="en-US"/>
        </w:rPr>
        <w:t xml:space="preserve">, (Cambridge University Press, 2001).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Lundgreen-Nielsen Kay, </w:t>
      </w:r>
      <w:r w:rsidRPr="001016DD">
        <w:rPr>
          <w:rFonts w:ascii="Arial Narrow" w:eastAsia="Times New Roman" w:hAnsi="Arial Narrow" w:cs="Times New Roman"/>
          <w:i/>
        </w:rPr>
        <w:t>The Polish Problem at the Paris Peace Conference: A Study of the Policies of the Great Powers and the Poles, 1918-1919</w:t>
      </w:r>
      <w:r w:rsidRPr="001016DD">
        <w:rPr>
          <w:rFonts w:ascii="Arial Narrow" w:eastAsia="Times New Roman" w:hAnsi="Arial Narrow" w:cs="Times New Roman"/>
        </w:rPr>
        <w:t xml:space="preserve">, (Odense University Press, 1979).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Macartney C.A., </w:t>
      </w:r>
      <w:r w:rsidRPr="001016DD">
        <w:rPr>
          <w:rFonts w:ascii="Arial Narrow" w:eastAsia="Times New Roman" w:hAnsi="Arial Narrow" w:cs="Times New Roman"/>
          <w:i/>
        </w:rPr>
        <w:t>Hungary And Her Successors: The Treaty Of Trianon And Its Consequences 1919-1937</w:t>
      </w:r>
      <w:r w:rsidRPr="001016DD">
        <w:rPr>
          <w:rFonts w:ascii="Arial Narrow" w:eastAsia="Times New Roman" w:hAnsi="Arial Narrow" w:cs="Times New Roman"/>
        </w:rPr>
        <w:t xml:space="preserve">, (London, New York and Toronto: Oxford University Press, 1937).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Magosci Paul R. and Stotsky Sandra eds., </w:t>
      </w:r>
      <w:r w:rsidRPr="001016DD">
        <w:rPr>
          <w:rFonts w:ascii="Arial Narrow" w:eastAsia="Times New Roman" w:hAnsi="Arial Narrow" w:cs="Times New Roman"/>
          <w:i/>
        </w:rPr>
        <w:t>The Russian Americans</w:t>
      </w:r>
      <w:r w:rsidRPr="001016DD">
        <w:rPr>
          <w:rFonts w:ascii="Arial Narrow" w:eastAsia="Times New Roman" w:hAnsi="Arial Narrow" w:cs="Times New Roman"/>
        </w:rPr>
        <w:t xml:space="preserve">, (New York and Philadelphia: Chelsea House,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Magosci Paul Robert, </w:t>
      </w:r>
      <w:r w:rsidRPr="001016DD">
        <w:rPr>
          <w:rFonts w:ascii="Arial Narrow" w:eastAsia="Times New Roman" w:hAnsi="Arial Narrow" w:cs="Times New Roman"/>
          <w:i/>
        </w:rPr>
        <w:t>A History Of Ukraine</w:t>
      </w:r>
      <w:r w:rsidRPr="001016DD">
        <w:rPr>
          <w:rFonts w:ascii="Arial Narrow" w:eastAsia="Times New Roman" w:hAnsi="Arial Narrow" w:cs="Times New Roman"/>
        </w:rPr>
        <w:t xml:space="preserve">, (Seattle: University of Washington Press, 1998).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lastRenderedPageBreak/>
        <w:t xml:space="preserve">Mares Miroslav and Pseja Pavel, ‘Agrarian and Peasant Parties in the Czech Republic: History, Presence and Central European Context’, </w:t>
      </w:r>
      <w:r w:rsidRPr="001016DD">
        <w:rPr>
          <w:rFonts w:ascii="Arial Narrow" w:eastAsia="Times New Roman" w:hAnsi="Arial Narrow" w:cs="Times New Roman"/>
          <w:i/>
        </w:rPr>
        <w:t>Institute for Comparative Political Research Masaryk University</w:t>
      </w:r>
      <w:r w:rsidRPr="001016DD">
        <w:rPr>
          <w:rFonts w:ascii="Arial Narrow" w:eastAsia="Times New Roman" w:hAnsi="Arial Narrow" w:cs="Times New Roman"/>
        </w:rPr>
        <w:t>, (2007) pp. 1-6.</w:t>
      </w:r>
    </w:p>
    <w:p w:rsidR="00CB2E54" w:rsidRPr="001016DD" w:rsidRDefault="00CB2E54" w:rsidP="003D2CE4">
      <w:pPr>
        <w:tabs>
          <w:tab w:val="left" w:pos="6480"/>
        </w:tabs>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Marples David R., ‘Anti-Soviet Partisans and Ukrainian Memory’, </w:t>
      </w:r>
      <w:r w:rsidRPr="001016DD">
        <w:rPr>
          <w:rFonts w:ascii="Arial Narrow" w:eastAsia="Times New Roman" w:hAnsi="Arial Narrow" w:cs="Times New Roman"/>
          <w:i/>
        </w:rPr>
        <w:t>East European Politics and Societies</w:t>
      </w:r>
      <w:r w:rsidRPr="001016DD">
        <w:rPr>
          <w:rFonts w:ascii="Arial Narrow" w:eastAsia="Times New Roman" w:hAnsi="Arial Narrow" w:cs="Times New Roman"/>
        </w:rPr>
        <w:t xml:space="preserve">, 24 1 (2010), pp. 26-43. </w:t>
      </w:r>
    </w:p>
    <w:p w:rsidR="00CB2E54" w:rsidRPr="001016DD" w:rsidRDefault="00CB2E54" w:rsidP="003D2CE4">
      <w:pPr>
        <w:tabs>
          <w:tab w:val="left" w:pos="6480"/>
        </w:tabs>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Mawdsley Evan, </w:t>
      </w:r>
      <w:r w:rsidRPr="001016DD">
        <w:rPr>
          <w:rFonts w:ascii="Arial Narrow" w:eastAsia="Times New Roman" w:hAnsi="Arial Narrow" w:cs="Times New Roman"/>
          <w:i/>
        </w:rPr>
        <w:t>The Russian Civil War</w:t>
      </w:r>
      <w:r w:rsidRPr="001016DD">
        <w:rPr>
          <w:rFonts w:ascii="Arial Narrow" w:eastAsia="Times New Roman" w:hAnsi="Arial Narrow" w:cs="Times New Roman"/>
        </w:rPr>
        <w:t xml:space="preserve">, (Edinburg: Berlinn, 2008).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Mayall James, </w:t>
      </w:r>
      <w:r w:rsidRPr="001016DD">
        <w:rPr>
          <w:rFonts w:ascii="Arial Narrow" w:eastAsia="Times New Roman" w:hAnsi="Arial Narrow" w:cs="Times New Roman"/>
          <w:i/>
        </w:rPr>
        <w:t>Nationalism And International Society</w:t>
      </w:r>
      <w:r w:rsidRPr="001016DD">
        <w:rPr>
          <w:rFonts w:ascii="Arial Narrow" w:eastAsia="Times New Roman" w:hAnsi="Arial Narrow" w:cs="Times New Roman"/>
        </w:rPr>
        <w:t>, (Cambridge: Cambridge University Press, 1990).</w:t>
      </w:r>
    </w:p>
    <w:p w:rsidR="00CB2E54" w:rsidRPr="001016DD" w:rsidRDefault="00CB2E54" w:rsidP="003D2CE4">
      <w:pPr>
        <w:tabs>
          <w:tab w:val="left" w:pos="6480"/>
        </w:tabs>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McCauley Martin ed., </w:t>
      </w:r>
      <w:r w:rsidRPr="001016DD">
        <w:rPr>
          <w:rFonts w:ascii="Arial Narrow" w:eastAsia="Times New Roman" w:hAnsi="Arial Narrow" w:cs="Times New Roman"/>
          <w:i/>
        </w:rPr>
        <w:t>The Russian Revolution and the Soviet State 1917 – 1921: Documents,</w:t>
      </w:r>
      <w:r w:rsidRPr="001016DD">
        <w:rPr>
          <w:rFonts w:ascii="Arial Narrow" w:eastAsia="Times New Roman" w:hAnsi="Arial Narrow" w:cs="Times New Roman"/>
        </w:rPr>
        <w:t xml:space="preserve"> (London: Macmillan Press, 1975). </w:t>
      </w:r>
    </w:p>
    <w:p w:rsidR="00CB2E54" w:rsidRDefault="00CB2E54" w:rsidP="003D2CE4">
      <w:pPr>
        <w:tabs>
          <w:tab w:val="left" w:pos="6480"/>
        </w:tabs>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Midlarsky Manus I., ‘Territoriality and the onset of mass violence: the political extremism of Joseph Stalin’, </w:t>
      </w:r>
      <w:r w:rsidRPr="001016DD">
        <w:rPr>
          <w:rFonts w:ascii="Arial Narrow" w:eastAsia="Times New Roman" w:hAnsi="Arial Narrow" w:cs="Times New Roman"/>
          <w:i/>
        </w:rPr>
        <w:t>Journal of Genocide Research</w:t>
      </w:r>
      <w:r w:rsidRPr="001016DD">
        <w:rPr>
          <w:rFonts w:ascii="Arial Narrow" w:eastAsia="Times New Roman" w:hAnsi="Arial Narrow" w:cs="Times New Roman"/>
        </w:rPr>
        <w:t xml:space="preserve">, 11 (2009), pp. 265-283. </w:t>
      </w:r>
    </w:p>
    <w:p w:rsidR="00001C71" w:rsidRPr="001016DD" w:rsidRDefault="00001C71" w:rsidP="003D2CE4">
      <w:pPr>
        <w:tabs>
          <w:tab w:val="left" w:pos="6480"/>
        </w:tabs>
        <w:spacing w:after="0" w:line="480" w:lineRule="auto"/>
        <w:jc w:val="both"/>
        <w:rPr>
          <w:rFonts w:ascii="Arial Narrow" w:eastAsia="Times New Roman" w:hAnsi="Arial Narrow" w:cs="Times New Roman"/>
        </w:rPr>
      </w:pPr>
      <w:r w:rsidRPr="00001C71">
        <w:rPr>
          <w:rFonts w:ascii="Arial Narrow" w:eastAsia="Times New Roman" w:hAnsi="Arial Narrow" w:cs="Times New Roman"/>
        </w:rPr>
        <w:t xml:space="preserve">Miller Kaye &amp; Swatez Gerald, </w:t>
      </w:r>
      <w:r w:rsidRPr="00001C71">
        <w:rPr>
          <w:rFonts w:ascii="Arial Narrow" w:eastAsia="Times New Roman" w:hAnsi="Arial Narrow" w:cs="Times New Roman"/>
          <w:i/>
        </w:rPr>
        <w:t>Conventions: The Land Around Us,</w:t>
      </w:r>
      <w:r w:rsidRPr="00001C71">
        <w:rPr>
          <w:rFonts w:ascii="Arial Narrow" w:eastAsia="Times New Roman" w:hAnsi="Arial Narrow" w:cs="Times New Roman"/>
        </w:rPr>
        <w:t xml:space="preserve"> (University of Illinois: Department of Political Science &amp; Sociology, 1970).</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Neilson Keith, </w:t>
      </w:r>
      <w:r w:rsidRPr="001016DD">
        <w:rPr>
          <w:rFonts w:ascii="Arial Narrow" w:eastAsia="Times New Roman" w:hAnsi="Arial Narrow" w:cs="Times New Roman"/>
          <w:i/>
          <w:lang w:val="en-US"/>
        </w:rPr>
        <w:t>Britain, Soviet Russia and the Collapse of the Versailles Order, 1919-1939,</w:t>
      </w:r>
      <w:r w:rsidRPr="001016DD">
        <w:rPr>
          <w:rFonts w:ascii="Arial Narrow" w:eastAsia="Times New Roman" w:hAnsi="Arial Narrow" w:cs="Times New Roman"/>
          <w:lang w:val="en-US"/>
        </w:rPr>
        <w:t xml:space="preserve"> (Cambridge: Cambridge University Press, 2006).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Olick Jeffrey K. and Levy Daniel, ‘Collective Memory and Cultural Constraint: Holocaust Myth and Rationality in German Politics’, </w:t>
      </w:r>
      <w:r w:rsidRPr="001016DD">
        <w:rPr>
          <w:rFonts w:ascii="Arial Narrow" w:eastAsia="Times New Roman" w:hAnsi="Arial Narrow" w:cs="Times New Roman"/>
          <w:i/>
          <w:lang w:val="en-US"/>
        </w:rPr>
        <w:t>American Sociological Review</w:t>
      </w:r>
      <w:r w:rsidRPr="001016DD">
        <w:rPr>
          <w:rFonts w:ascii="Arial Narrow" w:eastAsia="Times New Roman" w:hAnsi="Arial Narrow" w:cs="Times New Roman"/>
          <w:lang w:val="en-US"/>
        </w:rPr>
        <w:t xml:space="preserve">, 62 6 (1997), pp. 921-936.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Olin Margaret, ‘Lanzmann’s </w:t>
      </w:r>
      <w:r w:rsidRPr="001016DD">
        <w:rPr>
          <w:rFonts w:ascii="Arial Narrow" w:eastAsia="Times New Roman" w:hAnsi="Arial Narrow" w:cs="Times New Roman"/>
          <w:i/>
          <w:lang w:val="en-US"/>
        </w:rPr>
        <w:t>Shoah</w:t>
      </w:r>
      <w:r w:rsidRPr="001016DD">
        <w:rPr>
          <w:rFonts w:ascii="Arial Narrow" w:eastAsia="Times New Roman" w:hAnsi="Arial Narrow" w:cs="Times New Roman"/>
          <w:lang w:val="en-US"/>
        </w:rPr>
        <w:t xml:space="preserve"> and the Topography of the Holocaust Film’, </w:t>
      </w:r>
      <w:r w:rsidRPr="001016DD">
        <w:rPr>
          <w:rFonts w:ascii="Arial Narrow" w:eastAsia="Times New Roman" w:hAnsi="Arial Narrow" w:cs="Times New Roman"/>
          <w:i/>
          <w:lang w:val="en-US"/>
        </w:rPr>
        <w:t>Representations</w:t>
      </w:r>
      <w:r w:rsidRPr="001016DD">
        <w:rPr>
          <w:rFonts w:ascii="Arial Narrow" w:eastAsia="Times New Roman" w:hAnsi="Arial Narrow" w:cs="Times New Roman"/>
          <w:lang w:val="en-US"/>
        </w:rPr>
        <w:t xml:space="preserve">, (1997), pp. 1-23.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Pearson Raymond, </w:t>
      </w:r>
      <w:r w:rsidRPr="001016DD">
        <w:rPr>
          <w:rFonts w:ascii="Arial Narrow" w:eastAsia="Times New Roman" w:hAnsi="Arial Narrow" w:cs="Times New Roman"/>
          <w:i/>
          <w:lang w:val="en-US"/>
        </w:rPr>
        <w:t>National Minorities In Eastern Europe 1848-1945</w:t>
      </w:r>
      <w:r w:rsidRPr="001016DD">
        <w:rPr>
          <w:rFonts w:ascii="Arial Narrow" w:eastAsia="Times New Roman" w:hAnsi="Arial Narrow" w:cs="Times New Roman"/>
          <w:lang w:val="en-US"/>
        </w:rPr>
        <w:t xml:space="preserve">, (London: Macmillan, 1983). </w:t>
      </w:r>
    </w:p>
    <w:p w:rsidR="00CB2E54"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Pohl J. Otto; Schmaltz Eric J.; Vossler Ronald J., ‘“In our hearts we felt the sentence of death”: ethnic German recollections of mass violence in the USSR, 1928-48’, </w:t>
      </w:r>
      <w:r w:rsidRPr="001016DD">
        <w:rPr>
          <w:rFonts w:ascii="Arial Narrow" w:eastAsia="Times New Roman" w:hAnsi="Arial Narrow" w:cs="Times New Roman"/>
          <w:i/>
        </w:rPr>
        <w:t>Journal of Genocide Research</w:t>
      </w:r>
      <w:r w:rsidRPr="001016DD">
        <w:rPr>
          <w:rFonts w:ascii="Arial Narrow" w:eastAsia="Times New Roman" w:hAnsi="Arial Narrow" w:cs="Times New Roman"/>
        </w:rPr>
        <w:t xml:space="preserve">, 11 2&amp;3, (2009), pp. 323-354. </w:t>
      </w:r>
    </w:p>
    <w:p w:rsidR="006D47BC" w:rsidRPr="00AC3D48" w:rsidRDefault="006D47BC" w:rsidP="003D2CE4">
      <w:pPr>
        <w:spacing w:after="0" w:line="480" w:lineRule="auto"/>
        <w:jc w:val="both"/>
        <w:rPr>
          <w:rFonts w:ascii="Arial Narrow" w:eastAsia="Times New Roman" w:hAnsi="Arial Narrow" w:cs="Times New Roman"/>
          <w:lang w:val="de-DE"/>
        </w:rPr>
      </w:pPr>
      <w:r w:rsidRPr="00AC3D48">
        <w:rPr>
          <w:rFonts w:ascii="Arial Narrow" w:eastAsia="Times New Roman" w:hAnsi="Arial Narrow" w:cs="Times New Roman"/>
          <w:lang w:val="de-DE"/>
        </w:rPr>
        <w:t xml:space="preserve">Putzger F.W., </w:t>
      </w:r>
      <w:r w:rsidRPr="00AC3D48">
        <w:rPr>
          <w:rFonts w:ascii="Arial Narrow" w:eastAsia="Times New Roman" w:hAnsi="Arial Narrow" w:cs="Times New Roman"/>
          <w:i/>
          <w:lang w:val="de-DE"/>
        </w:rPr>
        <w:t xml:space="preserve">Historischer </w:t>
      </w:r>
      <w:r w:rsidR="003D5027" w:rsidRPr="00AC3D48">
        <w:rPr>
          <w:rFonts w:ascii="Arial Narrow" w:eastAsia="Times New Roman" w:hAnsi="Arial Narrow" w:cs="Times New Roman"/>
          <w:i/>
          <w:lang w:val="de-DE"/>
        </w:rPr>
        <w:t>Welteatlas</w:t>
      </w:r>
      <w:r w:rsidR="003D5027" w:rsidRPr="00AC3D48">
        <w:rPr>
          <w:rFonts w:ascii="Arial Narrow" w:eastAsia="Times New Roman" w:hAnsi="Arial Narrow" w:cs="Times New Roman"/>
          <w:lang w:val="de-DE"/>
        </w:rPr>
        <w:t>,</w:t>
      </w:r>
      <w:r w:rsidRPr="00AC3D48">
        <w:rPr>
          <w:rFonts w:ascii="Arial Narrow" w:eastAsia="Times New Roman" w:hAnsi="Arial Narrow" w:cs="Times New Roman"/>
          <w:lang w:val="de-DE"/>
        </w:rPr>
        <w:t xml:space="preserve"> (Berlin: Velhagen &amp; Klasing, 1954).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Read Christopher, </w:t>
      </w:r>
      <w:r w:rsidRPr="001016DD">
        <w:rPr>
          <w:rFonts w:ascii="Arial Narrow" w:eastAsia="Times New Roman" w:hAnsi="Arial Narrow" w:cs="Times New Roman"/>
          <w:i/>
        </w:rPr>
        <w:t>From Tsar To Soviets: The Russian people and their revolution, 1917-21,</w:t>
      </w:r>
      <w:r w:rsidRPr="001016DD">
        <w:rPr>
          <w:rFonts w:ascii="Arial Narrow" w:eastAsia="Times New Roman" w:hAnsi="Arial Narrow" w:cs="Times New Roman"/>
        </w:rPr>
        <w:t xml:space="preserve"> (London: Routledge,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lastRenderedPageBreak/>
        <w:t xml:space="preserve">Read Christopher, </w:t>
      </w:r>
      <w:r w:rsidRPr="001016DD">
        <w:rPr>
          <w:rFonts w:ascii="Arial Narrow" w:eastAsia="Times New Roman" w:hAnsi="Arial Narrow" w:cs="Times New Roman"/>
          <w:i/>
        </w:rPr>
        <w:t>Lenin</w:t>
      </w:r>
      <w:r w:rsidRPr="001016DD">
        <w:rPr>
          <w:rFonts w:ascii="Arial Narrow" w:eastAsia="Times New Roman" w:hAnsi="Arial Narrow" w:cs="Times New Roman"/>
        </w:rPr>
        <w:t xml:space="preserve">, (Abingdon: Routledge, 2005).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Reed John, </w:t>
      </w:r>
      <w:r w:rsidRPr="001016DD">
        <w:rPr>
          <w:rFonts w:ascii="Arial Narrow" w:eastAsia="Times New Roman" w:hAnsi="Arial Narrow" w:cs="Times New Roman"/>
          <w:i/>
        </w:rPr>
        <w:t>War In Eastern Europe: Travels through the Balkans in 1915</w:t>
      </w:r>
      <w:r w:rsidRPr="001016DD">
        <w:rPr>
          <w:rFonts w:ascii="Arial Narrow" w:eastAsia="Times New Roman" w:hAnsi="Arial Narrow" w:cs="Times New Roman"/>
        </w:rPr>
        <w:t xml:space="preserve">, (London: Orion Books, 1994).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Roskin Michael G., </w:t>
      </w:r>
      <w:r w:rsidRPr="001016DD">
        <w:rPr>
          <w:rFonts w:ascii="Arial Narrow" w:eastAsia="Times New Roman" w:hAnsi="Arial Narrow" w:cs="Times New Roman"/>
          <w:i/>
        </w:rPr>
        <w:t>The Rebirth Of East Europe</w:t>
      </w:r>
      <w:r w:rsidRPr="001016DD">
        <w:rPr>
          <w:rFonts w:ascii="Arial Narrow" w:eastAsia="Times New Roman" w:hAnsi="Arial Narrow" w:cs="Times New Roman"/>
        </w:rPr>
        <w:t xml:space="preserve">, (New Jersey: Prentice-Hall Inc., 1997). </w:t>
      </w:r>
    </w:p>
    <w:p w:rsidR="00CB2E54" w:rsidRPr="001016DD" w:rsidRDefault="00CB2E54" w:rsidP="003D2CE4">
      <w:pPr>
        <w:spacing w:after="0" w:line="480" w:lineRule="auto"/>
        <w:jc w:val="both"/>
        <w:rPr>
          <w:rFonts w:ascii="Arial Narrow" w:eastAsia="Times New Roman" w:hAnsi="Arial Narrow" w:cs="Times New Roman"/>
          <w:lang w:val="en-US"/>
        </w:rPr>
      </w:pPr>
      <w:r w:rsidRPr="001016DD">
        <w:rPr>
          <w:rFonts w:ascii="Arial Narrow" w:eastAsia="Times New Roman" w:hAnsi="Arial Narrow" w:cs="Times New Roman"/>
          <w:lang w:val="en-US"/>
        </w:rPr>
        <w:t xml:space="preserve">Roucek Joseph S. and Brown Francis J., ‘The Problem of the Negro and European Immigrant Minorities: Some Comparisons and Contrasts’, </w:t>
      </w:r>
      <w:r w:rsidRPr="001016DD">
        <w:rPr>
          <w:rFonts w:ascii="Arial Narrow" w:eastAsia="Times New Roman" w:hAnsi="Arial Narrow" w:cs="Times New Roman"/>
          <w:i/>
          <w:lang w:val="en-US"/>
        </w:rPr>
        <w:t>The Journal of Negro Education</w:t>
      </w:r>
      <w:r w:rsidRPr="001016DD">
        <w:rPr>
          <w:rFonts w:ascii="Arial Narrow" w:eastAsia="Times New Roman" w:hAnsi="Arial Narrow" w:cs="Times New Roman"/>
          <w:lang w:val="en-US"/>
        </w:rPr>
        <w:t xml:space="preserve">, 8 3, The Present and Future Position of the Negro in the American Social Order (1939), pp. 299-312.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Rugg Dean S., </w:t>
      </w:r>
      <w:r w:rsidRPr="001016DD">
        <w:rPr>
          <w:rFonts w:ascii="Arial Narrow" w:eastAsia="Times New Roman" w:hAnsi="Arial Narrow" w:cs="Times New Roman"/>
          <w:i/>
        </w:rPr>
        <w:t>Eastern Europe</w:t>
      </w:r>
      <w:r w:rsidRPr="001016DD">
        <w:rPr>
          <w:rFonts w:ascii="Arial Narrow" w:eastAsia="Times New Roman" w:hAnsi="Arial Narrow" w:cs="Times New Roman"/>
        </w:rPr>
        <w:t xml:space="preserve">, (London and New York: Longman, 1985). </w:t>
      </w:r>
    </w:p>
    <w:p w:rsidR="00CB2E54" w:rsidRPr="001016DD" w:rsidRDefault="00CB2E54" w:rsidP="003D2CE4">
      <w:pPr>
        <w:tabs>
          <w:tab w:val="left" w:pos="6480"/>
        </w:tabs>
        <w:spacing w:after="0" w:line="480" w:lineRule="auto"/>
        <w:jc w:val="both"/>
        <w:rPr>
          <w:rFonts w:ascii="Arial Narrow" w:eastAsia="Times New Roman" w:hAnsi="Arial Narrow" w:cs="Times New Roman"/>
        </w:rPr>
      </w:pPr>
      <w:r w:rsidRPr="001016DD">
        <w:rPr>
          <w:rFonts w:ascii="Arial Narrow" w:eastAsia="Times New Roman" w:hAnsi="Arial Narrow" w:cs="Times New Roman"/>
          <w:lang w:val="en-US"/>
        </w:rPr>
        <w:t>Scammell, Michael.</w:t>
      </w:r>
      <w:r w:rsidRPr="001016DD">
        <w:rPr>
          <w:rFonts w:ascii="Arial Narrow" w:eastAsia="Times New Roman" w:hAnsi="Arial Narrow" w:cs="Times New Roman"/>
          <w:i/>
          <w:lang w:val="en-US"/>
        </w:rPr>
        <w:t xml:space="preserve"> Solzhenitsyn</w:t>
      </w:r>
      <w:r w:rsidRPr="001016DD">
        <w:rPr>
          <w:rFonts w:ascii="Arial Narrow" w:eastAsia="Times New Roman" w:hAnsi="Arial Narrow" w:cs="Times New Roman"/>
          <w:lang w:val="en-US"/>
        </w:rPr>
        <w:t xml:space="preserve">, (London and New York: Paladin Books, 1976).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Service Robert, </w:t>
      </w:r>
      <w:r w:rsidRPr="001016DD">
        <w:rPr>
          <w:rFonts w:ascii="Arial Narrow" w:eastAsia="Times New Roman" w:hAnsi="Arial Narrow" w:cs="Times New Roman"/>
          <w:i/>
        </w:rPr>
        <w:t xml:space="preserve">A History Of Modern Russia: From Nicholas </w:t>
      </w:r>
      <w:r w:rsidRPr="007D7044">
        <w:rPr>
          <w:rFonts w:ascii="Times New Roman" w:eastAsia="Times New Roman" w:hAnsi="Times New Roman" w:cs="Times New Roman"/>
          <w:i/>
        </w:rPr>
        <w:t xml:space="preserve">II </w:t>
      </w:r>
      <w:r w:rsidRPr="001016DD">
        <w:rPr>
          <w:rFonts w:ascii="Arial Narrow" w:eastAsia="Times New Roman" w:hAnsi="Arial Narrow" w:cs="Times New Roman"/>
          <w:i/>
        </w:rPr>
        <w:t>To Putin</w:t>
      </w:r>
      <w:r w:rsidRPr="001016DD">
        <w:rPr>
          <w:rFonts w:ascii="Arial Narrow" w:eastAsia="Times New Roman" w:hAnsi="Arial Narrow" w:cs="Times New Roman"/>
        </w:rPr>
        <w:t xml:space="preserve">, (London: Penguin, 2003).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Seton-Watson Hugh, </w:t>
      </w:r>
      <w:r w:rsidRPr="001016DD">
        <w:rPr>
          <w:rFonts w:ascii="Arial Narrow" w:eastAsia="Times New Roman" w:hAnsi="Arial Narrow" w:cs="Times New Roman"/>
          <w:i/>
        </w:rPr>
        <w:t>Eastern Europe Between The Wars 1918-1941</w:t>
      </w:r>
      <w:r w:rsidRPr="001016DD">
        <w:rPr>
          <w:rFonts w:ascii="Arial Narrow" w:eastAsia="Times New Roman" w:hAnsi="Arial Narrow" w:cs="Times New Roman"/>
        </w:rPr>
        <w:t xml:space="preserve">, (New York: Harper &amp; Row, 1967).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Sholokhov Mikhail, </w:t>
      </w:r>
      <w:r w:rsidRPr="001016DD">
        <w:rPr>
          <w:rFonts w:ascii="Arial Narrow" w:eastAsia="Times New Roman" w:hAnsi="Arial Narrow" w:cs="Times New Roman"/>
          <w:i/>
        </w:rPr>
        <w:t>And Quiet Flows The Don</w:t>
      </w:r>
      <w:r w:rsidRPr="001016DD">
        <w:rPr>
          <w:rFonts w:ascii="Arial Narrow" w:eastAsia="Times New Roman" w:hAnsi="Arial Narrow" w:cs="Times New Roman"/>
        </w:rPr>
        <w:t xml:space="preserve">, (New York: First Vintage International, 1989).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Smith Jeremy, </w:t>
      </w:r>
      <w:r w:rsidRPr="001016DD">
        <w:rPr>
          <w:rFonts w:ascii="Arial Narrow" w:eastAsia="Times New Roman" w:hAnsi="Arial Narrow" w:cs="Times New Roman"/>
          <w:i/>
        </w:rPr>
        <w:t>The Bolsheviks and the National Question, 1917-1923</w:t>
      </w:r>
      <w:r w:rsidRPr="001016DD">
        <w:rPr>
          <w:rFonts w:ascii="Arial Narrow" w:eastAsia="Times New Roman" w:hAnsi="Arial Narrow" w:cs="Times New Roman"/>
        </w:rPr>
        <w:t xml:space="preserve">, (Basingstoke: Macmillan, 1999).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Solzhenitsyn Alexander, </w:t>
      </w:r>
      <w:r w:rsidRPr="001016DD">
        <w:rPr>
          <w:rFonts w:ascii="Arial Narrow" w:eastAsia="Times New Roman" w:hAnsi="Arial Narrow" w:cs="Times New Roman"/>
          <w:i/>
        </w:rPr>
        <w:t>1914</w:t>
      </w:r>
      <w:r w:rsidRPr="001016DD">
        <w:rPr>
          <w:rFonts w:ascii="Arial Narrow" w:eastAsia="Times New Roman" w:hAnsi="Arial Narrow" w:cs="Times New Roman"/>
        </w:rPr>
        <w:t xml:space="preserve">, Trans. by Michael Glenny, (London: Penguin, 1974).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Stachura Peter ed., </w:t>
      </w:r>
      <w:r w:rsidRPr="001016DD">
        <w:rPr>
          <w:rFonts w:ascii="Arial Narrow" w:eastAsia="Times New Roman" w:hAnsi="Arial Narrow" w:cs="Times New Roman"/>
          <w:i/>
        </w:rPr>
        <w:t>Poland Between The Wars, 1918-1939</w:t>
      </w:r>
      <w:r w:rsidRPr="001016DD">
        <w:rPr>
          <w:rFonts w:ascii="Arial Narrow" w:eastAsia="Times New Roman" w:hAnsi="Arial Narrow" w:cs="Times New Roman"/>
        </w:rPr>
        <w:t xml:space="preserve">, (Basingstoke: Macmillan, 1998).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Stone Dan, </w:t>
      </w:r>
      <w:r w:rsidRPr="001016DD">
        <w:rPr>
          <w:rFonts w:ascii="Arial Narrow" w:eastAsia="Times New Roman" w:hAnsi="Arial Narrow" w:cs="Times New Roman"/>
          <w:i/>
        </w:rPr>
        <w:t>Constructing the Holocaust: A Study in Historiography</w:t>
      </w:r>
      <w:r w:rsidRPr="001016DD">
        <w:rPr>
          <w:rFonts w:ascii="Arial Narrow" w:eastAsia="Times New Roman" w:hAnsi="Arial Narrow" w:cs="Times New Roman"/>
        </w:rPr>
        <w:t xml:space="preserve">, (London and Portland: Valentine Mitchell, 2003).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Stone Daniel ed., </w:t>
      </w:r>
      <w:r w:rsidR="00A020F5" w:rsidRPr="001016DD">
        <w:rPr>
          <w:rFonts w:ascii="Arial Narrow" w:eastAsia="Times New Roman" w:hAnsi="Arial Narrow" w:cs="Times New Roman"/>
          <w:i/>
        </w:rPr>
        <w:t xml:space="preserve">The Polish Memoirs of William </w:t>
      </w:r>
      <w:r w:rsidRPr="001016DD">
        <w:rPr>
          <w:rFonts w:ascii="Arial Narrow" w:eastAsia="Times New Roman" w:hAnsi="Arial Narrow" w:cs="Times New Roman"/>
          <w:i/>
        </w:rPr>
        <w:t>John Rose</w:t>
      </w:r>
      <w:r w:rsidRPr="001016DD">
        <w:rPr>
          <w:rFonts w:ascii="Arial Narrow" w:eastAsia="Times New Roman" w:hAnsi="Arial Narrow" w:cs="Times New Roman"/>
        </w:rPr>
        <w:t xml:space="preserve">, (Buffalo: University of Toronto Press, 1975).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Stone Norman, </w:t>
      </w:r>
      <w:r w:rsidRPr="001016DD">
        <w:rPr>
          <w:rFonts w:ascii="Arial Narrow" w:eastAsia="Times New Roman" w:hAnsi="Arial Narrow" w:cs="Times New Roman"/>
          <w:i/>
        </w:rPr>
        <w:t>Europe Transformed 1878-1919: 2</w:t>
      </w:r>
      <w:r w:rsidRPr="001016DD">
        <w:rPr>
          <w:rFonts w:ascii="Arial Narrow" w:eastAsia="Times New Roman" w:hAnsi="Arial Narrow" w:cs="Times New Roman"/>
          <w:i/>
          <w:vertAlign w:val="superscript"/>
        </w:rPr>
        <w:t>nd</w:t>
      </w:r>
      <w:r w:rsidRPr="001016DD">
        <w:rPr>
          <w:rFonts w:ascii="Arial Narrow" w:eastAsia="Times New Roman" w:hAnsi="Arial Narrow" w:cs="Times New Roman"/>
          <w:i/>
        </w:rPr>
        <w:t xml:space="preserve"> ed</w:t>
      </w:r>
      <w:r w:rsidRPr="001016DD">
        <w:rPr>
          <w:rFonts w:ascii="Arial Narrow" w:eastAsia="Times New Roman" w:hAnsi="Arial Narrow" w:cs="Times New Roman"/>
        </w:rPr>
        <w:t xml:space="preserve">., (Malden Ma and Oxford: Blackwell, 1999).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Suny Ronald Grigor ed., </w:t>
      </w:r>
      <w:r w:rsidRPr="001016DD">
        <w:rPr>
          <w:rFonts w:ascii="Arial Narrow" w:eastAsia="Times New Roman" w:hAnsi="Arial Narrow" w:cs="Times New Roman"/>
          <w:i/>
        </w:rPr>
        <w:t xml:space="preserve">The Cambridge History of Russia, Vol. </w:t>
      </w:r>
      <w:r w:rsidRPr="007D7044">
        <w:rPr>
          <w:rFonts w:ascii="Times New Roman" w:eastAsia="Times New Roman" w:hAnsi="Times New Roman" w:cs="Times New Roman"/>
          <w:i/>
        </w:rPr>
        <w:t>III,</w:t>
      </w:r>
      <w:r w:rsidRPr="001016DD">
        <w:rPr>
          <w:rFonts w:ascii="Arial Narrow" w:eastAsia="Times New Roman" w:hAnsi="Arial Narrow" w:cs="Times New Roman"/>
          <w:i/>
        </w:rPr>
        <w:t xml:space="preserve"> The Twentieth Century</w:t>
      </w:r>
      <w:r w:rsidRPr="001016DD">
        <w:rPr>
          <w:rFonts w:ascii="Arial Narrow" w:eastAsia="Times New Roman" w:hAnsi="Arial Narrow" w:cs="Times New Roman"/>
        </w:rPr>
        <w:t xml:space="preserve">, (Cambridge: Cambridge University Press, 2006).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Tagil Sven, </w:t>
      </w:r>
      <w:r w:rsidRPr="001016DD">
        <w:rPr>
          <w:rFonts w:ascii="Arial Narrow" w:eastAsia="Times New Roman" w:hAnsi="Arial Narrow" w:cs="Times New Roman"/>
          <w:i/>
        </w:rPr>
        <w:t>Regions In Central Europe: The Legacy of History</w:t>
      </w:r>
      <w:r w:rsidRPr="001016DD">
        <w:rPr>
          <w:rFonts w:ascii="Arial Narrow" w:eastAsia="Times New Roman" w:hAnsi="Arial Narrow" w:cs="Times New Roman"/>
        </w:rPr>
        <w:t xml:space="preserve">, (London: Hurst, 1999).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Taylor Sally J., </w:t>
      </w:r>
      <w:r w:rsidRPr="001016DD">
        <w:rPr>
          <w:rFonts w:ascii="Arial Narrow" w:eastAsia="Times New Roman" w:hAnsi="Arial Narrow" w:cs="Times New Roman"/>
          <w:i/>
        </w:rPr>
        <w:t xml:space="preserve">Stalin’s Apologist: Walter Duranty: The New York Times Man In Moscow, </w:t>
      </w:r>
      <w:r w:rsidRPr="001016DD">
        <w:rPr>
          <w:rFonts w:ascii="Arial Narrow" w:eastAsia="Times New Roman" w:hAnsi="Arial Narrow" w:cs="Times New Roman"/>
        </w:rPr>
        <w:t>(Oxford: Oxford University Press, 1990).</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Thaler Peter, ‘Fluid Identities in Central European Borderlands’, </w:t>
      </w:r>
      <w:r w:rsidRPr="001016DD">
        <w:rPr>
          <w:rFonts w:ascii="Arial Narrow" w:eastAsia="Times New Roman" w:hAnsi="Arial Narrow" w:cs="Times New Roman"/>
          <w:i/>
        </w:rPr>
        <w:t>European History Quarterly</w:t>
      </w:r>
      <w:r w:rsidRPr="001016DD">
        <w:rPr>
          <w:rFonts w:ascii="Arial Narrow" w:eastAsia="Times New Roman" w:hAnsi="Arial Narrow" w:cs="Times New Roman"/>
        </w:rPr>
        <w:t xml:space="preserve">, 31 4 (2001), pp. 519-548.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lastRenderedPageBreak/>
        <w:t xml:space="preserve">Turda Maruis &amp; Weindling Paul, </w:t>
      </w:r>
      <w:r w:rsidRPr="001016DD">
        <w:rPr>
          <w:rFonts w:ascii="Arial Narrow" w:eastAsia="Times New Roman" w:hAnsi="Arial Narrow" w:cs="Times New Roman"/>
          <w:i/>
        </w:rPr>
        <w:t>Blood and Homeland: Eugenics and Racial Nationalism in Central and Southeast Europe 1900-1940</w:t>
      </w:r>
      <w:r w:rsidRPr="001016DD">
        <w:rPr>
          <w:rFonts w:ascii="Arial Narrow" w:eastAsia="Times New Roman" w:hAnsi="Arial Narrow" w:cs="Times New Roman"/>
        </w:rPr>
        <w:t xml:space="preserve">, (New York and Budapest: Central European University Press, 2007).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Van Der Meer F and Lemmens G., </w:t>
      </w:r>
      <w:r w:rsidRPr="001016DD">
        <w:rPr>
          <w:rFonts w:ascii="Arial Narrow" w:eastAsia="Times New Roman" w:hAnsi="Arial Narrow" w:cs="Times New Roman"/>
          <w:i/>
        </w:rPr>
        <w:t>Shorter atlas of western civilization</w:t>
      </w:r>
      <w:r w:rsidRPr="001016DD">
        <w:rPr>
          <w:rFonts w:ascii="Arial Narrow" w:eastAsia="Times New Roman" w:hAnsi="Arial Narrow" w:cs="Times New Roman"/>
        </w:rPr>
        <w:t xml:space="preserve">, (London: Thomas Nelson, 1967).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Viola Lynne, </w:t>
      </w:r>
      <w:r w:rsidRPr="001016DD">
        <w:rPr>
          <w:rFonts w:ascii="Arial Narrow" w:eastAsia="Times New Roman" w:hAnsi="Arial Narrow" w:cs="Times New Roman"/>
          <w:i/>
        </w:rPr>
        <w:t>Peasant Rebels Under Stalin: Collectivization and the Culture of Peasant Resistance</w:t>
      </w:r>
      <w:r w:rsidRPr="001016DD">
        <w:rPr>
          <w:rFonts w:ascii="Arial Narrow" w:eastAsia="Times New Roman" w:hAnsi="Arial Narrow" w:cs="Times New Roman"/>
        </w:rPr>
        <w:t xml:space="preserve">, (Oxford: Oxford University Press, 1996).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Waldron Peter, </w:t>
      </w:r>
      <w:r w:rsidRPr="001016DD">
        <w:rPr>
          <w:rFonts w:ascii="Arial Narrow" w:eastAsia="Times New Roman" w:hAnsi="Arial Narrow" w:cs="Times New Roman"/>
          <w:i/>
        </w:rPr>
        <w:t>Governing Tsarist Russia</w:t>
      </w:r>
      <w:r w:rsidRPr="001016DD">
        <w:rPr>
          <w:rFonts w:ascii="Arial Narrow" w:eastAsia="Times New Roman" w:hAnsi="Arial Narrow" w:cs="Times New Roman"/>
        </w:rPr>
        <w:t xml:space="preserve">, (Basingstoke: Palgrave Macmillan, 2007).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Waldron Peter, </w:t>
      </w:r>
      <w:r w:rsidRPr="001016DD">
        <w:rPr>
          <w:rFonts w:ascii="Arial Narrow" w:eastAsia="Times New Roman" w:hAnsi="Arial Narrow" w:cs="Times New Roman"/>
          <w:i/>
        </w:rPr>
        <w:t>The End Of Imperial Russia, 1855-1917</w:t>
      </w:r>
      <w:r w:rsidR="00A020F5" w:rsidRPr="001016DD">
        <w:rPr>
          <w:rFonts w:ascii="Arial Narrow" w:eastAsia="Times New Roman" w:hAnsi="Arial Narrow" w:cs="Times New Roman"/>
        </w:rPr>
        <w:t xml:space="preserve">, </w:t>
      </w:r>
      <w:r w:rsidRPr="001016DD">
        <w:rPr>
          <w:rFonts w:ascii="Arial Narrow" w:eastAsia="Times New Roman" w:hAnsi="Arial Narrow" w:cs="Times New Roman"/>
        </w:rPr>
        <w:t>(Basingstoke: Palgrave Macmillan, 1997).</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lang w:val="en-US"/>
        </w:rPr>
        <w:t xml:space="preserve">Waldron Peter, </w:t>
      </w:r>
      <w:r w:rsidRPr="001016DD">
        <w:rPr>
          <w:rFonts w:ascii="Arial Narrow" w:eastAsia="Times New Roman" w:hAnsi="Arial Narrow" w:cs="Times New Roman"/>
          <w:i/>
          <w:lang w:val="en-US"/>
        </w:rPr>
        <w:t xml:space="preserve">The Russian Economy, 1861-1932, </w:t>
      </w:r>
      <w:r w:rsidRPr="001016DD">
        <w:rPr>
          <w:rFonts w:ascii="Arial Narrow" w:eastAsia="Times New Roman" w:hAnsi="Arial Narrow" w:cs="Times New Roman"/>
          <w:lang w:val="en-US"/>
        </w:rPr>
        <w:t xml:space="preserve">(2009).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Weber Eugene, </w:t>
      </w:r>
      <w:r w:rsidRPr="001016DD">
        <w:rPr>
          <w:rFonts w:ascii="Arial Narrow" w:eastAsia="Times New Roman" w:hAnsi="Arial Narrow" w:cs="Times New Roman"/>
          <w:i/>
        </w:rPr>
        <w:t>Peasants Into Frenchmen</w:t>
      </w:r>
      <w:r w:rsidRPr="001016DD">
        <w:rPr>
          <w:rFonts w:ascii="Arial Narrow" w:eastAsia="Times New Roman" w:hAnsi="Arial Narrow" w:cs="Times New Roman"/>
        </w:rPr>
        <w:t xml:space="preserve">, (London: Chatto &amp; Windus, 1976).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Weindling Paul, </w:t>
      </w:r>
      <w:r w:rsidRPr="001016DD">
        <w:rPr>
          <w:rFonts w:ascii="Arial Narrow" w:eastAsia="Times New Roman" w:hAnsi="Arial Narrow" w:cs="Times New Roman"/>
          <w:i/>
        </w:rPr>
        <w:t>Epidemics and Genocide in Eastern Europe, 1890-1945</w:t>
      </w:r>
      <w:r w:rsidRPr="001016DD">
        <w:rPr>
          <w:rFonts w:ascii="Arial Narrow" w:eastAsia="Times New Roman" w:hAnsi="Arial Narrow" w:cs="Times New Roman"/>
        </w:rPr>
        <w:t xml:space="preserve">, (Oxford: Oxford university Press, 2000).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Weiner Amir, </w:t>
      </w:r>
      <w:r w:rsidRPr="001016DD">
        <w:rPr>
          <w:rFonts w:ascii="Arial Narrow" w:eastAsia="Times New Roman" w:hAnsi="Arial Narrow" w:cs="Times New Roman"/>
          <w:i/>
        </w:rPr>
        <w:t>Landscaping the Human Garden: Twentieth-Century Population Management in a Comparative Framework</w:t>
      </w:r>
      <w:r w:rsidRPr="001016DD">
        <w:rPr>
          <w:rFonts w:ascii="Arial Narrow" w:eastAsia="Times New Roman" w:hAnsi="Arial Narrow" w:cs="Times New Roman"/>
        </w:rPr>
        <w:t xml:space="preserve">, (Stanford: Stanford University Press, 2003). </w:t>
      </w:r>
    </w:p>
    <w:p w:rsidR="00CB2E54" w:rsidRPr="001016DD" w:rsidRDefault="00CB2E54" w:rsidP="003D2CE4">
      <w:pPr>
        <w:autoSpaceDE w:val="0"/>
        <w:autoSpaceDN w:val="0"/>
        <w:adjustRightInd w:val="0"/>
        <w:spacing w:after="0" w:line="480" w:lineRule="auto"/>
        <w:jc w:val="both"/>
        <w:rPr>
          <w:rFonts w:ascii="Arial Narrow" w:eastAsia="Times New Roman" w:hAnsi="Arial Narrow" w:cs="Arial"/>
          <w:color w:val="000000"/>
          <w:lang w:val="en-US"/>
        </w:rPr>
      </w:pPr>
      <w:r w:rsidRPr="001016DD">
        <w:rPr>
          <w:rFonts w:ascii="Arial Narrow" w:eastAsia="Times New Roman" w:hAnsi="Arial Narrow" w:cs="Arial"/>
          <w:color w:val="000000"/>
          <w:lang w:val="en-US"/>
        </w:rPr>
        <w:t xml:space="preserve">Wilson Andrew, </w:t>
      </w:r>
      <w:r w:rsidRPr="001016DD">
        <w:rPr>
          <w:rFonts w:ascii="Arial Narrow" w:eastAsia="Times New Roman" w:hAnsi="Arial Narrow" w:cs="Arial"/>
          <w:i/>
          <w:color w:val="000000"/>
          <w:lang w:val="en-US"/>
        </w:rPr>
        <w:t>The Ukrainians: Unexpected Nation</w:t>
      </w:r>
      <w:r w:rsidRPr="001016DD">
        <w:rPr>
          <w:rFonts w:ascii="Arial Narrow" w:eastAsia="Times New Roman" w:hAnsi="Arial Narrow" w:cs="Arial"/>
          <w:color w:val="000000"/>
          <w:lang w:val="en-US"/>
        </w:rPr>
        <w:t xml:space="preserve">, (New Haven &amp; London: Yale University Press, 2000). </w:t>
      </w:r>
    </w:p>
    <w:p w:rsidR="00CB2E54" w:rsidRPr="001016DD" w:rsidRDefault="00CB2E54" w:rsidP="003D2CE4">
      <w:pPr>
        <w:spacing w:after="0" w:line="480" w:lineRule="auto"/>
        <w:jc w:val="both"/>
        <w:rPr>
          <w:rFonts w:ascii="Arial Narrow" w:eastAsia="Times New Roman" w:hAnsi="Arial Narrow" w:cs="Times New Roman"/>
        </w:rPr>
      </w:pPr>
      <w:r w:rsidRPr="001016DD">
        <w:rPr>
          <w:rFonts w:ascii="Arial Narrow" w:eastAsia="Times New Roman" w:hAnsi="Arial Narrow" w:cs="Times New Roman"/>
        </w:rPr>
        <w:t xml:space="preserve">Wood Alan, </w:t>
      </w:r>
      <w:r w:rsidRPr="001016DD">
        <w:rPr>
          <w:rFonts w:ascii="Arial Narrow" w:eastAsia="Times New Roman" w:hAnsi="Arial Narrow" w:cs="Times New Roman"/>
          <w:i/>
        </w:rPr>
        <w:t>Stalin and Stalinism</w:t>
      </w:r>
      <w:r w:rsidRPr="001016DD">
        <w:rPr>
          <w:rFonts w:ascii="Arial Narrow" w:eastAsia="Times New Roman" w:hAnsi="Arial Narrow" w:cs="Times New Roman"/>
        </w:rPr>
        <w:t xml:space="preserve">, (Abingdon: Routledge, 1990). </w:t>
      </w:r>
    </w:p>
    <w:p w:rsidR="00CB2E54" w:rsidRPr="00B63377" w:rsidRDefault="00CB2E54" w:rsidP="003D2CE4">
      <w:pPr>
        <w:jc w:val="both"/>
        <w:rPr>
          <w:rFonts w:ascii="Arial Narrow" w:hAnsi="Arial Narrow"/>
        </w:rPr>
      </w:pPr>
    </w:p>
    <w:sectPr w:rsidR="00CB2E54" w:rsidRPr="00B63377" w:rsidSect="00A02344">
      <w:footerReference w:type="even" r:id="rId31"/>
      <w:footerReference w:type="default" r:id="rId32"/>
      <w:pgSz w:w="12240" w:h="15840"/>
      <w:pgMar w:top="1440" w:right="1800" w:bottom="1440" w:left="1800" w:header="708" w:footer="708"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10E8" w:rsidRDefault="00FD10E8" w:rsidP="00273DD8">
      <w:pPr>
        <w:spacing w:after="0" w:line="240" w:lineRule="auto"/>
      </w:pPr>
      <w:r>
        <w:separator/>
      </w:r>
    </w:p>
  </w:endnote>
  <w:endnote w:type="continuationSeparator" w:id="0">
    <w:p w:rsidR="00FD10E8" w:rsidRDefault="00FD10E8" w:rsidP="00273D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61002A87" w:usb1="80000000" w:usb2="00000008" w:usb3="00000000" w:csb0="000101FF" w:csb1="00000000"/>
  </w:font>
  <w:font w:name="Code">
    <w:altName w:val="Code"/>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6405" w:rsidRDefault="00946405" w:rsidP="00A0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946405" w:rsidRDefault="009464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6405" w:rsidRDefault="00946405" w:rsidP="00A0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F07E8">
      <w:rPr>
        <w:rStyle w:val="PageNumber"/>
        <w:noProof/>
      </w:rPr>
      <w:t>- 1 -</w:t>
    </w:r>
    <w:r>
      <w:rPr>
        <w:rStyle w:val="PageNumber"/>
      </w:rPr>
      <w:fldChar w:fldCharType="end"/>
    </w:r>
  </w:p>
  <w:p w:rsidR="00946405" w:rsidRDefault="0094640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10E8" w:rsidRDefault="00FD10E8" w:rsidP="00273DD8">
      <w:pPr>
        <w:spacing w:after="0" w:line="240" w:lineRule="auto"/>
      </w:pPr>
      <w:r>
        <w:separator/>
      </w:r>
    </w:p>
  </w:footnote>
  <w:footnote w:type="continuationSeparator" w:id="0">
    <w:p w:rsidR="00FD10E8" w:rsidRDefault="00FD10E8" w:rsidP="00273DD8">
      <w:pPr>
        <w:spacing w:after="0" w:line="240" w:lineRule="auto"/>
      </w:pPr>
      <w:r>
        <w:continuationSeparator/>
      </w:r>
    </w:p>
  </w:footnote>
  <w:footnote w:id="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Francis Bacon, </w:t>
      </w:r>
      <w:r w:rsidRPr="001B6FE5">
        <w:rPr>
          <w:rFonts w:ascii="Arial" w:hAnsi="Arial" w:cs="Arial"/>
          <w:i/>
          <w:sz w:val="18"/>
          <w:szCs w:val="18"/>
        </w:rPr>
        <w:t>The New Organon</w:t>
      </w:r>
      <w:r w:rsidRPr="001B6FE5">
        <w:rPr>
          <w:rFonts w:ascii="Arial" w:hAnsi="Arial" w:cs="Arial"/>
          <w:sz w:val="18"/>
          <w:szCs w:val="18"/>
        </w:rPr>
        <w:t xml:space="preserve">, Aphorisms, Book I, No. XLI. (Indianapolis: Bobbs-Merril, 1960). </w:t>
      </w:r>
    </w:p>
  </w:footnote>
  <w:footnote w:id="2">
    <w:p w:rsidR="00946405" w:rsidRPr="001B6FE5" w:rsidRDefault="00946405" w:rsidP="00280F5C">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Leon Brittan, </w:t>
      </w:r>
      <w:r w:rsidRPr="001B6FE5">
        <w:rPr>
          <w:rFonts w:ascii="Arial" w:hAnsi="Arial" w:cs="Arial"/>
          <w:i/>
          <w:sz w:val="18"/>
          <w:szCs w:val="18"/>
        </w:rPr>
        <w:t>Europe: The Europe We Need</w:t>
      </w:r>
      <w:r w:rsidRPr="001B6FE5">
        <w:rPr>
          <w:rFonts w:ascii="Arial" w:hAnsi="Arial" w:cs="Arial"/>
          <w:sz w:val="18"/>
          <w:szCs w:val="18"/>
        </w:rPr>
        <w:t xml:space="preserve">, (Harmondsworth: London, 1994), p. 13. </w:t>
      </w:r>
    </w:p>
  </w:footnote>
  <w:footnote w:id="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t xml:space="preserve">3 </w:t>
      </w:r>
      <w:r w:rsidRPr="001B6FE5">
        <w:rPr>
          <w:rFonts w:ascii="Arial" w:hAnsi="Arial" w:cs="Arial"/>
          <w:sz w:val="18"/>
          <w:szCs w:val="18"/>
        </w:rPr>
        <w:t>Berend makes the point that, to step out of a strictly defined geographical area is permissible if the historical development show ‘a basic similarity’; Ivan T.Berend,</w:t>
      </w:r>
      <w:r w:rsidRPr="001B6FE5">
        <w:rPr>
          <w:rFonts w:ascii="Arial" w:hAnsi="Arial" w:cs="Arial"/>
          <w:i/>
          <w:sz w:val="18"/>
          <w:szCs w:val="18"/>
        </w:rPr>
        <w:t xml:space="preserve"> The crisis zone of Europe: an interpretation of East-Central European History in the first half of the twentieth century</w:t>
      </w:r>
      <w:r w:rsidRPr="001B6FE5">
        <w:rPr>
          <w:rFonts w:ascii="Arial" w:hAnsi="Arial" w:cs="Arial"/>
          <w:sz w:val="18"/>
          <w:szCs w:val="18"/>
        </w:rPr>
        <w:t xml:space="preserve">, (Cambridge: Cambridge University Press, 1986), p. 26. </w:t>
      </w:r>
    </w:p>
  </w:footnote>
  <w:footnote w:id="4">
    <w:p w:rsidR="00946405" w:rsidRDefault="00946405">
      <w:pPr>
        <w:pStyle w:val="FootnoteText"/>
      </w:pPr>
      <w:r>
        <w:rPr>
          <w:rStyle w:val="FootnoteReference"/>
        </w:rPr>
        <w:footnoteRef/>
      </w:r>
      <w:r>
        <w:t xml:space="preserve"> </w:t>
      </w:r>
      <w:r w:rsidRPr="00006300">
        <w:rPr>
          <w:rFonts w:ascii="Arial" w:hAnsi="Arial" w:cs="Arial"/>
          <w:sz w:val="18"/>
          <w:szCs w:val="18"/>
        </w:rPr>
        <w:t xml:space="preserve">Cathie Carmichael, </w:t>
      </w:r>
      <w:r w:rsidRPr="00F30A93">
        <w:rPr>
          <w:rFonts w:ascii="Arial" w:hAnsi="Arial" w:cs="Arial"/>
          <w:i/>
          <w:sz w:val="18"/>
          <w:szCs w:val="18"/>
        </w:rPr>
        <w:t>Genocide Before The Holocaust</w:t>
      </w:r>
      <w:r w:rsidRPr="00006300">
        <w:rPr>
          <w:rFonts w:ascii="Arial" w:hAnsi="Arial" w:cs="Arial"/>
          <w:sz w:val="18"/>
          <w:szCs w:val="18"/>
        </w:rPr>
        <w:t>, (New Haven &amp; London: Yale University Press), p. 67.</w:t>
      </w:r>
      <w:r>
        <w:t xml:space="preserve"> </w:t>
      </w:r>
    </w:p>
  </w:footnote>
  <w:footnote w:id="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Lonnie R. Johnson, </w:t>
      </w:r>
      <w:r w:rsidRPr="001B6FE5">
        <w:rPr>
          <w:rFonts w:ascii="Arial" w:hAnsi="Arial" w:cs="Arial"/>
          <w:i/>
          <w:sz w:val="18"/>
          <w:szCs w:val="18"/>
        </w:rPr>
        <w:t>Central Europe: Enemies, Neighbours, Friends</w:t>
      </w:r>
      <w:r w:rsidRPr="001B6FE5">
        <w:rPr>
          <w:rFonts w:ascii="Arial" w:hAnsi="Arial" w:cs="Arial"/>
          <w:sz w:val="18"/>
          <w:szCs w:val="18"/>
        </w:rPr>
        <w:t xml:space="preserve">, (New York &amp; Oxford: Oxford University Press, 1996), pp. 27-44. </w:t>
      </w:r>
    </w:p>
  </w:footnote>
  <w:footnote w:id="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Johnson, </w:t>
      </w:r>
      <w:r w:rsidRPr="001B6FE5">
        <w:rPr>
          <w:rFonts w:ascii="Arial" w:hAnsi="Arial" w:cs="Arial"/>
          <w:i/>
          <w:sz w:val="18"/>
          <w:szCs w:val="18"/>
        </w:rPr>
        <w:t>Central Europe: Enemies, Neighbours, Friends</w:t>
      </w:r>
      <w:r w:rsidRPr="001B6FE5">
        <w:rPr>
          <w:rFonts w:ascii="Arial" w:hAnsi="Arial" w:cs="Arial"/>
          <w:sz w:val="18"/>
          <w:szCs w:val="18"/>
        </w:rPr>
        <w:t xml:space="preserve">, pp. 64-148. It was almost all ways ‘he’ in a still largely patriarchal society. </w:t>
      </w:r>
    </w:p>
  </w:footnote>
  <w:footnote w:id="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Amir Weiner ed., </w:t>
      </w:r>
      <w:r w:rsidRPr="001B6FE5">
        <w:rPr>
          <w:rFonts w:ascii="Arial" w:hAnsi="Arial" w:cs="Arial"/>
          <w:i/>
          <w:sz w:val="18"/>
          <w:szCs w:val="18"/>
        </w:rPr>
        <w:t>Landscaping the Human Garden: Twentieth-Century Population Management in a Comparative Framework</w:t>
      </w:r>
      <w:r w:rsidRPr="001B6FE5">
        <w:rPr>
          <w:rFonts w:ascii="Arial" w:hAnsi="Arial" w:cs="Arial"/>
          <w:sz w:val="18"/>
          <w:szCs w:val="18"/>
        </w:rPr>
        <w:t xml:space="preserve">, (Stanford: Stanford University Press, 2003), p. 3; See also James Scott, </w:t>
      </w:r>
      <w:r w:rsidRPr="001B6FE5">
        <w:rPr>
          <w:rFonts w:ascii="Arial" w:hAnsi="Arial" w:cs="Arial"/>
          <w:i/>
          <w:sz w:val="18"/>
          <w:szCs w:val="18"/>
        </w:rPr>
        <w:t>Seeing like a state</w:t>
      </w:r>
      <w:r w:rsidRPr="001B6FE5">
        <w:rPr>
          <w:rFonts w:ascii="Arial" w:hAnsi="Arial" w:cs="Arial"/>
          <w:sz w:val="18"/>
          <w:szCs w:val="18"/>
        </w:rPr>
        <w:t xml:space="preserve">, (Yale University Press, 1998). </w:t>
      </w:r>
    </w:p>
  </w:footnote>
  <w:footnote w:id="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Pr>
          <w:rFonts w:ascii="Arial" w:hAnsi="Arial" w:cs="Arial"/>
          <w:sz w:val="18"/>
          <w:szCs w:val="18"/>
        </w:rPr>
        <w:t xml:space="preserve"> </w:t>
      </w:r>
      <w:r w:rsidRPr="001B6FE5">
        <w:rPr>
          <w:rFonts w:ascii="Arial" w:hAnsi="Arial" w:cs="Arial"/>
          <w:sz w:val="18"/>
          <w:szCs w:val="18"/>
        </w:rPr>
        <w:t xml:space="preserve">Weiner ed., </w:t>
      </w:r>
      <w:r w:rsidRPr="001B6FE5">
        <w:rPr>
          <w:rFonts w:ascii="Arial" w:hAnsi="Arial" w:cs="Arial"/>
          <w:i/>
          <w:sz w:val="18"/>
          <w:szCs w:val="18"/>
        </w:rPr>
        <w:t>Landscaping the Human Garden</w:t>
      </w:r>
      <w:r w:rsidRPr="001B6FE5">
        <w:rPr>
          <w:rFonts w:ascii="Arial" w:hAnsi="Arial" w:cs="Arial"/>
          <w:sz w:val="18"/>
          <w:szCs w:val="18"/>
        </w:rPr>
        <w:t xml:space="preserve">, (Stanford: Stanford University Press, 2003), p. 4.  </w:t>
      </w:r>
    </w:p>
  </w:footnote>
  <w:footnote w:id="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Istvan Deak, ‘How to Construct a Productive, Disciplined, Monoethnic Society: The Dilemma of East Central Europe, 1914-1956’; in Weiner, </w:t>
      </w:r>
      <w:r w:rsidRPr="001B6FE5">
        <w:rPr>
          <w:rFonts w:ascii="Arial" w:hAnsi="Arial" w:cs="Arial"/>
          <w:i/>
          <w:sz w:val="18"/>
          <w:szCs w:val="18"/>
        </w:rPr>
        <w:t>Landscaping the Human Garden</w:t>
      </w:r>
      <w:r w:rsidRPr="001B6FE5">
        <w:rPr>
          <w:rFonts w:ascii="Arial" w:hAnsi="Arial" w:cs="Arial"/>
          <w:sz w:val="18"/>
          <w:szCs w:val="18"/>
        </w:rPr>
        <w:t xml:space="preserve">, p. 211. </w:t>
      </w:r>
    </w:p>
  </w:footnote>
  <w:footnote w:id="1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Deak, pp. 205-217. I have used east-Central Europe rather than ‘Central Europe’ - which could include all of Germany - or Eastern Europe - often seen as delineating the area beyond the ‘Iron Curtain’ whilst it existed. East-Central Europe is what is left minus the Balkans and post Communist Russia. </w:t>
      </w:r>
    </w:p>
  </w:footnote>
  <w:footnote w:id="1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Johnson, </w:t>
      </w:r>
      <w:r w:rsidRPr="001B6FE5">
        <w:rPr>
          <w:rFonts w:ascii="Arial" w:hAnsi="Arial" w:cs="Arial"/>
          <w:i/>
          <w:sz w:val="18"/>
          <w:szCs w:val="18"/>
        </w:rPr>
        <w:t>Central Europe</w:t>
      </w:r>
      <w:r w:rsidRPr="001B6FE5">
        <w:rPr>
          <w:rFonts w:ascii="Arial" w:hAnsi="Arial" w:cs="Arial"/>
          <w:sz w:val="18"/>
          <w:szCs w:val="18"/>
        </w:rPr>
        <w:t xml:space="preserve">, pp. 195-196. </w:t>
      </w:r>
    </w:p>
  </w:footnote>
  <w:footnote w:id="1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Steve J.Zipperstein, ‘Russian Maskilim and the City’ in David Berger ed., </w:t>
      </w:r>
      <w:r w:rsidRPr="001B6FE5">
        <w:rPr>
          <w:rFonts w:ascii="Arial" w:hAnsi="Arial" w:cs="Arial"/>
          <w:i/>
          <w:sz w:val="18"/>
          <w:szCs w:val="18"/>
        </w:rPr>
        <w:t>The Legacy Of Jewish Migration: 1881 And Its Impact</w:t>
      </w:r>
      <w:r w:rsidRPr="001B6FE5">
        <w:rPr>
          <w:rFonts w:ascii="Arial" w:hAnsi="Arial" w:cs="Arial"/>
          <w:sz w:val="18"/>
          <w:szCs w:val="18"/>
        </w:rPr>
        <w:t xml:space="preserve">, (New York: Columbia University Press, 1983), pp. 31-33. </w:t>
      </w:r>
    </w:p>
  </w:footnote>
  <w:footnote w:id="13">
    <w:p w:rsidR="00946405" w:rsidRDefault="00946405">
      <w:pPr>
        <w:pStyle w:val="FootnoteText"/>
      </w:pPr>
      <w:r>
        <w:rPr>
          <w:rStyle w:val="FootnoteReference"/>
        </w:rPr>
        <w:footnoteRef/>
      </w:r>
      <w:r>
        <w:t xml:space="preserve"> </w:t>
      </w:r>
      <w:r w:rsidRPr="00CD4F0A">
        <w:rPr>
          <w:rFonts w:ascii="Arial" w:hAnsi="Arial" w:cs="Arial"/>
          <w:sz w:val="18"/>
          <w:szCs w:val="18"/>
        </w:rPr>
        <w:t xml:space="preserve">Dean S.Rugg, </w:t>
      </w:r>
      <w:r w:rsidRPr="0075279E">
        <w:rPr>
          <w:rFonts w:ascii="Arial" w:hAnsi="Arial" w:cs="Arial"/>
          <w:i/>
          <w:sz w:val="18"/>
          <w:szCs w:val="18"/>
        </w:rPr>
        <w:t>Eastern Europe</w:t>
      </w:r>
      <w:r w:rsidRPr="00CD4F0A">
        <w:rPr>
          <w:rFonts w:ascii="Arial" w:hAnsi="Arial" w:cs="Arial"/>
          <w:sz w:val="18"/>
          <w:szCs w:val="18"/>
        </w:rPr>
        <w:t>, (Harlow: Longman, 1985), p. 198.</w:t>
      </w:r>
      <w:r>
        <w:t xml:space="preserve"> </w:t>
      </w:r>
    </w:p>
  </w:footnote>
  <w:footnote w:id="1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2E0AB6">
        <w:rPr>
          <w:rFonts w:ascii="Arial" w:hAnsi="Arial" w:cs="Arial"/>
          <w:i/>
          <w:sz w:val="18"/>
          <w:szCs w:val="18"/>
        </w:rPr>
        <w:t>CAB/24/221</w:t>
      </w:r>
      <w:r w:rsidRPr="001B6FE5">
        <w:rPr>
          <w:rFonts w:ascii="Arial" w:hAnsi="Arial" w:cs="Arial"/>
          <w:sz w:val="18"/>
          <w:szCs w:val="18"/>
        </w:rPr>
        <w:t xml:space="preserve">, Robert Vansittart: An Aspect of International relations 1931; See Lonnie R. Johnson, </w:t>
      </w:r>
      <w:r w:rsidRPr="001B6FE5">
        <w:rPr>
          <w:rFonts w:ascii="Arial" w:hAnsi="Arial" w:cs="Arial"/>
          <w:i/>
          <w:sz w:val="18"/>
          <w:szCs w:val="18"/>
        </w:rPr>
        <w:t>Central Europe</w:t>
      </w:r>
      <w:r w:rsidRPr="001B6FE5">
        <w:rPr>
          <w:rFonts w:ascii="Arial" w:hAnsi="Arial" w:cs="Arial"/>
          <w:sz w:val="18"/>
          <w:szCs w:val="18"/>
        </w:rPr>
        <w:t xml:space="preserve"> and Herder’s ‘unique collective soul’, pp. 130-136. </w:t>
      </w:r>
    </w:p>
  </w:footnote>
  <w:footnote w:id="1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Howard Aster &amp; Peter J.Potichnyj, </w:t>
      </w:r>
      <w:r w:rsidRPr="001B6FE5">
        <w:rPr>
          <w:rFonts w:ascii="Arial" w:hAnsi="Arial" w:cs="Arial"/>
          <w:i/>
          <w:sz w:val="18"/>
          <w:szCs w:val="18"/>
        </w:rPr>
        <w:t>Jewish –Ukrainian Relations: Two Solitudes, 2</w:t>
      </w:r>
      <w:r w:rsidRPr="001B6FE5">
        <w:rPr>
          <w:rFonts w:ascii="Arial" w:hAnsi="Arial" w:cs="Arial"/>
          <w:i/>
          <w:sz w:val="18"/>
          <w:szCs w:val="18"/>
          <w:vertAlign w:val="superscript"/>
        </w:rPr>
        <w:t>nd</w:t>
      </w:r>
      <w:r w:rsidRPr="001B6FE5">
        <w:rPr>
          <w:rFonts w:ascii="Arial" w:hAnsi="Arial" w:cs="Arial"/>
          <w:i/>
          <w:sz w:val="18"/>
          <w:szCs w:val="18"/>
        </w:rPr>
        <w:t xml:space="preserve"> Ed</w:t>
      </w:r>
      <w:r w:rsidRPr="001B6FE5">
        <w:rPr>
          <w:rFonts w:ascii="Arial" w:hAnsi="Arial" w:cs="Arial"/>
          <w:sz w:val="18"/>
          <w:szCs w:val="18"/>
        </w:rPr>
        <w:t xml:space="preserve">., (Ontario: Mosaic Press, 1987), pp. 16-21. </w:t>
      </w:r>
    </w:p>
  </w:footnote>
  <w:footnote w:id="1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Richard &amp; Ben Crampton, </w:t>
      </w:r>
      <w:r w:rsidRPr="001B6FE5">
        <w:rPr>
          <w:rFonts w:ascii="Arial" w:hAnsi="Arial" w:cs="Arial"/>
          <w:i/>
          <w:sz w:val="18"/>
          <w:szCs w:val="18"/>
        </w:rPr>
        <w:t>Atlas of Eastern Europe in the Twentieth Century</w:t>
      </w:r>
      <w:r w:rsidRPr="001B6FE5">
        <w:rPr>
          <w:rFonts w:ascii="Arial" w:hAnsi="Arial" w:cs="Arial"/>
          <w:sz w:val="18"/>
          <w:szCs w:val="18"/>
        </w:rPr>
        <w:t xml:space="preserve">, (London: Routledge, 1996), p. 98; Kate Brown, </w:t>
      </w:r>
      <w:r w:rsidRPr="001B6FE5">
        <w:rPr>
          <w:rFonts w:ascii="Arial" w:hAnsi="Arial" w:cs="Arial"/>
          <w:i/>
          <w:sz w:val="18"/>
          <w:szCs w:val="18"/>
        </w:rPr>
        <w:t>Biography Of No Place: From Ethnic Borderland To Soviet Heartland</w:t>
      </w:r>
      <w:r w:rsidRPr="001B6FE5">
        <w:rPr>
          <w:rFonts w:ascii="Arial" w:hAnsi="Arial" w:cs="Arial"/>
          <w:sz w:val="18"/>
          <w:szCs w:val="18"/>
        </w:rPr>
        <w:t xml:space="preserve">, (Cambridge MA and London: Harvard University Press, 2003), pp. 1-17. </w:t>
      </w:r>
    </w:p>
  </w:footnote>
  <w:footnote w:id="1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Pr>
          <w:rFonts w:ascii="Arial" w:hAnsi="Arial" w:cs="Arial"/>
          <w:i/>
          <w:sz w:val="18"/>
          <w:szCs w:val="18"/>
        </w:rPr>
        <w:t xml:space="preserve">, </w:t>
      </w:r>
      <w:r w:rsidRPr="001B6FE5">
        <w:rPr>
          <w:rFonts w:ascii="Arial" w:hAnsi="Arial" w:cs="Arial"/>
          <w:sz w:val="18"/>
          <w:szCs w:val="18"/>
        </w:rPr>
        <w:t xml:space="preserve">p. 112. </w:t>
      </w:r>
    </w:p>
  </w:footnote>
  <w:footnote w:id="1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Richard Blanke, </w:t>
      </w:r>
      <w:r w:rsidRPr="001B6FE5">
        <w:rPr>
          <w:rFonts w:ascii="Arial" w:hAnsi="Arial" w:cs="Arial"/>
          <w:i/>
          <w:sz w:val="18"/>
          <w:szCs w:val="18"/>
        </w:rPr>
        <w:t>Orphans of Versailles: The Germans in Western Poland 1918-1939</w:t>
      </w:r>
      <w:r w:rsidRPr="001B6FE5">
        <w:rPr>
          <w:rFonts w:ascii="Arial" w:hAnsi="Arial" w:cs="Arial"/>
          <w:sz w:val="18"/>
          <w:szCs w:val="18"/>
        </w:rPr>
        <w:t xml:space="preserve">, (Lexington: University of Kentucky Press, 1993), p. 158; </w:t>
      </w:r>
      <w:r w:rsidRPr="001B6FE5">
        <w:rPr>
          <w:rFonts w:ascii="Arial" w:hAnsi="Arial" w:cs="Arial"/>
          <w:i/>
          <w:sz w:val="18"/>
          <w:szCs w:val="18"/>
        </w:rPr>
        <w:t>The Manchester Guardian</w:t>
      </w:r>
      <w:r w:rsidRPr="001B6FE5">
        <w:rPr>
          <w:rFonts w:ascii="Arial" w:hAnsi="Arial" w:cs="Arial"/>
          <w:sz w:val="18"/>
          <w:szCs w:val="18"/>
        </w:rPr>
        <w:t xml:space="preserve">, reporting on Kurt Graebe and others in April 1930, concluded ‘there is no doubt about the complete innocence of the accused [or] about the loyal behaviour of the German Minority population vs. the Polish State,’ p. 101. </w:t>
      </w:r>
    </w:p>
  </w:footnote>
  <w:footnote w:id="1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CAB/24/229/C.P.101</w:t>
      </w:r>
      <w:r w:rsidRPr="001B6FE5">
        <w:rPr>
          <w:rFonts w:ascii="Arial" w:hAnsi="Arial" w:cs="Arial"/>
          <w:sz w:val="18"/>
          <w:szCs w:val="18"/>
        </w:rPr>
        <w:t xml:space="preserve">, March 1932. </w:t>
      </w:r>
    </w:p>
  </w:footnote>
  <w:footnote w:id="2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Edward Acton &amp; Tom Stableford, </w:t>
      </w:r>
      <w:r w:rsidRPr="001B6FE5">
        <w:rPr>
          <w:rFonts w:ascii="Arial" w:hAnsi="Arial" w:cs="Arial"/>
          <w:i/>
          <w:sz w:val="18"/>
          <w:szCs w:val="18"/>
        </w:rPr>
        <w:t>The Soviet Union: A Documentary History Vol.1 1917-1940</w:t>
      </w:r>
      <w:r w:rsidRPr="001B6FE5">
        <w:rPr>
          <w:rFonts w:ascii="Arial" w:hAnsi="Arial" w:cs="Arial"/>
          <w:sz w:val="18"/>
          <w:szCs w:val="18"/>
        </w:rPr>
        <w:t xml:space="preserve">, (Exeter: Exeter University Press, 2005), p. 189. </w:t>
      </w:r>
    </w:p>
  </w:footnote>
  <w:footnote w:id="2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Jeremy Smith, </w:t>
      </w:r>
      <w:r w:rsidRPr="001B6FE5">
        <w:rPr>
          <w:rFonts w:ascii="Arial" w:hAnsi="Arial" w:cs="Arial"/>
          <w:i/>
          <w:sz w:val="18"/>
          <w:szCs w:val="18"/>
        </w:rPr>
        <w:t>The Bolsheviks and the National Question 1917-1923</w:t>
      </w:r>
      <w:r w:rsidRPr="001B6FE5">
        <w:rPr>
          <w:rFonts w:ascii="Arial" w:hAnsi="Arial" w:cs="Arial"/>
          <w:sz w:val="18"/>
          <w:szCs w:val="18"/>
        </w:rPr>
        <w:t xml:space="preserve">, (Basingstoke: Macmillan, 1999), pp. 7-19, 239; Orlando Figes, </w:t>
      </w:r>
      <w:r w:rsidRPr="001B6FE5">
        <w:rPr>
          <w:rFonts w:ascii="Arial" w:hAnsi="Arial" w:cs="Arial"/>
          <w:i/>
          <w:sz w:val="18"/>
          <w:szCs w:val="18"/>
        </w:rPr>
        <w:t>A Peoples Tragedy: The Russian Revolution 1891-1924</w:t>
      </w:r>
      <w:r w:rsidRPr="001B6FE5">
        <w:rPr>
          <w:rFonts w:ascii="Arial" w:hAnsi="Arial" w:cs="Arial"/>
          <w:sz w:val="18"/>
          <w:szCs w:val="18"/>
        </w:rPr>
        <w:t xml:space="preserve">, (London: Pimlico, 1997), pp. 704-716; </w:t>
      </w:r>
      <w:r w:rsidRPr="001B6FE5">
        <w:rPr>
          <w:rFonts w:ascii="Arial" w:hAnsi="Arial" w:cs="Arial"/>
          <w:i/>
          <w:sz w:val="18"/>
          <w:szCs w:val="18"/>
        </w:rPr>
        <w:t>The War and Russian Social Democracy</w:t>
      </w:r>
      <w:r w:rsidRPr="001B6FE5">
        <w:rPr>
          <w:rFonts w:ascii="Arial" w:hAnsi="Arial" w:cs="Arial"/>
          <w:sz w:val="18"/>
          <w:szCs w:val="18"/>
        </w:rPr>
        <w:t xml:space="preserve"> (1914) in Christopher Read,</w:t>
      </w:r>
      <w:r w:rsidRPr="001B6FE5">
        <w:rPr>
          <w:rFonts w:ascii="Arial" w:hAnsi="Arial" w:cs="Arial"/>
          <w:i/>
          <w:sz w:val="18"/>
          <w:szCs w:val="18"/>
        </w:rPr>
        <w:t xml:space="preserve"> Lenin</w:t>
      </w:r>
      <w:r w:rsidRPr="001B6FE5">
        <w:rPr>
          <w:rFonts w:ascii="Arial" w:hAnsi="Arial" w:cs="Arial"/>
          <w:sz w:val="18"/>
          <w:szCs w:val="18"/>
        </w:rPr>
        <w:t xml:space="preserve">, (Abingdon: Routledge, 2005), p. 111. </w:t>
      </w:r>
    </w:p>
  </w:footnote>
  <w:footnote w:id="2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Reed,</w:t>
      </w:r>
      <w:r w:rsidRPr="001B6FE5">
        <w:rPr>
          <w:rFonts w:ascii="Arial" w:hAnsi="Arial" w:cs="Arial"/>
          <w:i/>
          <w:sz w:val="18"/>
          <w:szCs w:val="18"/>
        </w:rPr>
        <w:t xml:space="preserve"> Lenin</w:t>
      </w:r>
      <w:r w:rsidRPr="001B6FE5">
        <w:rPr>
          <w:rFonts w:ascii="Arial" w:hAnsi="Arial" w:cs="Arial"/>
          <w:sz w:val="18"/>
          <w:szCs w:val="18"/>
        </w:rPr>
        <w:t xml:space="preserve">, pp. 222-227. </w:t>
      </w:r>
    </w:p>
  </w:footnote>
  <w:footnote w:id="2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Jeremy Smith, ‘Stalin as Commissar for Nationality Affairs’, in Sarah Davies and James Harris, </w:t>
      </w:r>
      <w:r w:rsidRPr="002E0AB6">
        <w:rPr>
          <w:rFonts w:ascii="Arial" w:hAnsi="Arial" w:cs="Arial"/>
          <w:i/>
          <w:sz w:val="18"/>
          <w:szCs w:val="18"/>
        </w:rPr>
        <w:t>Stalin: A New History</w:t>
      </w:r>
      <w:r w:rsidRPr="001B6FE5">
        <w:rPr>
          <w:rFonts w:ascii="Arial" w:hAnsi="Arial" w:cs="Arial"/>
          <w:sz w:val="18"/>
          <w:szCs w:val="18"/>
        </w:rPr>
        <w:t xml:space="preserve">, (Cambridge: Cambridge University Press, 2005), pp. 45 -62; 46. </w:t>
      </w:r>
    </w:p>
  </w:footnote>
  <w:footnote w:id="2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Peter Gatrell, </w:t>
      </w:r>
      <w:r w:rsidRPr="001B6FE5">
        <w:rPr>
          <w:rFonts w:ascii="Arial" w:hAnsi="Arial" w:cs="Arial"/>
          <w:i/>
          <w:sz w:val="18"/>
          <w:szCs w:val="18"/>
        </w:rPr>
        <w:t>A Whole Empire Walking: Refugees in Russia During World War I</w:t>
      </w:r>
      <w:r w:rsidRPr="001B6FE5">
        <w:rPr>
          <w:rFonts w:ascii="Arial" w:hAnsi="Arial" w:cs="Arial"/>
          <w:sz w:val="18"/>
          <w:szCs w:val="18"/>
        </w:rPr>
        <w:t xml:space="preserve">, (Bloomington &amp; Indianapolis: Indiana University Press, 1999), p. 199; Nick Baron and Peter Gatrell eds., </w:t>
      </w:r>
      <w:r w:rsidRPr="001B6FE5">
        <w:rPr>
          <w:rFonts w:ascii="Arial" w:hAnsi="Arial" w:cs="Arial"/>
          <w:i/>
          <w:sz w:val="18"/>
          <w:szCs w:val="18"/>
        </w:rPr>
        <w:t>Homelands: War, Population and Statehood in Eastern Europe and Russia 1918-1924,</w:t>
      </w:r>
      <w:r w:rsidRPr="001B6FE5">
        <w:rPr>
          <w:rFonts w:ascii="Arial" w:hAnsi="Arial" w:cs="Arial"/>
          <w:sz w:val="18"/>
          <w:szCs w:val="18"/>
        </w:rPr>
        <w:t xml:space="preserve"> (London: Anthem, 2004), pp. 10-34. </w:t>
      </w:r>
    </w:p>
  </w:footnote>
  <w:footnote w:id="2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Figes, </w:t>
      </w:r>
      <w:r w:rsidRPr="006C00DA">
        <w:rPr>
          <w:rFonts w:ascii="Arial" w:hAnsi="Arial" w:cs="Arial"/>
          <w:i/>
          <w:sz w:val="18"/>
          <w:szCs w:val="18"/>
        </w:rPr>
        <w:t>A Peoples Tragedy: The Russian Revolution 1891-1924</w:t>
      </w:r>
      <w:r>
        <w:rPr>
          <w:rFonts w:ascii="Arial" w:hAnsi="Arial" w:cs="Arial"/>
          <w:sz w:val="18"/>
          <w:szCs w:val="18"/>
        </w:rPr>
        <w:t xml:space="preserve">, </w:t>
      </w:r>
      <w:r w:rsidRPr="001B6FE5">
        <w:rPr>
          <w:rFonts w:ascii="Arial" w:hAnsi="Arial" w:cs="Arial"/>
          <w:sz w:val="18"/>
          <w:szCs w:val="18"/>
        </w:rPr>
        <w:t xml:space="preserve">pp. 555-772. Evan Mawdsley, </w:t>
      </w:r>
      <w:r w:rsidRPr="001B6FE5">
        <w:rPr>
          <w:rFonts w:ascii="Arial" w:hAnsi="Arial" w:cs="Arial"/>
          <w:i/>
          <w:sz w:val="18"/>
          <w:szCs w:val="18"/>
        </w:rPr>
        <w:t>The Russian Civil War</w:t>
      </w:r>
      <w:r>
        <w:rPr>
          <w:rFonts w:ascii="Arial" w:hAnsi="Arial" w:cs="Arial"/>
          <w:sz w:val="18"/>
          <w:szCs w:val="18"/>
        </w:rPr>
        <w:t xml:space="preserve">, (Edinburgh: Birlinn, 2008). </w:t>
      </w:r>
    </w:p>
  </w:footnote>
  <w:footnote w:id="2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Johnson, </w:t>
      </w:r>
      <w:r w:rsidRPr="001B6FE5">
        <w:rPr>
          <w:rFonts w:ascii="Arial" w:hAnsi="Arial" w:cs="Arial"/>
          <w:i/>
          <w:sz w:val="18"/>
          <w:szCs w:val="18"/>
        </w:rPr>
        <w:t>Central Europe</w:t>
      </w:r>
      <w:r>
        <w:rPr>
          <w:rFonts w:ascii="Arial" w:hAnsi="Arial" w:cs="Arial"/>
          <w:sz w:val="18"/>
          <w:szCs w:val="18"/>
        </w:rPr>
        <w:t xml:space="preserve">, pp. 190-196; </w:t>
      </w:r>
      <w:r w:rsidRPr="00001C71">
        <w:rPr>
          <w:rFonts w:ascii="Arial" w:hAnsi="Arial" w:cs="Arial"/>
          <w:sz w:val="18"/>
          <w:szCs w:val="18"/>
        </w:rPr>
        <w:t xml:space="preserve">Kaye Miller &amp; Gerald Swatez, </w:t>
      </w:r>
      <w:r w:rsidRPr="00001C71">
        <w:rPr>
          <w:rFonts w:ascii="Arial" w:hAnsi="Arial" w:cs="Arial"/>
          <w:i/>
          <w:sz w:val="18"/>
          <w:szCs w:val="18"/>
        </w:rPr>
        <w:t>Conventions: The Land Around Us,</w:t>
      </w:r>
      <w:r w:rsidRPr="00001C71">
        <w:rPr>
          <w:rFonts w:ascii="Arial" w:hAnsi="Arial" w:cs="Arial"/>
          <w:sz w:val="18"/>
          <w:szCs w:val="18"/>
        </w:rPr>
        <w:t xml:space="preserve"> (University of Illinois: Department of Political Science &amp; Sociology, 1970).</w:t>
      </w:r>
    </w:p>
  </w:footnote>
  <w:footnote w:id="2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Paul Lawrence, </w:t>
      </w:r>
      <w:r w:rsidRPr="001B6FE5">
        <w:rPr>
          <w:rFonts w:ascii="Arial" w:hAnsi="Arial" w:cs="Arial"/>
          <w:i/>
          <w:sz w:val="18"/>
          <w:szCs w:val="18"/>
        </w:rPr>
        <w:t>Nationalism: History and Theory</w:t>
      </w:r>
      <w:r w:rsidRPr="001B6FE5">
        <w:rPr>
          <w:rFonts w:ascii="Arial" w:hAnsi="Arial" w:cs="Arial"/>
          <w:sz w:val="18"/>
          <w:szCs w:val="18"/>
        </w:rPr>
        <w:t xml:space="preserve">, (Harlow: Pearson, 2005), pp. 63-69. </w:t>
      </w:r>
    </w:p>
  </w:footnote>
  <w:footnote w:id="2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Lawrence, </w:t>
      </w:r>
      <w:r w:rsidRPr="001B6FE5">
        <w:rPr>
          <w:rFonts w:ascii="Arial" w:hAnsi="Arial" w:cs="Arial"/>
          <w:i/>
          <w:sz w:val="18"/>
          <w:szCs w:val="18"/>
        </w:rPr>
        <w:t>Nationalism: History and Theory</w:t>
      </w:r>
      <w:r w:rsidRPr="001B6FE5">
        <w:rPr>
          <w:rFonts w:ascii="Arial" w:hAnsi="Arial" w:cs="Arial"/>
          <w:sz w:val="18"/>
          <w:szCs w:val="18"/>
        </w:rPr>
        <w:t xml:space="preserve">, p. 62. </w:t>
      </w:r>
    </w:p>
  </w:footnote>
  <w:footnote w:id="29">
    <w:p w:rsidR="00946405" w:rsidRPr="001B6FE5" w:rsidRDefault="00946405" w:rsidP="00273DD8">
      <w:pPr>
        <w:pStyle w:val="Defaul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William R. Keylor, ‘Anti-Clericalism and Educational Reform in the French Third Republic: A Retrospective Evaluation’, </w:t>
      </w:r>
      <w:r w:rsidRPr="001B6FE5">
        <w:rPr>
          <w:rFonts w:ascii="Arial" w:hAnsi="Arial" w:cs="Arial"/>
          <w:i/>
          <w:sz w:val="18"/>
          <w:szCs w:val="18"/>
        </w:rPr>
        <w:t>History of Education Quarterly</w:t>
      </w:r>
      <w:r w:rsidRPr="001B6FE5">
        <w:rPr>
          <w:rFonts w:ascii="Arial" w:hAnsi="Arial" w:cs="Arial"/>
          <w:sz w:val="18"/>
          <w:szCs w:val="18"/>
        </w:rPr>
        <w:t xml:space="preserve">, 21 1 (1981), pp. 95-103; Karl Cordell and Karl Martin Born, ‘The German Minority in Upper Silesia: Electoral Success and Organizational Patterns’, </w:t>
      </w:r>
      <w:r w:rsidRPr="001B6FE5">
        <w:rPr>
          <w:rFonts w:ascii="Arial" w:hAnsi="Arial" w:cs="Arial"/>
          <w:i/>
          <w:sz w:val="18"/>
          <w:szCs w:val="18"/>
        </w:rPr>
        <w:t>Nationalism &amp; Ethnic Politics</w:t>
      </w:r>
      <w:r w:rsidRPr="001B6FE5">
        <w:rPr>
          <w:rFonts w:ascii="Arial" w:hAnsi="Arial" w:cs="Arial"/>
          <w:sz w:val="18"/>
          <w:szCs w:val="18"/>
        </w:rPr>
        <w:t>, 7 1, (2001), pp. 41-62.; Tara Zahra, ‘The Borderland in the Child: National Hermaphrodism and Pedagogical Activism in the Bohemian Lands’, in David Blackbourn and James Retallack eds.,</w:t>
      </w:r>
      <w:r w:rsidRPr="001B6FE5">
        <w:rPr>
          <w:rFonts w:ascii="Arial" w:hAnsi="Arial" w:cs="Arial"/>
          <w:i/>
          <w:sz w:val="18"/>
          <w:szCs w:val="18"/>
        </w:rPr>
        <w:t xml:space="preserve"> Localism. Landscape, And the Ambiguities of Place: German-Speaking Central Europe, 1860-1930</w:t>
      </w:r>
      <w:r w:rsidRPr="001B6FE5">
        <w:rPr>
          <w:rFonts w:ascii="Arial" w:hAnsi="Arial" w:cs="Arial"/>
          <w:sz w:val="18"/>
          <w:szCs w:val="18"/>
        </w:rPr>
        <w:t xml:space="preserve">, (Toronto </w:t>
      </w:r>
      <w:r w:rsidRPr="001B6FE5">
        <w:rPr>
          <w:rFonts w:ascii="Arial" w:hAnsi="Arial" w:cs="Arial"/>
          <w:i/>
          <w:sz w:val="18"/>
          <w:szCs w:val="18"/>
        </w:rPr>
        <w:t>et al</w:t>
      </w:r>
      <w:r w:rsidRPr="001B6FE5">
        <w:rPr>
          <w:rFonts w:ascii="Arial" w:hAnsi="Arial" w:cs="Arial"/>
          <w:sz w:val="18"/>
          <w:szCs w:val="18"/>
        </w:rPr>
        <w:t xml:space="preserve">: University of Toronto Press, 2007), pp. 214-235. </w:t>
      </w:r>
    </w:p>
  </w:footnote>
  <w:footnote w:id="30">
    <w:p w:rsidR="00946405" w:rsidRPr="001B6FE5" w:rsidRDefault="00946405" w:rsidP="00273DD8">
      <w:pPr>
        <w:pStyle w:val="Defaul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Celia Applegate, ‘A Europe of Regions: Reflections on the Historiography of Sub-National Places in Modern Times’, </w:t>
      </w:r>
      <w:r w:rsidRPr="001B6FE5">
        <w:rPr>
          <w:rFonts w:ascii="Arial" w:hAnsi="Arial" w:cs="Arial"/>
          <w:i/>
          <w:sz w:val="18"/>
          <w:szCs w:val="18"/>
        </w:rPr>
        <w:t>The American Historical Review</w:t>
      </w:r>
      <w:r w:rsidRPr="001B6FE5">
        <w:rPr>
          <w:rFonts w:ascii="Arial" w:hAnsi="Arial" w:cs="Arial"/>
          <w:sz w:val="18"/>
          <w:szCs w:val="18"/>
        </w:rPr>
        <w:t xml:space="preserve">, 104 4 (1999), pp. 1157-1182. Eugene Weber, </w:t>
      </w:r>
      <w:r w:rsidRPr="001B6FE5">
        <w:rPr>
          <w:rFonts w:ascii="Arial" w:hAnsi="Arial" w:cs="Arial"/>
          <w:i/>
          <w:sz w:val="18"/>
          <w:szCs w:val="18"/>
        </w:rPr>
        <w:t>Peasants Into Frenchman</w:t>
      </w:r>
      <w:r w:rsidRPr="001B6FE5">
        <w:rPr>
          <w:rFonts w:ascii="Arial" w:hAnsi="Arial" w:cs="Arial"/>
          <w:sz w:val="18"/>
          <w:szCs w:val="18"/>
        </w:rPr>
        <w:t xml:space="preserve">, (London: Chatto &amp; Windus, 1976), pp. 485-496. </w:t>
      </w:r>
    </w:p>
  </w:footnote>
  <w:footnote w:id="3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Marius Turda and Paul J. Weindling eds., </w:t>
      </w:r>
      <w:r w:rsidRPr="001B6FE5">
        <w:rPr>
          <w:rFonts w:ascii="Arial" w:hAnsi="Arial" w:cs="Arial"/>
          <w:i/>
          <w:sz w:val="18"/>
          <w:szCs w:val="18"/>
        </w:rPr>
        <w:t>Blood and Homeland: Eugenics and Racial Nationalism in Central and Southeast Europe 1900-1940</w:t>
      </w:r>
      <w:r w:rsidRPr="001B6FE5">
        <w:rPr>
          <w:rFonts w:ascii="Arial" w:hAnsi="Arial" w:cs="Arial"/>
          <w:sz w:val="18"/>
          <w:szCs w:val="18"/>
        </w:rPr>
        <w:t xml:space="preserve">, (Budapest: Central European Press, 2007), p. 7; Roger Griffin, ‘Tunnel Visions and Mysterious Trees: Modernist Projects of National and Racial Regeneration, 1880-1939’, in </w:t>
      </w:r>
      <w:r w:rsidRPr="001B6FE5">
        <w:rPr>
          <w:rFonts w:ascii="Arial" w:hAnsi="Arial" w:cs="Arial"/>
          <w:i/>
          <w:sz w:val="18"/>
          <w:szCs w:val="18"/>
        </w:rPr>
        <w:t>ibid</w:t>
      </w:r>
      <w:r w:rsidRPr="001B6FE5">
        <w:rPr>
          <w:rFonts w:ascii="Arial" w:hAnsi="Arial" w:cs="Arial"/>
          <w:sz w:val="18"/>
          <w:szCs w:val="18"/>
        </w:rPr>
        <w:t xml:space="preserve">, pp. 445-449. </w:t>
      </w:r>
    </w:p>
  </w:footnote>
  <w:footnote w:id="3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Razvan Paraianu, ‘Culturalist Nationalism and Anti-Semitism in </w:t>
      </w:r>
      <w:r w:rsidRPr="001B6FE5">
        <w:rPr>
          <w:rFonts w:ascii="Arial" w:hAnsi="Arial" w:cs="Arial"/>
          <w:i/>
          <w:sz w:val="18"/>
          <w:szCs w:val="18"/>
        </w:rPr>
        <w:t>Fin-de-Siècle</w:t>
      </w:r>
      <w:r w:rsidRPr="001B6FE5">
        <w:rPr>
          <w:rFonts w:ascii="Arial" w:hAnsi="Arial" w:cs="Arial"/>
          <w:sz w:val="18"/>
          <w:szCs w:val="18"/>
        </w:rPr>
        <w:t xml:space="preserve"> Romania’, in Turda and Weindling eds., </w:t>
      </w:r>
      <w:r w:rsidRPr="001B6FE5">
        <w:rPr>
          <w:rFonts w:ascii="Arial" w:hAnsi="Arial" w:cs="Arial"/>
          <w:i/>
          <w:sz w:val="18"/>
          <w:szCs w:val="18"/>
        </w:rPr>
        <w:t>Blood and Homeland</w:t>
      </w:r>
      <w:r w:rsidRPr="001B6FE5">
        <w:rPr>
          <w:rFonts w:ascii="Arial" w:hAnsi="Arial" w:cs="Arial"/>
          <w:sz w:val="18"/>
          <w:szCs w:val="18"/>
        </w:rPr>
        <w:t xml:space="preserve">, pp. 353-373.  </w:t>
      </w:r>
    </w:p>
  </w:footnote>
  <w:footnote w:id="3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Michael Simunek, ‘Eugenics, Social Genetics and Racial Hygiene: Plans for the Scientific Regulation of Human Heredity in the Czech Lands, 1900-1925’, in </w:t>
      </w:r>
      <w:r w:rsidRPr="001B6FE5">
        <w:rPr>
          <w:rFonts w:ascii="Arial" w:hAnsi="Arial" w:cs="Arial"/>
          <w:i/>
          <w:sz w:val="18"/>
          <w:szCs w:val="18"/>
        </w:rPr>
        <w:t>Blood and Homeland</w:t>
      </w:r>
      <w:r w:rsidRPr="001B6FE5">
        <w:rPr>
          <w:rFonts w:ascii="Arial" w:hAnsi="Arial" w:cs="Arial"/>
          <w:sz w:val="18"/>
          <w:szCs w:val="18"/>
        </w:rPr>
        <w:t xml:space="preserve">, pp. 145-166. </w:t>
      </w:r>
    </w:p>
  </w:footnote>
  <w:footnote w:id="3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Many east-Central European place names have at least two, sometimes four linguistic etymological roots. Though sometimes laboured, where they are written as such, I have followed. </w:t>
      </w:r>
    </w:p>
  </w:footnote>
  <w:footnote w:id="35">
    <w:p w:rsidR="00946405" w:rsidRPr="00DB04A0" w:rsidRDefault="00946405">
      <w:pPr>
        <w:pStyle w:val="FootnoteText"/>
      </w:pPr>
      <w:r>
        <w:rPr>
          <w:rStyle w:val="FootnoteReference"/>
        </w:rPr>
        <w:footnoteRef/>
      </w:r>
      <w:r>
        <w:t xml:space="preserve"> </w:t>
      </w:r>
      <w:r w:rsidRPr="00C7672B">
        <w:rPr>
          <w:rFonts w:ascii="Arial" w:hAnsi="Arial" w:cs="Arial"/>
          <w:i/>
          <w:sz w:val="18"/>
          <w:szCs w:val="18"/>
        </w:rPr>
        <w:t xml:space="preserve">Economist, </w:t>
      </w:r>
      <w:r w:rsidRPr="00C7672B">
        <w:rPr>
          <w:rFonts w:ascii="Arial" w:hAnsi="Arial" w:cs="Arial"/>
          <w:sz w:val="18"/>
          <w:szCs w:val="18"/>
        </w:rPr>
        <w:t>30</w:t>
      </w:r>
      <w:r w:rsidRPr="00C7672B">
        <w:rPr>
          <w:rFonts w:ascii="Arial" w:hAnsi="Arial" w:cs="Arial"/>
          <w:sz w:val="18"/>
          <w:szCs w:val="18"/>
          <w:vertAlign w:val="superscript"/>
        </w:rPr>
        <w:t>th</w:t>
      </w:r>
      <w:r w:rsidRPr="00C7672B">
        <w:rPr>
          <w:rFonts w:ascii="Arial" w:hAnsi="Arial" w:cs="Arial"/>
          <w:sz w:val="18"/>
          <w:szCs w:val="18"/>
        </w:rPr>
        <w:t xml:space="preserve"> July 1921.</w:t>
      </w:r>
      <w:r>
        <w:t xml:space="preserve"> </w:t>
      </w:r>
    </w:p>
  </w:footnote>
  <w:footnote w:id="3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It should also be noted that the Czechs were also ‘victims’ of their own geography; Rugg, </w:t>
      </w:r>
      <w:r w:rsidRPr="001B6FE5">
        <w:rPr>
          <w:rFonts w:ascii="Arial" w:hAnsi="Arial" w:cs="Arial"/>
          <w:i/>
          <w:sz w:val="18"/>
          <w:szCs w:val="18"/>
        </w:rPr>
        <w:t>Eastern Europe</w:t>
      </w:r>
      <w:r w:rsidRPr="001B6FE5">
        <w:rPr>
          <w:rFonts w:ascii="Arial" w:hAnsi="Arial" w:cs="Arial"/>
          <w:sz w:val="18"/>
          <w:szCs w:val="18"/>
        </w:rPr>
        <w:t xml:space="preserve">, pp. 222-227; Polish intransigence could be looked upon as their national ‘obstinacy’, but it is difficult to see after Munich, what choice the Poles or any other nation were still able to make. </w:t>
      </w:r>
    </w:p>
  </w:footnote>
  <w:footnote w:id="3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Timothy Garton Ash, ‘Does Central Europe Exist?’ </w:t>
      </w:r>
      <w:r w:rsidRPr="001B6FE5">
        <w:rPr>
          <w:rFonts w:ascii="Arial" w:hAnsi="Arial" w:cs="Arial"/>
          <w:i/>
          <w:sz w:val="18"/>
          <w:szCs w:val="18"/>
        </w:rPr>
        <w:t>The New York Review</w:t>
      </w:r>
      <w:r w:rsidRPr="001B6FE5">
        <w:rPr>
          <w:rFonts w:ascii="Arial" w:hAnsi="Arial" w:cs="Arial"/>
          <w:sz w:val="18"/>
          <w:szCs w:val="18"/>
        </w:rPr>
        <w:t xml:space="preserve">, 9 October 1986, p. 47. </w:t>
      </w:r>
    </w:p>
  </w:footnote>
  <w:footnote w:id="3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F81CA4">
        <w:rPr>
          <w:rFonts w:ascii="Arial" w:hAnsi="Arial" w:cs="Arial"/>
          <w:i/>
          <w:sz w:val="18"/>
          <w:szCs w:val="18"/>
        </w:rPr>
        <w:t>Ibid</w:t>
      </w:r>
      <w:r>
        <w:rPr>
          <w:rFonts w:ascii="Arial" w:hAnsi="Arial" w:cs="Arial"/>
          <w:sz w:val="18"/>
          <w:szCs w:val="18"/>
        </w:rPr>
        <w:t>.</w:t>
      </w:r>
      <w:r w:rsidRPr="001B6FE5">
        <w:rPr>
          <w:rFonts w:ascii="Arial" w:hAnsi="Arial" w:cs="Arial"/>
          <w:sz w:val="18"/>
          <w:szCs w:val="18"/>
        </w:rPr>
        <w:t xml:space="preserve">, p. 47; Philip Longworth, </w:t>
      </w:r>
      <w:r w:rsidRPr="001B6FE5">
        <w:rPr>
          <w:rFonts w:ascii="Arial" w:hAnsi="Arial" w:cs="Arial"/>
          <w:i/>
          <w:sz w:val="18"/>
          <w:szCs w:val="18"/>
        </w:rPr>
        <w:t>The Making of Eastern Europe</w:t>
      </w:r>
      <w:r w:rsidRPr="001B6FE5">
        <w:rPr>
          <w:rFonts w:ascii="Arial" w:hAnsi="Arial" w:cs="Arial"/>
          <w:sz w:val="18"/>
          <w:szCs w:val="18"/>
        </w:rPr>
        <w:t xml:space="preserve">, (Basingstoke: Macmillan, 1992), pp. 1-9. </w:t>
      </w:r>
    </w:p>
  </w:footnote>
  <w:footnote w:id="3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Austrian </w:t>
      </w:r>
      <w:r w:rsidRPr="001B6FE5">
        <w:rPr>
          <w:rFonts w:ascii="Arial" w:hAnsi="Arial" w:cs="Arial"/>
          <w:i/>
          <w:sz w:val="18"/>
          <w:szCs w:val="18"/>
        </w:rPr>
        <w:t>Lemburg</w:t>
      </w:r>
      <w:r w:rsidRPr="001B6FE5">
        <w:rPr>
          <w:rFonts w:ascii="Arial" w:hAnsi="Arial" w:cs="Arial"/>
          <w:sz w:val="18"/>
          <w:szCs w:val="18"/>
        </w:rPr>
        <w:t xml:space="preserve"> became Ukrainian</w:t>
      </w:r>
      <w:r w:rsidRPr="001B6FE5">
        <w:rPr>
          <w:rFonts w:ascii="Arial" w:hAnsi="Arial" w:cs="Arial"/>
          <w:i/>
          <w:sz w:val="18"/>
          <w:szCs w:val="18"/>
        </w:rPr>
        <w:t xml:space="preserve"> Lviv</w:t>
      </w:r>
      <w:r w:rsidRPr="001B6FE5">
        <w:rPr>
          <w:rFonts w:ascii="Arial" w:hAnsi="Arial" w:cs="Arial"/>
          <w:sz w:val="18"/>
          <w:szCs w:val="18"/>
        </w:rPr>
        <w:t xml:space="preserve">, Polish </w:t>
      </w:r>
      <w:r w:rsidRPr="001B6FE5">
        <w:rPr>
          <w:rFonts w:ascii="Arial" w:hAnsi="Arial" w:cs="Arial"/>
          <w:i/>
          <w:sz w:val="18"/>
          <w:szCs w:val="18"/>
        </w:rPr>
        <w:t>Lwov</w:t>
      </w:r>
      <w:r w:rsidRPr="001B6FE5">
        <w:rPr>
          <w:rFonts w:ascii="Arial" w:hAnsi="Arial" w:cs="Arial"/>
          <w:sz w:val="18"/>
          <w:szCs w:val="18"/>
        </w:rPr>
        <w:t xml:space="preserve">, Soviet </w:t>
      </w:r>
      <w:r w:rsidRPr="001B6FE5">
        <w:rPr>
          <w:rFonts w:ascii="Arial" w:hAnsi="Arial" w:cs="Arial"/>
          <w:i/>
          <w:sz w:val="18"/>
          <w:szCs w:val="18"/>
        </w:rPr>
        <w:t>Lvov</w:t>
      </w:r>
      <w:r w:rsidRPr="001B6FE5">
        <w:rPr>
          <w:rFonts w:ascii="Arial" w:hAnsi="Arial" w:cs="Arial"/>
          <w:sz w:val="18"/>
          <w:szCs w:val="18"/>
        </w:rPr>
        <w:t xml:space="preserve">, and German </w:t>
      </w:r>
      <w:r w:rsidRPr="001B6FE5">
        <w:rPr>
          <w:rFonts w:ascii="Arial" w:hAnsi="Arial" w:cs="Arial"/>
          <w:i/>
          <w:sz w:val="18"/>
          <w:szCs w:val="18"/>
        </w:rPr>
        <w:t>Lemburg</w:t>
      </w:r>
      <w:r w:rsidRPr="001B6FE5">
        <w:rPr>
          <w:rFonts w:ascii="Arial" w:hAnsi="Arial" w:cs="Arial"/>
          <w:sz w:val="18"/>
          <w:szCs w:val="18"/>
        </w:rPr>
        <w:t xml:space="preserve"> between 1918 and 1942; for good measure it was also known as (amongst others), </w:t>
      </w:r>
      <w:r w:rsidRPr="001B6FE5">
        <w:rPr>
          <w:rFonts w:ascii="Arial" w:hAnsi="Arial" w:cs="Arial"/>
          <w:i/>
          <w:sz w:val="18"/>
          <w:szCs w:val="18"/>
        </w:rPr>
        <w:t>Lemberik</w:t>
      </w:r>
      <w:r w:rsidRPr="001B6FE5">
        <w:rPr>
          <w:rFonts w:ascii="Arial" w:hAnsi="Arial" w:cs="Arial"/>
          <w:sz w:val="18"/>
          <w:szCs w:val="18"/>
        </w:rPr>
        <w:t xml:space="preserve"> (Yiddish), </w:t>
      </w:r>
      <w:r w:rsidRPr="001B6FE5">
        <w:rPr>
          <w:rFonts w:ascii="Arial" w:hAnsi="Arial" w:cs="Arial"/>
          <w:i/>
          <w:sz w:val="18"/>
          <w:szCs w:val="18"/>
        </w:rPr>
        <w:t>Lvou</w:t>
      </w:r>
      <w:r w:rsidRPr="001B6FE5">
        <w:rPr>
          <w:rFonts w:ascii="Arial" w:hAnsi="Arial" w:cs="Arial"/>
          <w:sz w:val="18"/>
          <w:szCs w:val="18"/>
        </w:rPr>
        <w:t xml:space="preserve"> (Belarusian) and </w:t>
      </w:r>
      <w:r w:rsidRPr="001B6FE5">
        <w:rPr>
          <w:rFonts w:ascii="Arial" w:hAnsi="Arial" w:cs="Arial"/>
          <w:i/>
          <w:sz w:val="18"/>
          <w:szCs w:val="18"/>
        </w:rPr>
        <w:t>Levov</w:t>
      </w:r>
      <w:r w:rsidRPr="001B6FE5">
        <w:rPr>
          <w:rFonts w:ascii="Arial" w:hAnsi="Arial" w:cs="Arial"/>
          <w:sz w:val="18"/>
          <w:szCs w:val="18"/>
        </w:rPr>
        <w:t xml:space="preserve"> (Hebrew)! See also Eric Hobsbawm, </w:t>
      </w:r>
      <w:r w:rsidRPr="001B6FE5">
        <w:rPr>
          <w:rFonts w:ascii="Arial" w:hAnsi="Arial" w:cs="Arial"/>
          <w:i/>
          <w:sz w:val="18"/>
          <w:szCs w:val="18"/>
        </w:rPr>
        <w:t>On History</w:t>
      </w:r>
      <w:r w:rsidRPr="001B6FE5">
        <w:rPr>
          <w:rFonts w:ascii="Arial" w:hAnsi="Arial" w:cs="Arial"/>
          <w:sz w:val="18"/>
          <w:szCs w:val="18"/>
        </w:rPr>
        <w:t xml:space="preserve">, (London: Abacus, 1998), p. 2. </w:t>
      </w:r>
    </w:p>
  </w:footnote>
  <w:footnote w:id="4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Frederick Lindstrom, ‘Region, Cultural Identity and Politics in the late Habsburg Monarchy’, in Sven Tagil ed., </w:t>
      </w:r>
      <w:r w:rsidRPr="001B6FE5">
        <w:rPr>
          <w:rFonts w:ascii="Arial" w:hAnsi="Arial" w:cs="Arial"/>
          <w:i/>
          <w:sz w:val="18"/>
          <w:szCs w:val="18"/>
        </w:rPr>
        <w:t>Regions in Central Europe: the Legacy of History</w:t>
      </w:r>
      <w:r w:rsidRPr="001B6FE5">
        <w:rPr>
          <w:rFonts w:ascii="Arial" w:hAnsi="Arial" w:cs="Arial"/>
          <w:sz w:val="18"/>
          <w:szCs w:val="18"/>
        </w:rPr>
        <w:t xml:space="preserve">, (West Lafayette, Indiana: Purdue University Press, 1999), pp. 115-146. </w:t>
      </w:r>
    </w:p>
  </w:footnote>
  <w:footnote w:id="4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Rune Johansson, ‘The Impact of Imagination: History, Territoriality and Perceived Affinity’, in </w:t>
      </w:r>
      <w:r w:rsidRPr="001B6FE5">
        <w:rPr>
          <w:rFonts w:ascii="Arial" w:hAnsi="Arial" w:cs="Arial"/>
          <w:i/>
          <w:sz w:val="18"/>
          <w:szCs w:val="18"/>
        </w:rPr>
        <w:t>ibid</w:t>
      </w:r>
      <w:r w:rsidRPr="001B6FE5">
        <w:rPr>
          <w:rFonts w:ascii="Arial" w:hAnsi="Arial" w:cs="Arial"/>
          <w:sz w:val="18"/>
          <w:szCs w:val="18"/>
        </w:rPr>
        <w:t xml:space="preserve">, pp. 26-29. </w:t>
      </w:r>
    </w:p>
  </w:footnote>
  <w:footnote w:id="4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Aster &amp; Potichnyj, </w:t>
      </w:r>
      <w:r w:rsidRPr="001B6FE5">
        <w:rPr>
          <w:rFonts w:ascii="Arial" w:hAnsi="Arial" w:cs="Arial"/>
          <w:i/>
          <w:sz w:val="18"/>
          <w:szCs w:val="18"/>
        </w:rPr>
        <w:t>Jewish –Ukrainian Relations</w:t>
      </w:r>
      <w:r w:rsidRPr="001B6FE5">
        <w:rPr>
          <w:rFonts w:ascii="Arial" w:hAnsi="Arial" w:cs="Arial"/>
          <w:sz w:val="18"/>
          <w:szCs w:val="18"/>
        </w:rPr>
        <w:t xml:space="preserve">, p. 55. </w:t>
      </w:r>
    </w:p>
  </w:footnote>
  <w:footnote w:id="4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Hobsbawm, </w:t>
      </w:r>
      <w:r w:rsidRPr="001B6FE5">
        <w:rPr>
          <w:rFonts w:ascii="Arial" w:hAnsi="Arial" w:cs="Arial"/>
          <w:i/>
          <w:sz w:val="18"/>
          <w:szCs w:val="18"/>
        </w:rPr>
        <w:t>On History</w:t>
      </w:r>
      <w:r w:rsidRPr="001B6FE5">
        <w:rPr>
          <w:rFonts w:ascii="Arial" w:hAnsi="Arial" w:cs="Arial"/>
          <w:sz w:val="18"/>
          <w:szCs w:val="18"/>
        </w:rPr>
        <w:t xml:space="preserve">, p. 3; Germans were told that ‘rather than harping on the nationalist excesses of Poles, [they] should take a lesson from [National Socialists] and also show greater appreciation for Poland’s role as a “glacis” of European civilization against “eastern-Asiatic cultural forces”, Richard Blanke, </w:t>
      </w:r>
      <w:r w:rsidRPr="001B6FE5">
        <w:rPr>
          <w:rFonts w:ascii="Arial" w:hAnsi="Arial" w:cs="Arial"/>
          <w:i/>
          <w:sz w:val="18"/>
          <w:szCs w:val="18"/>
        </w:rPr>
        <w:t>Orphans of Versailles</w:t>
      </w:r>
      <w:r w:rsidRPr="001B6FE5">
        <w:rPr>
          <w:rFonts w:ascii="Arial" w:hAnsi="Arial" w:cs="Arial"/>
          <w:sz w:val="18"/>
          <w:szCs w:val="18"/>
        </w:rPr>
        <w:t xml:space="preserve">, p. 185. </w:t>
      </w:r>
    </w:p>
  </w:footnote>
  <w:footnote w:id="4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Berend,</w:t>
      </w:r>
      <w:r w:rsidRPr="001B6FE5">
        <w:rPr>
          <w:rFonts w:ascii="Arial" w:hAnsi="Arial" w:cs="Arial"/>
          <w:i/>
          <w:sz w:val="18"/>
          <w:szCs w:val="18"/>
        </w:rPr>
        <w:t xml:space="preserve"> </w:t>
      </w:r>
      <w:r w:rsidRPr="003D60BE">
        <w:rPr>
          <w:rFonts w:ascii="Arial" w:hAnsi="Arial" w:cs="Arial"/>
          <w:i/>
          <w:sz w:val="18"/>
          <w:szCs w:val="18"/>
        </w:rPr>
        <w:t>The crisis zone of Europe</w:t>
      </w:r>
      <w:r w:rsidRPr="001B6FE5">
        <w:rPr>
          <w:rFonts w:ascii="Arial" w:hAnsi="Arial" w:cs="Arial"/>
          <w:sz w:val="18"/>
          <w:szCs w:val="18"/>
        </w:rPr>
        <w:t xml:space="preserve">, pp. 1-2. </w:t>
      </w:r>
    </w:p>
  </w:footnote>
  <w:footnote w:id="4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CAB/24/221</w:t>
      </w:r>
      <w:r w:rsidRPr="001B6FE5">
        <w:rPr>
          <w:rFonts w:ascii="Arial" w:hAnsi="Arial" w:cs="Arial"/>
          <w:sz w:val="18"/>
          <w:szCs w:val="18"/>
        </w:rPr>
        <w:t xml:space="preserve">, Robert Vansittart: An Aspect of International Relations in 1931. </w:t>
      </w:r>
    </w:p>
  </w:footnote>
  <w:footnote w:id="4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Lev Kopelev, </w:t>
      </w:r>
      <w:r w:rsidRPr="001B6FE5">
        <w:rPr>
          <w:rFonts w:ascii="Arial" w:hAnsi="Arial" w:cs="Arial"/>
          <w:i/>
          <w:sz w:val="18"/>
          <w:szCs w:val="18"/>
        </w:rPr>
        <w:t>The Education of a True Believer</w:t>
      </w:r>
      <w:r w:rsidRPr="001B6FE5">
        <w:rPr>
          <w:rFonts w:ascii="Arial" w:hAnsi="Arial" w:cs="Arial"/>
          <w:sz w:val="18"/>
          <w:szCs w:val="18"/>
        </w:rPr>
        <w:t xml:space="preserve">, (New York: Harper &amp; Row, 1980), p. 101. </w:t>
      </w:r>
    </w:p>
  </w:footnote>
  <w:footnote w:id="4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Hugh Seton-Watson, </w:t>
      </w:r>
      <w:r w:rsidRPr="001B6FE5">
        <w:rPr>
          <w:rFonts w:ascii="Arial" w:hAnsi="Arial" w:cs="Arial"/>
          <w:i/>
          <w:sz w:val="18"/>
          <w:szCs w:val="18"/>
        </w:rPr>
        <w:t>Eastern Europe Between The Wars 1918-1941</w:t>
      </w:r>
      <w:r w:rsidRPr="001B6FE5">
        <w:rPr>
          <w:rFonts w:ascii="Arial" w:hAnsi="Arial" w:cs="Arial"/>
          <w:sz w:val="18"/>
          <w:szCs w:val="18"/>
        </w:rPr>
        <w:t xml:space="preserve">, (New York &amp; London: Harper &amp; Row, 1961), p. xv. </w:t>
      </w:r>
    </w:p>
  </w:footnote>
  <w:footnote w:id="4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‘East of Vienna, the Orient begins’; Patrick Leigh Fermor,</w:t>
      </w:r>
      <w:r w:rsidRPr="001B6FE5">
        <w:rPr>
          <w:rFonts w:ascii="Arial" w:hAnsi="Arial" w:cs="Arial"/>
          <w:i/>
          <w:sz w:val="18"/>
          <w:szCs w:val="18"/>
        </w:rPr>
        <w:t xml:space="preserve"> A Time Of Gifts. On foot to Constantinople: from the Hook of Holland to the Middle Danube</w:t>
      </w:r>
      <w:r w:rsidRPr="001B6FE5">
        <w:rPr>
          <w:rFonts w:ascii="Arial" w:hAnsi="Arial" w:cs="Arial"/>
          <w:sz w:val="18"/>
          <w:szCs w:val="18"/>
        </w:rPr>
        <w:t xml:space="preserve">, (Harmondsworth: Penguin, 1977), p. 226. </w:t>
      </w:r>
    </w:p>
  </w:footnote>
  <w:footnote w:id="4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Fermor,</w:t>
      </w:r>
      <w:r w:rsidRPr="001B6FE5">
        <w:rPr>
          <w:rFonts w:ascii="Arial" w:hAnsi="Arial" w:cs="Arial"/>
          <w:i/>
          <w:sz w:val="18"/>
          <w:szCs w:val="18"/>
        </w:rPr>
        <w:t xml:space="preserve"> A Time Of Gifts</w:t>
      </w:r>
      <w:r w:rsidRPr="001B6FE5">
        <w:rPr>
          <w:rFonts w:ascii="Arial" w:hAnsi="Arial" w:cs="Arial"/>
          <w:sz w:val="18"/>
          <w:szCs w:val="18"/>
        </w:rPr>
        <w:t xml:space="preserve">, p. 228. </w:t>
      </w:r>
    </w:p>
  </w:footnote>
  <w:footnote w:id="5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Johnson, </w:t>
      </w:r>
      <w:r w:rsidRPr="009E6F60">
        <w:rPr>
          <w:rFonts w:ascii="Arial" w:hAnsi="Arial" w:cs="Arial"/>
          <w:i/>
          <w:sz w:val="18"/>
          <w:szCs w:val="18"/>
        </w:rPr>
        <w:t>Central Europe</w:t>
      </w:r>
      <w:r>
        <w:rPr>
          <w:rFonts w:ascii="Arial" w:hAnsi="Arial" w:cs="Arial"/>
          <w:sz w:val="18"/>
          <w:szCs w:val="18"/>
        </w:rPr>
        <w:t xml:space="preserve">, </w:t>
      </w:r>
      <w:r w:rsidRPr="001B6FE5">
        <w:rPr>
          <w:rFonts w:ascii="Arial" w:hAnsi="Arial" w:cs="Arial"/>
          <w:sz w:val="18"/>
          <w:szCs w:val="18"/>
        </w:rPr>
        <w:t xml:space="preserve">p. 24. </w:t>
      </w:r>
    </w:p>
  </w:footnote>
  <w:footnote w:id="5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Norman Davies, </w:t>
      </w:r>
      <w:r w:rsidRPr="001B6FE5">
        <w:rPr>
          <w:rFonts w:ascii="Arial" w:hAnsi="Arial" w:cs="Arial"/>
          <w:i/>
          <w:sz w:val="18"/>
          <w:szCs w:val="18"/>
        </w:rPr>
        <w:t>God’s Playground Vol. 2</w:t>
      </w:r>
      <w:r w:rsidRPr="001B6FE5">
        <w:rPr>
          <w:rFonts w:ascii="Arial" w:hAnsi="Arial" w:cs="Arial"/>
          <w:sz w:val="18"/>
          <w:szCs w:val="18"/>
        </w:rPr>
        <w:t xml:space="preserve">, (New York: Columbia University Press, 1992); Iwo Cyprian Pogonowski, </w:t>
      </w:r>
      <w:r w:rsidRPr="001B6FE5">
        <w:rPr>
          <w:rFonts w:ascii="Arial" w:hAnsi="Arial" w:cs="Arial"/>
          <w:i/>
          <w:sz w:val="18"/>
          <w:szCs w:val="18"/>
        </w:rPr>
        <w:t>Jews In Poland: A Documentary History</w:t>
      </w:r>
      <w:r w:rsidRPr="001B6FE5">
        <w:rPr>
          <w:rFonts w:ascii="Arial" w:hAnsi="Arial" w:cs="Arial"/>
          <w:sz w:val="18"/>
          <w:szCs w:val="18"/>
        </w:rPr>
        <w:t xml:space="preserve">, (New York: Hippocrene Books, 1993); Celia Heller, </w:t>
      </w:r>
      <w:r w:rsidRPr="001B6FE5">
        <w:rPr>
          <w:rFonts w:ascii="Arial" w:hAnsi="Arial" w:cs="Arial"/>
          <w:i/>
          <w:sz w:val="18"/>
          <w:szCs w:val="18"/>
        </w:rPr>
        <w:t>On The Edge of Destruction</w:t>
      </w:r>
      <w:r w:rsidRPr="001B6FE5">
        <w:rPr>
          <w:rFonts w:ascii="Arial" w:hAnsi="Arial" w:cs="Arial"/>
          <w:sz w:val="18"/>
          <w:szCs w:val="18"/>
        </w:rPr>
        <w:t xml:space="preserve">, (New York: Columbia University Press, 1977). </w:t>
      </w:r>
    </w:p>
  </w:footnote>
  <w:footnote w:id="5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C.Abramsky, M.Jachimczyk and A.Polonsky eds., </w:t>
      </w:r>
      <w:r w:rsidRPr="001B6FE5">
        <w:rPr>
          <w:rFonts w:ascii="Arial" w:hAnsi="Arial" w:cs="Arial"/>
          <w:i/>
          <w:sz w:val="18"/>
          <w:szCs w:val="18"/>
        </w:rPr>
        <w:t>The Jews in Poland</w:t>
      </w:r>
      <w:r w:rsidRPr="001B6FE5">
        <w:rPr>
          <w:rFonts w:ascii="Arial" w:hAnsi="Arial" w:cs="Arial"/>
          <w:sz w:val="18"/>
          <w:szCs w:val="18"/>
        </w:rPr>
        <w:t>, (Oxford: Basil Blackwell, 1986), See Intro., Ch. 1-5, pp. 1-69.</w:t>
      </w:r>
    </w:p>
  </w:footnote>
  <w:footnote w:id="5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Davies, </w:t>
      </w:r>
      <w:r w:rsidRPr="001B6FE5">
        <w:rPr>
          <w:rFonts w:ascii="Arial" w:hAnsi="Arial" w:cs="Arial"/>
          <w:i/>
          <w:sz w:val="18"/>
          <w:szCs w:val="18"/>
        </w:rPr>
        <w:t>God’s Playground</w:t>
      </w:r>
      <w:r w:rsidRPr="001B6FE5">
        <w:rPr>
          <w:rFonts w:ascii="Arial" w:hAnsi="Arial" w:cs="Arial"/>
          <w:sz w:val="18"/>
          <w:szCs w:val="18"/>
        </w:rPr>
        <w:t>, p. 410.</w:t>
      </w:r>
    </w:p>
  </w:footnote>
  <w:footnote w:id="5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Michael Bernstein, </w:t>
      </w:r>
      <w:r w:rsidRPr="001B6FE5">
        <w:rPr>
          <w:rFonts w:ascii="Arial" w:hAnsi="Arial" w:cs="Arial"/>
          <w:i/>
          <w:sz w:val="18"/>
          <w:szCs w:val="18"/>
        </w:rPr>
        <w:t>Foregone Conclusion: Apocalyptic History</w:t>
      </w:r>
      <w:r w:rsidRPr="001B6FE5">
        <w:rPr>
          <w:rFonts w:ascii="Arial" w:hAnsi="Arial" w:cs="Arial"/>
          <w:sz w:val="18"/>
          <w:szCs w:val="18"/>
        </w:rPr>
        <w:t xml:space="preserve">, (Berkley, CA: University of California Press, 1996), p. 16. </w:t>
      </w:r>
    </w:p>
  </w:footnote>
  <w:footnote w:id="55">
    <w:p w:rsidR="00946405" w:rsidRPr="00E84F70" w:rsidRDefault="00946405">
      <w:pPr>
        <w:pStyle w:val="FootnoteText"/>
        <w:rPr>
          <w:rFonts w:ascii="Arial" w:hAnsi="Arial" w:cs="Arial"/>
          <w:sz w:val="18"/>
          <w:szCs w:val="18"/>
        </w:rPr>
      </w:pPr>
      <w:r w:rsidRPr="00F67BF1">
        <w:rPr>
          <w:rStyle w:val="FootnoteReference"/>
          <w:rFonts w:ascii="Arial" w:hAnsi="Arial" w:cs="Arial"/>
          <w:sz w:val="18"/>
          <w:szCs w:val="18"/>
        </w:rPr>
        <w:footnoteRef/>
      </w:r>
      <w:r w:rsidRPr="00F67BF1">
        <w:rPr>
          <w:rFonts w:ascii="Arial" w:hAnsi="Arial" w:cs="Arial"/>
          <w:sz w:val="18"/>
          <w:szCs w:val="18"/>
        </w:rPr>
        <w:t xml:space="preserve"> </w:t>
      </w:r>
      <w:r w:rsidRPr="003D60BE">
        <w:rPr>
          <w:rFonts w:ascii="Arial" w:hAnsi="Arial" w:cs="Arial"/>
          <w:sz w:val="18"/>
          <w:szCs w:val="18"/>
        </w:rPr>
        <w:t xml:space="preserve">Omer </w:t>
      </w:r>
      <w:r w:rsidRPr="00F67BF1">
        <w:rPr>
          <w:rFonts w:ascii="Arial" w:hAnsi="Arial" w:cs="Arial"/>
          <w:sz w:val="18"/>
          <w:szCs w:val="18"/>
        </w:rPr>
        <w:t xml:space="preserve">Bartov, ‘Eastern Europe as the Site of Genocide’, </w:t>
      </w:r>
      <w:r w:rsidRPr="00F67BF1">
        <w:rPr>
          <w:rFonts w:ascii="Arial" w:hAnsi="Arial" w:cs="Arial"/>
          <w:i/>
          <w:sz w:val="18"/>
          <w:szCs w:val="18"/>
        </w:rPr>
        <w:t>The Journal of Modern History</w:t>
      </w:r>
      <w:r w:rsidRPr="00F67BF1">
        <w:rPr>
          <w:rFonts w:ascii="Arial" w:hAnsi="Arial" w:cs="Arial"/>
          <w:sz w:val="18"/>
          <w:szCs w:val="18"/>
        </w:rPr>
        <w:t xml:space="preserve">, 80 (2008), pp. 557-593; </w:t>
      </w:r>
      <w:r w:rsidRPr="003D60BE">
        <w:rPr>
          <w:rFonts w:ascii="Arial" w:hAnsi="Arial" w:cs="Arial"/>
          <w:sz w:val="18"/>
          <w:szCs w:val="18"/>
        </w:rPr>
        <w:t xml:space="preserve">Yehuda </w:t>
      </w:r>
      <w:r w:rsidRPr="00F67BF1">
        <w:rPr>
          <w:rFonts w:ascii="Arial" w:hAnsi="Arial" w:cs="Arial"/>
          <w:sz w:val="18"/>
          <w:szCs w:val="18"/>
        </w:rPr>
        <w:t xml:space="preserve">Bauer, </w:t>
      </w:r>
      <w:r w:rsidRPr="00F67BF1">
        <w:rPr>
          <w:rFonts w:ascii="Arial" w:hAnsi="Arial" w:cs="Arial"/>
          <w:i/>
          <w:sz w:val="18"/>
          <w:szCs w:val="18"/>
        </w:rPr>
        <w:t>rethinking the holocaust</w:t>
      </w:r>
      <w:r w:rsidRPr="00F67BF1">
        <w:rPr>
          <w:rFonts w:ascii="Arial" w:hAnsi="Arial" w:cs="Arial"/>
          <w:sz w:val="18"/>
          <w:szCs w:val="18"/>
        </w:rPr>
        <w:t xml:space="preserve">, (New Haven: Yale University Press, 2001); </w:t>
      </w:r>
      <w:r w:rsidRPr="001E65E7">
        <w:rPr>
          <w:rFonts w:ascii="Arial" w:hAnsi="Arial" w:cs="Arial"/>
          <w:sz w:val="18"/>
          <w:szCs w:val="18"/>
          <w:lang w:val="en-US"/>
        </w:rPr>
        <w:t xml:space="preserve">Saul, </w:t>
      </w:r>
      <w:r w:rsidRPr="00F67BF1">
        <w:rPr>
          <w:rFonts w:ascii="Arial" w:hAnsi="Arial" w:cs="Arial"/>
          <w:sz w:val="18"/>
          <w:szCs w:val="18"/>
          <w:lang w:val="en-US"/>
        </w:rPr>
        <w:t xml:space="preserve">Friedlander </w:t>
      </w:r>
      <w:r w:rsidRPr="00F67BF1">
        <w:rPr>
          <w:rFonts w:ascii="Arial" w:hAnsi="Arial" w:cs="Arial"/>
          <w:i/>
          <w:sz w:val="18"/>
          <w:szCs w:val="18"/>
          <w:lang w:val="en-US"/>
        </w:rPr>
        <w:t>Nazi Germany &amp; The Jews: The Years Of Persecution 1933-39,</w:t>
      </w:r>
      <w:r w:rsidRPr="00F67BF1">
        <w:rPr>
          <w:rFonts w:ascii="Arial" w:hAnsi="Arial" w:cs="Arial"/>
          <w:sz w:val="18"/>
          <w:szCs w:val="18"/>
          <w:lang w:val="en-US"/>
        </w:rPr>
        <w:t xml:space="preserve"> (London</w:t>
      </w:r>
      <w:r>
        <w:rPr>
          <w:rFonts w:ascii="Arial" w:hAnsi="Arial" w:cs="Arial"/>
          <w:sz w:val="18"/>
          <w:szCs w:val="18"/>
          <w:lang w:val="en-US"/>
        </w:rPr>
        <w:t xml:space="preserve">: Weidenfeld &amp; Nicolson, 1997); </w:t>
      </w:r>
      <w:r w:rsidRPr="001E65E7">
        <w:rPr>
          <w:rFonts w:ascii="Arial" w:hAnsi="Arial" w:cs="Arial"/>
          <w:sz w:val="18"/>
          <w:szCs w:val="18"/>
          <w:lang w:val="en-US"/>
        </w:rPr>
        <w:t xml:space="preserve">Saul </w:t>
      </w:r>
      <w:r w:rsidRPr="00F67BF1">
        <w:rPr>
          <w:rFonts w:ascii="Arial" w:hAnsi="Arial" w:cs="Arial"/>
          <w:sz w:val="18"/>
          <w:szCs w:val="18"/>
          <w:lang w:val="en-US"/>
        </w:rPr>
        <w:t xml:space="preserve">Friedlander, </w:t>
      </w:r>
      <w:r w:rsidRPr="00F67BF1">
        <w:rPr>
          <w:rFonts w:ascii="Arial" w:hAnsi="Arial" w:cs="Arial"/>
          <w:i/>
          <w:sz w:val="18"/>
          <w:szCs w:val="18"/>
          <w:lang w:val="en-US"/>
        </w:rPr>
        <w:t xml:space="preserve">The Years Of Extermination: Nazi Germany &amp; The Jews 1939-1945, </w:t>
      </w:r>
      <w:r w:rsidRPr="00F67BF1">
        <w:rPr>
          <w:rFonts w:ascii="Arial" w:hAnsi="Arial" w:cs="Arial"/>
          <w:sz w:val="18"/>
          <w:szCs w:val="18"/>
          <w:lang w:val="en-US"/>
        </w:rPr>
        <w:t>(London: Weidenfeld &amp;</w:t>
      </w:r>
      <w:r>
        <w:rPr>
          <w:rFonts w:ascii="Arial" w:hAnsi="Arial" w:cs="Arial"/>
          <w:sz w:val="18"/>
          <w:szCs w:val="18"/>
          <w:lang w:val="en-US"/>
        </w:rPr>
        <w:t xml:space="preserve"> Nicolson, 2007); </w:t>
      </w:r>
      <w:r w:rsidRPr="001E65E7">
        <w:rPr>
          <w:rFonts w:ascii="Arial" w:hAnsi="Arial" w:cs="Arial"/>
          <w:sz w:val="18"/>
          <w:szCs w:val="18"/>
          <w:lang w:val="en-US"/>
        </w:rPr>
        <w:t xml:space="preserve">Jeffrey K. </w:t>
      </w:r>
      <w:r w:rsidRPr="00627568">
        <w:rPr>
          <w:rFonts w:ascii="Arial" w:hAnsi="Arial" w:cs="Arial"/>
          <w:sz w:val="18"/>
          <w:szCs w:val="18"/>
          <w:lang w:val="en-US"/>
        </w:rPr>
        <w:t>Olick and Daniel</w:t>
      </w:r>
      <w:r w:rsidRPr="001E65E7">
        <w:rPr>
          <w:rFonts w:ascii="Arial" w:eastAsiaTheme="minorHAnsi" w:hAnsi="Arial" w:cs="Arial"/>
          <w:sz w:val="18"/>
          <w:szCs w:val="18"/>
          <w:lang w:val="en-US"/>
        </w:rPr>
        <w:t xml:space="preserve"> </w:t>
      </w:r>
      <w:r w:rsidRPr="001E65E7">
        <w:rPr>
          <w:rFonts w:ascii="Arial" w:hAnsi="Arial" w:cs="Arial"/>
          <w:sz w:val="18"/>
          <w:szCs w:val="18"/>
          <w:lang w:val="en-US"/>
        </w:rPr>
        <w:t>Levy</w:t>
      </w:r>
      <w:r w:rsidRPr="00627568">
        <w:rPr>
          <w:rFonts w:ascii="Arial" w:hAnsi="Arial" w:cs="Arial"/>
          <w:sz w:val="18"/>
          <w:szCs w:val="18"/>
          <w:lang w:val="en-US"/>
        </w:rPr>
        <w:t xml:space="preserve">, ‘Collective Memory and Cultural Constraint: Holocaust Myth and Rationality in German Politics’, </w:t>
      </w:r>
      <w:r w:rsidRPr="00627568">
        <w:rPr>
          <w:rFonts w:ascii="Arial" w:hAnsi="Arial" w:cs="Arial"/>
          <w:i/>
          <w:sz w:val="18"/>
          <w:szCs w:val="18"/>
          <w:lang w:val="en-US"/>
        </w:rPr>
        <w:t>American Sociological Review</w:t>
      </w:r>
      <w:r>
        <w:rPr>
          <w:rFonts w:ascii="Arial" w:hAnsi="Arial" w:cs="Arial"/>
          <w:sz w:val="18"/>
          <w:szCs w:val="18"/>
          <w:lang w:val="en-US"/>
        </w:rPr>
        <w:t xml:space="preserve">, 62 6 (1997), pp. 921-936; </w:t>
      </w:r>
      <w:r w:rsidRPr="001E65E7">
        <w:rPr>
          <w:rFonts w:ascii="Arial" w:hAnsi="Arial" w:cs="Arial"/>
          <w:sz w:val="18"/>
          <w:szCs w:val="18"/>
          <w:lang w:val="en-US"/>
        </w:rPr>
        <w:t xml:space="preserve">Dan </w:t>
      </w:r>
      <w:r w:rsidRPr="00627568">
        <w:rPr>
          <w:rFonts w:ascii="Arial" w:hAnsi="Arial" w:cs="Arial"/>
          <w:sz w:val="18"/>
          <w:szCs w:val="18"/>
          <w:lang w:val="en-US"/>
        </w:rPr>
        <w:t xml:space="preserve">Stone, </w:t>
      </w:r>
      <w:r w:rsidRPr="00627568">
        <w:rPr>
          <w:rFonts w:ascii="Arial" w:hAnsi="Arial" w:cs="Arial"/>
          <w:i/>
          <w:sz w:val="18"/>
          <w:szCs w:val="18"/>
          <w:lang w:val="en-US"/>
        </w:rPr>
        <w:t>Constructing the Holocaust: A Study in Historiography</w:t>
      </w:r>
      <w:r w:rsidRPr="00627568">
        <w:rPr>
          <w:rFonts w:ascii="Arial" w:hAnsi="Arial" w:cs="Arial"/>
          <w:sz w:val="18"/>
          <w:szCs w:val="18"/>
          <w:lang w:val="en-US"/>
        </w:rPr>
        <w:t>, (London and Portland: Valentine Mitchell, 2003).</w:t>
      </w:r>
    </w:p>
  </w:footnote>
  <w:footnote w:id="5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Raymond Pearson, </w:t>
      </w:r>
      <w:r w:rsidRPr="001B6FE5">
        <w:rPr>
          <w:rFonts w:ascii="Arial" w:hAnsi="Arial" w:cs="Arial"/>
          <w:i/>
          <w:sz w:val="18"/>
          <w:szCs w:val="18"/>
        </w:rPr>
        <w:t>National Minorities In Eastern Europe 1848-1945</w:t>
      </w:r>
      <w:r w:rsidRPr="001B6FE5">
        <w:rPr>
          <w:rFonts w:ascii="Arial" w:hAnsi="Arial" w:cs="Arial"/>
          <w:sz w:val="18"/>
          <w:szCs w:val="18"/>
        </w:rPr>
        <w:t xml:space="preserve">, (Basingstoke: Macmillan, 1983), p. 161. </w:t>
      </w:r>
    </w:p>
  </w:footnote>
  <w:footnote w:id="5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CAB/24/73</w:t>
      </w:r>
      <w:r w:rsidRPr="001B6FE5">
        <w:rPr>
          <w:rFonts w:ascii="Arial" w:hAnsi="Arial" w:cs="Arial"/>
          <w:sz w:val="18"/>
          <w:szCs w:val="18"/>
        </w:rPr>
        <w:t>, Mr. [Bruce] Lockhart to Mr. Balfour, November 7</w:t>
      </w:r>
      <w:r w:rsidRPr="001B6FE5">
        <w:rPr>
          <w:rFonts w:ascii="Arial" w:hAnsi="Arial" w:cs="Arial"/>
          <w:sz w:val="18"/>
          <w:szCs w:val="18"/>
          <w:vertAlign w:val="superscript"/>
        </w:rPr>
        <w:t>th</w:t>
      </w:r>
      <w:r w:rsidRPr="001B6FE5">
        <w:rPr>
          <w:rFonts w:ascii="Arial" w:hAnsi="Arial" w:cs="Arial"/>
          <w:sz w:val="18"/>
          <w:szCs w:val="18"/>
        </w:rPr>
        <w:t xml:space="preserve"> 1918. Balfour typified the postwar British response; one of his many epigrams included – ‘everything is now possible, even orthodoxy.’ Piers Brendon, </w:t>
      </w:r>
      <w:r w:rsidRPr="001B6FE5">
        <w:rPr>
          <w:rFonts w:ascii="Arial" w:hAnsi="Arial" w:cs="Arial"/>
          <w:i/>
          <w:sz w:val="18"/>
          <w:szCs w:val="18"/>
        </w:rPr>
        <w:t>Eminent Edwardians Four figures who defined their age: Northcliffe, Balfour, Pankhurst, Baden-Powell</w:t>
      </w:r>
      <w:r w:rsidRPr="001B6FE5">
        <w:rPr>
          <w:rFonts w:ascii="Arial" w:hAnsi="Arial" w:cs="Arial"/>
          <w:sz w:val="18"/>
          <w:szCs w:val="18"/>
        </w:rPr>
        <w:t xml:space="preserve">, (London: Pimlico, 2003; 1979), p. 118. </w:t>
      </w:r>
    </w:p>
  </w:footnote>
  <w:footnote w:id="5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Gatrell, </w:t>
      </w:r>
      <w:r w:rsidRPr="001B6FE5">
        <w:rPr>
          <w:rFonts w:ascii="Arial" w:hAnsi="Arial" w:cs="Arial"/>
          <w:i/>
          <w:sz w:val="18"/>
          <w:szCs w:val="18"/>
        </w:rPr>
        <w:t>A Whole Empire Walking</w:t>
      </w:r>
      <w:r w:rsidRPr="001B6FE5">
        <w:rPr>
          <w:rFonts w:ascii="Arial" w:hAnsi="Arial" w:cs="Arial"/>
          <w:sz w:val="18"/>
          <w:szCs w:val="18"/>
        </w:rPr>
        <w:t xml:space="preserve">, pp. 187-190. See also Weindling’s ‘Cleansing Bodies, Defending Borders’ in </w:t>
      </w:r>
      <w:r w:rsidRPr="001B6FE5">
        <w:rPr>
          <w:rFonts w:ascii="Arial" w:hAnsi="Arial" w:cs="Arial"/>
          <w:i/>
          <w:sz w:val="18"/>
          <w:szCs w:val="18"/>
        </w:rPr>
        <w:t>Epidemics and Genocide</w:t>
      </w:r>
      <w:r w:rsidRPr="001B6FE5">
        <w:rPr>
          <w:rFonts w:ascii="Arial" w:hAnsi="Arial" w:cs="Arial"/>
          <w:sz w:val="18"/>
          <w:szCs w:val="18"/>
        </w:rPr>
        <w:t xml:space="preserve">, pp. 49-72. </w:t>
      </w:r>
    </w:p>
  </w:footnote>
  <w:footnote w:id="5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5E021C">
        <w:rPr>
          <w:rFonts w:ascii="Arial" w:hAnsi="Arial" w:cs="Arial"/>
          <w:i/>
          <w:sz w:val="18"/>
          <w:szCs w:val="18"/>
        </w:rPr>
        <w:t>Gatrell, A Whole Empire Walking</w:t>
      </w:r>
      <w:r>
        <w:rPr>
          <w:rFonts w:ascii="Arial" w:hAnsi="Arial" w:cs="Arial"/>
          <w:i/>
          <w:sz w:val="18"/>
          <w:szCs w:val="18"/>
        </w:rPr>
        <w:t xml:space="preserve">, </w:t>
      </w:r>
      <w:r w:rsidRPr="001B6FE5">
        <w:rPr>
          <w:rFonts w:ascii="Arial" w:hAnsi="Arial" w:cs="Arial"/>
          <w:sz w:val="18"/>
          <w:szCs w:val="18"/>
        </w:rPr>
        <w:t xml:space="preserve">p. 189. </w:t>
      </w:r>
    </w:p>
  </w:footnote>
  <w:footnote w:id="6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There were still 34 million ‘minorities’ in east-Central Europe in 1930, but this was still less than half the prewar figure. Rugg, </w:t>
      </w:r>
      <w:r w:rsidRPr="001B6FE5">
        <w:rPr>
          <w:rFonts w:ascii="Arial" w:hAnsi="Arial" w:cs="Arial"/>
          <w:i/>
          <w:sz w:val="18"/>
          <w:szCs w:val="18"/>
        </w:rPr>
        <w:t>Eastern Europe</w:t>
      </w:r>
      <w:r w:rsidRPr="001B6FE5">
        <w:rPr>
          <w:rFonts w:ascii="Arial" w:hAnsi="Arial" w:cs="Arial"/>
          <w:sz w:val="18"/>
          <w:szCs w:val="18"/>
        </w:rPr>
        <w:t xml:space="preserve">, p. 224. </w:t>
      </w:r>
    </w:p>
  </w:footnote>
  <w:footnote w:id="6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James Mayall, </w:t>
      </w:r>
      <w:r w:rsidRPr="001B6FE5">
        <w:rPr>
          <w:rFonts w:ascii="Arial" w:hAnsi="Arial" w:cs="Arial"/>
          <w:i/>
          <w:sz w:val="18"/>
          <w:szCs w:val="18"/>
        </w:rPr>
        <w:t>Nationalism and international society</w:t>
      </w:r>
      <w:r w:rsidRPr="001B6FE5">
        <w:rPr>
          <w:rFonts w:ascii="Arial" w:hAnsi="Arial" w:cs="Arial"/>
          <w:sz w:val="18"/>
          <w:szCs w:val="18"/>
        </w:rPr>
        <w:t xml:space="preserve">, (Cambridge: Cambridge University Press, 1990), p. 52. </w:t>
      </w:r>
    </w:p>
  </w:footnote>
  <w:footnote w:id="6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Pr>
          <w:rFonts w:ascii="Arial" w:hAnsi="Arial" w:cs="Arial"/>
          <w:sz w:val="18"/>
          <w:szCs w:val="18"/>
        </w:rPr>
        <w:t xml:space="preserve">Gatrell, </w:t>
      </w:r>
      <w:r w:rsidRPr="001B6FE5">
        <w:rPr>
          <w:rFonts w:ascii="Arial" w:hAnsi="Arial" w:cs="Arial"/>
          <w:sz w:val="18"/>
          <w:szCs w:val="18"/>
        </w:rPr>
        <w:t xml:space="preserve">p. 3; and Appendix 1. </w:t>
      </w:r>
    </w:p>
  </w:footnote>
  <w:footnote w:id="6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 Reed, </w:t>
      </w:r>
      <w:r w:rsidRPr="001B6FE5">
        <w:rPr>
          <w:rFonts w:ascii="Arial" w:hAnsi="Arial" w:cs="Arial"/>
          <w:i/>
          <w:sz w:val="18"/>
          <w:szCs w:val="18"/>
        </w:rPr>
        <w:t>War In Eastern Europe: Travels Through The Balkans In 1915</w:t>
      </w:r>
      <w:r w:rsidRPr="001B6FE5">
        <w:rPr>
          <w:rFonts w:ascii="Arial" w:hAnsi="Arial" w:cs="Arial"/>
          <w:sz w:val="18"/>
          <w:szCs w:val="18"/>
        </w:rPr>
        <w:t xml:space="preserve">, (London: Orion, 1994; 1916), p. 79. </w:t>
      </w:r>
    </w:p>
  </w:footnote>
  <w:footnote w:id="6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 Hiden and David Smith, ‘Looking beyond the Nation State: A Baltic Vision for National Minorities between the Wars’, </w:t>
      </w:r>
      <w:r w:rsidRPr="001B6FE5">
        <w:rPr>
          <w:rFonts w:ascii="Arial" w:hAnsi="Arial" w:cs="Arial"/>
          <w:i/>
          <w:sz w:val="18"/>
          <w:szCs w:val="18"/>
        </w:rPr>
        <w:t>Journal of Contemporary History</w:t>
      </w:r>
      <w:r w:rsidRPr="001B6FE5">
        <w:rPr>
          <w:rFonts w:ascii="Arial" w:hAnsi="Arial" w:cs="Arial"/>
          <w:sz w:val="18"/>
          <w:szCs w:val="18"/>
        </w:rPr>
        <w:t xml:space="preserve">, 41 387, (2006), pp. 387-399. </w:t>
      </w:r>
    </w:p>
  </w:footnote>
  <w:footnote w:id="6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Baron and Gatrell, </w:t>
      </w:r>
      <w:r w:rsidRPr="00683E28">
        <w:rPr>
          <w:rFonts w:ascii="Arial" w:hAnsi="Arial" w:cs="Arial"/>
          <w:i/>
          <w:sz w:val="18"/>
          <w:szCs w:val="18"/>
        </w:rPr>
        <w:t>Homelands</w:t>
      </w:r>
      <w:r w:rsidRPr="001B6FE5">
        <w:rPr>
          <w:rFonts w:ascii="Arial" w:hAnsi="Arial" w:cs="Arial"/>
          <w:sz w:val="18"/>
          <w:szCs w:val="18"/>
        </w:rPr>
        <w:t xml:space="preserve">: </w:t>
      </w:r>
      <w:r w:rsidRPr="001B6FE5">
        <w:rPr>
          <w:rFonts w:ascii="Arial" w:hAnsi="Arial" w:cs="Arial"/>
          <w:i/>
          <w:sz w:val="18"/>
          <w:szCs w:val="18"/>
        </w:rPr>
        <w:t>War, Population and Statehood in Eastern Europe and Russia 1918-1924,</w:t>
      </w:r>
      <w:r w:rsidRPr="001B6FE5">
        <w:rPr>
          <w:rFonts w:ascii="Arial" w:hAnsi="Arial" w:cs="Arial"/>
          <w:sz w:val="18"/>
          <w:szCs w:val="18"/>
        </w:rPr>
        <w:t xml:space="preserve">  p. 154. </w:t>
      </w:r>
    </w:p>
  </w:footnote>
  <w:footnote w:id="6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CAB/24/107/1442</w:t>
      </w:r>
      <w:r w:rsidRPr="001B6FE5">
        <w:rPr>
          <w:rFonts w:ascii="Arial" w:hAnsi="Arial" w:cs="Arial"/>
          <w:sz w:val="18"/>
          <w:szCs w:val="18"/>
        </w:rPr>
        <w:t>, Copy of letter from the S-G, League of Nations, to the members of the League, 24</w:t>
      </w:r>
      <w:r w:rsidRPr="001B6FE5">
        <w:rPr>
          <w:rFonts w:ascii="Arial" w:hAnsi="Arial" w:cs="Arial"/>
          <w:sz w:val="18"/>
          <w:szCs w:val="18"/>
          <w:vertAlign w:val="superscript"/>
        </w:rPr>
        <w:t>th</w:t>
      </w:r>
      <w:r w:rsidRPr="001B6FE5">
        <w:rPr>
          <w:rFonts w:ascii="Arial" w:hAnsi="Arial" w:cs="Arial"/>
          <w:sz w:val="18"/>
          <w:szCs w:val="18"/>
        </w:rPr>
        <w:t xml:space="preserve"> June 1920. </w:t>
      </w:r>
    </w:p>
  </w:footnote>
  <w:footnote w:id="6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Pearson, </w:t>
      </w:r>
      <w:r w:rsidRPr="001B6FE5">
        <w:rPr>
          <w:rFonts w:ascii="Arial" w:hAnsi="Arial" w:cs="Arial"/>
          <w:i/>
          <w:sz w:val="18"/>
          <w:szCs w:val="18"/>
        </w:rPr>
        <w:t>National Minorities In Eastern Europe 1848-1945</w:t>
      </w:r>
      <w:r w:rsidRPr="001B6FE5">
        <w:rPr>
          <w:rFonts w:ascii="Arial" w:hAnsi="Arial" w:cs="Arial"/>
          <w:sz w:val="18"/>
          <w:szCs w:val="18"/>
        </w:rPr>
        <w:t xml:space="preserve">, p. 150-151. </w:t>
      </w:r>
    </w:p>
  </w:footnote>
  <w:footnote w:id="6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Pearson, </w:t>
      </w:r>
      <w:r w:rsidRPr="001B6FE5">
        <w:rPr>
          <w:rFonts w:ascii="Arial" w:hAnsi="Arial" w:cs="Arial"/>
          <w:i/>
          <w:sz w:val="18"/>
          <w:szCs w:val="18"/>
        </w:rPr>
        <w:t>National Minorities In Eastern Europe 1848-1945</w:t>
      </w:r>
      <w:r w:rsidRPr="001B6FE5">
        <w:rPr>
          <w:rFonts w:ascii="Arial" w:hAnsi="Arial" w:cs="Arial"/>
          <w:sz w:val="18"/>
          <w:szCs w:val="18"/>
        </w:rPr>
        <w:t>, p. 150-151.</w:t>
      </w:r>
    </w:p>
  </w:footnote>
  <w:footnote w:id="6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Paal Sigurd Hilde, ‘Slovak Nationalism and the Break-Up of Czechoslovakia’, </w:t>
      </w:r>
      <w:r w:rsidRPr="001B6FE5">
        <w:rPr>
          <w:rFonts w:ascii="Arial" w:hAnsi="Arial" w:cs="Arial"/>
          <w:i/>
          <w:sz w:val="18"/>
          <w:szCs w:val="18"/>
        </w:rPr>
        <w:t>Europe-Asia Studies</w:t>
      </w:r>
      <w:r w:rsidRPr="001B6FE5">
        <w:rPr>
          <w:rFonts w:ascii="Arial" w:hAnsi="Arial" w:cs="Arial"/>
          <w:sz w:val="18"/>
          <w:szCs w:val="18"/>
        </w:rPr>
        <w:t xml:space="preserve">, 51 4 (1999), pp. 647-665. </w:t>
      </w:r>
    </w:p>
  </w:footnote>
  <w:footnote w:id="7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Peter Stachura, ‘The Battle of Warsaw, August 1920, and the Development of the Second Polish Republic’, in Peter Stachura ed., </w:t>
      </w:r>
      <w:r w:rsidRPr="001B6FE5">
        <w:rPr>
          <w:rFonts w:ascii="Arial" w:hAnsi="Arial" w:cs="Arial"/>
          <w:i/>
          <w:sz w:val="18"/>
          <w:szCs w:val="18"/>
        </w:rPr>
        <w:t>Poland Between The Wars, 1918-1939</w:t>
      </w:r>
      <w:r w:rsidRPr="001B6FE5">
        <w:rPr>
          <w:rFonts w:ascii="Arial" w:hAnsi="Arial" w:cs="Arial"/>
          <w:sz w:val="18"/>
          <w:szCs w:val="18"/>
        </w:rPr>
        <w:t xml:space="preserve">, (Basingstoke: Macmillan, 1998), p. 50; See also Adam Zamoyski, </w:t>
      </w:r>
      <w:r w:rsidRPr="001B6FE5">
        <w:rPr>
          <w:rFonts w:ascii="Arial" w:hAnsi="Arial" w:cs="Arial"/>
          <w:i/>
          <w:sz w:val="18"/>
          <w:szCs w:val="18"/>
        </w:rPr>
        <w:t>Warsaw 1920: Lenin’s Failed Conquest Of Europe</w:t>
      </w:r>
      <w:r w:rsidRPr="001B6FE5">
        <w:rPr>
          <w:rFonts w:ascii="Arial" w:hAnsi="Arial" w:cs="Arial"/>
          <w:sz w:val="18"/>
          <w:szCs w:val="18"/>
        </w:rPr>
        <w:t xml:space="preserve">, (London: HarpurCollins, 2008), pp. 1-13. </w:t>
      </w:r>
    </w:p>
  </w:footnote>
  <w:footnote w:id="71">
    <w:p w:rsidR="00946405" w:rsidRPr="005120A7" w:rsidRDefault="00946405">
      <w:pPr>
        <w:pStyle w:val="FootnoteText"/>
        <w:rPr>
          <w:rFonts w:ascii="Arial" w:hAnsi="Arial" w:cs="Arial"/>
          <w:sz w:val="18"/>
          <w:szCs w:val="18"/>
        </w:rPr>
      </w:pPr>
      <w:r w:rsidRPr="005120A7">
        <w:rPr>
          <w:rStyle w:val="FootnoteReference"/>
          <w:rFonts w:ascii="Arial" w:hAnsi="Arial" w:cs="Arial"/>
          <w:sz w:val="18"/>
          <w:szCs w:val="18"/>
        </w:rPr>
        <w:footnoteRef/>
      </w:r>
      <w:r w:rsidRPr="005120A7">
        <w:rPr>
          <w:rFonts w:ascii="Arial" w:hAnsi="Arial" w:cs="Arial"/>
          <w:sz w:val="18"/>
          <w:szCs w:val="18"/>
        </w:rPr>
        <w:t xml:space="preserve"> </w:t>
      </w:r>
      <w:r w:rsidRPr="005120A7">
        <w:rPr>
          <w:rFonts w:ascii="Arial" w:hAnsi="Arial" w:cs="Arial"/>
          <w:i/>
          <w:sz w:val="18"/>
          <w:szCs w:val="18"/>
        </w:rPr>
        <w:t>Economist</w:t>
      </w:r>
      <w:r w:rsidRPr="005120A7">
        <w:rPr>
          <w:rFonts w:ascii="Arial" w:hAnsi="Arial" w:cs="Arial"/>
          <w:sz w:val="18"/>
          <w:szCs w:val="18"/>
        </w:rPr>
        <w:t>, August 14</w:t>
      </w:r>
      <w:r w:rsidRPr="005120A7">
        <w:rPr>
          <w:rFonts w:ascii="Arial" w:hAnsi="Arial" w:cs="Arial"/>
          <w:sz w:val="18"/>
          <w:szCs w:val="18"/>
          <w:vertAlign w:val="superscript"/>
        </w:rPr>
        <w:t>th</w:t>
      </w:r>
      <w:r w:rsidRPr="005120A7">
        <w:rPr>
          <w:rFonts w:ascii="Arial" w:hAnsi="Arial" w:cs="Arial"/>
          <w:sz w:val="18"/>
          <w:szCs w:val="18"/>
        </w:rPr>
        <w:t xml:space="preserve"> 1937. ‘Aftermath in Poland.’ </w:t>
      </w:r>
    </w:p>
  </w:footnote>
  <w:footnote w:id="7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Rugg, </w:t>
      </w:r>
      <w:r w:rsidRPr="001B6FE5">
        <w:rPr>
          <w:rFonts w:ascii="Arial" w:hAnsi="Arial" w:cs="Arial"/>
          <w:i/>
          <w:sz w:val="18"/>
          <w:szCs w:val="18"/>
        </w:rPr>
        <w:t>Eastern Europe</w:t>
      </w:r>
      <w:r w:rsidRPr="001B6FE5">
        <w:rPr>
          <w:rFonts w:ascii="Arial" w:hAnsi="Arial" w:cs="Arial"/>
          <w:sz w:val="18"/>
          <w:szCs w:val="18"/>
        </w:rPr>
        <w:t xml:space="preserve">, p. 201. </w:t>
      </w:r>
    </w:p>
  </w:footnote>
  <w:footnote w:id="7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Norman Salsitz, </w:t>
      </w:r>
      <w:r w:rsidRPr="001B6FE5">
        <w:rPr>
          <w:rFonts w:ascii="Arial" w:hAnsi="Arial" w:cs="Arial"/>
          <w:i/>
          <w:sz w:val="18"/>
          <w:szCs w:val="18"/>
        </w:rPr>
        <w:t>A Jewish Boyhood in Poland: Remembering Kolbuszowa</w:t>
      </w:r>
      <w:r w:rsidRPr="001B6FE5">
        <w:rPr>
          <w:rFonts w:ascii="Arial" w:hAnsi="Arial" w:cs="Arial"/>
          <w:sz w:val="18"/>
          <w:szCs w:val="18"/>
        </w:rPr>
        <w:t xml:space="preserve">, (Syracuse: Syracuse University Press, 1992), p. 131. </w:t>
      </w:r>
    </w:p>
  </w:footnote>
  <w:footnote w:id="7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Peter Thaler, ‘Fluid Identities in Central European Borderlands’, </w:t>
      </w:r>
      <w:r w:rsidRPr="001B6FE5">
        <w:rPr>
          <w:rFonts w:ascii="Arial" w:hAnsi="Arial" w:cs="Arial"/>
          <w:i/>
          <w:sz w:val="18"/>
          <w:szCs w:val="18"/>
        </w:rPr>
        <w:t>European History Quarterly</w:t>
      </w:r>
      <w:r>
        <w:rPr>
          <w:rFonts w:ascii="Arial" w:hAnsi="Arial" w:cs="Arial"/>
          <w:sz w:val="18"/>
          <w:szCs w:val="18"/>
        </w:rPr>
        <w:t>, 31 4 (2001), p. 526.</w:t>
      </w:r>
    </w:p>
  </w:footnote>
  <w:footnote w:id="75">
    <w:p w:rsidR="00946405" w:rsidRPr="004A0007" w:rsidRDefault="00946405">
      <w:pPr>
        <w:pStyle w:val="FootnoteText"/>
        <w:rPr>
          <w:rFonts w:ascii="Arial" w:hAnsi="Arial" w:cs="Arial"/>
          <w:sz w:val="18"/>
          <w:szCs w:val="18"/>
        </w:rPr>
      </w:pPr>
      <w:r w:rsidRPr="004A0007">
        <w:rPr>
          <w:rStyle w:val="FootnoteReference"/>
          <w:rFonts w:ascii="Arial" w:hAnsi="Arial" w:cs="Arial"/>
          <w:sz w:val="18"/>
          <w:szCs w:val="18"/>
        </w:rPr>
        <w:footnoteRef/>
      </w:r>
      <w:r w:rsidRPr="004A0007">
        <w:rPr>
          <w:rFonts w:ascii="Arial" w:hAnsi="Arial" w:cs="Arial"/>
          <w:sz w:val="18"/>
          <w:szCs w:val="18"/>
        </w:rPr>
        <w:t xml:space="preserve"> Keith Neilson, Britain, Soviet Russia and the Collapse of the Versailles Order, 1919-1939, (Cambridge: Cambridge University Press, 2006), pp. 1-41. </w:t>
      </w:r>
    </w:p>
  </w:footnote>
  <w:footnote w:id="7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pp. 81-82. </w:t>
      </w:r>
    </w:p>
  </w:footnote>
  <w:footnote w:id="7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Economist</w:t>
      </w:r>
      <w:r w:rsidRPr="001B6FE5">
        <w:rPr>
          <w:rFonts w:ascii="Arial" w:hAnsi="Arial" w:cs="Arial"/>
          <w:sz w:val="18"/>
          <w:szCs w:val="18"/>
        </w:rPr>
        <w:t>, August 9</w:t>
      </w:r>
      <w:r w:rsidRPr="001B6FE5">
        <w:rPr>
          <w:rFonts w:ascii="Arial" w:hAnsi="Arial" w:cs="Arial"/>
          <w:sz w:val="18"/>
          <w:szCs w:val="18"/>
          <w:vertAlign w:val="superscript"/>
        </w:rPr>
        <w:t>th</w:t>
      </w:r>
      <w:r w:rsidRPr="001B6FE5">
        <w:rPr>
          <w:rFonts w:ascii="Arial" w:hAnsi="Arial" w:cs="Arial"/>
          <w:sz w:val="18"/>
          <w:szCs w:val="18"/>
        </w:rPr>
        <w:t xml:space="preserve"> 1922. </w:t>
      </w:r>
    </w:p>
  </w:footnote>
  <w:footnote w:id="7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Acton &amp; Stableford, </w:t>
      </w:r>
      <w:r w:rsidRPr="001B6FE5">
        <w:rPr>
          <w:rFonts w:ascii="Arial" w:hAnsi="Arial" w:cs="Arial"/>
          <w:i/>
          <w:sz w:val="18"/>
          <w:szCs w:val="18"/>
        </w:rPr>
        <w:t>The Soviet Union: A Documentary History</w:t>
      </w:r>
      <w:r w:rsidRPr="001B6FE5">
        <w:rPr>
          <w:rFonts w:ascii="Arial" w:hAnsi="Arial" w:cs="Arial"/>
          <w:sz w:val="18"/>
          <w:szCs w:val="18"/>
        </w:rPr>
        <w:t xml:space="preserve">, n 81 pp. 131-132. </w:t>
      </w:r>
    </w:p>
  </w:footnote>
  <w:footnote w:id="7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Saul Friedlander, </w:t>
      </w:r>
      <w:r w:rsidRPr="001B6FE5">
        <w:rPr>
          <w:rFonts w:ascii="Arial" w:hAnsi="Arial" w:cs="Arial"/>
          <w:i/>
          <w:sz w:val="18"/>
          <w:szCs w:val="18"/>
        </w:rPr>
        <w:t>Nazi German &amp; The Jews: The Years of Persecution 1933-39</w:t>
      </w:r>
      <w:r w:rsidRPr="001B6FE5">
        <w:rPr>
          <w:rFonts w:ascii="Arial" w:hAnsi="Arial" w:cs="Arial"/>
          <w:sz w:val="18"/>
          <w:szCs w:val="18"/>
        </w:rPr>
        <w:t xml:space="preserve">, (London: Weidenfield &amp; Nicolson, 1997), p. 217. </w:t>
      </w:r>
    </w:p>
  </w:footnote>
  <w:footnote w:id="8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Salsitz, </w:t>
      </w:r>
      <w:r w:rsidRPr="001B6FE5">
        <w:rPr>
          <w:rFonts w:ascii="Arial" w:hAnsi="Arial" w:cs="Arial"/>
          <w:i/>
          <w:sz w:val="18"/>
          <w:szCs w:val="18"/>
        </w:rPr>
        <w:t>A Jewish Boyhood in Poland</w:t>
      </w:r>
      <w:r w:rsidRPr="001B6FE5">
        <w:rPr>
          <w:rFonts w:ascii="Arial" w:hAnsi="Arial" w:cs="Arial"/>
          <w:sz w:val="18"/>
          <w:szCs w:val="18"/>
        </w:rPr>
        <w:t xml:space="preserve">, pp. 241-252. </w:t>
      </w:r>
    </w:p>
  </w:footnote>
  <w:footnote w:id="8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Blackbourn and Retallack eds.,</w:t>
      </w:r>
      <w:r w:rsidRPr="001B6FE5">
        <w:rPr>
          <w:rFonts w:ascii="Arial" w:hAnsi="Arial" w:cs="Arial"/>
          <w:i/>
          <w:sz w:val="18"/>
          <w:szCs w:val="18"/>
        </w:rPr>
        <w:t xml:space="preserve"> Localism. Landscape, And The Ambiguities Of Place: German-Speaking Central Europe, 1860-1930</w:t>
      </w:r>
      <w:r>
        <w:rPr>
          <w:rFonts w:ascii="Arial" w:hAnsi="Arial" w:cs="Arial"/>
          <w:sz w:val="18"/>
          <w:szCs w:val="18"/>
        </w:rPr>
        <w:t xml:space="preserve">, </w:t>
      </w:r>
      <w:r w:rsidRPr="001B6FE5">
        <w:rPr>
          <w:rFonts w:ascii="Arial" w:hAnsi="Arial" w:cs="Arial"/>
          <w:sz w:val="18"/>
          <w:szCs w:val="18"/>
        </w:rPr>
        <w:t>p.22; and Zahra, ‘The Borderland in the Child</w:t>
      </w:r>
      <w:r>
        <w:rPr>
          <w:rFonts w:ascii="Arial" w:hAnsi="Arial" w:cs="Arial"/>
          <w:sz w:val="18"/>
          <w:szCs w:val="18"/>
        </w:rPr>
        <w:t>’</w:t>
      </w:r>
      <w:r w:rsidRPr="001B6FE5">
        <w:rPr>
          <w:rFonts w:ascii="Arial" w:hAnsi="Arial" w:cs="Arial"/>
          <w:sz w:val="18"/>
          <w:szCs w:val="18"/>
        </w:rPr>
        <w:t xml:space="preserve"> in </w:t>
      </w:r>
      <w:r w:rsidRPr="001B6FE5">
        <w:rPr>
          <w:rFonts w:ascii="Arial" w:hAnsi="Arial" w:cs="Arial"/>
          <w:i/>
          <w:sz w:val="18"/>
          <w:szCs w:val="18"/>
        </w:rPr>
        <w:t>Ibid</w:t>
      </w:r>
      <w:r w:rsidRPr="001B6FE5">
        <w:rPr>
          <w:rFonts w:ascii="Arial" w:hAnsi="Arial" w:cs="Arial"/>
          <w:sz w:val="18"/>
          <w:szCs w:val="18"/>
        </w:rPr>
        <w:t xml:space="preserve">. pp. 214-235. </w:t>
      </w:r>
    </w:p>
  </w:footnote>
  <w:footnote w:id="8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C.A.Macartney, </w:t>
      </w:r>
      <w:r w:rsidRPr="001B6FE5">
        <w:rPr>
          <w:rFonts w:ascii="Arial" w:hAnsi="Arial" w:cs="Arial"/>
          <w:i/>
          <w:sz w:val="18"/>
          <w:szCs w:val="18"/>
        </w:rPr>
        <w:t>Hungary And Her Successors 1919-1937</w:t>
      </w:r>
      <w:r w:rsidRPr="001B6FE5">
        <w:rPr>
          <w:rFonts w:ascii="Arial" w:hAnsi="Arial" w:cs="Arial"/>
          <w:sz w:val="18"/>
          <w:szCs w:val="18"/>
        </w:rPr>
        <w:t xml:space="preserve">, (London: Oxford University Press, 1937), p. 97. </w:t>
      </w:r>
      <w:r>
        <w:rPr>
          <w:rFonts w:ascii="Arial" w:hAnsi="Arial" w:cs="Arial"/>
          <w:sz w:val="18"/>
          <w:szCs w:val="18"/>
        </w:rPr>
        <w:t xml:space="preserve">It must be noted that debates within the Mandates Commission were fully understood by Poland and ‘Roumania’, two countries which approved the policy of the Balfour Declaration, because ‘it turns Palestine into a dumping ground for [their] Jews of whom…they are anxious to be rid.’ </w:t>
      </w:r>
      <w:r w:rsidRPr="00A02344">
        <w:rPr>
          <w:rFonts w:ascii="Arial" w:hAnsi="Arial" w:cs="Arial"/>
          <w:i/>
          <w:sz w:val="18"/>
          <w:szCs w:val="18"/>
        </w:rPr>
        <w:t>Economist</w:t>
      </w:r>
      <w:r>
        <w:rPr>
          <w:rFonts w:ascii="Arial" w:hAnsi="Arial" w:cs="Arial"/>
          <w:sz w:val="18"/>
          <w:szCs w:val="18"/>
        </w:rPr>
        <w:t>, 24</w:t>
      </w:r>
      <w:r w:rsidRPr="00A02344">
        <w:rPr>
          <w:rFonts w:ascii="Arial" w:hAnsi="Arial" w:cs="Arial"/>
          <w:sz w:val="18"/>
          <w:szCs w:val="18"/>
          <w:vertAlign w:val="superscript"/>
        </w:rPr>
        <w:t>th</w:t>
      </w:r>
      <w:r>
        <w:rPr>
          <w:rFonts w:ascii="Arial" w:hAnsi="Arial" w:cs="Arial"/>
          <w:sz w:val="18"/>
          <w:szCs w:val="18"/>
        </w:rPr>
        <w:t xml:space="preserve"> September 1938. </w:t>
      </w:r>
    </w:p>
  </w:footnote>
  <w:footnote w:id="8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Economist</w:t>
      </w:r>
      <w:r w:rsidRPr="001B6FE5">
        <w:rPr>
          <w:rFonts w:ascii="Arial" w:hAnsi="Arial" w:cs="Arial"/>
          <w:sz w:val="18"/>
          <w:szCs w:val="18"/>
        </w:rPr>
        <w:t>, August 5</w:t>
      </w:r>
      <w:r w:rsidRPr="001B6FE5">
        <w:rPr>
          <w:rFonts w:ascii="Arial" w:hAnsi="Arial" w:cs="Arial"/>
          <w:sz w:val="18"/>
          <w:szCs w:val="18"/>
          <w:vertAlign w:val="superscript"/>
        </w:rPr>
        <w:t>th</w:t>
      </w:r>
      <w:r w:rsidRPr="001B6FE5">
        <w:rPr>
          <w:rFonts w:ascii="Arial" w:hAnsi="Arial" w:cs="Arial"/>
          <w:sz w:val="18"/>
          <w:szCs w:val="18"/>
        </w:rPr>
        <w:t xml:space="preserve"> 1922; Interview with Dr. Benes. </w:t>
      </w:r>
    </w:p>
  </w:footnote>
  <w:footnote w:id="8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W.V.Wallace, ‘From Czechs and Slovaks to Czechoslovakia and from Czechoslovakia to Czechs and Slovaks’, in Seamus Dunn And T.G. Fraser eds., </w:t>
      </w:r>
      <w:r w:rsidRPr="001B6FE5">
        <w:rPr>
          <w:rFonts w:ascii="Arial" w:hAnsi="Arial" w:cs="Arial"/>
          <w:i/>
          <w:sz w:val="18"/>
          <w:szCs w:val="18"/>
        </w:rPr>
        <w:t>Europe And Ethnicity: World War 1 And Contemporary Ethnic Conflict</w:t>
      </w:r>
      <w:r w:rsidRPr="001B6FE5">
        <w:rPr>
          <w:rFonts w:ascii="Arial" w:hAnsi="Arial" w:cs="Arial"/>
          <w:sz w:val="18"/>
          <w:szCs w:val="18"/>
        </w:rPr>
        <w:t xml:space="preserve">, (London: Routledge, 1996), p. 50. </w:t>
      </w:r>
    </w:p>
  </w:footnote>
  <w:footnote w:id="8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Miroslav Mares and Pavel Pseja, ‘Agrarian and Peasant Parties in the Czech Republic: History, Presence and Central European Context’, </w:t>
      </w:r>
      <w:r w:rsidRPr="008644C5">
        <w:rPr>
          <w:rFonts w:ascii="Arial" w:hAnsi="Arial" w:cs="Arial"/>
          <w:i/>
          <w:sz w:val="18"/>
          <w:szCs w:val="18"/>
        </w:rPr>
        <w:t>Institute for Comparative Political Research Masaryk University</w:t>
      </w:r>
      <w:r w:rsidRPr="001B6FE5">
        <w:rPr>
          <w:rFonts w:ascii="Arial" w:hAnsi="Arial" w:cs="Arial"/>
          <w:sz w:val="18"/>
          <w:szCs w:val="18"/>
        </w:rPr>
        <w:t xml:space="preserve">, (2007) pp. 1-6. </w:t>
      </w:r>
    </w:p>
  </w:footnote>
  <w:footnote w:id="8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Lev Kopelev, trans. Antonina W. Bouis, </w:t>
      </w:r>
      <w:r w:rsidRPr="001B6FE5">
        <w:rPr>
          <w:rFonts w:ascii="Arial" w:hAnsi="Arial" w:cs="Arial"/>
          <w:i/>
          <w:sz w:val="18"/>
          <w:szCs w:val="18"/>
        </w:rPr>
        <w:t>Ease My Sorrows: A Memoir</w:t>
      </w:r>
      <w:r w:rsidRPr="001B6FE5">
        <w:rPr>
          <w:rFonts w:ascii="Arial" w:hAnsi="Arial" w:cs="Arial"/>
          <w:sz w:val="18"/>
          <w:szCs w:val="18"/>
        </w:rPr>
        <w:t xml:space="preserve">, (New York: Random House, 1983), p. 122. </w:t>
      </w:r>
    </w:p>
  </w:footnote>
  <w:footnote w:id="8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Rogers Brubaker, </w:t>
      </w:r>
      <w:r w:rsidRPr="001B6FE5">
        <w:rPr>
          <w:rFonts w:ascii="Arial" w:hAnsi="Arial" w:cs="Arial"/>
          <w:i/>
          <w:sz w:val="18"/>
          <w:szCs w:val="18"/>
        </w:rPr>
        <w:t>Nationalism Reframed</w:t>
      </w:r>
      <w:r w:rsidRPr="001B6FE5">
        <w:rPr>
          <w:rFonts w:ascii="Arial" w:hAnsi="Arial" w:cs="Arial"/>
          <w:sz w:val="18"/>
          <w:szCs w:val="18"/>
        </w:rPr>
        <w:t xml:space="preserve">, (Cambridge: Cambridge University Press, 1996), p. 110. </w:t>
      </w:r>
    </w:p>
  </w:footnote>
  <w:footnote w:id="8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Blanke, </w:t>
      </w:r>
      <w:r w:rsidRPr="001B6FE5">
        <w:rPr>
          <w:rFonts w:ascii="Arial" w:hAnsi="Arial" w:cs="Arial"/>
          <w:i/>
          <w:sz w:val="18"/>
          <w:szCs w:val="18"/>
        </w:rPr>
        <w:t>Orphans of Versailles</w:t>
      </w:r>
      <w:r w:rsidRPr="001B6FE5">
        <w:rPr>
          <w:rFonts w:ascii="Arial" w:hAnsi="Arial" w:cs="Arial"/>
          <w:sz w:val="18"/>
          <w:szCs w:val="18"/>
        </w:rPr>
        <w:t xml:space="preserve">, p. 4. </w:t>
      </w:r>
    </w:p>
  </w:footnote>
  <w:footnote w:id="8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Hiden and Smith, ‘Looking beyond the Nation State</w:t>
      </w:r>
      <w:r>
        <w:rPr>
          <w:rFonts w:ascii="Arial" w:hAnsi="Arial" w:cs="Arial"/>
          <w:sz w:val="18"/>
          <w:szCs w:val="18"/>
        </w:rPr>
        <w:t xml:space="preserve">’, </w:t>
      </w:r>
      <w:r>
        <w:rPr>
          <w:rFonts w:ascii="Arial" w:hAnsi="Arial" w:cs="Arial"/>
          <w:i/>
          <w:sz w:val="18"/>
          <w:szCs w:val="18"/>
        </w:rPr>
        <w:t>JCH</w:t>
      </w:r>
      <w:r w:rsidRPr="001B6FE5">
        <w:rPr>
          <w:rFonts w:ascii="Arial" w:hAnsi="Arial" w:cs="Arial"/>
          <w:sz w:val="18"/>
          <w:szCs w:val="18"/>
        </w:rPr>
        <w:t xml:space="preserve">, pp. 387-399; See also Peter Durnovo’s Memorandum as an example of pro-German tendencies inside Tsarist Russia; F.Golder, </w:t>
      </w:r>
      <w:r w:rsidRPr="001B6FE5">
        <w:rPr>
          <w:rFonts w:ascii="Arial" w:hAnsi="Arial" w:cs="Arial"/>
          <w:i/>
          <w:sz w:val="18"/>
          <w:szCs w:val="18"/>
        </w:rPr>
        <w:t>Documents of  Russian History, 1914-1917</w:t>
      </w:r>
      <w:r w:rsidRPr="001B6FE5">
        <w:rPr>
          <w:rFonts w:ascii="Arial" w:hAnsi="Arial" w:cs="Arial"/>
          <w:sz w:val="18"/>
          <w:szCs w:val="18"/>
        </w:rPr>
        <w:t xml:space="preserve">, (Gloucs. MA: Peter Smith, 1964), pp. 3-23; also John C.G.Rohl, </w:t>
      </w:r>
      <w:r w:rsidRPr="001B6FE5">
        <w:rPr>
          <w:rFonts w:ascii="Arial" w:hAnsi="Arial" w:cs="Arial"/>
          <w:i/>
          <w:sz w:val="18"/>
          <w:szCs w:val="18"/>
        </w:rPr>
        <w:t>The Kaiser and his Court: Wilhelm II and the Government of Germany</w:t>
      </w:r>
      <w:r w:rsidRPr="001B6FE5">
        <w:rPr>
          <w:rFonts w:ascii="Arial" w:hAnsi="Arial" w:cs="Arial"/>
          <w:sz w:val="18"/>
          <w:szCs w:val="18"/>
        </w:rPr>
        <w:t xml:space="preserve">, (Cambridge: Cambridge University Press, 1994), p. 173.   </w:t>
      </w:r>
    </w:p>
  </w:footnote>
  <w:footnote w:id="9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Blanke, </w:t>
      </w:r>
      <w:r w:rsidRPr="001B6FE5">
        <w:rPr>
          <w:rFonts w:ascii="Arial" w:hAnsi="Arial" w:cs="Arial"/>
          <w:i/>
          <w:sz w:val="18"/>
          <w:szCs w:val="18"/>
        </w:rPr>
        <w:t>Orphans of Versailles</w:t>
      </w:r>
      <w:r w:rsidRPr="001B6FE5">
        <w:rPr>
          <w:rFonts w:ascii="Arial" w:hAnsi="Arial" w:cs="Arial"/>
          <w:sz w:val="18"/>
          <w:szCs w:val="18"/>
        </w:rPr>
        <w:t xml:space="preserve">, Appendix B. Population of Western Poland, pp. 244-245. </w:t>
      </w:r>
    </w:p>
  </w:footnote>
  <w:footnote w:id="9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Carole Fink, ‘Stresemann’s Minority Policies,’ 1924-29’, </w:t>
      </w:r>
      <w:r w:rsidRPr="001B6FE5">
        <w:rPr>
          <w:rFonts w:ascii="Arial" w:hAnsi="Arial" w:cs="Arial"/>
          <w:i/>
          <w:sz w:val="18"/>
          <w:szCs w:val="18"/>
        </w:rPr>
        <w:t>Journal of Contemporary History</w:t>
      </w:r>
      <w:r w:rsidRPr="001B6FE5">
        <w:rPr>
          <w:rFonts w:ascii="Arial" w:hAnsi="Arial" w:cs="Arial"/>
          <w:sz w:val="18"/>
          <w:szCs w:val="18"/>
        </w:rPr>
        <w:t xml:space="preserve">, 14 3 (1979), pp. 403-422. </w:t>
      </w:r>
    </w:p>
  </w:footnote>
  <w:footnote w:id="9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Brubaker, </w:t>
      </w:r>
      <w:r w:rsidRPr="001B6FE5">
        <w:rPr>
          <w:rFonts w:ascii="Arial" w:hAnsi="Arial" w:cs="Arial"/>
          <w:i/>
          <w:sz w:val="18"/>
          <w:szCs w:val="18"/>
        </w:rPr>
        <w:t>Nationalism Reframed</w:t>
      </w:r>
      <w:r w:rsidRPr="001B6FE5">
        <w:rPr>
          <w:rFonts w:ascii="Arial" w:hAnsi="Arial" w:cs="Arial"/>
          <w:sz w:val="18"/>
          <w:szCs w:val="18"/>
        </w:rPr>
        <w:t xml:space="preserve">, p. 88. </w:t>
      </w:r>
    </w:p>
  </w:footnote>
  <w:footnote w:id="93">
    <w:p w:rsidR="00946405" w:rsidRPr="00B655D7" w:rsidRDefault="00946405">
      <w:pPr>
        <w:pStyle w:val="FootnoteText"/>
        <w:rPr>
          <w:rFonts w:ascii="Arial" w:hAnsi="Arial" w:cs="Arial"/>
          <w:sz w:val="18"/>
          <w:szCs w:val="18"/>
        </w:rPr>
      </w:pPr>
      <w:r w:rsidRPr="00B655D7">
        <w:rPr>
          <w:rStyle w:val="FootnoteReference"/>
          <w:rFonts w:ascii="Arial" w:hAnsi="Arial" w:cs="Arial"/>
          <w:sz w:val="18"/>
          <w:szCs w:val="18"/>
        </w:rPr>
        <w:footnoteRef/>
      </w:r>
      <w:r w:rsidRPr="00B655D7">
        <w:rPr>
          <w:rFonts w:ascii="Arial" w:hAnsi="Arial" w:cs="Arial"/>
          <w:sz w:val="18"/>
          <w:szCs w:val="18"/>
        </w:rPr>
        <w:t xml:space="preserve"> Blanke, p. 130; As Fink notes ‘the first world war…reduced considerably, from one hundred to approximately twenty-five million…the number of European minorities [but] the peace settlements had created sizeable </w:t>
      </w:r>
      <w:r w:rsidRPr="00B655D7">
        <w:rPr>
          <w:rFonts w:ascii="Arial" w:hAnsi="Arial" w:cs="Arial"/>
          <w:i/>
          <w:sz w:val="18"/>
          <w:szCs w:val="18"/>
        </w:rPr>
        <w:t>new</w:t>
      </w:r>
      <w:r w:rsidRPr="00B655D7">
        <w:rPr>
          <w:rFonts w:ascii="Arial" w:hAnsi="Arial" w:cs="Arial"/>
          <w:sz w:val="18"/>
          <w:szCs w:val="18"/>
        </w:rPr>
        <w:t xml:space="preserve"> minorities.’ Carole Fink, ‘Stresemann’s Minority Policies,’ pp. 403-404; “The object of the minority treaties’, Austen Chamberlain argued in 19225, ‘was to secure for the minorities that measure of protection and justice which would gradually prepare them to be </w:t>
      </w:r>
      <w:r w:rsidRPr="00B655D7">
        <w:rPr>
          <w:rFonts w:ascii="Arial" w:hAnsi="Arial" w:cs="Arial"/>
          <w:i/>
          <w:sz w:val="18"/>
          <w:szCs w:val="18"/>
        </w:rPr>
        <w:t>merged</w:t>
      </w:r>
      <w:r w:rsidRPr="00B655D7">
        <w:rPr>
          <w:rFonts w:ascii="Arial" w:hAnsi="Arial" w:cs="Arial"/>
          <w:sz w:val="18"/>
          <w:szCs w:val="18"/>
        </w:rPr>
        <w:t xml:space="preserve"> in the national community to which they belonged.’ Hidden and Smith, ‘Looking beyond the Nation State</w:t>
      </w:r>
      <w:r>
        <w:rPr>
          <w:rFonts w:ascii="Arial" w:hAnsi="Arial" w:cs="Arial"/>
          <w:sz w:val="18"/>
          <w:szCs w:val="18"/>
        </w:rPr>
        <w:t xml:space="preserve">’, </w:t>
      </w:r>
      <w:r>
        <w:rPr>
          <w:rFonts w:ascii="Arial" w:hAnsi="Arial" w:cs="Arial"/>
          <w:i/>
          <w:sz w:val="18"/>
          <w:szCs w:val="18"/>
        </w:rPr>
        <w:t>JCH</w:t>
      </w:r>
      <w:r w:rsidRPr="00B655D7">
        <w:rPr>
          <w:rFonts w:ascii="Arial" w:hAnsi="Arial" w:cs="Arial"/>
          <w:sz w:val="18"/>
          <w:szCs w:val="18"/>
        </w:rPr>
        <w:t xml:space="preserve">, 41 (2006), pp. 387-399. </w:t>
      </w:r>
    </w:p>
  </w:footnote>
  <w:footnote w:id="9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Joseph Rothschild and Nancy M.Wingfield, </w:t>
      </w:r>
      <w:r w:rsidRPr="001B6FE5">
        <w:rPr>
          <w:rFonts w:ascii="Arial" w:hAnsi="Arial" w:cs="Arial"/>
          <w:i/>
          <w:sz w:val="18"/>
          <w:szCs w:val="18"/>
        </w:rPr>
        <w:t>Return to Diversity 4</w:t>
      </w:r>
      <w:r w:rsidRPr="001B6FE5">
        <w:rPr>
          <w:rFonts w:ascii="Arial" w:hAnsi="Arial" w:cs="Arial"/>
          <w:i/>
          <w:sz w:val="18"/>
          <w:szCs w:val="18"/>
          <w:vertAlign w:val="superscript"/>
        </w:rPr>
        <w:t>th</w:t>
      </w:r>
      <w:r w:rsidRPr="001B6FE5">
        <w:rPr>
          <w:rFonts w:ascii="Arial" w:hAnsi="Arial" w:cs="Arial"/>
          <w:i/>
          <w:sz w:val="18"/>
          <w:szCs w:val="18"/>
        </w:rPr>
        <w:t xml:space="preserve"> Ed</w:t>
      </w:r>
      <w:r w:rsidRPr="001B6FE5">
        <w:rPr>
          <w:rFonts w:ascii="Arial" w:hAnsi="Arial" w:cs="Arial"/>
          <w:sz w:val="18"/>
          <w:szCs w:val="18"/>
        </w:rPr>
        <w:t>., (New York: Oxfor</w:t>
      </w:r>
      <w:r>
        <w:rPr>
          <w:rFonts w:ascii="Arial" w:hAnsi="Arial" w:cs="Arial"/>
          <w:sz w:val="18"/>
          <w:szCs w:val="18"/>
        </w:rPr>
        <w:t xml:space="preserve">d University Press, 2008), p. 8; Richard Friedenthal, </w:t>
      </w:r>
      <w:r w:rsidRPr="008D4CD6">
        <w:rPr>
          <w:rFonts w:ascii="Arial" w:hAnsi="Arial" w:cs="Arial"/>
          <w:i/>
          <w:sz w:val="18"/>
          <w:szCs w:val="18"/>
        </w:rPr>
        <w:t>Luther,</w:t>
      </w:r>
      <w:r>
        <w:rPr>
          <w:rFonts w:ascii="Arial" w:hAnsi="Arial" w:cs="Arial"/>
          <w:sz w:val="18"/>
          <w:szCs w:val="18"/>
        </w:rPr>
        <w:t xml:space="preserve"> (London: Weidenfield and Nicolson, 1967).</w:t>
      </w:r>
    </w:p>
  </w:footnote>
  <w:footnote w:id="9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Blackbourn, ‘The Garden of our Hearts’, in Blackbourn and Retallack eds.,</w:t>
      </w:r>
      <w:r>
        <w:rPr>
          <w:rFonts w:ascii="Arial" w:hAnsi="Arial" w:cs="Arial"/>
          <w:i/>
          <w:sz w:val="18"/>
          <w:szCs w:val="18"/>
        </w:rPr>
        <w:t xml:space="preserve"> Localism,</w:t>
      </w:r>
      <w:r w:rsidRPr="001B6FE5">
        <w:rPr>
          <w:rFonts w:ascii="Arial" w:hAnsi="Arial" w:cs="Arial"/>
          <w:i/>
          <w:sz w:val="18"/>
          <w:szCs w:val="18"/>
        </w:rPr>
        <w:t xml:space="preserve"> Landscape, And The Ambiguities Of Place</w:t>
      </w:r>
      <w:r w:rsidRPr="001B6FE5">
        <w:rPr>
          <w:rFonts w:ascii="Arial" w:hAnsi="Arial" w:cs="Arial"/>
          <w:sz w:val="18"/>
          <w:szCs w:val="18"/>
        </w:rPr>
        <w:t xml:space="preserve">, pp. 149-161. </w:t>
      </w:r>
    </w:p>
  </w:footnote>
  <w:footnote w:id="9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64453E">
        <w:rPr>
          <w:rFonts w:ascii="Arial" w:hAnsi="Arial" w:cs="Arial"/>
          <w:i/>
          <w:sz w:val="18"/>
          <w:szCs w:val="18"/>
        </w:rPr>
        <w:t>Ibid.,</w:t>
      </w:r>
      <w:r w:rsidRPr="001B6FE5">
        <w:rPr>
          <w:rFonts w:ascii="Arial" w:hAnsi="Arial" w:cs="Arial"/>
          <w:sz w:val="18"/>
          <w:szCs w:val="18"/>
        </w:rPr>
        <w:t xml:space="preserve"> p. 156. </w:t>
      </w:r>
    </w:p>
  </w:footnote>
  <w:footnote w:id="9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Alvin M. Fontaine, </w:t>
      </w:r>
      <w:r w:rsidRPr="001B6FE5">
        <w:rPr>
          <w:rFonts w:ascii="Arial" w:hAnsi="Arial" w:cs="Arial"/>
          <w:i/>
          <w:sz w:val="18"/>
          <w:szCs w:val="18"/>
        </w:rPr>
        <w:t>Roman Dmowski: Party, Tactics and Ideology</w:t>
      </w:r>
      <w:r w:rsidRPr="001B6FE5">
        <w:rPr>
          <w:rFonts w:ascii="Arial" w:hAnsi="Arial" w:cs="Arial"/>
          <w:sz w:val="18"/>
          <w:szCs w:val="18"/>
        </w:rPr>
        <w:t xml:space="preserve">, (New York: Columbia University Press, 1980), p. 110. </w:t>
      </w:r>
    </w:p>
  </w:footnote>
  <w:footnote w:id="9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Pearson, </w:t>
      </w:r>
      <w:r w:rsidRPr="001B6FE5">
        <w:rPr>
          <w:rFonts w:ascii="Arial" w:hAnsi="Arial" w:cs="Arial"/>
          <w:i/>
          <w:sz w:val="18"/>
          <w:szCs w:val="18"/>
        </w:rPr>
        <w:t>Nation</w:t>
      </w:r>
      <w:r>
        <w:rPr>
          <w:rFonts w:ascii="Arial" w:hAnsi="Arial" w:cs="Arial"/>
          <w:i/>
          <w:sz w:val="18"/>
          <w:szCs w:val="18"/>
        </w:rPr>
        <w:t xml:space="preserve">al Minorities In Eastern Europe, </w:t>
      </w:r>
      <w:r w:rsidRPr="001B6FE5">
        <w:rPr>
          <w:rFonts w:ascii="Arial" w:hAnsi="Arial" w:cs="Arial"/>
          <w:sz w:val="18"/>
          <w:szCs w:val="18"/>
        </w:rPr>
        <w:t xml:space="preserve">p. 165; Stachura ed., </w:t>
      </w:r>
      <w:r w:rsidRPr="001B6FE5">
        <w:rPr>
          <w:rFonts w:ascii="Arial" w:hAnsi="Arial" w:cs="Arial"/>
          <w:i/>
          <w:sz w:val="18"/>
          <w:szCs w:val="18"/>
        </w:rPr>
        <w:t>Poland Between The Wars, 1918-1939</w:t>
      </w:r>
      <w:r w:rsidRPr="001B6FE5">
        <w:rPr>
          <w:rFonts w:ascii="Arial" w:hAnsi="Arial" w:cs="Arial"/>
          <w:sz w:val="18"/>
          <w:szCs w:val="18"/>
        </w:rPr>
        <w:t xml:space="preserve">, p. 62; Stachura notes that Poland was not as antisemitic as much of the historiography has shown, but that nevertheless tensions existed and did spill into violence, </w:t>
      </w:r>
      <w:r w:rsidRPr="001B6FE5">
        <w:rPr>
          <w:rFonts w:ascii="Arial" w:hAnsi="Arial" w:cs="Arial"/>
          <w:i/>
          <w:sz w:val="18"/>
          <w:szCs w:val="18"/>
        </w:rPr>
        <w:t>ibid</w:t>
      </w:r>
      <w:r w:rsidRPr="001B6FE5">
        <w:rPr>
          <w:rFonts w:ascii="Arial" w:hAnsi="Arial" w:cs="Arial"/>
          <w:sz w:val="18"/>
          <w:szCs w:val="18"/>
        </w:rPr>
        <w:t xml:space="preserve">, Chapter 4. </w:t>
      </w:r>
    </w:p>
  </w:footnote>
  <w:footnote w:id="9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Pr>
          <w:rFonts w:ascii="Arial" w:hAnsi="Arial" w:cs="Arial"/>
          <w:sz w:val="18"/>
          <w:szCs w:val="18"/>
        </w:rPr>
        <w:t xml:space="preserve"> </w:t>
      </w:r>
      <w:r w:rsidRPr="001B6FE5">
        <w:rPr>
          <w:rFonts w:ascii="Arial" w:hAnsi="Arial" w:cs="Arial"/>
          <w:sz w:val="18"/>
          <w:szCs w:val="18"/>
        </w:rPr>
        <w:t xml:space="preserve">Friedlander, </w:t>
      </w:r>
      <w:r w:rsidRPr="001B6FE5">
        <w:rPr>
          <w:rFonts w:ascii="Arial" w:hAnsi="Arial" w:cs="Arial"/>
          <w:i/>
          <w:sz w:val="18"/>
          <w:szCs w:val="18"/>
        </w:rPr>
        <w:t>Nazi German &amp; The Jews: The Years of Persecution 1933-39</w:t>
      </w:r>
      <w:r w:rsidRPr="001B6FE5">
        <w:rPr>
          <w:rFonts w:ascii="Arial" w:hAnsi="Arial" w:cs="Arial"/>
          <w:sz w:val="18"/>
          <w:szCs w:val="18"/>
        </w:rPr>
        <w:t xml:space="preserve">, pp. 211-240. </w:t>
      </w:r>
    </w:p>
  </w:footnote>
  <w:footnote w:id="10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 45. </w:t>
      </w:r>
    </w:p>
  </w:footnote>
  <w:footnote w:id="10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4E38C4">
        <w:rPr>
          <w:rFonts w:ascii="Arial" w:hAnsi="Arial" w:cs="Arial"/>
          <w:i/>
          <w:sz w:val="18"/>
          <w:szCs w:val="18"/>
        </w:rPr>
        <w:t>Ibid</w:t>
      </w:r>
      <w:r>
        <w:rPr>
          <w:rFonts w:ascii="Arial" w:hAnsi="Arial" w:cs="Arial"/>
          <w:sz w:val="18"/>
          <w:szCs w:val="18"/>
        </w:rPr>
        <w:t>.</w:t>
      </w:r>
      <w:r w:rsidRPr="001B6FE5">
        <w:rPr>
          <w:rFonts w:ascii="Arial" w:hAnsi="Arial" w:cs="Arial"/>
          <w:sz w:val="18"/>
          <w:szCs w:val="18"/>
        </w:rPr>
        <w:t xml:space="preserve">, p. 34; Right-Bank Ukraine is the western half of the country and refers to the Tsarist interpretation of ‘Little-Russia’ from the perspective of looking-down from St. Petersburg at the Dnieper River which cuts Ukraine roughly in half. See Noel Lemire’s painting of the ‘First Partition of Poland in 1771.’ </w:t>
      </w:r>
      <w:r>
        <w:rPr>
          <w:rFonts w:ascii="Arial" w:hAnsi="Arial" w:cs="Arial"/>
          <w:sz w:val="18"/>
          <w:szCs w:val="18"/>
        </w:rPr>
        <w:t>(See Fig. 2)</w:t>
      </w:r>
      <w:r w:rsidRPr="001B6FE5">
        <w:rPr>
          <w:rFonts w:ascii="Arial" w:hAnsi="Arial" w:cs="Arial"/>
          <w:sz w:val="18"/>
          <w:szCs w:val="18"/>
        </w:rPr>
        <w:t xml:space="preserve"> </w:t>
      </w:r>
    </w:p>
  </w:footnote>
  <w:footnote w:id="10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Andrew Wilson, ‘Ukraine: Between Eurasia and the West’, in Dunn and Fraser eds., </w:t>
      </w:r>
      <w:r w:rsidRPr="001B6FE5">
        <w:rPr>
          <w:rFonts w:ascii="Arial" w:hAnsi="Arial" w:cs="Arial"/>
          <w:i/>
          <w:sz w:val="18"/>
          <w:szCs w:val="18"/>
        </w:rPr>
        <w:t>Europe And Ethnicity</w:t>
      </w:r>
      <w:r w:rsidRPr="001B6FE5">
        <w:rPr>
          <w:rFonts w:ascii="Arial" w:hAnsi="Arial" w:cs="Arial"/>
          <w:sz w:val="18"/>
          <w:szCs w:val="18"/>
        </w:rPr>
        <w:t>, pp. 110-137; See also Oleh S. Fedshyn,</w:t>
      </w:r>
      <w:r w:rsidRPr="001B6FE5">
        <w:rPr>
          <w:rFonts w:ascii="Arial" w:hAnsi="Arial" w:cs="Arial"/>
          <w:i/>
          <w:sz w:val="18"/>
          <w:szCs w:val="18"/>
        </w:rPr>
        <w:t xml:space="preserve"> Germany’s Drive to the east and the Ukrainian Revolution, 1917-1918</w:t>
      </w:r>
      <w:r w:rsidRPr="001B6FE5">
        <w:rPr>
          <w:rFonts w:ascii="Arial" w:hAnsi="Arial" w:cs="Arial"/>
          <w:sz w:val="18"/>
          <w:szCs w:val="18"/>
        </w:rPr>
        <w:t xml:space="preserve">, (New Brunswick: Rutgers University Press, 1971). </w:t>
      </w:r>
    </w:p>
  </w:footnote>
  <w:footnote w:id="10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Andrew Wilson, </w:t>
      </w:r>
      <w:r w:rsidRPr="001B6FE5">
        <w:rPr>
          <w:rFonts w:ascii="Arial" w:hAnsi="Arial" w:cs="Arial"/>
          <w:i/>
          <w:sz w:val="18"/>
          <w:szCs w:val="18"/>
        </w:rPr>
        <w:t>The Ukrainians: Unexpected Nation</w:t>
      </w:r>
      <w:r w:rsidRPr="001B6FE5">
        <w:rPr>
          <w:rFonts w:ascii="Arial" w:hAnsi="Arial" w:cs="Arial"/>
          <w:sz w:val="18"/>
          <w:szCs w:val="18"/>
        </w:rPr>
        <w:t xml:space="preserve">, (New Haven &amp; London: Yale University Press, 2000), pp. 119-124. </w:t>
      </w:r>
    </w:p>
  </w:footnote>
  <w:footnote w:id="10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Kopelev, </w:t>
      </w:r>
      <w:r w:rsidRPr="001B6FE5">
        <w:rPr>
          <w:rFonts w:ascii="Arial" w:hAnsi="Arial" w:cs="Arial"/>
          <w:i/>
          <w:sz w:val="18"/>
          <w:szCs w:val="18"/>
        </w:rPr>
        <w:t>Ease My Sorrows</w:t>
      </w:r>
      <w:r w:rsidRPr="001B6FE5">
        <w:rPr>
          <w:rFonts w:ascii="Arial" w:hAnsi="Arial" w:cs="Arial"/>
          <w:sz w:val="18"/>
          <w:szCs w:val="18"/>
        </w:rPr>
        <w:t xml:space="preserve">, p. 107. </w:t>
      </w:r>
    </w:p>
  </w:footnote>
  <w:footnote w:id="10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See Friedlander, </w:t>
      </w:r>
      <w:r w:rsidRPr="001B6FE5">
        <w:rPr>
          <w:rFonts w:ascii="Arial" w:hAnsi="Arial" w:cs="Arial"/>
          <w:i/>
          <w:sz w:val="18"/>
          <w:szCs w:val="18"/>
        </w:rPr>
        <w:t>The Years Of Persecution</w:t>
      </w:r>
      <w:r w:rsidRPr="001B6FE5">
        <w:rPr>
          <w:rFonts w:ascii="Arial" w:hAnsi="Arial" w:cs="Arial"/>
          <w:sz w:val="18"/>
          <w:szCs w:val="18"/>
        </w:rPr>
        <w:t xml:space="preserve">, ‘Redemptive Anti-Semitism,’ pp. 73-112. </w:t>
      </w:r>
    </w:p>
  </w:footnote>
  <w:footnote w:id="10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Paul Magosci, </w:t>
      </w:r>
      <w:r w:rsidRPr="001B6FE5">
        <w:rPr>
          <w:rFonts w:ascii="Arial" w:hAnsi="Arial" w:cs="Arial"/>
          <w:i/>
          <w:sz w:val="18"/>
          <w:szCs w:val="18"/>
        </w:rPr>
        <w:t>A History Of Ukraine</w:t>
      </w:r>
      <w:r w:rsidRPr="001B6FE5">
        <w:rPr>
          <w:rFonts w:ascii="Arial" w:hAnsi="Arial" w:cs="Arial"/>
          <w:sz w:val="18"/>
          <w:szCs w:val="18"/>
        </w:rPr>
        <w:t xml:space="preserve">, (Seattle: University of Washington Press, 1996), pp. 489-499. </w:t>
      </w:r>
    </w:p>
  </w:footnote>
  <w:footnote w:id="10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pp. 28-29. </w:t>
      </w:r>
    </w:p>
  </w:footnote>
  <w:footnote w:id="10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Brubaker, </w:t>
      </w:r>
      <w:r w:rsidRPr="001B6FE5">
        <w:rPr>
          <w:rFonts w:ascii="Arial" w:hAnsi="Arial" w:cs="Arial"/>
          <w:i/>
          <w:sz w:val="18"/>
          <w:szCs w:val="18"/>
        </w:rPr>
        <w:t>Nationalism Reframed</w:t>
      </w:r>
      <w:r w:rsidRPr="001B6FE5">
        <w:rPr>
          <w:rFonts w:ascii="Arial" w:hAnsi="Arial" w:cs="Arial"/>
          <w:sz w:val="18"/>
          <w:szCs w:val="18"/>
        </w:rPr>
        <w:t xml:space="preserve">, p. 100. </w:t>
      </w:r>
    </w:p>
  </w:footnote>
  <w:footnote w:id="10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Economist</w:t>
      </w:r>
      <w:r w:rsidRPr="001B6FE5">
        <w:rPr>
          <w:rFonts w:ascii="Arial" w:hAnsi="Arial" w:cs="Arial"/>
          <w:sz w:val="18"/>
          <w:szCs w:val="18"/>
        </w:rPr>
        <w:t>, May 10</w:t>
      </w:r>
      <w:r w:rsidRPr="001B6FE5">
        <w:rPr>
          <w:rFonts w:ascii="Arial" w:hAnsi="Arial" w:cs="Arial"/>
          <w:sz w:val="18"/>
          <w:szCs w:val="18"/>
          <w:vertAlign w:val="superscript"/>
        </w:rPr>
        <w:t>th</w:t>
      </w:r>
      <w:r w:rsidRPr="001B6FE5">
        <w:rPr>
          <w:rFonts w:ascii="Arial" w:hAnsi="Arial" w:cs="Arial"/>
          <w:sz w:val="18"/>
          <w:szCs w:val="18"/>
        </w:rPr>
        <w:t xml:space="preserve"> 1924. </w:t>
      </w:r>
    </w:p>
  </w:footnote>
  <w:footnote w:id="11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Yuri Slezkine, ‘The USSR as a Communal Apartment, or How a Socialist State Promoted Ethnic Particularism’, in </w:t>
      </w:r>
      <w:r>
        <w:rPr>
          <w:rFonts w:ascii="Arial" w:hAnsi="Arial" w:cs="Arial"/>
          <w:sz w:val="18"/>
          <w:szCs w:val="18"/>
        </w:rPr>
        <w:t xml:space="preserve">Sheila </w:t>
      </w:r>
      <w:r w:rsidRPr="001B6FE5">
        <w:rPr>
          <w:rFonts w:ascii="Arial" w:hAnsi="Arial" w:cs="Arial"/>
          <w:sz w:val="18"/>
          <w:szCs w:val="18"/>
        </w:rPr>
        <w:t>Fitzpatrick ed.,</w:t>
      </w:r>
      <w:r w:rsidRPr="001B6FE5">
        <w:rPr>
          <w:rFonts w:ascii="Arial" w:hAnsi="Arial" w:cs="Arial"/>
          <w:i/>
          <w:sz w:val="18"/>
          <w:szCs w:val="18"/>
        </w:rPr>
        <w:t xml:space="preserve"> Stalinism: New Directions</w:t>
      </w:r>
      <w:r w:rsidRPr="001B6FE5">
        <w:rPr>
          <w:rFonts w:ascii="Arial" w:hAnsi="Arial" w:cs="Arial"/>
          <w:sz w:val="18"/>
          <w:szCs w:val="18"/>
        </w:rPr>
        <w:t xml:space="preserve">, (London: Routledge, 2000), p. 330. </w:t>
      </w:r>
    </w:p>
  </w:footnote>
  <w:footnote w:id="11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Jeremy Smith, Stalin as Commissar for Nationality Affairs, 1918-1922’, in Davies and Harris eds., </w:t>
      </w:r>
      <w:r w:rsidRPr="001B6FE5">
        <w:rPr>
          <w:rFonts w:ascii="Arial" w:hAnsi="Arial" w:cs="Arial"/>
          <w:i/>
          <w:sz w:val="18"/>
          <w:szCs w:val="18"/>
        </w:rPr>
        <w:t>Stalin: A New History</w:t>
      </w:r>
      <w:r>
        <w:rPr>
          <w:rFonts w:ascii="Arial" w:hAnsi="Arial" w:cs="Arial"/>
          <w:i/>
          <w:sz w:val="18"/>
          <w:szCs w:val="18"/>
        </w:rPr>
        <w:t xml:space="preserve">; </w:t>
      </w:r>
      <w:r w:rsidRPr="001B6FE5">
        <w:rPr>
          <w:rFonts w:ascii="Arial" w:hAnsi="Arial" w:cs="Arial"/>
          <w:sz w:val="18"/>
          <w:szCs w:val="18"/>
        </w:rPr>
        <w:t>Marx and Engels supported the ‘great’ nations of Central Europe – as ‘bearers of progress’ – the smaller Slavic…peasant peoples, “</w:t>
      </w:r>
      <w:r w:rsidRPr="001B6FE5">
        <w:rPr>
          <w:rFonts w:ascii="Arial" w:hAnsi="Arial" w:cs="Arial"/>
          <w:i/>
          <w:sz w:val="18"/>
          <w:szCs w:val="18"/>
        </w:rPr>
        <w:t>national refuse</w:t>
      </w:r>
      <w:r w:rsidRPr="001B6FE5">
        <w:rPr>
          <w:rFonts w:ascii="Arial" w:hAnsi="Arial" w:cs="Arial"/>
          <w:sz w:val="18"/>
          <w:szCs w:val="18"/>
        </w:rPr>
        <w:t xml:space="preserve">” should be assimilated, Eric van Ree, ‘Stalin as Marxist’, in Ibid; Manus I.Midlarsky, ‘Territoriality and the onset of mass violence: the political extremism of Joseph Stalin, </w:t>
      </w:r>
      <w:r w:rsidRPr="001B6FE5">
        <w:rPr>
          <w:rFonts w:ascii="Arial" w:hAnsi="Arial" w:cs="Arial"/>
          <w:i/>
          <w:sz w:val="18"/>
          <w:szCs w:val="18"/>
        </w:rPr>
        <w:t>Journal of Genocide Research</w:t>
      </w:r>
      <w:r>
        <w:rPr>
          <w:rFonts w:ascii="Arial" w:hAnsi="Arial" w:cs="Arial"/>
          <w:sz w:val="18"/>
          <w:szCs w:val="18"/>
        </w:rPr>
        <w:t>, 11 2-3, (2009), p. 273;</w:t>
      </w:r>
      <w:r w:rsidRPr="001B6FE5">
        <w:rPr>
          <w:rFonts w:ascii="Arial" w:hAnsi="Arial" w:cs="Arial"/>
          <w:sz w:val="18"/>
          <w:szCs w:val="18"/>
        </w:rPr>
        <w:t xml:space="preserve"> Rothschild and Wingfield, </w:t>
      </w:r>
      <w:r w:rsidRPr="001B6FE5">
        <w:rPr>
          <w:rFonts w:ascii="Arial" w:hAnsi="Arial" w:cs="Arial"/>
          <w:i/>
          <w:sz w:val="18"/>
          <w:szCs w:val="18"/>
        </w:rPr>
        <w:t>Return to Diversity</w:t>
      </w:r>
      <w:r w:rsidRPr="001B6FE5">
        <w:rPr>
          <w:rFonts w:ascii="Arial" w:hAnsi="Arial" w:cs="Arial"/>
          <w:sz w:val="18"/>
          <w:szCs w:val="18"/>
        </w:rPr>
        <w:t xml:space="preserve">, p. 6. </w:t>
      </w:r>
    </w:p>
  </w:footnote>
  <w:footnote w:id="11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CAB/24/57/ 5010</w:t>
      </w:r>
      <w:r w:rsidRPr="001B6FE5">
        <w:rPr>
          <w:rFonts w:ascii="Arial" w:hAnsi="Arial" w:cs="Arial"/>
          <w:sz w:val="18"/>
          <w:szCs w:val="18"/>
        </w:rPr>
        <w:t xml:space="preserve">, </w:t>
      </w:r>
      <w:r w:rsidRPr="006068E4">
        <w:rPr>
          <w:rFonts w:ascii="Arial" w:hAnsi="Arial" w:cs="Arial"/>
          <w:i/>
          <w:sz w:val="18"/>
          <w:szCs w:val="18"/>
        </w:rPr>
        <w:t>Recent events in Ukraine, July 1</w:t>
      </w:r>
      <w:r w:rsidRPr="006068E4">
        <w:rPr>
          <w:rFonts w:ascii="Arial" w:hAnsi="Arial" w:cs="Arial"/>
          <w:i/>
          <w:sz w:val="18"/>
          <w:szCs w:val="18"/>
          <w:vertAlign w:val="superscript"/>
        </w:rPr>
        <w:t>st</w:t>
      </w:r>
      <w:r w:rsidRPr="006068E4">
        <w:rPr>
          <w:rFonts w:ascii="Arial" w:hAnsi="Arial" w:cs="Arial"/>
          <w:i/>
          <w:sz w:val="18"/>
          <w:szCs w:val="18"/>
        </w:rPr>
        <w:t xml:space="preserve"> 1918.</w:t>
      </w:r>
      <w:r w:rsidRPr="001B6FE5">
        <w:rPr>
          <w:rFonts w:ascii="Arial" w:hAnsi="Arial" w:cs="Arial"/>
          <w:sz w:val="18"/>
          <w:szCs w:val="18"/>
        </w:rPr>
        <w:t xml:space="preserve"> </w:t>
      </w:r>
    </w:p>
  </w:footnote>
  <w:footnote w:id="11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FO/371/5437, fo.132</w:t>
      </w:r>
      <w:r w:rsidRPr="001B6FE5">
        <w:rPr>
          <w:rFonts w:ascii="Arial" w:hAnsi="Arial" w:cs="Arial"/>
          <w:sz w:val="18"/>
          <w:szCs w:val="18"/>
        </w:rPr>
        <w:t xml:space="preserve">; David Saunders, ‘Britain and the Ukrainian Question (1912-1920)’, </w:t>
      </w:r>
      <w:r w:rsidRPr="001B6FE5">
        <w:rPr>
          <w:rFonts w:ascii="Arial" w:hAnsi="Arial" w:cs="Arial"/>
          <w:i/>
          <w:sz w:val="18"/>
          <w:szCs w:val="18"/>
        </w:rPr>
        <w:t>English Historical Review</w:t>
      </w:r>
      <w:r w:rsidRPr="001B6FE5">
        <w:rPr>
          <w:rFonts w:ascii="Arial" w:hAnsi="Arial" w:cs="Arial"/>
          <w:sz w:val="18"/>
          <w:szCs w:val="18"/>
        </w:rPr>
        <w:t xml:space="preserve">, (1988), pp. 40-68. </w:t>
      </w:r>
    </w:p>
  </w:footnote>
  <w:footnote w:id="11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Gabor Batonyi, </w:t>
      </w:r>
      <w:r w:rsidRPr="001B6FE5">
        <w:rPr>
          <w:rFonts w:ascii="Arial" w:hAnsi="Arial" w:cs="Arial"/>
          <w:i/>
          <w:sz w:val="18"/>
          <w:szCs w:val="18"/>
        </w:rPr>
        <w:t>Britain and Central Europe, 1918-1933</w:t>
      </w:r>
      <w:r w:rsidRPr="001B6FE5">
        <w:rPr>
          <w:rFonts w:ascii="Arial" w:hAnsi="Arial" w:cs="Arial"/>
          <w:sz w:val="18"/>
          <w:szCs w:val="18"/>
        </w:rPr>
        <w:t xml:space="preserve">, (Oxford: Clarendon Press, 1999), p. 223. </w:t>
      </w:r>
    </w:p>
  </w:footnote>
  <w:footnote w:id="115">
    <w:p w:rsidR="00946405" w:rsidRDefault="00946405">
      <w:pPr>
        <w:pStyle w:val="FootnoteText"/>
      </w:pPr>
      <w:r>
        <w:rPr>
          <w:rStyle w:val="FootnoteReference"/>
        </w:rPr>
        <w:footnoteRef/>
      </w:r>
      <w:r>
        <w:t xml:space="preserve"> </w:t>
      </w:r>
      <w:r>
        <w:rPr>
          <w:rFonts w:ascii="Arial" w:hAnsi="Arial" w:cs="Arial"/>
          <w:sz w:val="18"/>
          <w:szCs w:val="18"/>
        </w:rPr>
        <w:t xml:space="preserve">Ashton S.R &amp; </w:t>
      </w:r>
      <w:r w:rsidRPr="00660691">
        <w:rPr>
          <w:rFonts w:ascii="Arial" w:hAnsi="Arial" w:cs="Arial"/>
          <w:sz w:val="18"/>
          <w:szCs w:val="18"/>
        </w:rPr>
        <w:t xml:space="preserve">Stockwell S.E eds., </w:t>
      </w:r>
      <w:r w:rsidRPr="00660691">
        <w:rPr>
          <w:rFonts w:ascii="Arial" w:hAnsi="Arial" w:cs="Arial"/>
          <w:i/>
          <w:sz w:val="18"/>
          <w:szCs w:val="18"/>
        </w:rPr>
        <w:t>British Documents on the End of Empire, Series A, Vol I: Imperial Policy and Colonial Practice, 1925-1945</w:t>
      </w:r>
      <w:r>
        <w:rPr>
          <w:rFonts w:ascii="Arial" w:hAnsi="Arial" w:cs="Arial"/>
          <w:sz w:val="18"/>
          <w:szCs w:val="18"/>
        </w:rPr>
        <w:t xml:space="preserve">, (London: HMSO, 1996), pp. xxxix-xliv. </w:t>
      </w:r>
    </w:p>
  </w:footnote>
  <w:footnote w:id="11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Magosci, </w:t>
      </w:r>
      <w:r w:rsidRPr="001B6FE5">
        <w:rPr>
          <w:rFonts w:ascii="Arial" w:hAnsi="Arial" w:cs="Arial"/>
          <w:i/>
          <w:sz w:val="18"/>
          <w:szCs w:val="18"/>
        </w:rPr>
        <w:t>A History Of Ukraine</w:t>
      </w:r>
      <w:r w:rsidRPr="001B6FE5">
        <w:rPr>
          <w:rFonts w:ascii="Arial" w:hAnsi="Arial" w:cs="Arial"/>
          <w:sz w:val="18"/>
          <w:szCs w:val="18"/>
        </w:rPr>
        <w:t xml:space="preserve">, pp. 574-577. </w:t>
      </w:r>
    </w:p>
  </w:footnote>
  <w:footnote w:id="11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 D.Klier And Shlomo Lambroza </w:t>
      </w:r>
      <w:r w:rsidRPr="001B6FE5">
        <w:rPr>
          <w:rFonts w:ascii="Arial" w:hAnsi="Arial" w:cs="Arial"/>
          <w:i/>
          <w:sz w:val="18"/>
          <w:szCs w:val="18"/>
        </w:rPr>
        <w:t>Pogroms: Anti-Jewish violence in modern Russian history</w:t>
      </w:r>
      <w:r w:rsidRPr="001B6FE5">
        <w:rPr>
          <w:rFonts w:ascii="Arial" w:hAnsi="Arial" w:cs="Arial"/>
          <w:sz w:val="18"/>
          <w:szCs w:val="18"/>
        </w:rPr>
        <w:t xml:space="preserve">, (Cambridge: Cambridge University Press, 1992). </w:t>
      </w:r>
    </w:p>
  </w:footnote>
  <w:footnote w:id="11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Aster &amp; Potichnyj, </w:t>
      </w:r>
      <w:r w:rsidRPr="001B6FE5">
        <w:rPr>
          <w:rFonts w:ascii="Arial" w:hAnsi="Arial" w:cs="Arial"/>
          <w:i/>
          <w:sz w:val="18"/>
          <w:szCs w:val="18"/>
        </w:rPr>
        <w:t>Jewish –Ukrainian Relations</w:t>
      </w:r>
      <w:r w:rsidRPr="001B6FE5">
        <w:rPr>
          <w:rFonts w:ascii="Arial" w:hAnsi="Arial" w:cs="Arial"/>
          <w:sz w:val="18"/>
          <w:szCs w:val="18"/>
        </w:rPr>
        <w:t xml:space="preserve">, p. 39. </w:t>
      </w:r>
    </w:p>
  </w:footnote>
  <w:footnote w:id="11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CB565C">
        <w:rPr>
          <w:rFonts w:ascii="Arial" w:hAnsi="Arial" w:cs="Arial"/>
          <w:i/>
          <w:sz w:val="18"/>
          <w:szCs w:val="18"/>
        </w:rPr>
        <w:t>Ibid</w:t>
      </w:r>
      <w:r w:rsidRPr="001B6FE5">
        <w:rPr>
          <w:rFonts w:ascii="Arial" w:hAnsi="Arial" w:cs="Arial"/>
          <w:sz w:val="18"/>
          <w:szCs w:val="18"/>
        </w:rPr>
        <w:t xml:space="preserve">. pp. 24-54. </w:t>
      </w:r>
    </w:p>
  </w:footnote>
  <w:footnote w:id="12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07768">
        <w:rPr>
          <w:rFonts w:ascii="Arial" w:hAnsi="Arial" w:cs="Arial"/>
          <w:i/>
          <w:sz w:val="18"/>
          <w:szCs w:val="18"/>
        </w:rPr>
        <w:t>Ibid.</w:t>
      </w:r>
      <w:r>
        <w:rPr>
          <w:rFonts w:ascii="Arial" w:hAnsi="Arial" w:cs="Arial"/>
          <w:sz w:val="18"/>
          <w:szCs w:val="18"/>
        </w:rPr>
        <w:t xml:space="preserve"> </w:t>
      </w:r>
      <w:r w:rsidRPr="001B6FE5">
        <w:rPr>
          <w:rFonts w:ascii="Arial" w:hAnsi="Arial" w:cs="Arial"/>
          <w:sz w:val="18"/>
          <w:szCs w:val="18"/>
        </w:rPr>
        <w:t xml:space="preserve"> </w:t>
      </w:r>
    </w:p>
  </w:footnote>
  <w:footnote w:id="121">
    <w:p w:rsidR="00946405" w:rsidRDefault="00946405">
      <w:pPr>
        <w:pStyle w:val="FootnoteText"/>
      </w:pPr>
      <w:r>
        <w:rPr>
          <w:rStyle w:val="FootnoteReference"/>
        </w:rPr>
        <w:footnoteRef/>
      </w:r>
      <w:r>
        <w:t xml:space="preserve"> </w:t>
      </w:r>
      <w:r w:rsidRPr="00E32607">
        <w:rPr>
          <w:rFonts w:ascii="Arial" w:hAnsi="Arial" w:cs="Arial"/>
          <w:i/>
          <w:sz w:val="18"/>
          <w:szCs w:val="18"/>
        </w:rPr>
        <w:t>Economist</w:t>
      </w:r>
      <w:r w:rsidRPr="00E32607">
        <w:rPr>
          <w:rFonts w:ascii="Arial" w:hAnsi="Arial" w:cs="Arial"/>
          <w:sz w:val="18"/>
          <w:szCs w:val="18"/>
        </w:rPr>
        <w:t>, 10</w:t>
      </w:r>
      <w:r w:rsidRPr="00E32607">
        <w:rPr>
          <w:rFonts w:ascii="Arial" w:hAnsi="Arial" w:cs="Arial"/>
          <w:sz w:val="18"/>
          <w:szCs w:val="18"/>
          <w:vertAlign w:val="superscript"/>
        </w:rPr>
        <w:t>th</w:t>
      </w:r>
      <w:r w:rsidRPr="00E32607">
        <w:rPr>
          <w:rFonts w:ascii="Arial" w:hAnsi="Arial" w:cs="Arial"/>
          <w:sz w:val="18"/>
          <w:szCs w:val="18"/>
        </w:rPr>
        <w:t xml:space="preserve"> May 1924. ‘The Agrarian Revolution in Roumania.’</w:t>
      </w:r>
      <w:r>
        <w:t xml:space="preserve"> </w:t>
      </w:r>
    </w:p>
  </w:footnote>
  <w:footnote w:id="12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Stachura, ‘National Identity and the Ethnic Minorities’, pp. 60-86; Wilson, ‘Ukraine: Between Eurasia and the West’, in Dunn and Fraser, </w:t>
      </w:r>
      <w:r w:rsidRPr="001B6FE5">
        <w:rPr>
          <w:rFonts w:ascii="Arial" w:hAnsi="Arial" w:cs="Arial"/>
          <w:i/>
          <w:sz w:val="18"/>
          <w:szCs w:val="18"/>
        </w:rPr>
        <w:t>Europe And Ethnicity: World War I And Contemporary Ethnic Conflict</w:t>
      </w:r>
      <w:r w:rsidRPr="001B6FE5">
        <w:rPr>
          <w:rFonts w:ascii="Arial" w:hAnsi="Arial" w:cs="Arial"/>
          <w:sz w:val="18"/>
          <w:szCs w:val="18"/>
        </w:rPr>
        <w:t>, p. 121; Pilsudski’s ideology can best be expressed by comments to ‘fellow socialists’, congratulating him in 1926 as a ‘comrade’, being told: ‘Gentleman, I am no longer your comrade. In the beginning we followed the same direction and took the same red-painted street car. As for me, I got off at “Independence” station.’ Berend,</w:t>
      </w:r>
      <w:r w:rsidRPr="001B6FE5">
        <w:rPr>
          <w:rFonts w:ascii="Arial" w:hAnsi="Arial" w:cs="Arial"/>
          <w:i/>
          <w:sz w:val="18"/>
          <w:szCs w:val="18"/>
        </w:rPr>
        <w:t xml:space="preserve"> The crisis zone of Europe</w:t>
      </w:r>
      <w:r w:rsidRPr="001B6FE5">
        <w:rPr>
          <w:rFonts w:ascii="Arial" w:hAnsi="Arial" w:cs="Arial"/>
          <w:sz w:val="18"/>
          <w:szCs w:val="18"/>
        </w:rPr>
        <w:t xml:space="preserve">, p. 60. </w:t>
      </w:r>
    </w:p>
  </w:footnote>
  <w:footnote w:id="12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Brubaker, </w:t>
      </w:r>
      <w:r w:rsidRPr="001B6FE5">
        <w:rPr>
          <w:rFonts w:ascii="Arial" w:hAnsi="Arial" w:cs="Arial"/>
          <w:i/>
          <w:sz w:val="18"/>
          <w:szCs w:val="18"/>
        </w:rPr>
        <w:t>Nationalism Reframed</w:t>
      </w:r>
      <w:r w:rsidRPr="001B6FE5">
        <w:rPr>
          <w:rFonts w:ascii="Arial" w:hAnsi="Arial" w:cs="Arial"/>
          <w:sz w:val="18"/>
          <w:szCs w:val="18"/>
        </w:rPr>
        <w:t xml:space="preserve">, p. 56. Compare with the ‘incipient national minority (Serbs in Croatia), an incipient nationalizing state (Croatia), and an incipient external national homeland (Serbia).’ </w:t>
      </w:r>
      <w:r w:rsidRPr="001B6FE5">
        <w:rPr>
          <w:rFonts w:ascii="Arial" w:hAnsi="Arial" w:cs="Arial"/>
          <w:i/>
          <w:sz w:val="18"/>
          <w:szCs w:val="18"/>
        </w:rPr>
        <w:t>Ibid</w:t>
      </w:r>
      <w:r w:rsidRPr="001B6FE5">
        <w:rPr>
          <w:rFonts w:ascii="Arial" w:hAnsi="Arial" w:cs="Arial"/>
          <w:sz w:val="18"/>
          <w:szCs w:val="18"/>
        </w:rPr>
        <w:t xml:space="preserve">. p. 70. </w:t>
      </w:r>
    </w:p>
  </w:footnote>
  <w:footnote w:id="12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Kopelev, </w:t>
      </w:r>
      <w:r w:rsidRPr="001B6FE5">
        <w:rPr>
          <w:rFonts w:ascii="Arial" w:hAnsi="Arial" w:cs="Arial"/>
          <w:i/>
          <w:sz w:val="18"/>
          <w:szCs w:val="18"/>
        </w:rPr>
        <w:t>The Education of a True Believer</w:t>
      </w:r>
      <w:r w:rsidRPr="001B6FE5">
        <w:rPr>
          <w:rFonts w:ascii="Arial" w:hAnsi="Arial" w:cs="Arial"/>
          <w:sz w:val="18"/>
          <w:szCs w:val="18"/>
        </w:rPr>
        <w:t xml:space="preserve">, pp. 108-109. </w:t>
      </w:r>
    </w:p>
  </w:footnote>
  <w:footnote w:id="125">
    <w:p w:rsidR="00946405" w:rsidRPr="005C7427" w:rsidRDefault="00946405" w:rsidP="00273DD8">
      <w:pPr>
        <w:pStyle w:val="FootnoteText"/>
        <w:rPr>
          <w:rFonts w:ascii="Arial" w:hAnsi="Arial" w:cs="Arial"/>
          <w:sz w:val="18"/>
          <w:szCs w:val="18"/>
        </w:rPr>
      </w:pPr>
      <w:r w:rsidRPr="005C7427">
        <w:rPr>
          <w:rStyle w:val="FootnoteReference"/>
          <w:rFonts w:ascii="Arial" w:hAnsi="Arial" w:cs="Arial"/>
          <w:sz w:val="18"/>
          <w:szCs w:val="18"/>
        </w:rPr>
        <w:footnoteRef/>
      </w:r>
      <w:r w:rsidRPr="005C7427">
        <w:rPr>
          <w:rFonts w:ascii="Arial" w:hAnsi="Arial" w:cs="Arial"/>
          <w:sz w:val="18"/>
          <w:szCs w:val="18"/>
        </w:rPr>
        <w:t xml:space="preserve"> See Vansittart on ‘International Relations.’ </w:t>
      </w:r>
      <w:r w:rsidRPr="005B6CD8">
        <w:rPr>
          <w:rFonts w:ascii="Arial" w:hAnsi="Arial" w:cs="Arial"/>
          <w:i/>
          <w:sz w:val="18"/>
          <w:szCs w:val="18"/>
        </w:rPr>
        <w:t>CAB/24/221.</w:t>
      </w:r>
      <w:r w:rsidRPr="005C7427">
        <w:rPr>
          <w:rFonts w:ascii="Arial" w:hAnsi="Arial" w:cs="Arial"/>
          <w:sz w:val="18"/>
          <w:szCs w:val="18"/>
        </w:rPr>
        <w:t xml:space="preserve"> </w:t>
      </w:r>
    </w:p>
  </w:footnote>
  <w:footnote w:id="126">
    <w:p w:rsidR="00946405" w:rsidRPr="005C7427" w:rsidRDefault="00946405" w:rsidP="00273DD8">
      <w:pPr>
        <w:pStyle w:val="FootnoteText"/>
        <w:rPr>
          <w:rFonts w:ascii="Arial" w:hAnsi="Arial" w:cs="Arial"/>
          <w:sz w:val="18"/>
          <w:szCs w:val="18"/>
        </w:rPr>
      </w:pPr>
      <w:r w:rsidRPr="005C7427">
        <w:rPr>
          <w:rStyle w:val="FootnoteReference"/>
          <w:rFonts w:ascii="Arial" w:hAnsi="Arial" w:cs="Arial"/>
          <w:sz w:val="18"/>
          <w:szCs w:val="18"/>
        </w:rPr>
        <w:footnoteRef/>
      </w:r>
      <w:r w:rsidRPr="005C7427">
        <w:rPr>
          <w:rFonts w:ascii="Arial" w:hAnsi="Arial" w:cs="Arial"/>
          <w:sz w:val="18"/>
          <w:szCs w:val="18"/>
        </w:rPr>
        <w:t xml:space="preserve"> Salsitz, </w:t>
      </w:r>
      <w:r w:rsidRPr="005C7427">
        <w:rPr>
          <w:rFonts w:ascii="Arial" w:hAnsi="Arial" w:cs="Arial"/>
          <w:i/>
          <w:sz w:val="18"/>
          <w:szCs w:val="18"/>
        </w:rPr>
        <w:t>A Jewish Boyhood in Poland</w:t>
      </w:r>
      <w:r w:rsidRPr="005C7427">
        <w:rPr>
          <w:rFonts w:ascii="Arial" w:hAnsi="Arial" w:cs="Arial"/>
          <w:sz w:val="18"/>
          <w:szCs w:val="18"/>
        </w:rPr>
        <w:t xml:space="preserve">, pp. 25-26. </w:t>
      </w:r>
    </w:p>
  </w:footnote>
  <w:footnote w:id="127">
    <w:p w:rsidR="00946405" w:rsidRPr="005C7427" w:rsidRDefault="00946405" w:rsidP="00273DD8">
      <w:pPr>
        <w:pStyle w:val="FootnoteText"/>
        <w:rPr>
          <w:rFonts w:ascii="Arial" w:hAnsi="Arial" w:cs="Arial"/>
          <w:sz w:val="18"/>
          <w:szCs w:val="18"/>
        </w:rPr>
      </w:pPr>
      <w:r w:rsidRPr="005C7427">
        <w:rPr>
          <w:rStyle w:val="FootnoteReference"/>
          <w:rFonts w:ascii="Arial" w:hAnsi="Arial" w:cs="Arial"/>
          <w:sz w:val="18"/>
          <w:szCs w:val="18"/>
        </w:rPr>
        <w:footnoteRef/>
      </w:r>
      <w:r w:rsidRPr="005C7427">
        <w:rPr>
          <w:rFonts w:ascii="Arial" w:hAnsi="Arial" w:cs="Arial"/>
          <w:sz w:val="18"/>
          <w:szCs w:val="18"/>
        </w:rPr>
        <w:t xml:space="preserve"> </w:t>
      </w:r>
      <w:r w:rsidRPr="005C7427">
        <w:rPr>
          <w:rFonts w:ascii="Arial" w:hAnsi="Arial" w:cs="Arial"/>
          <w:i/>
          <w:sz w:val="18"/>
          <w:szCs w:val="18"/>
        </w:rPr>
        <w:t>Central European Observer</w:t>
      </w:r>
      <w:r w:rsidRPr="005C7427">
        <w:rPr>
          <w:rFonts w:ascii="Arial" w:hAnsi="Arial" w:cs="Arial"/>
          <w:sz w:val="18"/>
          <w:szCs w:val="18"/>
        </w:rPr>
        <w:t xml:space="preserve">, June 21, 1924. . </w:t>
      </w:r>
    </w:p>
  </w:footnote>
  <w:footnote w:id="128">
    <w:p w:rsidR="00946405" w:rsidRPr="005C7427" w:rsidRDefault="00946405">
      <w:pPr>
        <w:pStyle w:val="FootnoteText"/>
        <w:rPr>
          <w:rFonts w:ascii="Arial" w:hAnsi="Arial" w:cs="Arial"/>
          <w:sz w:val="18"/>
          <w:szCs w:val="18"/>
        </w:rPr>
      </w:pPr>
      <w:r w:rsidRPr="005C7427">
        <w:rPr>
          <w:rStyle w:val="FootnoteReference"/>
          <w:rFonts w:ascii="Arial" w:hAnsi="Arial" w:cs="Arial"/>
          <w:sz w:val="18"/>
          <w:szCs w:val="18"/>
        </w:rPr>
        <w:footnoteRef/>
      </w:r>
      <w:r w:rsidRPr="005C7427">
        <w:rPr>
          <w:rFonts w:ascii="Arial" w:hAnsi="Arial" w:cs="Arial"/>
          <w:sz w:val="18"/>
          <w:szCs w:val="18"/>
        </w:rPr>
        <w:t xml:space="preserve"> Hugh Seton-Watson, </w:t>
      </w:r>
      <w:r w:rsidRPr="005C7427">
        <w:rPr>
          <w:rFonts w:ascii="Arial" w:hAnsi="Arial" w:cs="Arial"/>
          <w:i/>
          <w:sz w:val="18"/>
          <w:szCs w:val="18"/>
        </w:rPr>
        <w:t>Eastern Europe Between The Wars 1918-1941</w:t>
      </w:r>
      <w:r w:rsidRPr="005C7427">
        <w:rPr>
          <w:rFonts w:ascii="Arial" w:hAnsi="Arial" w:cs="Arial"/>
          <w:sz w:val="18"/>
          <w:szCs w:val="18"/>
        </w:rPr>
        <w:t xml:space="preserve">, pp. 198-216; 288-310. Peasant Parties were often led by Teachers and Doctors in Romania, </w:t>
      </w:r>
      <w:r w:rsidRPr="005C7427">
        <w:rPr>
          <w:rFonts w:ascii="Arial" w:hAnsi="Arial" w:cs="Arial"/>
          <w:i/>
          <w:sz w:val="18"/>
          <w:szCs w:val="18"/>
        </w:rPr>
        <w:t>ibid</w:t>
      </w:r>
      <w:r w:rsidRPr="005C7427">
        <w:rPr>
          <w:rFonts w:ascii="Arial" w:hAnsi="Arial" w:cs="Arial"/>
          <w:sz w:val="18"/>
          <w:szCs w:val="18"/>
        </w:rPr>
        <w:t xml:space="preserve">. </w:t>
      </w:r>
    </w:p>
  </w:footnote>
  <w:footnote w:id="129">
    <w:p w:rsidR="00946405" w:rsidRPr="001B6FE5" w:rsidRDefault="00946405" w:rsidP="00273DD8">
      <w:pPr>
        <w:pStyle w:val="FootnoteText"/>
        <w:rPr>
          <w:rFonts w:ascii="Arial" w:hAnsi="Arial" w:cs="Arial"/>
          <w:sz w:val="18"/>
          <w:szCs w:val="18"/>
        </w:rPr>
      </w:pPr>
      <w:r w:rsidRPr="005C7427">
        <w:rPr>
          <w:rStyle w:val="FootnoteReference"/>
          <w:rFonts w:ascii="Arial" w:hAnsi="Arial" w:cs="Arial"/>
          <w:sz w:val="18"/>
          <w:szCs w:val="18"/>
        </w:rPr>
        <w:footnoteRef/>
      </w:r>
      <w:r w:rsidRPr="005C7427">
        <w:rPr>
          <w:rFonts w:ascii="Arial" w:hAnsi="Arial" w:cs="Arial"/>
          <w:sz w:val="18"/>
          <w:szCs w:val="18"/>
        </w:rPr>
        <w:t xml:space="preserve"> Turda and Weindling eds., </w:t>
      </w:r>
      <w:r w:rsidRPr="005C7427">
        <w:rPr>
          <w:rFonts w:ascii="Arial" w:hAnsi="Arial" w:cs="Arial"/>
          <w:i/>
          <w:sz w:val="18"/>
          <w:szCs w:val="18"/>
        </w:rPr>
        <w:t>Blood and Homeland</w:t>
      </w:r>
      <w:r w:rsidRPr="005C7427">
        <w:rPr>
          <w:rFonts w:ascii="Arial" w:hAnsi="Arial" w:cs="Arial"/>
          <w:sz w:val="18"/>
          <w:szCs w:val="18"/>
        </w:rPr>
        <w:t>,</w:t>
      </w:r>
    </w:p>
  </w:footnote>
  <w:footnote w:id="13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Marius Turda and Paul J. Weindling eds., </w:t>
      </w:r>
      <w:r w:rsidRPr="001B6FE5">
        <w:rPr>
          <w:rFonts w:ascii="Arial" w:hAnsi="Arial" w:cs="Arial"/>
          <w:i/>
          <w:sz w:val="18"/>
          <w:szCs w:val="18"/>
        </w:rPr>
        <w:t>Blood and Homeland</w:t>
      </w:r>
      <w:r w:rsidRPr="001B6FE5">
        <w:rPr>
          <w:rFonts w:ascii="Arial" w:hAnsi="Arial" w:cs="Arial"/>
          <w:sz w:val="18"/>
          <w:szCs w:val="18"/>
        </w:rPr>
        <w:t xml:space="preserve">, p. 364. </w:t>
      </w:r>
    </w:p>
  </w:footnote>
  <w:footnote w:id="13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CAB/24/35,</w:t>
      </w:r>
      <w:r w:rsidRPr="001B6FE5">
        <w:rPr>
          <w:rFonts w:ascii="Arial" w:hAnsi="Arial" w:cs="Arial"/>
          <w:sz w:val="18"/>
          <w:szCs w:val="18"/>
        </w:rPr>
        <w:t xml:space="preserve"> Conversation between Prime Minister and Crown Prince, September 11</w:t>
      </w:r>
      <w:r w:rsidRPr="001B6FE5">
        <w:rPr>
          <w:rFonts w:ascii="Arial" w:hAnsi="Arial" w:cs="Arial"/>
          <w:sz w:val="18"/>
          <w:szCs w:val="18"/>
          <w:vertAlign w:val="superscript"/>
        </w:rPr>
        <w:t>th</w:t>
      </w:r>
      <w:r w:rsidRPr="001B6FE5">
        <w:rPr>
          <w:rFonts w:ascii="Arial" w:hAnsi="Arial" w:cs="Arial"/>
          <w:sz w:val="18"/>
          <w:szCs w:val="18"/>
        </w:rPr>
        <w:t xml:space="preserve"> 1920. </w:t>
      </w:r>
    </w:p>
  </w:footnote>
  <w:footnote w:id="13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Johnson, </w:t>
      </w:r>
      <w:r w:rsidRPr="001B6FE5">
        <w:rPr>
          <w:rFonts w:ascii="Arial" w:hAnsi="Arial" w:cs="Arial"/>
          <w:i/>
          <w:sz w:val="18"/>
          <w:szCs w:val="18"/>
        </w:rPr>
        <w:t>Central Europe</w:t>
      </w:r>
      <w:r w:rsidRPr="001B6FE5">
        <w:rPr>
          <w:rFonts w:ascii="Arial" w:hAnsi="Arial" w:cs="Arial"/>
          <w:sz w:val="18"/>
          <w:szCs w:val="18"/>
        </w:rPr>
        <w:t xml:space="preserve">, p. 195; Hungary lost two-thirds of its territory and 10.5million people (leaving 3.3 million Magyars as new ‘minorities’) following Bela Kun’s 133 day “Soviet Republic” and the postwar chaos and Treaty of Trianon border revisions. </w:t>
      </w:r>
      <w:r w:rsidRPr="001B6FE5">
        <w:rPr>
          <w:rFonts w:ascii="Arial" w:hAnsi="Arial" w:cs="Arial"/>
          <w:i/>
          <w:sz w:val="18"/>
          <w:szCs w:val="18"/>
        </w:rPr>
        <w:t>Ibid</w:t>
      </w:r>
      <w:r w:rsidRPr="001B6FE5">
        <w:rPr>
          <w:rFonts w:ascii="Arial" w:hAnsi="Arial" w:cs="Arial"/>
          <w:sz w:val="18"/>
          <w:szCs w:val="18"/>
        </w:rPr>
        <w:t xml:space="preserve">. p. 194. </w:t>
      </w:r>
    </w:p>
  </w:footnote>
  <w:footnote w:id="13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Elie Wiesel, </w:t>
      </w:r>
      <w:r w:rsidRPr="001B6FE5">
        <w:rPr>
          <w:rFonts w:ascii="Arial" w:hAnsi="Arial" w:cs="Arial"/>
          <w:i/>
          <w:sz w:val="18"/>
          <w:szCs w:val="18"/>
        </w:rPr>
        <w:t>All Rivers Run To The Sea, Memoirs Volume One 1928-1969</w:t>
      </w:r>
      <w:r w:rsidRPr="001B6FE5">
        <w:rPr>
          <w:rFonts w:ascii="Arial" w:hAnsi="Arial" w:cs="Arial"/>
          <w:sz w:val="18"/>
          <w:szCs w:val="18"/>
        </w:rPr>
        <w:t xml:space="preserve">, (London: HarperCollins, 1996; 1994), p. 22. Kopelev, </w:t>
      </w:r>
      <w:r w:rsidRPr="001B6FE5">
        <w:rPr>
          <w:rFonts w:ascii="Arial" w:hAnsi="Arial" w:cs="Arial"/>
          <w:i/>
          <w:sz w:val="18"/>
          <w:szCs w:val="18"/>
        </w:rPr>
        <w:t>The Education of a True Believer</w:t>
      </w:r>
      <w:r w:rsidRPr="001B6FE5">
        <w:rPr>
          <w:rFonts w:ascii="Arial" w:hAnsi="Arial" w:cs="Arial"/>
          <w:sz w:val="18"/>
          <w:szCs w:val="18"/>
        </w:rPr>
        <w:t xml:space="preserve">, pp. 96-124. </w:t>
      </w:r>
    </w:p>
  </w:footnote>
  <w:footnote w:id="13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Salsitz, </w:t>
      </w:r>
      <w:r w:rsidRPr="001B6FE5">
        <w:rPr>
          <w:rFonts w:ascii="Arial" w:hAnsi="Arial" w:cs="Arial"/>
          <w:i/>
          <w:sz w:val="18"/>
          <w:szCs w:val="18"/>
        </w:rPr>
        <w:t>A Jewish Boyhood in Poland</w:t>
      </w:r>
      <w:r w:rsidRPr="001B6FE5">
        <w:rPr>
          <w:rFonts w:ascii="Arial" w:hAnsi="Arial" w:cs="Arial"/>
          <w:sz w:val="18"/>
          <w:szCs w:val="18"/>
        </w:rPr>
        <w:t xml:space="preserve">, pp. 241-252. </w:t>
      </w:r>
    </w:p>
  </w:footnote>
  <w:footnote w:id="13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Longworth, </w:t>
      </w:r>
      <w:r w:rsidRPr="001B6FE5">
        <w:rPr>
          <w:rFonts w:ascii="Arial" w:hAnsi="Arial" w:cs="Arial"/>
          <w:i/>
          <w:sz w:val="18"/>
          <w:szCs w:val="18"/>
        </w:rPr>
        <w:t>The Making of Eastern Europe</w:t>
      </w:r>
      <w:r w:rsidRPr="001B6FE5">
        <w:rPr>
          <w:rFonts w:ascii="Arial" w:hAnsi="Arial" w:cs="Arial"/>
          <w:sz w:val="18"/>
          <w:szCs w:val="18"/>
        </w:rPr>
        <w:t xml:space="preserve">, p. 79. </w:t>
      </w:r>
    </w:p>
  </w:footnote>
  <w:footnote w:id="13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Ibid</w:t>
      </w:r>
      <w:r w:rsidRPr="001B6FE5">
        <w:rPr>
          <w:rFonts w:ascii="Arial" w:hAnsi="Arial" w:cs="Arial"/>
          <w:sz w:val="18"/>
          <w:szCs w:val="18"/>
        </w:rPr>
        <w:t xml:space="preserve">. p. 80. </w:t>
      </w:r>
    </w:p>
  </w:footnote>
  <w:footnote w:id="13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Carmichael, </w:t>
      </w:r>
      <w:r w:rsidRPr="001B6FE5">
        <w:rPr>
          <w:rFonts w:ascii="Arial" w:hAnsi="Arial" w:cs="Arial"/>
          <w:i/>
          <w:sz w:val="18"/>
          <w:szCs w:val="18"/>
        </w:rPr>
        <w:t>Genocide Before The Holocaust</w:t>
      </w:r>
      <w:r w:rsidRPr="001B6FE5">
        <w:rPr>
          <w:rFonts w:ascii="Arial" w:hAnsi="Arial" w:cs="Arial"/>
          <w:sz w:val="18"/>
          <w:szCs w:val="18"/>
        </w:rPr>
        <w:t xml:space="preserve">, p. 122; Orlando Figes, </w:t>
      </w:r>
      <w:r w:rsidRPr="001B6FE5">
        <w:rPr>
          <w:rFonts w:ascii="Arial" w:hAnsi="Arial" w:cs="Arial"/>
          <w:i/>
          <w:sz w:val="18"/>
          <w:szCs w:val="18"/>
        </w:rPr>
        <w:t>The Whisperers: Private Life In Stalin’s Russia</w:t>
      </w:r>
      <w:r w:rsidRPr="001B6FE5">
        <w:rPr>
          <w:rFonts w:ascii="Arial" w:hAnsi="Arial" w:cs="Arial"/>
          <w:sz w:val="18"/>
          <w:szCs w:val="18"/>
        </w:rPr>
        <w:t xml:space="preserve">, (London: Penguin, 2008), pp. 76-315; Peter Waldron, </w:t>
      </w:r>
      <w:r w:rsidRPr="001B6FE5">
        <w:rPr>
          <w:rFonts w:ascii="Arial" w:hAnsi="Arial" w:cs="Arial"/>
          <w:i/>
          <w:sz w:val="18"/>
          <w:szCs w:val="18"/>
        </w:rPr>
        <w:t xml:space="preserve">The Russian Economy, 1861-1932, </w:t>
      </w:r>
      <w:r w:rsidRPr="001B6FE5">
        <w:rPr>
          <w:rFonts w:ascii="Arial" w:hAnsi="Arial" w:cs="Arial"/>
          <w:sz w:val="18"/>
          <w:szCs w:val="18"/>
        </w:rPr>
        <w:t xml:space="preserve">(2009), pp. 24- 33. </w:t>
      </w:r>
    </w:p>
  </w:footnote>
  <w:footnote w:id="138">
    <w:p w:rsidR="00946405" w:rsidRPr="00F70F65" w:rsidRDefault="00946405">
      <w:pPr>
        <w:pStyle w:val="FootnoteText"/>
        <w:rPr>
          <w:rFonts w:ascii="Arial" w:hAnsi="Arial" w:cs="Arial"/>
          <w:sz w:val="18"/>
          <w:szCs w:val="18"/>
        </w:rPr>
      </w:pPr>
      <w:r w:rsidRPr="00F70F65">
        <w:rPr>
          <w:rStyle w:val="FootnoteReference"/>
          <w:rFonts w:ascii="Arial" w:hAnsi="Arial" w:cs="Arial"/>
          <w:sz w:val="18"/>
          <w:szCs w:val="18"/>
        </w:rPr>
        <w:footnoteRef/>
      </w:r>
      <w:r w:rsidRPr="00F70F65">
        <w:rPr>
          <w:rFonts w:ascii="Arial" w:hAnsi="Arial" w:cs="Arial"/>
          <w:sz w:val="18"/>
          <w:szCs w:val="18"/>
        </w:rPr>
        <w:t xml:space="preserve"> R.J.Evans, ‘The Successor States’, in R.Gerwath ed., </w:t>
      </w:r>
      <w:r w:rsidRPr="00F70F65">
        <w:rPr>
          <w:rFonts w:ascii="Arial" w:hAnsi="Arial" w:cs="Arial"/>
          <w:i/>
          <w:sz w:val="18"/>
          <w:szCs w:val="18"/>
        </w:rPr>
        <w:t>Twisted Paths</w:t>
      </w:r>
      <w:r w:rsidRPr="00F70F65">
        <w:rPr>
          <w:rFonts w:ascii="Arial" w:hAnsi="Arial" w:cs="Arial"/>
          <w:sz w:val="18"/>
          <w:szCs w:val="18"/>
        </w:rPr>
        <w:t xml:space="preserve">, pp. 217-219. </w:t>
      </w:r>
    </w:p>
  </w:footnote>
  <w:footnote w:id="13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Economist,</w:t>
      </w:r>
      <w:r w:rsidRPr="001B6FE5">
        <w:rPr>
          <w:rFonts w:ascii="Arial" w:hAnsi="Arial" w:cs="Arial"/>
          <w:sz w:val="18"/>
          <w:szCs w:val="18"/>
        </w:rPr>
        <w:t xml:space="preserve"> February 15</w:t>
      </w:r>
      <w:r w:rsidRPr="001B6FE5">
        <w:rPr>
          <w:rFonts w:ascii="Arial" w:hAnsi="Arial" w:cs="Arial"/>
          <w:sz w:val="18"/>
          <w:szCs w:val="18"/>
          <w:vertAlign w:val="superscript"/>
        </w:rPr>
        <w:t>th</w:t>
      </w:r>
      <w:r w:rsidRPr="001B6FE5">
        <w:rPr>
          <w:rFonts w:ascii="Arial" w:hAnsi="Arial" w:cs="Arial"/>
          <w:sz w:val="18"/>
          <w:szCs w:val="18"/>
        </w:rPr>
        <w:t xml:space="preserve"> 1929. </w:t>
      </w:r>
    </w:p>
  </w:footnote>
  <w:footnote w:id="14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Peter Waldron, </w:t>
      </w:r>
      <w:r w:rsidRPr="001B6FE5">
        <w:rPr>
          <w:rFonts w:ascii="Arial" w:hAnsi="Arial" w:cs="Arial"/>
          <w:i/>
          <w:sz w:val="18"/>
          <w:szCs w:val="18"/>
        </w:rPr>
        <w:t>The End Of Imperial Russia, 1855-1917</w:t>
      </w:r>
      <w:r w:rsidRPr="001B6FE5">
        <w:rPr>
          <w:rFonts w:ascii="Arial" w:hAnsi="Arial" w:cs="Arial"/>
          <w:sz w:val="18"/>
          <w:szCs w:val="18"/>
        </w:rPr>
        <w:t xml:space="preserve">, (Basingstoke: Palgrave Macmillan, 2007), p. 143; </w:t>
      </w:r>
    </w:p>
  </w:footnote>
  <w:footnote w:id="14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CAB/24/221. p. 28. </w:t>
      </w:r>
    </w:p>
  </w:footnote>
  <w:footnote w:id="14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CAB/24/221</w:t>
      </w:r>
      <w:r>
        <w:rPr>
          <w:rFonts w:ascii="Arial" w:hAnsi="Arial" w:cs="Arial"/>
          <w:sz w:val="18"/>
          <w:szCs w:val="18"/>
        </w:rPr>
        <w:t xml:space="preserve">, </w:t>
      </w:r>
      <w:r w:rsidRPr="001B6FE5">
        <w:rPr>
          <w:rFonts w:ascii="Arial" w:hAnsi="Arial" w:cs="Arial"/>
          <w:sz w:val="18"/>
          <w:szCs w:val="18"/>
        </w:rPr>
        <w:t>June 10</w:t>
      </w:r>
      <w:r w:rsidRPr="001B6FE5">
        <w:rPr>
          <w:rFonts w:ascii="Arial" w:hAnsi="Arial" w:cs="Arial"/>
          <w:sz w:val="18"/>
          <w:szCs w:val="18"/>
          <w:vertAlign w:val="superscript"/>
        </w:rPr>
        <w:t>th</w:t>
      </w:r>
      <w:r w:rsidRPr="001B6FE5">
        <w:rPr>
          <w:rFonts w:ascii="Arial" w:hAnsi="Arial" w:cs="Arial"/>
          <w:sz w:val="18"/>
          <w:szCs w:val="18"/>
        </w:rPr>
        <w:t xml:space="preserve"> 1933. </w:t>
      </w:r>
    </w:p>
  </w:footnote>
  <w:footnote w:id="14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Rothschild and Wingfield, </w:t>
      </w:r>
      <w:r w:rsidRPr="001B6FE5">
        <w:rPr>
          <w:rFonts w:ascii="Arial" w:hAnsi="Arial" w:cs="Arial"/>
          <w:i/>
          <w:sz w:val="18"/>
          <w:szCs w:val="18"/>
        </w:rPr>
        <w:t>Return to Diversity</w:t>
      </w:r>
      <w:r w:rsidRPr="001B6FE5">
        <w:rPr>
          <w:rFonts w:ascii="Arial" w:hAnsi="Arial" w:cs="Arial"/>
          <w:sz w:val="18"/>
          <w:szCs w:val="18"/>
        </w:rPr>
        <w:t xml:space="preserve">, p. 15. </w:t>
      </w:r>
    </w:p>
  </w:footnote>
  <w:footnote w:id="14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Julian and Margaret Bullard eds., </w:t>
      </w:r>
      <w:r w:rsidRPr="001B6FE5">
        <w:rPr>
          <w:rFonts w:ascii="Arial" w:hAnsi="Arial" w:cs="Arial"/>
          <w:i/>
          <w:sz w:val="18"/>
          <w:szCs w:val="18"/>
        </w:rPr>
        <w:t>Inside Stalin’s Russia: The Diaries Of Reader Bullard 1930-1934</w:t>
      </w:r>
      <w:r w:rsidRPr="001B6FE5">
        <w:rPr>
          <w:rFonts w:ascii="Arial" w:hAnsi="Arial" w:cs="Arial"/>
          <w:sz w:val="18"/>
          <w:szCs w:val="18"/>
        </w:rPr>
        <w:t xml:space="preserve">, (Charlbury: Day Books, 2000), pp. 109; 129. </w:t>
      </w:r>
      <w:r>
        <w:rPr>
          <w:rFonts w:ascii="Arial" w:hAnsi="Arial" w:cs="Arial"/>
          <w:sz w:val="18"/>
          <w:szCs w:val="18"/>
        </w:rPr>
        <w:t xml:space="preserve">The peasant women may well have been wasting their time - Walter Duranty, Liverpool born </w:t>
      </w:r>
      <w:r w:rsidRPr="005A4732">
        <w:rPr>
          <w:rFonts w:ascii="Arial" w:hAnsi="Arial" w:cs="Arial"/>
          <w:i/>
          <w:sz w:val="18"/>
          <w:szCs w:val="18"/>
        </w:rPr>
        <w:t>New York Times</w:t>
      </w:r>
      <w:r>
        <w:rPr>
          <w:rFonts w:ascii="Arial" w:hAnsi="Arial" w:cs="Arial"/>
          <w:sz w:val="18"/>
          <w:szCs w:val="18"/>
        </w:rPr>
        <w:t xml:space="preserve"> journalist  and Pulitzer Prize winner for his accounts of 1930s Russia was, like Doris Lessi</w:t>
      </w:r>
      <w:r w:rsidR="003E02A5">
        <w:rPr>
          <w:rFonts w:ascii="Arial" w:hAnsi="Arial" w:cs="Arial"/>
          <w:sz w:val="18"/>
          <w:szCs w:val="18"/>
        </w:rPr>
        <w:t>ng after him, a ‘Useful Idiot’; S</w:t>
      </w:r>
      <w:r>
        <w:rPr>
          <w:rFonts w:ascii="Arial" w:hAnsi="Arial" w:cs="Arial"/>
          <w:sz w:val="18"/>
          <w:szCs w:val="18"/>
        </w:rPr>
        <w:t xml:space="preserve">ee Sally J.Taylor, </w:t>
      </w:r>
      <w:r w:rsidRPr="005A4732">
        <w:rPr>
          <w:rFonts w:ascii="Arial" w:hAnsi="Arial" w:cs="Arial"/>
          <w:i/>
          <w:sz w:val="18"/>
          <w:szCs w:val="18"/>
        </w:rPr>
        <w:t xml:space="preserve">Stalin’s Apologist: Walter Duranty: The New York Times Man In Moscow, </w:t>
      </w:r>
      <w:r>
        <w:rPr>
          <w:rFonts w:ascii="Arial" w:hAnsi="Arial" w:cs="Arial"/>
          <w:sz w:val="18"/>
          <w:szCs w:val="18"/>
        </w:rPr>
        <w:t xml:space="preserve">(Oxford: Oxford University Press, 1990). </w:t>
      </w:r>
    </w:p>
  </w:footnote>
  <w:footnote w:id="14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Keith Hitchins, ‘Romania’, </w:t>
      </w:r>
      <w:r w:rsidRPr="001B6FE5">
        <w:rPr>
          <w:rFonts w:ascii="Arial" w:hAnsi="Arial" w:cs="Arial"/>
          <w:i/>
          <w:sz w:val="18"/>
          <w:szCs w:val="18"/>
        </w:rPr>
        <w:t>The American Historical Review,</w:t>
      </w:r>
      <w:r w:rsidRPr="001B6FE5">
        <w:rPr>
          <w:rFonts w:ascii="Arial" w:hAnsi="Arial" w:cs="Arial"/>
          <w:sz w:val="18"/>
          <w:szCs w:val="18"/>
        </w:rPr>
        <w:t xml:space="preserve"> 97 4, (1992), pp. 1064-1083. </w:t>
      </w:r>
    </w:p>
  </w:footnote>
  <w:footnote w:id="14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Patrick Leigh Fermor, </w:t>
      </w:r>
      <w:r w:rsidRPr="001B6FE5">
        <w:rPr>
          <w:rFonts w:ascii="Arial" w:hAnsi="Arial" w:cs="Arial"/>
          <w:i/>
          <w:sz w:val="18"/>
          <w:szCs w:val="18"/>
        </w:rPr>
        <w:t>Between The Woods And The Water</w:t>
      </w:r>
      <w:r w:rsidRPr="001B6FE5">
        <w:rPr>
          <w:rFonts w:ascii="Arial" w:hAnsi="Arial" w:cs="Arial"/>
          <w:sz w:val="18"/>
          <w:szCs w:val="18"/>
        </w:rPr>
        <w:t xml:space="preserve">, (Harmondsworth: Penguin, 1986), pp. 97-97. </w:t>
      </w:r>
    </w:p>
  </w:footnote>
  <w:footnote w:id="14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Amy Ng, ‘A Portrait of Sir Lewis Namier as a Young Socialist’, </w:t>
      </w:r>
      <w:r w:rsidRPr="001B6FE5">
        <w:rPr>
          <w:rFonts w:ascii="Arial" w:hAnsi="Arial" w:cs="Arial"/>
          <w:i/>
          <w:sz w:val="18"/>
          <w:szCs w:val="18"/>
        </w:rPr>
        <w:t>Journal of Contemporary History</w:t>
      </w:r>
      <w:r w:rsidRPr="001B6FE5">
        <w:rPr>
          <w:rFonts w:ascii="Arial" w:hAnsi="Arial" w:cs="Arial"/>
          <w:sz w:val="18"/>
          <w:szCs w:val="18"/>
        </w:rPr>
        <w:t>, 40 4, (2005), pp. 621-636.</w:t>
      </w:r>
    </w:p>
  </w:footnote>
  <w:footnote w:id="14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Pr>
          <w:rFonts w:ascii="Arial" w:hAnsi="Arial" w:cs="Arial"/>
          <w:sz w:val="18"/>
          <w:szCs w:val="18"/>
        </w:rPr>
        <w:t xml:space="preserve"> </w:t>
      </w:r>
      <w:r w:rsidRPr="001F6F08">
        <w:rPr>
          <w:rFonts w:ascii="Arial" w:hAnsi="Arial" w:cs="Arial"/>
          <w:i/>
          <w:sz w:val="18"/>
          <w:szCs w:val="18"/>
        </w:rPr>
        <w:t>Ibid.</w:t>
      </w:r>
      <w:r>
        <w:rPr>
          <w:rFonts w:ascii="Arial" w:hAnsi="Arial" w:cs="Arial"/>
          <w:sz w:val="18"/>
          <w:szCs w:val="18"/>
        </w:rPr>
        <w:t xml:space="preserve"> </w:t>
      </w:r>
      <w:r w:rsidRPr="001B6FE5">
        <w:rPr>
          <w:rFonts w:ascii="Arial" w:hAnsi="Arial" w:cs="Arial"/>
          <w:sz w:val="18"/>
          <w:szCs w:val="18"/>
        </w:rPr>
        <w:t xml:space="preserve"> </w:t>
      </w:r>
    </w:p>
  </w:footnote>
  <w:footnote w:id="14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bCs/>
          <w:sz w:val="18"/>
          <w:szCs w:val="18"/>
        </w:rPr>
        <w:t xml:space="preserve">L.B. Namier, </w:t>
      </w:r>
      <w:r w:rsidRPr="001B6FE5">
        <w:rPr>
          <w:rFonts w:ascii="Arial" w:hAnsi="Arial" w:cs="Arial"/>
          <w:bCs/>
          <w:i/>
          <w:sz w:val="18"/>
          <w:szCs w:val="18"/>
        </w:rPr>
        <w:t>In the Margin of History</w:t>
      </w:r>
      <w:r w:rsidRPr="001B6FE5">
        <w:rPr>
          <w:rFonts w:ascii="Arial" w:hAnsi="Arial" w:cs="Arial"/>
          <w:bCs/>
          <w:sz w:val="18"/>
          <w:szCs w:val="18"/>
        </w:rPr>
        <w:t>, (London: Macmillan, 1939), p. 76.</w:t>
      </w:r>
    </w:p>
  </w:footnote>
  <w:footnote w:id="15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Davies, </w:t>
      </w:r>
      <w:r w:rsidRPr="001B6FE5">
        <w:rPr>
          <w:rFonts w:ascii="Arial" w:hAnsi="Arial" w:cs="Arial"/>
          <w:i/>
          <w:sz w:val="18"/>
          <w:szCs w:val="18"/>
        </w:rPr>
        <w:t>God’s Playground</w:t>
      </w:r>
      <w:r w:rsidRPr="001B6FE5">
        <w:rPr>
          <w:rFonts w:ascii="Arial" w:hAnsi="Arial" w:cs="Arial"/>
          <w:sz w:val="18"/>
          <w:szCs w:val="18"/>
        </w:rPr>
        <w:t xml:space="preserve">, pp. 400-401. </w:t>
      </w:r>
    </w:p>
  </w:footnote>
  <w:footnote w:id="15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Rugg, </w:t>
      </w:r>
      <w:r w:rsidRPr="001B6FE5">
        <w:rPr>
          <w:rFonts w:ascii="Arial" w:hAnsi="Arial" w:cs="Arial"/>
          <w:i/>
          <w:sz w:val="18"/>
          <w:szCs w:val="18"/>
        </w:rPr>
        <w:t>Eastern Europe</w:t>
      </w:r>
      <w:r w:rsidRPr="001B6FE5">
        <w:rPr>
          <w:rFonts w:ascii="Arial" w:hAnsi="Arial" w:cs="Arial"/>
          <w:sz w:val="18"/>
          <w:szCs w:val="18"/>
        </w:rPr>
        <w:t xml:space="preserve">, pp. 225-226. </w:t>
      </w:r>
    </w:p>
  </w:footnote>
  <w:footnote w:id="15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Blanke, </w:t>
      </w:r>
      <w:r w:rsidRPr="001B6FE5">
        <w:rPr>
          <w:rFonts w:ascii="Arial" w:hAnsi="Arial" w:cs="Arial"/>
          <w:i/>
          <w:sz w:val="18"/>
          <w:szCs w:val="18"/>
        </w:rPr>
        <w:t>Orphans of Versailles</w:t>
      </w:r>
      <w:r w:rsidRPr="001B6FE5">
        <w:rPr>
          <w:rFonts w:ascii="Arial" w:hAnsi="Arial" w:cs="Arial"/>
          <w:sz w:val="18"/>
          <w:szCs w:val="18"/>
        </w:rPr>
        <w:t xml:space="preserve">, p. 91. </w:t>
      </w:r>
    </w:p>
  </w:footnote>
  <w:footnote w:id="15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bCs/>
          <w:sz w:val="18"/>
          <w:szCs w:val="18"/>
        </w:rPr>
        <w:t xml:space="preserve">Neville Laski, "Report on Journey to Austria, Poland and Danzig. August 15 to 31, 1934,” file 788 (Poland), p. 14. </w:t>
      </w:r>
    </w:p>
  </w:footnote>
  <w:footnote w:id="15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Economist</w:t>
      </w:r>
      <w:r w:rsidRPr="001B6FE5">
        <w:rPr>
          <w:rFonts w:ascii="Arial" w:hAnsi="Arial" w:cs="Arial"/>
          <w:sz w:val="18"/>
          <w:szCs w:val="18"/>
        </w:rPr>
        <w:t>, 29</w:t>
      </w:r>
      <w:r w:rsidRPr="001B6FE5">
        <w:rPr>
          <w:rFonts w:ascii="Arial" w:hAnsi="Arial" w:cs="Arial"/>
          <w:sz w:val="18"/>
          <w:szCs w:val="18"/>
          <w:vertAlign w:val="superscript"/>
        </w:rPr>
        <w:t>th</w:t>
      </w:r>
      <w:r w:rsidRPr="001B6FE5">
        <w:rPr>
          <w:rFonts w:ascii="Arial" w:hAnsi="Arial" w:cs="Arial"/>
          <w:sz w:val="18"/>
          <w:szCs w:val="18"/>
        </w:rPr>
        <w:t xml:space="preserve"> September 1934. ‘Security and Nationality’, pp. 572 -</w:t>
      </w:r>
      <w:r>
        <w:rPr>
          <w:rFonts w:ascii="Arial" w:hAnsi="Arial" w:cs="Arial"/>
          <w:sz w:val="18"/>
          <w:szCs w:val="18"/>
        </w:rPr>
        <w:t xml:space="preserve"> </w:t>
      </w:r>
      <w:r w:rsidRPr="001B6FE5">
        <w:rPr>
          <w:rFonts w:ascii="Arial" w:hAnsi="Arial" w:cs="Arial"/>
          <w:sz w:val="18"/>
          <w:szCs w:val="18"/>
        </w:rPr>
        <w:t xml:space="preserve">573. </w:t>
      </w:r>
    </w:p>
  </w:footnote>
  <w:footnote w:id="15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Irving Howe &amp; Eliezer Greenberg, </w:t>
      </w:r>
      <w:r w:rsidRPr="001B6FE5">
        <w:rPr>
          <w:rFonts w:ascii="Arial" w:hAnsi="Arial" w:cs="Arial"/>
          <w:i/>
          <w:sz w:val="18"/>
          <w:szCs w:val="18"/>
        </w:rPr>
        <w:t>A Treasury of Yiddish Stories</w:t>
      </w:r>
      <w:r w:rsidRPr="001B6FE5">
        <w:rPr>
          <w:rFonts w:ascii="Arial" w:hAnsi="Arial" w:cs="Arial"/>
          <w:sz w:val="18"/>
          <w:szCs w:val="18"/>
        </w:rPr>
        <w:t xml:space="preserve">, (London: Andre Deutsch, 1955), p. 428. </w:t>
      </w:r>
    </w:p>
  </w:footnote>
  <w:footnote w:id="15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Salsitz, </w:t>
      </w:r>
      <w:r w:rsidRPr="001B6FE5">
        <w:rPr>
          <w:rFonts w:ascii="Arial" w:hAnsi="Arial" w:cs="Arial"/>
          <w:i/>
          <w:sz w:val="18"/>
          <w:szCs w:val="18"/>
        </w:rPr>
        <w:t>A Jewish Boyhood in Poland</w:t>
      </w:r>
      <w:r w:rsidRPr="001B6FE5">
        <w:rPr>
          <w:rFonts w:ascii="Arial" w:hAnsi="Arial" w:cs="Arial"/>
          <w:sz w:val="18"/>
          <w:szCs w:val="18"/>
        </w:rPr>
        <w:t xml:space="preserve">, p. 169. </w:t>
      </w:r>
    </w:p>
  </w:footnote>
  <w:footnote w:id="15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D87420">
        <w:rPr>
          <w:rFonts w:ascii="Arial" w:hAnsi="Arial" w:cs="Arial"/>
          <w:i/>
          <w:sz w:val="18"/>
          <w:szCs w:val="18"/>
        </w:rPr>
        <w:t>Ibid.,</w:t>
      </w:r>
      <w:r w:rsidRPr="001B6FE5">
        <w:rPr>
          <w:rFonts w:ascii="Arial" w:hAnsi="Arial" w:cs="Arial"/>
          <w:sz w:val="18"/>
          <w:szCs w:val="18"/>
        </w:rPr>
        <w:t xml:space="preserve"> </w:t>
      </w:r>
      <w:r>
        <w:rPr>
          <w:rFonts w:ascii="Arial" w:hAnsi="Arial" w:cs="Arial"/>
          <w:sz w:val="18"/>
          <w:szCs w:val="18"/>
        </w:rPr>
        <w:t xml:space="preserve">pp. 73-81. </w:t>
      </w:r>
    </w:p>
  </w:footnote>
  <w:footnote w:id="15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Potichnyj, ‘By Way Of Autobiography’, in Aster &amp; Potichnyj, </w:t>
      </w:r>
      <w:r w:rsidRPr="001B6FE5">
        <w:rPr>
          <w:rFonts w:ascii="Arial" w:hAnsi="Arial" w:cs="Arial"/>
          <w:i/>
          <w:sz w:val="18"/>
          <w:szCs w:val="18"/>
        </w:rPr>
        <w:t>Jewish –Ukrainian Relations</w:t>
      </w:r>
      <w:r w:rsidRPr="001B6FE5">
        <w:rPr>
          <w:rFonts w:ascii="Arial" w:hAnsi="Arial" w:cs="Arial"/>
          <w:sz w:val="18"/>
          <w:szCs w:val="18"/>
        </w:rPr>
        <w:t xml:space="preserve">, pp. 75-77. </w:t>
      </w:r>
    </w:p>
  </w:footnote>
  <w:footnote w:id="159">
    <w:p w:rsidR="00946405" w:rsidRPr="001B6FE5" w:rsidRDefault="00946405" w:rsidP="00273DD8">
      <w:pPr>
        <w:pStyle w:val="Default"/>
        <w:rPr>
          <w:rFonts w:ascii="Arial" w:hAnsi="Arial" w:cs="Arial"/>
          <w:sz w:val="18"/>
          <w:szCs w:val="18"/>
        </w:rPr>
      </w:pPr>
      <w:r w:rsidRPr="001B6FE5">
        <w:rPr>
          <w:rStyle w:val="FootnoteReference"/>
          <w:rFonts w:ascii="Arial" w:hAnsi="Arial" w:cs="Arial"/>
          <w:sz w:val="18"/>
          <w:szCs w:val="18"/>
        </w:rPr>
        <w:footnoteRef/>
      </w:r>
      <w:r>
        <w:rPr>
          <w:rFonts w:ascii="Arial" w:hAnsi="Arial" w:cs="Arial"/>
          <w:sz w:val="18"/>
          <w:szCs w:val="18"/>
        </w:rPr>
        <w:t xml:space="preserve"> </w:t>
      </w:r>
      <w:r w:rsidRPr="001B6FE5">
        <w:rPr>
          <w:rFonts w:ascii="Arial" w:hAnsi="Arial" w:cs="Arial"/>
          <w:sz w:val="18"/>
          <w:szCs w:val="18"/>
        </w:rPr>
        <w:t>William W. Hagen, ‘Before the "Final Solution": Toward a Comparative Analysis of Political Anti-Semitism in Interwar Germany and Poland’, The</w:t>
      </w:r>
      <w:r w:rsidRPr="001B6FE5">
        <w:rPr>
          <w:rFonts w:ascii="Arial" w:hAnsi="Arial" w:cs="Arial"/>
          <w:i/>
          <w:sz w:val="18"/>
          <w:szCs w:val="18"/>
        </w:rPr>
        <w:t xml:space="preserve"> Journal of Modern History</w:t>
      </w:r>
      <w:r w:rsidRPr="001B6FE5">
        <w:rPr>
          <w:rFonts w:ascii="Arial" w:hAnsi="Arial" w:cs="Arial"/>
          <w:sz w:val="18"/>
          <w:szCs w:val="18"/>
        </w:rPr>
        <w:t xml:space="preserve">, 68 2, (1996), pp. 351-381. </w:t>
      </w:r>
    </w:p>
  </w:footnote>
  <w:footnote w:id="16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Kopelev, </w:t>
      </w:r>
      <w:r w:rsidRPr="001B6FE5">
        <w:rPr>
          <w:rFonts w:ascii="Arial" w:hAnsi="Arial" w:cs="Arial"/>
          <w:i/>
          <w:sz w:val="18"/>
          <w:szCs w:val="18"/>
        </w:rPr>
        <w:t>The Education of a True Believer</w:t>
      </w:r>
      <w:r w:rsidRPr="001B6FE5">
        <w:rPr>
          <w:rFonts w:ascii="Arial" w:hAnsi="Arial" w:cs="Arial"/>
          <w:sz w:val="18"/>
          <w:szCs w:val="18"/>
        </w:rPr>
        <w:t xml:space="preserve">, p. 226. </w:t>
      </w:r>
    </w:p>
  </w:footnote>
  <w:footnote w:id="16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Kopelev, </w:t>
      </w:r>
      <w:r w:rsidRPr="001B6FE5">
        <w:rPr>
          <w:rFonts w:ascii="Arial" w:hAnsi="Arial" w:cs="Arial"/>
          <w:i/>
          <w:sz w:val="18"/>
          <w:szCs w:val="18"/>
        </w:rPr>
        <w:t>The Education of a True Believer</w:t>
      </w:r>
      <w:r w:rsidRPr="001B6FE5">
        <w:rPr>
          <w:rFonts w:ascii="Arial" w:hAnsi="Arial" w:cs="Arial"/>
          <w:sz w:val="18"/>
          <w:szCs w:val="18"/>
        </w:rPr>
        <w:t xml:space="preserve">, p. 227. </w:t>
      </w:r>
    </w:p>
  </w:footnote>
  <w:footnote w:id="16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pp.  69-71; 82. </w:t>
      </w:r>
    </w:p>
  </w:footnote>
  <w:footnote w:id="16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Davies, </w:t>
      </w:r>
      <w:r w:rsidRPr="001B6FE5">
        <w:rPr>
          <w:rFonts w:ascii="Arial" w:hAnsi="Arial" w:cs="Arial"/>
          <w:i/>
          <w:sz w:val="18"/>
          <w:szCs w:val="18"/>
        </w:rPr>
        <w:t>Gods Playground II</w:t>
      </w:r>
      <w:r w:rsidRPr="001B6FE5">
        <w:rPr>
          <w:rFonts w:ascii="Arial" w:hAnsi="Arial" w:cs="Arial"/>
          <w:sz w:val="18"/>
          <w:szCs w:val="18"/>
        </w:rPr>
        <w:t xml:space="preserve">, pp. 416-417. Salsitz recalls that after the Polish PM toured in 1937, he ordered ‘Beautification’ become the watchword of the day. “Crazy” Meyer of Kolbuszowa joked that whilst Skladkovski gave orders to paint fences, “Hitler gave orders to build airplanes”! Salsitz, </w:t>
      </w:r>
      <w:r w:rsidRPr="001B6FE5">
        <w:rPr>
          <w:rFonts w:ascii="Arial" w:hAnsi="Arial" w:cs="Arial"/>
          <w:i/>
          <w:sz w:val="18"/>
          <w:szCs w:val="18"/>
        </w:rPr>
        <w:t>A Jewish Boyhood in Poland</w:t>
      </w:r>
      <w:r w:rsidRPr="001B6FE5">
        <w:rPr>
          <w:rFonts w:ascii="Arial" w:hAnsi="Arial" w:cs="Arial"/>
          <w:sz w:val="18"/>
          <w:szCs w:val="18"/>
        </w:rPr>
        <w:t xml:space="preserve">, p. 8. </w:t>
      </w:r>
    </w:p>
  </w:footnote>
  <w:footnote w:id="16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‘The Treaty of Non-aggression’ with the Soviet Union (1932) and a ‘Ten-Year Pact’ with Germany (1934); Davies, </w:t>
      </w:r>
      <w:r w:rsidRPr="001B6FE5">
        <w:rPr>
          <w:rFonts w:ascii="Arial" w:hAnsi="Arial" w:cs="Arial"/>
          <w:i/>
          <w:sz w:val="18"/>
          <w:szCs w:val="18"/>
        </w:rPr>
        <w:t>Gods Playground II</w:t>
      </w:r>
      <w:r w:rsidRPr="001B6FE5">
        <w:rPr>
          <w:rFonts w:ascii="Arial" w:hAnsi="Arial" w:cs="Arial"/>
          <w:sz w:val="18"/>
          <w:szCs w:val="18"/>
        </w:rPr>
        <w:t xml:space="preserve">, pp. 420. </w:t>
      </w:r>
    </w:p>
  </w:footnote>
  <w:footnote w:id="16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This would later cause considerable controversy; See L.J.Butler, </w:t>
      </w:r>
      <w:r w:rsidRPr="001B6FE5">
        <w:rPr>
          <w:rFonts w:ascii="Arial" w:hAnsi="Arial" w:cs="Arial"/>
          <w:i/>
          <w:sz w:val="18"/>
          <w:szCs w:val="18"/>
        </w:rPr>
        <w:t>Britain and empire: Adjusting to a Post-Imperial World</w:t>
      </w:r>
      <w:r w:rsidRPr="001B6FE5">
        <w:rPr>
          <w:rFonts w:ascii="Arial" w:hAnsi="Arial" w:cs="Arial"/>
          <w:sz w:val="18"/>
          <w:szCs w:val="18"/>
        </w:rPr>
        <w:t>, (Lo</w:t>
      </w:r>
      <w:r>
        <w:rPr>
          <w:rFonts w:ascii="Arial" w:hAnsi="Arial" w:cs="Arial"/>
          <w:sz w:val="18"/>
          <w:szCs w:val="18"/>
        </w:rPr>
        <w:t>ndon: I.B.Tauris, 2002), pp. 42-</w:t>
      </w:r>
      <w:r w:rsidRPr="001B6FE5">
        <w:rPr>
          <w:rFonts w:ascii="Arial" w:hAnsi="Arial" w:cs="Arial"/>
          <w:sz w:val="18"/>
          <w:szCs w:val="18"/>
        </w:rPr>
        <w:t xml:space="preserve">47. </w:t>
      </w:r>
    </w:p>
  </w:footnote>
  <w:footnote w:id="16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Economist</w:t>
      </w:r>
      <w:r w:rsidRPr="001B6FE5">
        <w:rPr>
          <w:rFonts w:ascii="Arial" w:hAnsi="Arial" w:cs="Arial"/>
          <w:sz w:val="18"/>
          <w:szCs w:val="18"/>
        </w:rPr>
        <w:t>, September 29</w:t>
      </w:r>
      <w:r w:rsidRPr="001B6FE5">
        <w:rPr>
          <w:rFonts w:ascii="Arial" w:hAnsi="Arial" w:cs="Arial"/>
          <w:sz w:val="18"/>
          <w:szCs w:val="18"/>
          <w:vertAlign w:val="superscript"/>
        </w:rPr>
        <w:t>th</w:t>
      </w:r>
      <w:r w:rsidRPr="001B6FE5">
        <w:rPr>
          <w:rFonts w:ascii="Arial" w:hAnsi="Arial" w:cs="Arial"/>
          <w:sz w:val="18"/>
          <w:szCs w:val="18"/>
        </w:rPr>
        <w:t xml:space="preserve"> 1934; Blanke, </w:t>
      </w:r>
      <w:r w:rsidRPr="001B6FE5">
        <w:rPr>
          <w:rFonts w:ascii="Arial" w:hAnsi="Arial" w:cs="Arial"/>
          <w:i/>
          <w:sz w:val="18"/>
          <w:szCs w:val="18"/>
        </w:rPr>
        <w:t>Orphans of Versailles</w:t>
      </w:r>
      <w:r w:rsidRPr="001B6FE5">
        <w:rPr>
          <w:rFonts w:ascii="Arial" w:hAnsi="Arial" w:cs="Arial"/>
          <w:sz w:val="18"/>
          <w:szCs w:val="18"/>
        </w:rPr>
        <w:t xml:space="preserve">, p. 30. For Hungarian comparison see Ronald Zweig, </w:t>
      </w:r>
      <w:r w:rsidRPr="001B6FE5">
        <w:rPr>
          <w:rFonts w:ascii="Arial" w:hAnsi="Arial" w:cs="Arial"/>
          <w:i/>
          <w:sz w:val="18"/>
          <w:szCs w:val="18"/>
        </w:rPr>
        <w:t>The Gold Train</w:t>
      </w:r>
      <w:r w:rsidRPr="001B6FE5">
        <w:rPr>
          <w:rFonts w:ascii="Arial" w:hAnsi="Arial" w:cs="Arial"/>
          <w:sz w:val="18"/>
          <w:szCs w:val="18"/>
        </w:rPr>
        <w:t xml:space="preserve">, (London: Penguin, 2003), p. 12. </w:t>
      </w:r>
    </w:p>
  </w:footnote>
  <w:footnote w:id="16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Derek H.Aldcroft and Steven Morewood, </w:t>
      </w:r>
      <w:r w:rsidRPr="001B6FE5">
        <w:rPr>
          <w:rFonts w:ascii="Arial" w:hAnsi="Arial" w:cs="Arial"/>
          <w:i/>
          <w:sz w:val="18"/>
          <w:szCs w:val="18"/>
        </w:rPr>
        <w:t>Economic Change In Eastern Europe Since 1918</w:t>
      </w:r>
      <w:r w:rsidRPr="001B6FE5">
        <w:rPr>
          <w:rFonts w:ascii="Arial" w:hAnsi="Arial" w:cs="Arial"/>
          <w:sz w:val="18"/>
          <w:szCs w:val="18"/>
        </w:rPr>
        <w:t xml:space="preserve">, (Aldershot: Edward Elgar, 1995), pp. 24-32. </w:t>
      </w:r>
    </w:p>
  </w:footnote>
  <w:footnote w:id="16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F.A.Hayek, </w:t>
      </w:r>
      <w:r w:rsidRPr="001B6FE5">
        <w:rPr>
          <w:rFonts w:ascii="Arial" w:hAnsi="Arial" w:cs="Arial"/>
          <w:i/>
          <w:sz w:val="18"/>
          <w:szCs w:val="18"/>
        </w:rPr>
        <w:t>The Road to Serfdom</w:t>
      </w:r>
      <w:r w:rsidRPr="001B6FE5">
        <w:rPr>
          <w:rFonts w:ascii="Arial" w:hAnsi="Arial" w:cs="Arial"/>
          <w:sz w:val="18"/>
          <w:szCs w:val="18"/>
        </w:rPr>
        <w:t xml:space="preserve">, (London and New York: Routledge, 1944), pp. 140-144; H.J.Laski, </w:t>
      </w:r>
      <w:r w:rsidRPr="001B6FE5">
        <w:rPr>
          <w:rFonts w:ascii="Arial" w:hAnsi="Arial" w:cs="Arial"/>
          <w:i/>
          <w:sz w:val="18"/>
          <w:szCs w:val="18"/>
        </w:rPr>
        <w:t>Liberty in the Modern State</w:t>
      </w:r>
      <w:r w:rsidRPr="001B6FE5">
        <w:rPr>
          <w:rFonts w:ascii="Arial" w:hAnsi="Arial" w:cs="Arial"/>
          <w:sz w:val="18"/>
          <w:szCs w:val="18"/>
        </w:rPr>
        <w:t xml:space="preserve">, (Harmondsworth: Pelican, 1937), p. 51. </w:t>
      </w:r>
    </w:p>
  </w:footnote>
  <w:footnote w:id="16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Lynne Viola, </w:t>
      </w:r>
      <w:r w:rsidRPr="00056F5D">
        <w:rPr>
          <w:rFonts w:ascii="Arial" w:hAnsi="Arial" w:cs="Arial"/>
          <w:i/>
          <w:sz w:val="18"/>
          <w:szCs w:val="18"/>
        </w:rPr>
        <w:t>Peasant Rebels Under Stalin: Collectivization and the Culture of Peasant Resistance</w:t>
      </w:r>
      <w:r w:rsidRPr="001B6FE5">
        <w:rPr>
          <w:rFonts w:ascii="Arial" w:hAnsi="Arial" w:cs="Arial"/>
          <w:sz w:val="18"/>
          <w:szCs w:val="18"/>
        </w:rPr>
        <w:t>, (New York &amp; Oxford: Oxf</w:t>
      </w:r>
      <w:r>
        <w:rPr>
          <w:rFonts w:ascii="Arial" w:hAnsi="Arial" w:cs="Arial"/>
          <w:sz w:val="18"/>
          <w:szCs w:val="18"/>
        </w:rPr>
        <w:t>ord University Press, 1996), p.</w:t>
      </w:r>
      <w:r w:rsidRPr="001B6FE5">
        <w:rPr>
          <w:rFonts w:ascii="Arial" w:hAnsi="Arial" w:cs="Arial"/>
          <w:sz w:val="18"/>
          <w:szCs w:val="18"/>
        </w:rPr>
        <w:t>13</w:t>
      </w:r>
      <w:r>
        <w:rPr>
          <w:rFonts w:ascii="Arial" w:hAnsi="Arial" w:cs="Arial"/>
          <w:sz w:val="18"/>
          <w:szCs w:val="18"/>
        </w:rPr>
        <w:t>; see</w:t>
      </w:r>
      <w:r w:rsidRPr="001B6FE5">
        <w:rPr>
          <w:rFonts w:ascii="Arial" w:hAnsi="Arial" w:cs="Arial"/>
          <w:sz w:val="18"/>
          <w:szCs w:val="18"/>
        </w:rPr>
        <w:t xml:space="preserve"> in Maxim Gorky, “On the Russian Peasantry”, </w:t>
      </w:r>
      <w:r w:rsidRPr="001B6FE5">
        <w:rPr>
          <w:rFonts w:ascii="Arial" w:hAnsi="Arial" w:cs="Arial"/>
          <w:i/>
          <w:sz w:val="18"/>
          <w:szCs w:val="18"/>
        </w:rPr>
        <w:t>Journal of Peasant Studies</w:t>
      </w:r>
      <w:r w:rsidRPr="001B6FE5">
        <w:rPr>
          <w:rFonts w:ascii="Arial" w:hAnsi="Arial" w:cs="Arial"/>
          <w:sz w:val="18"/>
          <w:szCs w:val="18"/>
        </w:rPr>
        <w:t xml:space="preserve">, 4 1, (1976). </w:t>
      </w:r>
    </w:p>
  </w:footnote>
  <w:footnote w:id="17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Daniel Stone ed., </w:t>
      </w:r>
      <w:r w:rsidRPr="001B6FE5">
        <w:rPr>
          <w:rFonts w:ascii="Arial" w:hAnsi="Arial" w:cs="Arial"/>
          <w:i/>
          <w:sz w:val="18"/>
          <w:szCs w:val="18"/>
        </w:rPr>
        <w:t>The Polish Memoirs Of William John Rose</w:t>
      </w:r>
      <w:r w:rsidRPr="001B6FE5">
        <w:rPr>
          <w:rFonts w:ascii="Arial" w:hAnsi="Arial" w:cs="Arial"/>
          <w:sz w:val="18"/>
          <w:szCs w:val="18"/>
        </w:rPr>
        <w:t xml:space="preserve">, (Toronto: University Of Toronto Press, 1975), pp. 198-200. Hereafter </w:t>
      </w:r>
      <w:r w:rsidRPr="001B6FE5">
        <w:rPr>
          <w:rFonts w:ascii="Arial" w:hAnsi="Arial" w:cs="Arial"/>
          <w:i/>
          <w:sz w:val="18"/>
          <w:szCs w:val="18"/>
        </w:rPr>
        <w:t>Rose</w:t>
      </w:r>
      <w:r w:rsidRPr="001B6FE5">
        <w:rPr>
          <w:rFonts w:ascii="Arial" w:hAnsi="Arial" w:cs="Arial"/>
          <w:sz w:val="18"/>
          <w:szCs w:val="18"/>
        </w:rPr>
        <w:t xml:space="preserve">. </w:t>
      </w:r>
    </w:p>
  </w:footnote>
  <w:footnote w:id="17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Rose</w:t>
      </w:r>
      <w:r w:rsidRPr="001B6FE5">
        <w:rPr>
          <w:rFonts w:ascii="Arial" w:hAnsi="Arial" w:cs="Arial"/>
          <w:sz w:val="18"/>
          <w:szCs w:val="18"/>
        </w:rPr>
        <w:t xml:space="preserve">, p. 201. </w:t>
      </w:r>
    </w:p>
  </w:footnote>
  <w:footnote w:id="17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Pr>
          <w:rFonts w:ascii="Arial" w:hAnsi="Arial" w:cs="Arial"/>
          <w:i/>
          <w:sz w:val="18"/>
          <w:szCs w:val="18"/>
        </w:rPr>
        <w:t>Ibid.</w:t>
      </w:r>
      <w:r w:rsidRPr="001B6FE5">
        <w:rPr>
          <w:rFonts w:ascii="Arial" w:hAnsi="Arial" w:cs="Arial"/>
          <w:sz w:val="18"/>
          <w:szCs w:val="18"/>
        </w:rPr>
        <w:t>, p. 201.</w:t>
      </w:r>
    </w:p>
  </w:footnote>
  <w:footnote w:id="17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William Coxe, </w:t>
      </w:r>
      <w:r w:rsidRPr="001B6FE5">
        <w:rPr>
          <w:rFonts w:ascii="Arial" w:hAnsi="Arial" w:cs="Arial"/>
          <w:i/>
          <w:sz w:val="18"/>
          <w:szCs w:val="18"/>
        </w:rPr>
        <w:t>Travels Into Poland, Russia, Sweden And Denmark: Interspersed With Historical Relations And Political Enquiries’</w:t>
      </w:r>
      <w:r w:rsidRPr="001B6FE5">
        <w:rPr>
          <w:rFonts w:ascii="Arial" w:hAnsi="Arial" w:cs="Arial"/>
          <w:sz w:val="18"/>
          <w:szCs w:val="18"/>
        </w:rPr>
        <w:t xml:space="preserve">, (London: T.Cadell, 1785), p. 185. </w:t>
      </w:r>
    </w:p>
  </w:footnote>
  <w:footnote w:id="17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Claude Lanzmann, </w:t>
      </w:r>
      <w:r w:rsidRPr="001B6FE5">
        <w:rPr>
          <w:rFonts w:ascii="Arial" w:hAnsi="Arial" w:cs="Arial"/>
          <w:i/>
          <w:sz w:val="18"/>
          <w:szCs w:val="18"/>
        </w:rPr>
        <w:t>Shoah</w:t>
      </w:r>
      <w:r w:rsidRPr="001B6FE5">
        <w:rPr>
          <w:rFonts w:ascii="Arial" w:hAnsi="Arial" w:cs="Arial"/>
          <w:sz w:val="18"/>
          <w:szCs w:val="18"/>
        </w:rPr>
        <w:t xml:space="preserve">, DVD videofilmexpress 2009, (First shown 1985); Margaret Olin, ‘Lanzmann’s </w:t>
      </w:r>
      <w:r w:rsidRPr="001B6FE5">
        <w:rPr>
          <w:rFonts w:ascii="Arial" w:hAnsi="Arial" w:cs="Arial"/>
          <w:i/>
          <w:sz w:val="18"/>
          <w:szCs w:val="18"/>
        </w:rPr>
        <w:t>Shoah</w:t>
      </w:r>
      <w:r w:rsidRPr="001B6FE5">
        <w:rPr>
          <w:rFonts w:ascii="Arial" w:hAnsi="Arial" w:cs="Arial"/>
          <w:sz w:val="18"/>
          <w:szCs w:val="18"/>
        </w:rPr>
        <w:t xml:space="preserve"> and the Topography of the Holocaust Film’, </w:t>
      </w:r>
      <w:r w:rsidRPr="001B6FE5">
        <w:rPr>
          <w:rFonts w:ascii="Arial" w:hAnsi="Arial" w:cs="Arial"/>
          <w:i/>
          <w:sz w:val="18"/>
          <w:szCs w:val="18"/>
        </w:rPr>
        <w:t>Representations</w:t>
      </w:r>
      <w:r w:rsidRPr="001B6FE5">
        <w:rPr>
          <w:rFonts w:ascii="Arial" w:hAnsi="Arial" w:cs="Arial"/>
          <w:sz w:val="18"/>
          <w:szCs w:val="18"/>
        </w:rPr>
        <w:t xml:space="preserve">, 57, (1997), pp. 1-23; Stone, </w:t>
      </w:r>
      <w:r w:rsidRPr="001B6FE5">
        <w:rPr>
          <w:rFonts w:ascii="Arial" w:hAnsi="Arial" w:cs="Arial"/>
          <w:i/>
          <w:sz w:val="18"/>
          <w:szCs w:val="18"/>
        </w:rPr>
        <w:t>Constructing the Holocaust</w:t>
      </w:r>
      <w:r w:rsidRPr="001B6FE5">
        <w:rPr>
          <w:rFonts w:ascii="Arial" w:hAnsi="Arial" w:cs="Arial"/>
          <w:sz w:val="18"/>
          <w:szCs w:val="18"/>
        </w:rPr>
        <w:t xml:space="preserve">, p. 26. </w:t>
      </w:r>
    </w:p>
  </w:footnote>
  <w:footnote w:id="17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Blanke, </w:t>
      </w:r>
      <w:r w:rsidRPr="001B6FE5">
        <w:rPr>
          <w:rFonts w:ascii="Arial" w:hAnsi="Arial" w:cs="Arial"/>
          <w:i/>
          <w:sz w:val="18"/>
          <w:szCs w:val="18"/>
        </w:rPr>
        <w:t>Orphans of Versailles</w:t>
      </w:r>
      <w:r w:rsidRPr="001B6FE5">
        <w:rPr>
          <w:rFonts w:ascii="Arial" w:hAnsi="Arial" w:cs="Arial"/>
          <w:sz w:val="18"/>
          <w:szCs w:val="18"/>
        </w:rPr>
        <w:t xml:space="preserve">, p. 102. </w:t>
      </w:r>
    </w:p>
  </w:footnote>
  <w:footnote w:id="17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By 1934 German teachers in Poland were being urged ‘to stay out of politics’; Blanke, </w:t>
      </w:r>
      <w:r w:rsidRPr="001B6FE5">
        <w:rPr>
          <w:rFonts w:ascii="Arial" w:hAnsi="Arial" w:cs="Arial"/>
          <w:i/>
          <w:sz w:val="18"/>
          <w:szCs w:val="18"/>
        </w:rPr>
        <w:t>Orphans of Versailles</w:t>
      </w:r>
      <w:r w:rsidRPr="001B6FE5">
        <w:rPr>
          <w:rFonts w:ascii="Arial" w:hAnsi="Arial" w:cs="Arial"/>
          <w:sz w:val="18"/>
          <w:szCs w:val="18"/>
        </w:rPr>
        <w:t xml:space="preserve">, pp.195-197. Salsitz makes the same points – privies and education – which he recalls clearly. See Salsitz, </w:t>
      </w:r>
      <w:r w:rsidRPr="001B6FE5">
        <w:rPr>
          <w:rFonts w:ascii="Arial" w:hAnsi="Arial" w:cs="Arial"/>
          <w:i/>
          <w:sz w:val="18"/>
          <w:szCs w:val="18"/>
        </w:rPr>
        <w:t>A Jewish Boyhood in Poland</w:t>
      </w:r>
      <w:r w:rsidRPr="001B6FE5">
        <w:rPr>
          <w:rFonts w:ascii="Arial" w:hAnsi="Arial" w:cs="Arial"/>
          <w:sz w:val="18"/>
          <w:szCs w:val="18"/>
        </w:rPr>
        <w:t xml:space="preserve">.  </w:t>
      </w:r>
    </w:p>
  </w:footnote>
  <w:footnote w:id="17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J. Otto Pohi; Eric J.Schmaltz; Ronald j.Vossler, ‘“In our hearts we felt the sentence of death”: ethnic German recollections of mass violence in the USSR, 1928-48’, </w:t>
      </w:r>
      <w:r w:rsidRPr="001B6FE5">
        <w:rPr>
          <w:rFonts w:ascii="Arial" w:hAnsi="Arial" w:cs="Arial"/>
          <w:i/>
          <w:sz w:val="18"/>
          <w:szCs w:val="18"/>
        </w:rPr>
        <w:t>Journal of Genocide Research</w:t>
      </w:r>
      <w:r w:rsidRPr="001B6FE5">
        <w:rPr>
          <w:rFonts w:ascii="Arial" w:hAnsi="Arial" w:cs="Arial"/>
          <w:sz w:val="18"/>
          <w:szCs w:val="18"/>
        </w:rPr>
        <w:t xml:space="preserve">, 11 2&amp;3, (2009), pp. 323-354; a lower figure of 1.67 million is given elsewhere, but the proportions are still very similar; in Acton &amp; Stableford, </w:t>
      </w:r>
      <w:r w:rsidRPr="001B6FE5">
        <w:rPr>
          <w:rFonts w:ascii="Arial" w:hAnsi="Arial" w:cs="Arial"/>
          <w:i/>
          <w:sz w:val="18"/>
          <w:szCs w:val="18"/>
        </w:rPr>
        <w:t>The Soviet Union</w:t>
      </w:r>
      <w:r>
        <w:rPr>
          <w:rFonts w:ascii="Arial" w:hAnsi="Arial" w:cs="Arial"/>
          <w:i/>
          <w:sz w:val="18"/>
          <w:szCs w:val="18"/>
        </w:rPr>
        <w:t xml:space="preserve">, </w:t>
      </w:r>
      <w:r w:rsidRPr="001B6FE5">
        <w:rPr>
          <w:rFonts w:ascii="Arial" w:hAnsi="Arial" w:cs="Arial"/>
          <w:sz w:val="18"/>
          <w:szCs w:val="18"/>
        </w:rPr>
        <w:t>n 148, pp. 281-282.</w:t>
      </w:r>
    </w:p>
  </w:footnote>
  <w:footnote w:id="17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537E03">
        <w:rPr>
          <w:rFonts w:ascii="Arial" w:hAnsi="Arial" w:cs="Arial"/>
          <w:i/>
          <w:sz w:val="18"/>
          <w:szCs w:val="18"/>
        </w:rPr>
        <w:t>Ibid.,</w:t>
      </w:r>
      <w:r w:rsidRPr="001B6FE5">
        <w:rPr>
          <w:rFonts w:ascii="Arial" w:hAnsi="Arial" w:cs="Arial"/>
          <w:sz w:val="18"/>
          <w:szCs w:val="18"/>
        </w:rPr>
        <w:t xml:space="preserve"> p. 325; Alan Wood, </w:t>
      </w:r>
      <w:r w:rsidRPr="001B6FE5">
        <w:rPr>
          <w:rFonts w:ascii="Arial" w:hAnsi="Arial" w:cs="Arial"/>
          <w:i/>
          <w:sz w:val="18"/>
          <w:szCs w:val="18"/>
        </w:rPr>
        <w:t>Stalin &amp; Stalinism</w:t>
      </w:r>
      <w:r w:rsidRPr="001B6FE5">
        <w:rPr>
          <w:rFonts w:ascii="Arial" w:hAnsi="Arial" w:cs="Arial"/>
          <w:sz w:val="18"/>
          <w:szCs w:val="18"/>
        </w:rPr>
        <w:t xml:space="preserve"> </w:t>
      </w:r>
      <w:r w:rsidRPr="001B6FE5">
        <w:rPr>
          <w:rFonts w:ascii="Arial" w:hAnsi="Arial" w:cs="Arial"/>
          <w:i/>
          <w:sz w:val="18"/>
          <w:szCs w:val="18"/>
        </w:rPr>
        <w:t>2</w:t>
      </w:r>
      <w:r w:rsidRPr="001B6FE5">
        <w:rPr>
          <w:rFonts w:ascii="Arial" w:hAnsi="Arial" w:cs="Arial"/>
          <w:i/>
          <w:sz w:val="18"/>
          <w:szCs w:val="18"/>
          <w:vertAlign w:val="superscript"/>
        </w:rPr>
        <w:t>nd</w:t>
      </w:r>
      <w:r w:rsidRPr="001B6FE5">
        <w:rPr>
          <w:rFonts w:ascii="Arial" w:hAnsi="Arial" w:cs="Arial"/>
          <w:i/>
          <w:sz w:val="18"/>
          <w:szCs w:val="18"/>
        </w:rPr>
        <w:t xml:space="preserve"> ed</w:t>
      </w:r>
      <w:r w:rsidRPr="001B6FE5">
        <w:rPr>
          <w:rFonts w:ascii="Arial" w:hAnsi="Arial" w:cs="Arial"/>
          <w:sz w:val="18"/>
          <w:szCs w:val="18"/>
        </w:rPr>
        <w:t xml:space="preserve">., (London: Routledge, 2005), pp. 31-48. </w:t>
      </w:r>
    </w:p>
  </w:footnote>
  <w:footnote w:id="17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 132. </w:t>
      </w:r>
    </w:p>
  </w:footnote>
  <w:footnote w:id="18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Pohi </w:t>
      </w:r>
      <w:r w:rsidRPr="001765CE">
        <w:rPr>
          <w:rFonts w:ascii="Arial" w:hAnsi="Arial" w:cs="Arial"/>
          <w:i/>
          <w:sz w:val="18"/>
          <w:szCs w:val="18"/>
        </w:rPr>
        <w:t>et al</w:t>
      </w:r>
      <w:r w:rsidRPr="001B6FE5">
        <w:rPr>
          <w:rFonts w:ascii="Arial" w:hAnsi="Arial" w:cs="Arial"/>
          <w:sz w:val="18"/>
          <w:szCs w:val="18"/>
        </w:rPr>
        <w:t xml:space="preserve">, ‘ethnic German recollections of mass violence in the USSR, 1928-48’, </w:t>
      </w:r>
      <w:r w:rsidRPr="001B6FE5">
        <w:rPr>
          <w:rFonts w:ascii="Arial" w:hAnsi="Arial" w:cs="Arial"/>
          <w:i/>
          <w:sz w:val="18"/>
          <w:szCs w:val="18"/>
        </w:rPr>
        <w:t>JGR</w:t>
      </w:r>
      <w:r w:rsidRPr="001B6FE5">
        <w:rPr>
          <w:rFonts w:ascii="Arial" w:hAnsi="Arial" w:cs="Arial"/>
          <w:sz w:val="18"/>
          <w:szCs w:val="18"/>
        </w:rPr>
        <w:t xml:space="preserve">, p. 338. </w:t>
      </w:r>
    </w:p>
  </w:footnote>
  <w:footnote w:id="18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Kopelev, </w:t>
      </w:r>
      <w:r w:rsidRPr="001B6FE5">
        <w:rPr>
          <w:rFonts w:ascii="Arial" w:hAnsi="Arial" w:cs="Arial"/>
          <w:i/>
          <w:sz w:val="18"/>
          <w:szCs w:val="18"/>
        </w:rPr>
        <w:t>The Education of a True Believer</w:t>
      </w:r>
      <w:r w:rsidRPr="001B6FE5">
        <w:rPr>
          <w:rFonts w:ascii="Arial" w:hAnsi="Arial" w:cs="Arial"/>
          <w:sz w:val="18"/>
          <w:szCs w:val="18"/>
        </w:rPr>
        <w:t xml:space="preserve">, p. 229. </w:t>
      </w:r>
    </w:p>
  </w:footnote>
  <w:footnote w:id="18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Peter Holquist, ‘State Violence as Technique: The Logic of Violence in Soviet Totalitarianism’ in Amir Weiner ed., </w:t>
      </w:r>
      <w:r w:rsidRPr="001B6FE5">
        <w:rPr>
          <w:rFonts w:ascii="Arial" w:hAnsi="Arial" w:cs="Arial"/>
          <w:i/>
          <w:sz w:val="18"/>
          <w:szCs w:val="18"/>
        </w:rPr>
        <w:t>Landscaping the Human Garden</w:t>
      </w:r>
      <w:r w:rsidRPr="001B6FE5">
        <w:rPr>
          <w:rFonts w:ascii="Arial" w:hAnsi="Arial" w:cs="Arial"/>
          <w:sz w:val="18"/>
          <w:szCs w:val="18"/>
        </w:rPr>
        <w:t xml:space="preserve">, pp. 19-45. </w:t>
      </w:r>
    </w:p>
  </w:footnote>
  <w:footnote w:id="18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Holquist, ‘State Violence as Technique’, p. 35. </w:t>
      </w:r>
    </w:p>
  </w:footnote>
  <w:footnote w:id="18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Acton &amp; Stableford, </w:t>
      </w:r>
      <w:r w:rsidRPr="001B6FE5">
        <w:rPr>
          <w:rFonts w:ascii="Arial" w:hAnsi="Arial" w:cs="Arial"/>
          <w:i/>
          <w:sz w:val="18"/>
          <w:szCs w:val="18"/>
        </w:rPr>
        <w:t>The Soviet Union</w:t>
      </w:r>
      <w:r w:rsidRPr="001B6FE5">
        <w:rPr>
          <w:rFonts w:ascii="Arial" w:hAnsi="Arial" w:cs="Arial"/>
          <w:sz w:val="18"/>
          <w:szCs w:val="18"/>
        </w:rPr>
        <w:t xml:space="preserve">, n 194, pp. 375-379. </w:t>
      </w:r>
    </w:p>
  </w:footnote>
  <w:footnote w:id="18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Michael Scammell, </w:t>
      </w:r>
      <w:r w:rsidRPr="001B6FE5">
        <w:rPr>
          <w:rFonts w:ascii="Arial" w:hAnsi="Arial" w:cs="Arial"/>
          <w:i/>
          <w:sz w:val="18"/>
          <w:szCs w:val="18"/>
        </w:rPr>
        <w:t>Solzhenitsyn</w:t>
      </w:r>
      <w:r w:rsidRPr="001B6FE5">
        <w:rPr>
          <w:rFonts w:ascii="Arial" w:hAnsi="Arial" w:cs="Arial"/>
          <w:sz w:val="18"/>
          <w:szCs w:val="18"/>
        </w:rPr>
        <w:t xml:space="preserve">, (London: Paladin, 1986), p. 88. Solzhenitsyn believed that Russia had paid for failing to press home her advantage in 1812; Wilson comments that it says something about Solzhenitsyn’s (and therefore Russian) national identity that ‘in his eyes the “return” of Galicia rather than the Grand Duchy Poland would not have made Russia more “multiethnic”’. Wilson, </w:t>
      </w:r>
      <w:r w:rsidRPr="001B6FE5">
        <w:rPr>
          <w:rFonts w:ascii="Arial" w:hAnsi="Arial" w:cs="Arial"/>
          <w:i/>
          <w:sz w:val="18"/>
          <w:szCs w:val="18"/>
        </w:rPr>
        <w:t>The Ukrainians: Unexpected Nation</w:t>
      </w:r>
      <w:r w:rsidRPr="001B6FE5">
        <w:rPr>
          <w:rFonts w:ascii="Arial" w:hAnsi="Arial" w:cs="Arial"/>
          <w:sz w:val="18"/>
          <w:szCs w:val="18"/>
        </w:rPr>
        <w:t xml:space="preserve">, pp. 120-121. </w:t>
      </w:r>
    </w:p>
  </w:footnote>
  <w:footnote w:id="18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 155. </w:t>
      </w:r>
    </w:p>
  </w:footnote>
  <w:footnote w:id="187">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7402B1">
        <w:rPr>
          <w:rFonts w:ascii="Arial" w:hAnsi="Arial" w:cs="Arial"/>
          <w:i/>
          <w:sz w:val="18"/>
          <w:szCs w:val="18"/>
        </w:rPr>
        <w:t>Ibid.,</w:t>
      </w:r>
      <w:r w:rsidRPr="001B6FE5">
        <w:rPr>
          <w:rFonts w:ascii="Arial" w:hAnsi="Arial" w:cs="Arial"/>
          <w:sz w:val="18"/>
          <w:szCs w:val="18"/>
        </w:rPr>
        <w:t xml:space="preserve"> pp. 134-152. </w:t>
      </w:r>
    </w:p>
  </w:footnote>
  <w:footnote w:id="188">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Potichnyj, ‘By Way Of Autobiography’, p. 75. </w:t>
      </w:r>
    </w:p>
  </w:footnote>
  <w:footnote w:id="189">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Kopelev, </w:t>
      </w:r>
      <w:r w:rsidRPr="001B6FE5">
        <w:rPr>
          <w:rFonts w:ascii="Arial" w:hAnsi="Arial" w:cs="Arial"/>
          <w:i/>
          <w:sz w:val="18"/>
          <w:szCs w:val="18"/>
        </w:rPr>
        <w:t>The Education of a True Believer</w:t>
      </w:r>
      <w:r w:rsidRPr="001B6FE5">
        <w:rPr>
          <w:rFonts w:ascii="Arial" w:hAnsi="Arial" w:cs="Arial"/>
          <w:sz w:val="18"/>
          <w:szCs w:val="18"/>
        </w:rPr>
        <w:t xml:space="preserve">, p. 261. </w:t>
      </w:r>
    </w:p>
  </w:footnote>
  <w:footnote w:id="190">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Magosci, </w:t>
      </w:r>
      <w:r w:rsidRPr="001B6FE5">
        <w:rPr>
          <w:rFonts w:ascii="Arial" w:hAnsi="Arial" w:cs="Arial"/>
          <w:i/>
          <w:sz w:val="18"/>
          <w:szCs w:val="18"/>
        </w:rPr>
        <w:t>A History Of Ukraine</w:t>
      </w:r>
      <w:r w:rsidRPr="001B6FE5">
        <w:rPr>
          <w:rFonts w:ascii="Arial" w:hAnsi="Arial" w:cs="Arial"/>
          <w:sz w:val="18"/>
          <w:szCs w:val="18"/>
        </w:rPr>
        <w:t xml:space="preserve">, pp. 596-598. </w:t>
      </w:r>
    </w:p>
  </w:footnote>
  <w:footnote w:id="191">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Brown, </w:t>
      </w:r>
      <w:r w:rsidRPr="001B6FE5">
        <w:rPr>
          <w:rFonts w:ascii="Arial" w:hAnsi="Arial" w:cs="Arial"/>
          <w:i/>
          <w:sz w:val="18"/>
          <w:szCs w:val="18"/>
        </w:rPr>
        <w:t>Biography Of No Place</w:t>
      </w:r>
      <w:r w:rsidRPr="001B6FE5">
        <w:rPr>
          <w:rFonts w:ascii="Arial" w:hAnsi="Arial" w:cs="Arial"/>
          <w:sz w:val="18"/>
          <w:szCs w:val="18"/>
        </w:rPr>
        <w:t xml:space="preserve">, pp. 123-124. </w:t>
      </w:r>
    </w:p>
  </w:footnote>
  <w:footnote w:id="192">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Pr>
          <w:rFonts w:ascii="Arial" w:hAnsi="Arial" w:cs="Arial"/>
          <w:sz w:val="18"/>
          <w:szCs w:val="18"/>
        </w:rPr>
        <w:t>I</w:t>
      </w:r>
      <w:r w:rsidRPr="00537E03">
        <w:rPr>
          <w:rFonts w:ascii="Arial" w:hAnsi="Arial" w:cs="Arial"/>
          <w:i/>
          <w:sz w:val="18"/>
          <w:szCs w:val="18"/>
        </w:rPr>
        <w:t>bid</w:t>
      </w:r>
      <w:r>
        <w:rPr>
          <w:rFonts w:ascii="Arial" w:hAnsi="Arial" w:cs="Arial"/>
          <w:sz w:val="18"/>
          <w:szCs w:val="18"/>
        </w:rPr>
        <w:t>.</w:t>
      </w:r>
    </w:p>
  </w:footnote>
  <w:footnote w:id="193">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Rose</w:t>
      </w:r>
      <w:r w:rsidRPr="001B6FE5">
        <w:rPr>
          <w:rFonts w:ascii="Arial" w:hAnsi="Arial" w:cs="Arial"/>
          <w:sz w:val="18"/>
          <w:szCs w:val="18"/>
        </w:rPr>
        <w:t xml:space="preserve">, p. 208. </w:t>
      </w:r>
    </w:p>
  </w:footnote>
  <w:footnote w:id="194">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Pr>
          <w:rFonts w:ascii="Arial" w:hAnsi="Arial" w:cs="Arial"/>
          <w:sz w:val="18"/>
          <w:szCs w:val="18"/>
        </w:rPr>
        <w:t xml:space="preserve">Bullard eds., </w:t>
      </w:r>
      <w:r w:rsidRPr="001B6FE5">
        <w:rPr>
          <w:rFonts w:ascii="Arial" w:hAnsi="Arial" w:cs="Arial"/>
          <w:i/>
          <w:sz w:val="18"/>
          <w:szCs w:val="18"/>
        </w:rPr>
        <w:t>The Diaries Of</w:t>
      </w:r>
      <w:r>
        <w:rPr>
          <w:rFonts w:ascii="Arial" w:hAnsi="Arial" w:cs="Arial"/>
          <w:i/>
          <w:sz w:val="18"/>
          <w:szCs w:val="18"/>
        </w:rPr>
        <w:t xml:space="preserve"> </w:t>
      </w:r>
      <w:r w:rsidRPr="001B6FE5">
        <w:rPr>
          <w:rFonts w:ascii="Arial" w:hAnsi="Arial" w:cs="Arial"/>
          <w:i/>
          <w:sz w:val="18"/>
          <w:szCs w:val="18"/>
        </w:rPr>
        <w:t xml:space="preserve"> Reader Bullard 1930-1934</w:t>
      </w:r>
      <w:r w:rsidRPr="001B6FE5">
        <w:rPr>
          <w:rFonts w:ascii="Arial" w:hAnsi="Arial" w:cs="Arial"/>
          <w:sz w:val="18"/>
          <w:szCs w:val="18"/>
        </w:rPr>
        <w:t xml:space="preserve">, pp. 211-212. </w:t>
      </w:r>
    </w:p>
  </w:footnote>
  <w:footnote w:id="195">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Blanke, </w:t>
      </w:r>
      <w:r w:rsidRPr="001B6FE5">
        <w:rPr>
          <w:rFonts w:ascii="Arial" w:hAnsi="Arial" w:cs="Arial"/>
          <w:i/>
          <w:sz w:val="18"/>
          <w:szCs w:val="18"/>
        </w:rPr>
        <w:t>Orphans of Versailles</w:t>
      </w:r>
      <w:r w:rsidRPr="001B6FE5">
        <w:rPr>
          <w:rFonts w:ascii="Arial" w:hAnsi="Arial" w:cs="Arial"/>
          <w:sz w:val="18"/>
          <w:szCs w:val="18"/>
        </w:rPr>
        <w:t xml:space="preserve">, pp. 116-117. </w:t>
      </w:r>
    </w:p>
  </w:footnote>
  <w:footnote w:id="196">
    <w:p w:rsidR="00946405" w:rsidRPr="001B6FE5" w:rsidRDefault="00946405" w:rsidP="00273DD8">
      <w:pPr>
        <w:pStyle w:val="FootnoteText"/>
        <w:rPr>
          <w:rFonts w:ascii="Arial" w:hAnsi="Arial" w:cs="Arial"/>
          <w:sz w:val="18"/>
          <w:szCs w:val="18"/>
        </w:rPr>
      </w:pPr>
      <w:r w:rsidRPr="001B6FE5">
        <w:rPr>
          <w:rStyle w:val="FootnoteReference"/>
          <w:rFonts w:ascii="Arial" w:hAnsi="Arial" w:cs="Arial"/>
          <w:sz w:val="18"/>
          <w:szCs w:val="18"/>
        </w:rPr>
        <w:footnoteRef/>
      </w:r>
      <w:r w:rsidRPr="001B6FE5">
        <w:rPr>
          <w:rFonts w:ascii="Arial" w:hAnsi="Arial" w:cs="Arial"/>
          <w:sz w:val="18"/>
          <w:szCs w:val="18"/>
        </w:rPr>
        <w:t xml:space="preserve"> </w:t>
      </w:r>
      <w:r w:rsidRPr="001B6FE5">
        <w:rPr>
          <w:rFonts w:ascii="Arial" w:hAnsi="Arial" w:cs="Arial"/>
          <w:i/>
          <w:sz w:val="18"/>
          <w:szCs w:val="18"/>
        </w:rPr>
        <w:t>CAB/24/221</w:t>
      </w:r>
      <w:r w:rsidRPr="001B6FE5">
        <w:rPr>
          <w:rFonts w:ascii="Arial" w:hAnsi="Arial" w:cs="Arial"/>
          <w:sz w:val="18"/>
          <w:szCs w:val="18"/>
        </w:rPr>
        <w:t xml:space="preserve">, Robert Vansittart, p. 31. </w:t>
      </w:r>
    </w:p>
  </w:footnote>
  <w:footnote w:id="197">
    <w:p w:rsidR="00946405" w:rsidRPr="009172C7" w:rsidRDefault="00946405">
      <w:pPr>
        <w:pStyle w:val="FootnoteText"/>
        <w:rPr>
          <w:rFonts w:ascii="Arial" w:hAnsi="Arial" w:cs="Arial"/>
          <w:sz w:val="18"/>
          <w:szCs w:val="18"/>
        </w:rPr>
      </w:pPr>
      <w:r w:rsidRPr="009172C7">
        <w:rPr>
          <w:rStyle w:val="FootnoteReference"/>
          <w:rFonts w:ascii="Arial" w:hAnsi="Arial" w:cs="Arial"/>
          <w:sz w:val="18"/>
          <w:szCs w:val="18"/>
        </w:rPr>
        <w:footnoteRef/>
      </w:r>
      <w:r w:rsidRPr="009172C7">
        <w:rPr>
          <w:rFonts w:ascii="Arial" w:hAnsi="Arial" w:cs="Arial"/>
          <w:sz w:val="18"/>
          <w:szCs w:val="18"/>
        </w:rPr>
        <w:t xml:space="preserve"> Midlarsky, ‘Territoriality and the onset of mass violence’, </w:t>
      </w:r>
      <w:r>
        <w:rPr>
          <w:rFonts w:ascii="Arial" w:hAnsi="Arial" w:cs="Arial"/>
          <w:i/>
          <w:sz w:val="18"/>
          <w:szCs w:val="18"/>
        </w:rPr>
        <w:t>JGR</w:t>
      </w:r>
      <w:r w:rsidRPr="009172C7">
        <w:rPr>
          <w:rFonts w:ascii="Arial" w:hAnsi="Arial" w:cs="Arial"/>
          <w:sz w:val="18"/>
          <w:szCs w:val="18"/>
        </w:rPr>
        <w:t xml:space="preserve">, </w:t>
      </w:r>
      <w:r>
        <w:rPr>
          <w:rFonts w:ascii="Arial" w:hAnsi="Arial" w:cs="Arial"/>
          <w:sz w:val="18"/>
          <w:szCs w:val="18"/>
        </w:rPr>
        <w:t xml:space="preserve">(2009), </w:t>
      </w:r>
      <w:r w:rsidRPr="009172C7">
        <w:rPr>
          <w:rFonts w:ascii="Arial" w:hAnsi="Arial" w:cs="Arial"/>
          <w:sz w:val="18"/>
          <w:szCs w:val="18"/>
        </w:rPr>
        <w:t xml:space="preserve">pp. 265-283. </w:t>
      </w:r>
    </w:p>
  </w:footnote>
  <w:footnote w:id="198">
    <w:p w:rsidR="00946405" w:rsidRPr="00F00168" w:rsidRDefault="00946405">
      <w:pPr>
        <w:pStyle w:val="FootnoteText"/>
        <w:rPr>
          <w:rFonts w:ascii="Arial" w:hAnsi="Arial" w:cs="Arial"/>
          <w:sz w:val="18"/>
          <w:szCs w:val="18"/>
        </w:rPr>
      </w:pPr>
      <w:r w:rsidRPr="00F00168">
        <w:rPr>
          <w:rStyle w:val="FootnoteReference"/>
          <w:rFonts w:ascii="Arial" w:hAnsi="Arial" w:cs="Arial"/>
          <w:sz w:val="18"/>
          <w:szCs w:val="18"/>
        </w:rPr>
        <w:footnoteRef/>
      </w:r>
      <w:r w:rsidRPr="00F00168">
        <w:rPr>
          <w:rFonts w:ascii="Arial" w:hAnsi="Arial" w:cs="Arial"/>
          <w:sz w:val="18"/>
          <w:szCs w:val="18"/>
        </w:rPr>
        <w:t xml:space="preserve"> Slezkine, ‘The Soviet Union As A Communal Apartment’, p. 330. </w:t>
      </w:r>
    </w:p>
  </w:footnote>
  <w:footnote w:id="199">
    <w:p w:rsidR="00946405" w:rsidRDefault="00946405">
      <w:pPr>
        <w:pStyle w:val="FootnoteText"/>
      </w:pPr>
      <w:r>
        <w:rPr>
          <w:rStyle w:val="FootnoteReference"/>
        </w:rPr>
        <w:footnoteRef/>
      </w:r>
      <w:r>
        <w:t xml:space="preserve"> </w:t>
      </w:r>
      <w:r w:rsidRPr="001B6FE5">
        <w:rPr>
          <w:rFonts w:ascii="Arial" w:hAnsi="Arial" w:cs="Arial"/>
          <w:sz w:val="18"/>
          <w:szCs w:val="18"/>
        </w:rPr>
        <w:t xml:space="preserve">Kopelev, </w:t>
      </w:r>
      <w:r w:rsidRPr="001B6FE5">
        <w:rPr>
          <w:rFonts w:ascii="Arial" w:hAnsi="Arial" w:cs="Arial"/>
          <w:i/>
          <w:sz w:val="18"/>
          <w:szCs w:val="18"/>
        </w:rPr>
        <w:t>The Education of a True Believer</w:t>
      </w:r>
      <w:r w:rsidRPr="001B6FE5">
        <w:rPr>
          <w:rFonts w:ascii="Arial" w:hAnsi="Arial" w:cs="Arial"/>
          <w:sz w:val="18"/>
          <w:szCs w:val="18"/>
        </w:rPr>
        <w:t>,</w:t>
      </w:r>
      <w:r>
        <w:rPr>
          <w:rFonts w:ascii="Arial" w:hAnsi="Arial" w:cs="Arial"/>
          <w:sz w:val="18"/>
          <w:szCs w:val="18"/>
        </w:rPr>
        <w:t xml:space="preserve"> p. 188-189. </w:t>
      </w:r>
    </w:p>
  </w:footnote>
  <w:footnote w:id="200">
    <w:p w:rsidR="00946405" w:rsidRDefault="00946405">
      <w:pPr>
        <w:pStyle w:val="FootnoteText"/>
      </w:pPr>
      <w:r>
        <w:rPr>
          <w:rStyle w:val="FootnoteReference"/>
        </w:rPr>
        <w:footnoteRef/>
      </w:r>
      <w:r>
        <w:t xml:space="preserve"> </w:t>
      </w:r>
      <w:r w:rsidRPr="001B6FE5">
        <w:rPr>
          <w:rFonts w:ascii="Arial" w:hAnsi="Arial" w:cs="Arial"/>
          <w:sz w:val="18"/>
          <w:szCs w:val="18"/>
        </w:rPr>
        <w:t xml:space="preserve">Longworth, </w:t>
      </w:r>
      <w:r w:rsidRPr="001B6FE5">
        <w:rPr>
          <w:rFonts w:ascii="Arial" w:hAnsi="Arial" w:cs="Arial"/>
          <w:i/>
          <w:sz w:val="18"/>
          <w:szCs w:val="18"/>
        </w:rPr>
        <w:t>The Making of Eastern Europe</w:t>
      </w:r>
      <w:r>
        <w:rPr>
          <w:rFonts w:ascii="Arial" w:hAnsi="Arial" w:cs="Arial"/>
          <w:sz w:val="18"/>
          <w:szCs w:val="18"/>
        </w:rPr>
        <w:t xml:space="preserve">, p. 8. </w:t>
      </w:r>
    </w:p>
  </w:footnote>
  <w:footnote w:id="201">
    <w:p w:rsidR="00946405" w:rsidRPr="00263708" w:rsidRDefault="00946405">
      <w:pPr>
        <w:pStyle w:val="FootnoteText"/>
        <w:rPr>
          <w:rFonts w:asciiTheme="minorHAnsi" w:hAnsiTheme="minorHAnsi" w:cstheme="minorHAnsi"/>
          <w:sz w:val="18"/>
          <w:szCs w:val="18"/>
        </w:rPr>
      </w:pPr>
      <w:r>
        <w:rPr>
          <w:rStyle w:val="FootnoteReference"/>
        </w:rPr>
        <w:footnoteRef/>
      </w:r>
      <w:r>
        <w:t xml:space="preserve"> </w:t>
      </w:r>
      <w:r>
        <w:rPr>
          <w:rFonts w:asciiTheme="minorHAnsi" w:hAnsiTheme="minorHAnsi" w:cstheme="minorHAnsi"/>
          <w:sz w:val="18"/>
          <w:szCs w:val="18"/>
        </w:rPr>
        <w:t xml:space="preserve">Yitzhak Arad, </w:t>
      </w:r>
      <w:r w:rsidRPr="00263708">
        <w:rPr>
          <w:rFonts w:asciiTheme="minorHAnsi" w:hAnsiTheme="minorHAnsi" w:cstheme="minorHAnsi"/>
          <w:i/>
          <w:sz w:val="18"/>
          <w:szCs w:val="18"/>
        </w:rPr>
        <w:t>Belzec, Sobibor, Treblinka: The Operation Reinhard Death Camps</w:t>
      </w:r>
      <w:r>
        <w:rPr>
          <w:rFonts w:asciiTheme="minorHAnsi" w:hAnsiTheme="minorHAnsi" w:cstheme="minorHAnsi"/>
          <w:sz w:val="18"/>
          <w:szCs w:val="18"/>
        </w:rPr>
        <w:t xml:space="preserve">, (Bloomington: Indiana University Press, 1999). </w:t>
      </w:r>
    </w:p>
  </w:footnote>
  <w:footnote w:id="202">
    <w:p w:rsidR="00946405" w:rsidRPr="00D07030" w:rsidRDefault="00946405">
      <w:pPr>
        <w:pStyle w:val="FootnoteText"/>
        <w:rPr>
          <w:rFonts w:ascii="Arial" w:hAnsi="Arial" w:cs="Arial"/>
          <w:sz w:val="18"/>
          <w:szCs w:val="18"/>
        </w:rPr>
      </w:pPr>
      <w:r w:rsidRPr="00D07030">
        <w:rPr>
          <w:rStyle w:val="FootnoteReference"/>
          <w:rFonts w:ascii="Arial" w:hAnsi="Arial" w:cs="Arial"/>
          <w:sz w:val="18"/>
          <w:szCs w:val="18"/>
        </w:rPr>
        <w:footnoteRef/>
      </w:r>
      <w:r w:rsidRPr="00D07030">
        <w:rPr>
          <w:rFonts w:ascii="Arial" w:hAnsi="Arial" w:cs="Arial"/>
          <w:sz w:val="18"/>
          <w:szCs w:val="18"/>
        </w:rPr>
        <w:t xml:space="preserve"> Thaler, ‘Fluid Identities in Central Europe’, p. 541. </w:t>
      </w:r>
    </w:p>
  </w:footnote>
  <w:footnote w:id="203">
    <w:p w:rsidR="00946405" w:rsidRDefault="00946405">
      <w:pPr>
        <w:pStyle w:val="FootnoteText"/>
      </w:pPr>
      <w:r>
        <w:rPr>
          <w:rStyle w:val="FootnoteReference"/>
        </w:rPr>
        <w:footnoteRef/>
      </w:r>
      <w:r>
        <w:t xml:space="preserve"> </w:t>
      </w:r>
      <w:r w:rsidRPr="00B470BD">
        <w:rPr>
          <w:rFonts w:ascii="Arial" w:hAnsi="Arial" w:cs="Arial"/>
          <w:sz w:val="18"/>
          <w:szCs w:val="18"/>
        </w:rPr>
        <w:t xml:space="preserve">Padraic Kenney, ‘After the Blank Spots Are Filled: Recent Perspectives on Modern Poland’, </w:t>
      </w:r>
      <w:r w:rsidRPr="00B470BD">
        <w:rPr>
          <w:rFonts w:ascii="Arial" w:hAnsi="Arial" w:cs="Arial"/>
          <w:i/>
          <w:sz w:val="18"/>
          <w:szCs w:val="18"/>
        </w:rPr>
        <w:t>The Journal of Modern History</w:t>
      </w:r>
      <w:r w:rsidRPr="00B470BD">
        <w:rPr>
          <w:rFonts w:ascii="Arial" w:hAnsi="Arial" w:cs="Arial"/>
          <w:sz w:val="18"/>
          <w:szCs w:val="18"/>
        </w:rPr>
        <w:t>, 79 (2007), pp. 134-161.</w:t>
      </w:r>
      <w:r>
        <w:t xml:space="preserve"> </w:t>
      </w:r>
    </w:p>
  </w:footnote>
  <w:footnote w:id="204">
    <w:p w:rsidR="00946405" w:rsidRPr="000347D7" w:rsidRDefault="00946405">
      <w:pPr>
        <w:pStyle w:val="FootnoteText"/>
        <w:rPr>
          <w:rFonts w:ascii="Arial" w:hAnsi="Arial" w:cs="Arial"/>
          <w:sz w:val="18"/>
          <w:szCs w:val="18"/>
        </w:rPr>
      </w:pPr>
      <w:r w:rsidRPr="000347D7">
        <w:rPr>
          <w:rStyle w:val="FootnoteReference"/>
          <w:rFonts w:ascii="Arial" w:hAnsi="Arial" w:cs="Arial"/>
          <w:sz w:val="18"/>
          <w:szCs w:val="18"/>
        </w:rPr>
        <w:footnoteRef/>
      </w:r>
      <w:r w:rsidRPr="000347D7">
        <w:rPr>
          <w:rFonts w:ascii="Arial" w:hAnsi="Arial" w:cs="Arial"/>
          <w:sz w:val="18"/>
          <w:szCs w:val="18"/>
        </w:rPr>
        <w:t xml:space="preserve"> David Cymet, ‘Polish state antisemitism as a major factor leading to the Holocaust’, </w:t>
      </w:r>
      <w:r w:rsidRPr="000347D7">
        <w:rPr>
          <w:rFonts w:ascii="Arial" w:hAnsi="Arial" w:cs="Arial"/>
          <w:i/>
          <w:sz w:val="18"/>
          <w:szCs w:val="18"/>
        </w:rPr>
        <w:t>Journal of Genocide Research</w:t>
      </w:r>
      <w:r w:rsidRPr="000347D7">
        <w:rPr>
          <w:rFonts w:ascii="Arial" w:hAnsi="Arial" w:cs="Arial"/>
          <w:sz w:val="18"/>
          <w:szCs w:val="18"/>
        </w:rPr>
        <w:t xml:space="preserve">, 1 (1999), pp. 169-212. </w:t>
      </w:r>
    </w:p>
  </w:footnote>
  <w:footnote w:id="205">
    <w:p w:rsidR="00946405" w:rsidRPr="00672CAA" w:rsidRDefault="00946405">
      <w:pPr>
        <w:pStyle w:val="FootnoteText"/>
        <w:rPr>
          <w:rFonts w:ascii="Arial" w:hAnsi="Arial" w:cs="Arial"/>
          <w:sz w:val="18"/>
          <w:szCs w:val="18"/>
        </w:rPr>
      </w:pPr>
      <w:r w:rsidRPr="00672CAA">
        <w:rPr>
          <w:rStyle w:val="FootnoteReference"/>
          <w:rFonts w:ascii="Arial" w:hAnsi="Arial" w:cs="Arial"/>
          <w:sz w:val="18"/>
          <w:szCs w:val="18"/>
        </w:rPr>
        <w:footnoteRef/>
      </w:r>
      <w:r w:rsidRPr="00672CAA">
        <w:rPr>
          <w:rFonts w:ascii="Arial" w:hAnsi="Arial" w:cs="Arial"/>
          <w:sz w:val="18"/>
          <w:szCs w:val="18"/>
        </w:rPr>
        <w:t xml:space="preserve"> Merje Kuus, ‘Europe’s eastern expansion and the reinscription of otherness in East-Central Europe’, </w:t>
      </w:r>
      <w:r w:rsidRPr="00672CAA">
        <w:rPr>
          <w:rFonts w:ascii="Arial" w:hAnsi="Arial" w:cs="Arial"/>
          <w:i/>
          <w:sz w:val="18"/>
          <w:szCs w:val="18"/>
        </w:rPr>
        <w:t>Progress in Human Geography</w:t>
      </w:r>
      <w:r w:rsidRPr="00672CAA">
        <w:rPr>
          <w:rFonts w:ascii="Arial" w:hAnsi="Arial" w:cs="Arial"/>
          <w:sz w:val="18"/>
          <w:szCs w:val="18"/>
        </w:rPr>
        <w:t xml:space="preserve">, 28 4 (2004), pp. 472-489. </w:t>
      </w:r>
      <w:r>
        <w:rPr>
          <w:rFonts w:ascii="Arial" w:hAnsi="Arial" w:cs="Arial"/>
          <w:sz w:val="18"/>
          <w:szCs w:val="18"/>
        </w:rPr>
        <w:t>This is p</w:t>
      </w:r>
      <w:r w:rsidRPr="00672CAA">
        <w:rPr>
          <w:rFonts w:ascii="Arial" w:hAnsi="Arial" w:cs="Arial"/>
          <w:sz w:val="18"/>
          <w:szCs w:val="18"/>
        </w:rPr>
        <w:t xml:space="preserve">articularly useful for </w:t>
      </w:r>
      <w:r>
        <w:rPr>
          <w:rFonts w:ascii="Arial" w:hAnsi="Arial" w:cs="Arial"/>
          <w:sz w:val="18"/>
          <w:szCs w:val="18"/>
        </w:rPr>
        <w:t xml:space="preserve">the </w:t>
      </w:r>
      <w:r w:rsidRPr="00672CAA">
        <w:rPr>
          <w:rFonts w:ascii="Arial" w:hAnsi="Arial" w:cs="Arial"/>
          <w:sz w:val="18"/>
          <w:szCs w:val="18"/>
        </w:rPr>
        <w:t>historiogr</w:t>
      </w:r>
      <w:r>
        <w:rPr>
          <w:rFonts w:ascii="Arial" w:hAnsi="Arial" w:cs="Arial"/>
          <w:sz w:val="18"/>
          <w:szCs w:val="18"/>
        </w:rPr>
        <w:t xml:space="preserve">aphy of Postcolonial theory and </w:t>
      </w:r>
      <w:r w:rsidRPr="00672CAA">
        <w:rPr>
          <w:rFonts w:ascii="Arial" w:hAnsi="Arial" w:cs="Arial"/>
          <w:sz w:val="18"/>
          <w:szCs w:val="18"/>
        </w:rPr>
        <w:t xml:space="preserve">links with East European studies. </w:t>
      </w:r>
    </w:p>
  </w:footnote>
  <w:footnote w:id="206">
    <w:p w:rsidR="00946405" w:rsidRDefault="00946405">
      <w:pPr>
        <w:pStyle w:val="FootnoteText"/>
      </w:pPr>
      <w:r>
        <w:rPr>
          <w:rStyle w:val="FootnoteReference"/>
        </w:rPr>
        <w:footnoteRef/>
      </w:r>
      <w:r>
        <w:t xml:space="preserve"> </w:t>
      </w:r>
      <w:r w:rsidRPr="00F67BF1">
        <w:rPr>
          <w:rFonts w:ascii="Arial" w:hAnsi="Arial" w:cs="Arial"/>
          <w:sz w:val="18"/>
          <w:szCs w:val="18"/>
        </w:rPr>
        <w:t>Bartov, ‘Eastern Europe as the Site of Genocide’,</w:t>
      </w:r>
      <w:r>
        <w:rPr>
          <w:rFonts w:ascii="Arial" w:hAnsi="Arial" w:cs="Arial"/>
          <w:sz w:val="18"/>
          <w:szCs w:val="18"/>
        </w:rPr>
        <w:t xml:space="preserve"> pp. 591-593. </w:t>
      </w:r>
    </w:p>
  </w:footnote>
  <w:footnote w:id="207">
    <w:p w:rsidR="00946405" w:rsidRPr="00E21697" w:rsidRDefault="00946405" w:rsidP="00E21697">
      <w:pPr>
        <w:pStyle w:val="Style1"/>
        <w:spacing w:line="240" w:lineRule="auto"/>
        <w:rPr>
          <w:rFonts w:ascii="Arial" w:hAnsi="Arial" w:cs="Arial"/>
          <w:sz w:val="18"/>
          <w:szCs w:val="18"/>
        </w:rPr>
      </w:pPr>
      <w:r w:rsidRPr="00E21697">
        <w:rPr>
          <w:rStyle w:val="FootnoteReference"/>
          <w:rFonts w:ascii="Arial" w:hAnsi="Arial" w:cs="Arial"/>
          <w:sz w:val="18"/>
          <w:szCs w:val="18"/>
        </w:rPr>
        <w:footnoteRef/>
      </w:r>
      <w:r w:rsidRPr="00E21697">
        <w:rPr>
          <w:rFonts w:ascii="Arial" w:hAnsi="Arial" w:cs="Arial"/>
          <w:i/>
          <w:sz w:val="18"/>
          <w:szCs w:val="18"/>
        </w:rPr>
        <w:t xml:space="preserve"> Economist</w:t>
      </w:r>
      <w:r w:rsidRPr="00E21697">
        <w:rPr>
          <w:rFonts w:ascii="Arial" w:hAnsi="Arial" w:cs="Arial"/>
          <w:sz w:val="18"/>
          <w:szCs w:val="18"/>
        </w:rPr>
        <w:t>, March 9</w:t>
      </w:r>
      <w:r w:rsidRPr="00E21697">
        <w:rPr>
          <w:rFonts w:ascii="Arial" w:hAnsi="Arial" w:cs="Arial"/>
          <w:sz w:val="18"/>
          <w:szCs w:val="18"/>
          <w:vertAlign w:val="superscript"/>
        </w:rPr>
        <w:t>th</w:t>
      </w:r>
      <w:r w:rsidRPr="00E21697">
        <w:rPr>
          <w:rFonts w:ascii="Arial" w:hAnsi="Arial" w:cs="Arial"/>
          <w:sz w:val="18"/>
          <w:szCs w:val="18"/>
        </w:rPr>
        <w:t xml:space="preserve"> 1929. </w:t>
      </w:r>
    </w:p>
  </w:footnote>
  <w:footnote w:id="208">
    <w:p w:rsidR="00946405" w:rsidRPr="00E21697" w:rsidRDefault="00946405" w:rsidP="00E21697">
      <w:pPr>
        <w:pStyle w:val="FootnoteText"/>
        <w:rPr>
          <w:rFonts w:ascii="Arial" w:hAnsi="Arial" w:cs="Arial"/>
          <w:sz w:val="18"/>
          <w:szCs w:val="18"/>
        </w:rPr>
      </w:pPr>
      <w:r w:rsidRPr="00E21697">
        <w:rPr>
          <w:rStyle w:val="FootnoteReference"/>
          <w:rFonts w:ascii="Arial" w:hAnsi="Arial" w:cs="Arial"/>
          <w:sz w:val="18"/>
          <w:szCs w:val="18"/>
        </w:rPr>
        <w:footnoteRef/>
      </w:r>
      <w:r w:rsidRPr="00E21697">
        <w:rPr>
          <w:rFonts w:ascii="Arial" w:hAnsi="Arial" w:cs="Arial"/>
          <w:sz w:val="18"/>
          <w:szCs w:val="18"/>
        </w:rPr>
        <w:t xml:space="preserve"> Lynne Viola, </w:t>
      </w:r>
      <w:r w:rsidRPr="00E21697">
        <w:rPr>
          <w:rFonts w:ascii="Arial" w:hAnsi="Arial" w:cs="Arial"/>
          <w:i/>
          <w:sz w:val="18"/>
          <w:szCs w:val="18"/>
        </w:rPr>
        <w:t>Peasant Rebels under Stalin: Collectivization and the Culture of Peasant Resistance</w:t>
      </w:r>
      <w:r w:rsidRPr="00E21697">
        <w:rPr>
          <w:rFonts w:ascii="Arial" w:hAnsi="Arial" w:cs="Arial"/>
          <w:sz w:val="18"/>
          <w:szCs w:val="18"/>
        </w:rPr>
        <w:t xml:space="preserve">, p. 209. </w:t>
      </w:r>
    </w:p>
  </w:footnote>
  <w:footnote w:id="209">
    <w:p w:rsidR="00946405" w:rsidRPr="00E21697" w:rsidRDefault="00946405" w:rsidP="00E21697">
      <w:pPr>
        <w:pStyle w:val="FootnoteText"/>
        <w:rPr>
          <w:rFonts w:ascii="Arial" w:hAnsi="Arial" w:cs="Arial"/>
          <w:sz w:val="18"/>
          <w:szCs w:val="18"/>
        </w:rPr>
      </w:pPr>
      <w:r w:rsidRPr="00E21697">
        <w:rPr>
          <w:rStyle w:val="FootnoteReference"/>
          <w:rFonts w:ascii="Arial" w:hAnsi="Arial" w:cs="Arial"/>
          <w:sz w:val="18"/>
          <w:szCs w:val="18"/>
        </w:rPr>
        <w:footnoteRef/>
      </w:r>
      <w:r w:rsidRPr="00E21697">
        <w:rPr>
          <w:rFonts w:ascii="Arial" w:hAnsi="Arial" w:cs="Arial"/>
          <w:sz w:val="18"/>
          <w:szCs w:val="18"/>
        </w:rPr>
        <w:t xml:space="preserve"> R.J.W.Evans, ‘The Successor States’, in Robert Gerwath, </w:t>
      </w:r>
      <w:r>
        <w:rPr>
          <w:rFonts w:ascii="Arial" w:hAnsi="Arial" w:cs="Arial"/>
          <w:i/>
          <w:sz w:val="18"/>
          <w:szCs w:val="18"/>
        </w:rPr>
        <w:t>Twisted Paths ,</w:t>
      </w:r>
      <w:r w:rsidRPr="006E3B03">
        <w:rPr>
          <w:rFonts w:ascii="Arial" w:hAnsi="Arial" w:cs="Arial"/>
          <w:sz w:val="18"/>
          <w:szCs w:val="18"/>
        </w:rPr>
        <w:t>pp</w:t>
      </w:r>
      <w:r>
        <w:rPr>
          <w:rFonts w:ascii="Arial" w:hAnsi="Arial" w:cs="Arial"/>
          <w:sz w:val="18"/>
          <w:szCs w:val="18"/>
        </w:rPr>
        <w:t>.</w:t>
      </w:r>
      <w:r w:rsidRPr="00E21697">
        <w:rPr>
          <w:rFonts w:ascii="Arial" w:hAnsi="Arial" w:cs="Arial"/>
          <w:sz w:val="18"/>
          <w:szCs w:val="18"/>
        </w:rPr>
        <w:t xml:space="preserve"> 210-229; </w:t>
      </w:r>
    </w:p>
  </w:footnote>
  <w:footnote w:id="210">
    <w:p w:rsidR="00946405" w:rsidRPr="000B5511" w:rsidRDefault="00946405" w:rsidP="00E21697">
      <w:pPr>
        <w:pStyle w:val="FootnoteText"/>
        <w:rPr>
          <w:szCs w:val="20"/>
        </w:rPr>
      </w:pPr>
      <w:r w:rsidRPr="00E21697">
        <w:rPr>
          <w:rStyle w:val="FootnoteReference"/>
          <w:rFonts w:ascii="Arial" w:hAnsi="Arial" w:cs="Arial"/>
          <w:sz w:val="18"/>
          <w:szCs w:val="18"/>
        </w:rPr>
        <w:footnoteRef/>
      </w:r>
      <w:r w:rsidRPr="00E21697">
        <w:rPr>
          <w:rFonts w:ascii="Arial" w:hAnsi="Arial" w:cs="Arial"/>
          <w:sz w:val="18"/>
          <w:szCs w:val="18"/>
        </w:rPr>
        <w:t xml:space="preserve"> Peter Thaler, ‘Fluid Identities in Central European Borderlands’, </w:t>
      </w:r>
      <w:r w:rsidRPr="00E21697">
        <w:rPr>
          <w:rFonts w:ascii="Arial" w:hAnsi="Arial" w:cs="Arial"/>
          <w:i/>
          <w:sz w:val="18"/>
          <w:szCs w:val="18"/>
        </w:rPr>
        <w:t>EHQ</w:t>
      </w:r>
      <w:r w:rsidRPr="00E21697">
        <w:rPr>
          <w:rFonts w:ascii="Arial" w:hAnsi="Arial" w:cs="Arial"/>
          <w:sz w:val="18"/>
          <w:szCs w:val="18"/>
        </w:rPr>
        <w:t xml:space="preserve"> 31 529, (2001), p. 541.</w:t>
      </w:r>
      <w:r w:rsidRPr="000B5511">
        <w:rPr>
          <w:szCs w:val="20"/>
        </w:rPr>
        <w:t xml:space="preserve"> </w:t>
      </w:r>
    </w:p>
  </w:footnote>
  <w:footnote w:id="211">
    <w:p w:rsidR="00946405" w:rsidRPr="00E21697" w:rsidRDefault="00946405" w:rsidP="00E21697">
      <w:pPr>
        <w:pStyle w:val="FootnoteText"/>
        <w:rPr>
          <w:rFonts w:ascii="Arial" w:hAnsi="Arial" w:cs="Arial"/>
          <w:sz w:val="18"/>
          <w:szCs w:val="18"/>
        </w:rPr>
      </w:pPr>
      <w:r w:rsidRPr="00E21697">
        <w:rPr>
          <w:rStyle w:val="FootnoteReference"/>
          <w:rFonts w:ascii="Arial" w:hAnsi="Arial" w:cs="Arial"/>
          <w:sz w:val="18"/>
          <w:szCs w:val="18"/>
        </w:rPr>
        <w:footnoteRef/>
      </w:r>
      <w:r w:rsidRPr="00E21697">
        <w:rPr>
          <w:rFonts w:ascii="Arial" w:hAnsi="Arial" w:cs="Arial"/>
          <w:sz w:val="18"/>
          <w:szCs w:val="18"/>
        </w:rPr>
        <w:t xml:space="preserve"> Nadezhda Mandelstam, </w:t>
      </w:r>
      <w:r w:rsidRPr="00E21697">
        <w:rPr>
          <w:rFonts w:ascii="Arial" w:hAnsi="Arial" w:cs="Arial"/>
          <w:i/>
          <w:sz w:val="18"/>
          <w:szCs w:val="18"/>
        </w:rPr>
        <w:t>Hope against Hope</w:t>
      </w:r>
      <w:r w:rsidRPr="00E21697">
        <w:rPr>
          <w:rFonts w:ascii="Arial" w:hAnsi="Arial" w:cs="Arial"/>
          <w:sz w:val="18"/>
          <w:szCs w:val="18"/>
        </w:rPr>
        <w:t xml:space="preserve">, (London: Collins, 1971), p. 98. </w:t>
      </w:r>
    </w:p>
  </w:footnote>
  <w:footnote w:id="212">
    <w:p w:rsidR="00946405" w:rsidRPr="00140157" w:rsidRDefault="00946405" w:rsidP="00E21697">
      <w:pPr>
        <w:pStyle w:val="FootnoteText"/>
        <w:rPr>
          <w:rFonts w:ascii="Arial" w:hAnsi="Arial" w:cs="Arial"/>
          <w:sz w:val="18"/>
          <w:szCs w:val="18"/>
        </w:rPr>
      </w:pPr>
      <w:r w:rsidRPr="00E21697">
        <w:rPr>
          <w:rStyle w:val="FootnoteReference"/>
          <w:rFonts w:ascii="Arial" w:hAnsi="Arial" w:cs="Arial"/>
          <w:sz w:val="18"/>
          <w:szCs w:val="18"/>
        </w:rPr>
        <w:footnoteRef/>
      </w:r>
      <w:r w:rsidRPr="00E21697">
        <w:rPr>
          <w:rFonts w:ascii="Arial" w:hAnsi="Arial" w:cs="Arial"/>
          <w:sz w:val="18"/>
          <w:szCs w:val="18"/>
        </w:rPr>
        <w:t xml:space="preserve"> Allina-Pissano, ‘From Iron Curtain to Golden Curtain: Remaking Identity in the European Union Borderlands’,</w:t>
      </w:r>
      <w:r w:rsidRPr="00E21697">
        <w:rPr>
          <w:rFonts w:ascii="Arial" w:hAnsi="Arial" w:cs="Arial"/>
          <w:i/>
          <w:sz w:val="18"/>
          <w:szCs w:val="18"/>
        </w:rPr>
        <w:t xml:space="preserve"> Eastern European Politics and Societies,</w:t>
      </w:r>
      <w:r w:rsidRPr="00E21697">
        <w:rPr>
          <w:rFonts w:ascii="Arial" w:hAnsi="Arial" w:cs="Arial"/>
          <w:sz w:val="18"/>
          <w:szCs w:val="18"/>
        </w:rPr>
        <w:t xml:space="preserve"> 23 2 (2009), pp. 266-290.</w:t>
      </w:r>
      <w:r>
        <w:t xml:space="preserve"> </w:t>
      </w:r>
      <w:r>
        <w:rPr>
          <w:rFonts w:ascii="Arial" w:hAnsi="Arial" w:cs="Arial"/>
          <w:sz w:val="18"/>
          <w:szCs w:val="18"/>
        </w:rPr>
        <w:t xml:space="preserve">Britons still, despite the Channel Tunnel, sense their own spatial awareness. Geography in this sense is fully understood. </w:t>
      </w:r>
    </w:p>
  </w:footnote>
  <w:footnote w:id="213">
    <w:p w:rsidR="00946405" w:rsidRDefault="00946405">
      <w:pPr>
        <w:pStyle w:val="FootnoteText"/>
      </w:pPr>
      <w:r>
        <w:rPr>
          <w:rStyle w:val="FootnoteReference"/>
        </w:rPr>
        <w:footnoteRef/>
      </w:r>
      <w:r>
        <w:t xml:space="preserve"> </w:t>
      </w:r>
      <w:r w:rsidRPr="0050001E">
        <w:rPr>
          <w:rFonts w:ascii="Arial" w:hAnsi="Arial" w:cs="Arial"/>
          <w:sz w:val="18"/>
          <w:szCs w:val="18"/>
        </w:rPr>
        <w:t xml:space="preserve">Berend, </w:t>
      </w:r>
      <w:r w:rsidRPr="00C837FE">
        <w:rPr>
          <w:rFonts w:ascii="Arial" w:hAnsi="Arial" w:cs="Arial"/>
          <w:i/>
          <w:sz w:val="18"/>
          <w:szCs w:val="18"/>
        </w:rPr>
        <w:t>The Crisis Zone of Europe</w:t>
      </w:r>
      <w:r w:rsidRPr="0050001E">
        <w:rPr>
          <w:rFonts w:ascii="Arial" w:hAnsi="Arial" w:cs="Arial"/>
          <w:sz w:val="18"/>
          <w:szCs w:val="18"/>
        </w:rPr>
        <w:t>, p. 34.</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1B82"/>
    <w:rsid w:val="00001C71"/>
    <w:rsid w:val="00006300"/>
    <w:rsid w:val="00023EA8"/>
    <w:rsid w:val="000347D7"/>
    <w:rsid w:val="000465AB"/>
    <w:rsid w:val="0004775B"/>
    <w:rsid w:val="00056F5D"/>
    <w:rsid w:val="000802CF"/>
    <w:rsid w:val="000B3EDE"/>
    <w:rsid w:val="000D5C83"/>
    <w:rsid w:val="000F07E8"/>
    <w:rsid w:val="000F30D2"/>
    <w:rsid w:val="000F5711"/>
    <w:rsid w:val="000F6550"/>
    <w:rsid w:val="001016DD"/>
    <w:rsid w:val="001066B0"/>
    <w:rsid w:val="00107768"/>
    <w:rsid w:val="00121F6C"/>
    <w:rsid w:val="0013092A"/>
    <w:rsid w:val="0013548D"/>
    <w:rsid w:val="00140157"/>
    <w:rsid w:val="00157778"/>
    <w:rsid w:val="00163B65"/>
    <w:rsid w:val="001740B8"/>
    <w:rsid w:val="001765CE"/>
    <w:rsid w:val="0018795E"/>
    <w:rsid w:val="001A3AB3"/>
    <w:rsid w:val="001B1318"/>
    <w:rsid w:val="001B6FE5"/>
    <w:rsid w:val="001C29EE"/>
    <w:rsid w:val="001D403E"/>
    <w:rsid w:val="001D4FA4"/>
    <w:rsid w:val="001E5044"/>
    <w:rsid w:val="001E65E7"/>
    <w:rsid w:val="001F0C5A"/>
    <w:rsid w:val="001F1C2E"/>
    <w:rsid w:val="001F60F0"/>
    <w:rsid w:val="001F6F08"/>
    <w:rsid w:val="00206096"/>
    <w:rsid w:val="00211409"/>
    <w:rsid w:val="0024407F"/>
    <w:rsid w:val="00263708"/>
    <w:rsid w:val="00273DD8"/>
    <w:rsid w:val="00280F5C"/>
    <w:rsid w:val="00293BEA"/>
    <w:rsid w:val="002A2FAA"/>
    <w:rsid w:val="002B5B04"/>
    <w:rsid w:val="002B7229"/>
    <w:rsid w:val="002E0AB6"/>
    <w:rsid w:val="00301646"/>
    <w:rsid w:val="003156AF"/>
    <w:rsid w:val="003202CC"/>
    <w:rsid w:val="00350436"/>
    <w:rsid w:val="00367DF8"/>
    <w:rsid w:val="00372F23"/>
    <w:rsid w:val="0037327F"/>
    <w:rsid w:val="00381F35"/>
    <w:rsid w:val="00386969"/>
    <w:rsid w:val="003A6532"/>
    <w:rsid w:val="003D2CE4"/>
    <w:rsid w:val="003D5027"/>
    <w:rsid w:val="003D60BE"/>
    <w:rsid w:val="003E02A5"/>
    <w:rsid w:val="003E7155"/>
    <w:rsid w:val="00415F01"/>
    <w:rsid w:val="00430939"/>
    <w:rsid w:val="004731C9"/>
    <w:rsid w:val="00473AFD"/>
    <w:rsid w:val="004A0007"/>
    <w:rsid w:val="004B2C10"/>
    <w:rsid w:val="004C44CA"/>
    <w:rsid w:val="004C5D48"/>
    <w:rsid w:val="004D3A3A"/>
    <w:rsid w:val="004E38C4"/>
    <w:rsid w:val="004F64B7"/>
    <w:rsid w:val="0050001E"/>
    <w:rsid w:val="00502FC8"/>
    <w:rsid w:val="0050581A"/>
    <w:rsid w:val="005120A7"/>
    <w:rsid w:val="005137B3"/>
    <w:rsid w:val="00526A39"/>
    <w:rsid w:val="00527414"/>
    <w:rsid w:val="00537E03"/>
    <w:rsid w:val="00540D54"/>
    <w:rsid w:val="005533A7"/>
    <w:rsid w:val="005747CD"/>
    <w:rsid w:val="00584871"/>
    <w:rsid w:val="00587141"/>
    <w:rsid w:val="00596303"/>
    <w:rsid w:val="005972C1"/>
    <w:rsid w:val="005A4732"/>
    <w:rsid w:val="005B0CC5"/>
    <w:rsid w:val="005B4D2D"/>
    <w:rsid w:val="005B6CD8"/>
    <w:rsid w:val="005C7427"/>
    <w:rsid w:val="005D21CF"/>
    <w:rsid w:val="005D4BE9"/>
    <w:rsid w:val="005E021C"/>
    <w:rsid w:val="006068E4"/>
    <w:rsid w:val="006073DA"/>
    <w:rsid w:val="006113CF"/>
    <w:rsid w:val="00614004"/>
    <w:rsid w:val="00627568"/>
    <w:rsid w:val="006278AC"/>
    <w:rsid w:val="00630C82"/>
    <w:rsid w:val="006334C6"/>
    <w:rsid w:val="00636A93"/>
    <w:rsid w:val="0064043A"/>
    <w:rsid w:val="00642D9F"/>
    <w:rsid w:val="0064453E"/>
    <w:rsid w:val="006458E3"/>
    <w:rsid w:val="00651DC3"/>
    <w:rsid w:val="00655377"/>
    <w:rsid w:val="00660691"/>
    <w:rsid w:val="00670438"/>
    <w:rsid w:val="00672CAA"/>
    <w:rsid w:val="00683E28"/>
    <w:rsid w:val="00697929"/>
    <w:rsid w:val="006A4AA9"/>
    <w:rsid w:val="006B2741"/>
    <w:rsid w:val="006C00DA"/>
    <w:rsid w:val="006C5F81"/>
    <w:rsid w:val="006D2A3E"/>
    <w:rsid w:val="006D47BC"/>
    <w:rsid w:val="006E09D8"/>
    <w:rsid w:val="006E3B03"/>
    <w:rsid w:val="006E67F1"/>
    <w:rsid w:val="006F30E7"/>
    <w:rsid w:val="007402B1"/>
    <w:rsid w:val="00740989"/>
    <w:rsid w:val="00742F89"/>
    <w:rsid w:val="00745E80"/>
    <w:rsid w:val="0075279E"/>
    <w:rsid w:val="00757A83"/>
    <w:rsid w:val="007776C0"/>
    <w:rsid w:val="00791894"/>
    <w:rsid w:val="007B364D"/>
    <w:rsid w:val="007C7C05"/>
    <w:rsid w:val="007D02EB"/>
    <w:rsid w:val="007D0306"/>
    <w:rsid w:val="007D7044"/>
    <w:rsid w:val="00812EB1"/>
    <w:rsid w:val="0081548F"/>
    <w:rsid w:val="00820D48"/>
    <w:rsid w:val="00823DC7"/>
    <w:rsid w:val="00830CAD"/>
    <w:rsid w:val="0084281F"/>
    <w:rsid w:val="008644C5"/>
    <w:rsid w:val="00877CF1"/>
    <w:rsid w:val="008D4CD6"/>
    <w:rsid w:val="00903855"/>
    <w:rsid w:val="009172C7"/>
    <w:rsid w:val="009234B1"/>
    <w:rsid w:val="00924A58"/>
    <w:rsid w:val="00924A91"/>
    <w:rsid w:val="009302F2"/>
    <w:rsid w:val="0093338D"/>
    <w:rsid w:val="00937CE0"/>
    <w:rsid w:val="0094046E"/>
    <w:rsid w:val="00946405"/>
    <w:rsid w:val="0095677E"/>
    <w:rsid w:val="00992A75"/>
    <w:rsid w:val="009B06F6"/>
    <w:rsid w:val="009B7CB6"/>
    <w:rsid w:val="009E6F60"/>
    <w:rsid w:val="009E7304"/>
    <w:rsid w:val="009F013F"/>
    <w:rsid w:val="009F7C31"/>
    <w:rsid w:val="00A020F5"/>
    <w:rsid w:val="00A02344"/>
    <w:rsid w:val="00A131F1"/>
    <w:rsid w:val="00A14C31"/>
    <w:rsid w:val="00A1531D"/>
    <w:rsid w:val="00A1591A"/>
    <w:rsid w:val="00A21B82"/>
    <w:rsid w:val="00A43BA3"/>
    <w:rsid w:val="00A43CC3"/>
    <w:rsid w:val="00A46B9A"/>
    <w:rsid w:val="00A656DF"/>
    <w:rsid w:val="00A67A06"/>
    <w:rsid w:val="00AA6EE9"/>
    <w:rsid w:val="00AC3D48"/>
    <w:rsid w:val="00AD2169"/>
    <w:rsid w:val="00AE7390"/>
    <w:rsid w:val="00AF7F79"/>
    <w:rsid w:val="00B12D89"/>
    <w:rsid w:val="00B1689D"/>
    <w:rsid w:val="00B26294"/>
    <w:rsid w:val="00B32AD4"/>
    <w:rsid w:val="00B32E2F"/>
    <w:rsid w:val="00B470BD"/>
    <w:rsid w:val="00B536DE"/>
    <w:rsid w:val="00B60C20"/>
    <w:rsid w:val="00B613EE"/>
    <w:rsid w:val="00B63377"/>
    <w:rsid w:val="00B635D3"/>
    <w:rsid w:val="00B655D7"/>
    <w:rsid w:val="00B675EC"/>
    <w:rsid w:val="00B7460C"/>
    <w:rsid w:val="00B74A52"/>
    <w:rsid w:val="00BC41CC"/>
    <w:rsid w:val="00BD6479"/>
    <w:rsid w:val="00C0399F"/>
    <w:rsid w:val="00C12CD2"/>
    <w:rsid w:val="00C31B22"/>
    <w:rsid w:val="00C56336"/>
    <w:rsid w:val="00C70C37"/>
    <w:rsid w:val="00C7672B"/>
    <w:rsid w:val="00C811CD"/>
    <w:rsid w:val="00C819EF"/>
    <w:rsid w:val="00C837FE"/>
    <w:rsid w:val="00C93118"/>
    <w:rsid w:val="00C975AE"/>
    <w:rsid w:val="00CB2E54"/>
    <w:rsid w:val="00CB565C"/>
    <w:rsid w:val="00CD278D"/>
    <w:rsid w:val="00CD4F0A"/>
    <w:rsid w:val="00CE4524"/>
    <w:rsid w:val="00CF0FD5"/>
    <w:rsid w:val="00D04023"/>
    <w:rsid w:val="00D06120"/>
    <w:rsid w:val="00D07030"/>
    <w:rsid w:val="00D108CE"/>
    <w:rsid w:val="00D3785E"/>
    <w:rsid w:val="00D4477A"/>
    <w:rsid w:val="00D60BC6"/>
    <w:rsid w:val="00D63142"/>
    <w:rsid w:val="00D65758"/>
    <w:rsid w:val="00D7484D"/>
    <w:rsid w:val="00D77202"/>
    <w:rsid w:val="00D7753B"/>
    <w:rsid w:val="00D87420"/>
    <w:rsid w:val="00D90167"/>
    <w:rsid w:val="00D90F37"/>
    <w:rsid w:val="00D979E4"/>
    <w:rsid w:val="00DB04A0"/>
    <w:rsid w:val="00DC3904"/>
    <w:rsid w:val="00E21697"/>
    <w:rsid w:val="00E32607"/>
    <w:rsid w:val="00E36BD1"/>
    <w:rsid w:val="00E535EE"/>
    <w:rsid w:val="00E71752"/>
    <w:rsid w:val="00E84F70"/>
    <w:rsid w:val="00EA0997"/>
    <w:rsid w:val="00EC5AFF"/>
    <w:rsid w:val="00EE58B6"/>
    <w:rsid w:val="00EF6382"/>
    <w:rsid w:val="00F00168"/>
    <w:rsid w:val="00F0642B"/>
    <w:rsid w:val="00F252B0"/>
    <w:rsid w:val="00F25F74"/>
    <w:rsid w:val="00F30A93"/>
    <w:rsid w:val="00F3263C"/>
    <w:rsid w:val="00F3545C"/>
    <w:rsid w:val="00F449EA"/>
    <w:rsid w:val="00F5057D"/>
    <w:rsid w:val="00F67BF1"/>
    <w:rsid w:val="00F70F65"/>
    <w:rsid w:val="00F81CA4"/>
    <w:rsid w:val="00F97F41"/>
    <w:rsid w:val="00FC2D96"/>
    <w:rsid w:val="00FD10E8"/>
    <w:rsid w:val="00FD22CE"/>
    <w:rsid w:val="00FD7160"/>
    <w:rsid w:val="00FE61EC"/>
    <w:rsid w:val="00FF64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semiHidden/>
    <w:unhideWhenUsed/>
    <w:rsid w:val="00273DD8"/>
  </w:style>
  <w:style w:type="paragraph" w:customStyle="1" w:styleId="Style1">
    <w:name w:val="Style1"/>
    <w:basedOn w:val="Normal"/>
    <w:link w:val="Style1Char"/>
    <w:qFormat/>
    <w:rsid w:val="00273DD8"/>
    <w:pPr>
      <w:spacing w:after="0" w:line="480" w:lineRule="auto"/>
    </w:pPr>
    <w:rPr>
      <w:rFonts w:ascii="Arial Narrow" w:eastAsia="Times New Roman" w:hAnsi="Arial Narrow" w:cs="Times New Roman"/>
      <w:sz w:val="24"/>
      <w:szCs w:val="24"/>
    </w:rPr>
  </w:style>
  <w:style w:type="paragraph" w:styleId="FootnoteText">
    <w:name w:val="footnote text"/>
    <w:basedOn w:val="Normal"/>
    <w:link w:val="FootnoteTextChar"/>
    <w:uiPriority w:val="99"/>
    <w:semiHidden/>
    <w:rsid w:val="00273DD8"/>
    <w:pPr>
      <w:spacing w:after="0" w:line="240" w:lineRule="auto"/>
    </w:pPr>
    <w:rPr>
      <w:rFonts w:ascii="Arial Narrow" w:eastAsia="Times New Roman" w:hAnsi="Arial Narrow" w:cs="Times New Roman"/>
      <w:sz w:val="20"/>
      <w:szCs w:val="24"/>
    </w:rPr>
  </w:style>
  <w:style w:type="character" w:customStyle="1" w:styleId="FootnoteTextChar">
    <w:name w:val="Footnote Text Char"/>
    <w:basedOn w:val="DefaultParagraphFont"/>
    <w:link w:val="FootnoteText"/>
    <w:uiPriority w:val="99"/>
    <w:semiHidden/>
    <w:rsid w:val="00273DD8"/>
    <w:rPr>
      <w:rFonts w:ascii="Arial Narrow" w:eastAsia="Times New Roman" w:hAnsi="Arial Narrow" w:cs="Times New Roman"/>
      <w:sz w:val="20"/>
      <w:szCs w:val="24"/>
    </w:rPr>
  </w:style>
  <w:style w:type="character" w:styleId="FootnoteReference">
    <w:name w:val="footnote reference"/>
    <w:uiPriority w:val="99"/>
    <w:semiHidden/>
    <w:rsid w:val="00273DD8"/>
    <w:rPr>
      <w:vertAlign w:val="superscript"/>
    </w:rPr>
  </w:style>
  <w:style w:type="paragraph" w:styleId="Footer">
    <w:name w:val="footer"/>
    <w:basedOn w:val="Normal"/>
    <w:link w:val="FooterChar"/>
    <w:rsid w:val="00273DD8"/>
    <w:pPr>
      <w:tabs>
        <w:tab w:val="center" w:pos="4320"/>
        <w:tab w:val="right" w:pos="8640"/>
      </w:tabs>
      <w:spacing w:after="0" w:line="240" w:lineRule="auto"/>
    </w:pPr>
    <w:rPr>
      <w:rFonts w:ascii="Arial Narrow" w:eastAsia="Times New Roman" w:hAnsi="Arial Narrow" w:cs="Times New Roman"/>
      <w:sz w:val="24"/>
      <w:szCs w:val="24"/>
    </w:rPr>
  </w:style>
  <w:style w:type="character" w:customStyle="1" w:styleId="FooterChar">
    <w:name w:val="Footer Char"/>
    <w:basedOn w:val="DefaultParagraphFont"/>
    <w:link w:val="Footer"/>
    <w:rsid w:val="00273DD8"/>
    <w:rPr>
      <w:rFonts w:ascii="Arial Narrow" w:eastAsia="Times New Roman" w:hAnsi="Arial Narrow" w:cs="Times New Roman"/>
      <w:sz w:val="24"/>
      <w:szCs w:val="24"/>
    </w:rPr>
  </w:style>
  <w:style w:type="character" w:styleId="PageNumber">
    <w:name w:val="page number"/>
    <w:basedOn w:val="DefaultParagraphFont"/>
    <w:rsid w:val="00273DD8"/>
  </w:style>
  <w:style w:type="paragraph" w:customStyle="1" w:styleId="Style2">
    <w:name w:val="Style2"/>
    <w:basedOn w:val="Normal"/>
    <w:rsid w:val="00273DD8"/>
    <w:pPr>
      <w:spacing w:after="0" w:line="480" w:lineRule="auto"/>
    </w:pPr>
    <w:rPr>
      <w:rFonts w:ascii="Arial Narrow" w:eastAsia="Times New Roman" w:hAnsi="Arial Narrow" w:cs="Times New Roman"/>
      <w:b/>
      <w:sz w:val="24"/>
      <w:szCs w:val="24"/>
    </w:rPr>
  </w:style>
  <w:style w:type="paragraph" w:customStyle="1" w:styleId="StyleItalicLinespacingDouble">
    <w:name w:val="Style Italic Line spacing:  Double"/>
    <w:basedOn w:val="Normal"/>
    <w:next w:val="Normal"/>
    <w:rsid w:val="00273DD8"/>
    <w:pPr>
      <w:spacing w:after="0" w:line="480" w:lineRule="auto"/>
    </w:pPr>
    <w:rPr>
      <w:rFonts w:ascii="Arial Narrow" w:eastAsia="Times New Roman" w:hAnsi="Arial Narrow" w:cs="Times New Roman"/>
      <w:i/>
      <w:iCs/>
      <w:sz w:val="24"/>
      <w:szCs w:val="20"/>
    </w:rPr>
  </w:style>
  <w:style w:type="character" w:customStyle="1" w:styleId="StyleFootnoteReference">
    <w:name w:val="Style Footnote Reference +"/>
    <w:rsid w:val="00273DD8"/>
    <w:rPr>
      <w:sz w:val="20"/>
      <w:vertAlign w:val="superscript"/>
    </w:rPr>
  </w:style>
  <w:style w:type="character" w:customStyle="1" w:styleId="StyleItalic">
    <w:name w:val="Style Italic"/>
    <w:rsid w:val="00273DD8"/>
    <w:rPr>
      <w:rFonts w:ascii="Arial Narrow" w:hAnsi="Arial Narrow"/>
      <w:iCs/>
      <w:sz w:val="24"/>
    </w:rPr>
  </w:style>
  <w:style w:type="paragraph" w:customStyle="1" w:styleId="Style3">
    <w:name w:val="Style3"/>
    <w:basedOn w:val="Normal"/>
    <w:rsid w:val="00273DD8"/>
    <w:pPr>
      <w:spacing w:after="0" w:line="480" w:lineRule="auto"/>
    </w:pPr>
    <w:rPr>
      <w:rFonts w:ascii="Arial Narrow" w:eastAsia="Times New Roman" w:hAnsi="Arial Narrow" w:cs="Times New Roman"/>
      <w:sz w:val="24"/>
      <w:szCs w:val="24"/>
    </w:rPr>
  </w:style>
  <w:style w:type="paragraph" w:styleId="DocumentMap">
    <w:name w:val="Document Map"/>
    <w:basedOn w:val="Normal"/>
    <w:link w:val="DocumentMapChar"/>
    <w:semiHidden/>
    <w:rsid w:val="00273DD8"/>
    <w:pPr>
      <w:shd w:val="clear" w:color="auto" w:fill="000080"/>
      <w:spacing w:after="0" w:line="240" w:lineRule="auto"/>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273DD8"/>
    <w:rPr>
      <w:rFonts w:ascii="Tahoma" w:eastAsia="Times New Roman" w:hAnsi="Tahoma" w:cs="Times New Roman"/>
      <w:sz w:val="20"/>
      <w:szCs w:val="20"/>
      <w:shd w:val="clear" w:color="auto" w:fill="000080"/>
    </w:rPr>
  </w:style>
  <w:style w:type="paragraph" w:customStyle="1" w:styleId="Default">
    <w:name w:val="Default"/>
    <w:rsid w:val="00273DD8"/>
    <w:pPr>
      <w:autoSpaceDE w:val="0"/>
      <w:autoSpaceDN w:val="0"/>
      <w:adjustRightInd w:val="0"/>
      <w:spacing w:after="0" w:line="240" w:lineRule="auto"/>
    </w:pPr>
    <w:rPr>
      <w:rFonts w:ascii="Code" w:eastAsia="Times New Roman" w:hAnsi="Code" w:cs="Code"/>
      <w:color w:val="000000"/>
      <w:sz w:val="24"/>
      <w:szCs w:val="24"/>
      <w:lang w:val="en-US"/>
    </w:rPr>
  </w:style>
  <w:style w:type="paragraph" w:styleId="Caption">
    <w:name w:val="caption"/>
    <w:basedOn w:val="Normal"/>
    <w:next w:val="Normal"/>
    <w:uiPriority w:val="35"/>
    <w:qFormat/>
    <w:rsid w:val="00273DD8"/>
    <w:pPr>
      <w:spacing w:after="0" w:line="240" w:lineRule="auto"/>
    </w:pPr>
    <w:rPr>
      <w:rFonts w:ascii="Arial Narrow" w:eastAsia="Times New Roman" w:hAnsi="Arial Narrow" w:cs="Times New Roman"/>
      <w:b/>
      <w:bCs/>
      <w:sz w:val="20"/>
      <w:szCs w:val="20"/>
    </w:rPr>
  </w:style>
  <w:style w:type="paragraph" w:styleId="BalloonText">
    <w:name w:val="Balloon Text"/>
    <w:basedOn w:val="Normal"/>
    <w:link w:val="BalloonTextChar"/>
    <w:rsid w:val="00273DD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273DD8"/>
    <w:rPr>
      <w:rFonts w:ascii="Tahoma" w:eastAsia="Times New Roman" w:hAnsi="Tahoma" w:cs="Tahoma"/>
      <w:sz w:val="16"/>
      <w:szCs w:val="16"/>
    </w:rPr>
  </w:style>
  <w:style w:type="character" w:customStyle="1" w:styleId="Style1Char">
    <w:name w:val="Style1 Char"/>
    <w:basedOn w:val="FootnoteTextChar"/>
    <w:link w:val="Style1"/>
    <w:rsid w:val="00E21697"/>
    <w:rPr>
      <w:rFonts w:ascii="Arial Narrow" w:eastAsia="Times New Roman" w:hAnsi="Arial Narrow"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semiHidden/>
    <w:unhideWhenUsed/>
    <w:rsid w:val="00273DD8"/>
  </w:style>
  <w:style w:type="paragraph" w:customStyle="1" w:styleId="Style1">
    <w:name w:val="Style1"/>
    <w:basedOn w:val="Normal"/>
    <w:link w:val="Style1Char"/>
    <w:qFormat/>
    <w:rsid w:val="00273DD8"/>
    <w:pPr>
      <w:spacing w:after="0" w:line="480" w:lineRule="auto"/>
    </w:pPr>
    <w:rPr>
      <w:rFonts w:ascii="Arial Narrow" w:eastAsia="Times New Roman" w:hAnsi="Arial Narrow" w:cs="Times New Roman"/>
      <w:sz w:val="24"/>
      <w:szCs w:val="24"/>
    </w:rPr>
  </w:style>
  <w:style w:type="paragraph" w:styleId="FootnoteText">
    <w:name w:val="footnote text"/>
    <w:basedOn w:val="Normal"/>
    <w:link w:val="FootnoteTextChar"/>
    <w:uiPriority w:val="99"/>
    <w:semiHidden/>
    <w:rsid w:val="00273DD8"/>
    <w:pPr>
      <w:spacing w:after="0" w:line="240" w:lineRule="auto"/>
    </w:pPr>
    <w:rPr>
      <w:rFonts w:ascii="Arial Narrow" w:eastAsia="Times New Roman" w:hAnsi="Arial Narrow" w:cs="Times New Roman"/>
      <w:sz w:val="20"/>
      <w:szCs w:val="24"/>
    </w:rPr>
  </w:style>
  <w:style w:type="character" w:customStyle="1" w:styleId="FootnoteTextChar">
    <w:name w:val="Footnote Text Char"/>
    <w:basedOn w:val="DefaultParagraphFont"/>
    <w:link w:val="FootnoteText"/>
    <w:uiPriority w:val="99"/>
    <w:semiHidden/>
    <w:rsid w:val="00273DD8"/>
    <w:rPr>
      <w:rFonts w:ascii="Arial Narrow" w:eastAsia="Times New Roman" w:hAnsi="Arial Narrow" w:cs="Times New Roman"/>
      <w:sz w:val="20"/>
      <w:szCs w:val="24"/>
    </w:rPr>
  </w:style>
  <w:style w:type="character" w:styleId="FootnoteReference">
    <w:name w:val="footnote reference"/>
    <w:uiPriority w:val="99"/>
    <w:semiHidden/>
    <w:rsid w:val="00273DD8"/>
    <w:rPr>
      <w:vertAlign w:val="superscript"/>
    </w:rPr>
  </w:style>
  <w:style w:type="paragraph" w:styleId="Footer">
    <w:name w:val="footer"/>
    <w:basedOn w:val="Normal"/>
    <w:link w:val="FooterChar"/>
    <w:rsid w:val="00273DD8"/>
    <w:pPr>
      <w:tabs>
        <w:tab w:val="center" w:pos="4320"/>
        <w:tab w:val="right" w:pos="8640"/>
      </w:tabs>
      <w:spacing w:after="0" w:line="240" w:lineRule="auto"/>
    </w:pPr>
    <w:rPr>
      <w:rFonts w:ascii="Arial Narrow" w:eastAsia="Times New Roman" w:hAnsi="Arial Narrow" w:cs="Times New Roman"/>
      <w:sz w:val="24"/>
      <w:szCs w:val="24"/>
    </w:rPr>
  </w:style>
  <w:style w:type="character" w:customStyle="1" w:styleId="FooterChar">
    <w:name w:val="Footer Char"/>
    <w:basedOn w:val="DefaultParagraphFont"/>
    <w:link w:val="Footer"/>
    <w:rsid w:val="00273DD8"/>
    <w:rPr>
      <w:rFonts w:ascii="Arial Narrow" w:eastAsia="Times New Roman" w:hAnsi="Arial Narrow" w:cs="Times New Roman"/>
      <w:sz w:val="24"/>
      <w:szCs w:val="24"/>
    </w:rPr>
  </w:style>
  <w:style w:type="character" w:styleId="PageNumber">
    <w:name w:val="page number"/>
    <w:basedOn w:val="DefaultParagraphFont"/>
    <w:rsid w:val="00273DD8"/>
  </w:style>
  <w:style w:type="paragraph" w:customStyle="1" w:styleId="Style2">
    <w:name w:val="Style2"/>
    <w:basedOn w:val="Normal"/>
    <w:rsid w:val="00273DD8"/>
    <w:pPr>
      <w:spacing w:after="0" w:line="480" w:lineRule="auto"/>
    </w:pPr>
    <w:rPr>
      <w:rFonts w:ascii="Arial Narrow" w:eastAsia="Times New Roman" w:hAnsi="Arial Narrow" w:cs="Times New Roman"/>
      <w:b/>
      <w:sz w:val="24"/>
      <w:szCs w:val="24"/>
    </w:rPr>
  </w:style>
  <w:style w:type="paragraph" w:customStyle="1" w:styleId="StyleItalicLinespacingDouble">
    <w:name w:val="Style Italic Line spacing:  Double"/>
    <w:basedOn w:val="Normal"/>
    <w:next w:val="Normal"/>
    <w:rsid w:val="00273DD8"/>
    <w:pPr>
      <w:spacing w:after="0" w:line="480" w:lineRule="auto"/>
    </w:pPr>
    <w:rPr>
      <w:rFonts w:ascii="Arial Narrow" w:eastAsia="Times New Roman" w:hAnsi="Arial Narrow" w:cs="Times New Roman"/>
      <w:i/>
      <w:iCs/>
      <w:sz w:val="24"/>
      <w:szCs w:val="20"/>
    </w:rPr>
  </w:style>
  <w:style w:type="character" w:customStyle="1" w:styleId="StyleFootnoteReference">
    <w:name w:val="Style Footnote Reference +"/>
    <w:rsid w:val="00273DD8"/>
    <w:rPr>
      <w:sz w:val="20"/>
      <w:vertAlign w:val="superscript"/>
    </w:rPr>
  </w:style>
  <w:style w:type="character" w:customStyle="1" w:styleId="StyleItalic">
    <w:name w:val="Style Italic"/>
    <w:rsid w:val="00273DD8"/>
    <w:rPr>
      <w:rFonts w:ascii="Arial Narrow" w:hAnsi="Arial Narrow"/>
      <w:iCs/>
      <w:sz w:val="24"/>
    </w:rPr>
  </w:style>
  <w:style w:type="paragraph" w:customStyle="1" w:styleId="Style3">
    <w:name w:val="Style3"/>
    <w:basedOn w:val="Normal"/>
    <w:rsid w:val="00273DD8"/>
    <w:pPr>
      <w:spacing w:after="0" w:line="480" w:lineRule="auto"/>
    </w:pPr>
    <w:rPr>
      <w:rFonts w:ascii="Arial Narrow" w:eastAsia="Times New Roman" w:hAnsi="Arial Narrow" w:cs="Times New Roman"/>
      <w:sz w:val="24"/>
      <w:szCs w:val="24"/>
    </w:rPr>
  </w:style>
  <w:style w:type="paragraph" w:styleId="DocumentMap">
    <w:name w:val="Document Map"/>
    <w:basedOn w:val="Normal"/>
    <w:link w:val="DocumentMapChar"/>
    <w:semiHidden/>
    <w:rsid w:val="00273DD8"/>
    <w:pPr>
      <w:shd w:val="clear" w:color="auto" w:fill="000080"/>
      <w:spacing w:after="0" w:line="240" w:lineRule="auto"/>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273DD8"/>
    <w:rPr>
      <w:rFonts w:ascii="Tahoma" w:eastAsia="Times New Roman" w:hAnsi="Tahoma" w:cs="Times New Roman"/>
      <w:sz w:val="20"/>
      <w:szCs w:val="20"/>
      <w:shd w:val="clear" w:color="auto" w:fill="000080"/>
    </w:rPr>
  </w:style>
  <w:style w:type="paragraph" w:customStyle="1" w:styleId="Default">
    <w:name w:val="Default"/>
    <w:rsid w:val="00273DD8"/>
    <w:pPr>
      <w:autoSpaceDE w:val="0"/>
      <w:autoSpaceDN w:val="0"/>
      <w:adjustRightInd w:val="0"/>
      <w:spacing w:after="0" w:line="240" w:lineRule="auto"/>
    </w:pPr>
    <w:rPr>
      <w:rFonts w:ascii="Code" w:eastAsia="Times New Roman" w:hAnsi="Code" w:cs="Code"/>
      <w:color w:val="000000"/>
      <w:sz w:val="24"/>
      <w:szCs w:val="24"/>
      <w:lang w:val="en-US"/>
    </w:rPr>
  </w:style>
  <w:style w:type="paragraph" w:styleId="Caption">
    <w:name w:val="caption"/>
    <w:basedOn w:val="Normal"/>
    <w:next w:val="Normal"/>
    <w:uiPriority w:val="35"/>
    <w:qFormat/>
    <w:rsid w:val="00273DD8"/>
    <w:pPr>
      <w:spacing w:after="0" w:line="240" w:lineRule="auto"/>
    </w:pPr>
    <w:rPr>
      <w:rFonts w:ascii="Arial Narrow" w:eastAsia="Times New Roman" w:hAnsi="Arial Narrow" w:cs="Times New Roman"/>
      <w:b/>
      <w:bCs/>
      <w:sz w:val="20"/>
      <w:szCs w:val="20"/>
    </w:rPr>
  </w:style>
  <w:style w:type="paragraph" w:styleId="BalloonText">
    <w:name w:val="Balloon Text"/>
    <w:basedOn w:val="Normal"/>
    <w:link w:val="BalloonTextChar"/>
    <w:rsid w:val="00273DD8"/>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rsid w:val="00273DD8"/>
    <w:rPr>
      <w:rFonts w:ascii="Tahoma" w:eastAsia="Times New Roman" w:hAnsi="Tahoma" w:cs="Tahoma"/>
      <w:sz w:val="16"/>
      <w:szCs w:val="16"/>
    </w:rPr>
  </w:style>
  <w:style w:type="character" w:customStyle="1" w:styleId="Style1Char">
    <w:name w:val="Style1 Char"/>
    <w:basedOn w:val="FootnoteTextChar"/>
    <w:link w:val="Style1"/>
    <w:rsid w:val="00E21697"/>
    <w:rPr>
      <w:rFonts w:ascii="Arial Narrow" w:eastAsia="Times New Roman" w:hAnsi="Arial Narrow"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microsoft.com/office/2007/relationships/stylesWithEffects" Target="stylesWithEffects.xml"/><Relationship Id="rId21" Type="http://schemas.openxmlformats.org/officeDocument/2006/relationships/image" Target="media/image14.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0419B9-DF78-487D-957C-A8FCAB1736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1625</TotalTime>
  <Pages>76</Pages>
  <Words>20236</Words>
  <Characters>115347</Characters>
  <Application>Microsoft Office Word</Application>
  <DocSecurity>0</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swatman</dc:creator>
  <cp:keywords/>
  <dc:description/>
  <cp:lastModifiedBy>nicholas swatman</cp:lastModifiedBy>
  <cp:revision>179</cp:revision>
  <cp:lastPrinted>2010-08-20T12:08:00Z</cp:lastPrinted>
  <dcterms:created xsi:type="dcterms:W3CDTF">2010-07-26T13:45:00Z</dcterms:created>
  <dcterms:modified xsi:type="dcterms:W3CDTF">2010-08-20T13:05:00Z</dcterms:modified>
</cp:coreProperties>
</file>