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F7D" w:rsidRPr="00C84485" w:rsidRDefault="00971D8D" w:rsidP="00064491">
      <w:pPr>
        <w:jc w:val="center"/>
        <w:rPr>
          <w:rFonts w:ascii="Arial" w:hAnsi="Arial" w:cs="Arial"/>
          <w:b/>
          <w:sz w:val="24"/>
          <w:szCs w:val="28"/>
        </w:rPr>
      </w:pPr>
      <w:r>
        <w:rPr>
          <w:rFonts w:ascii="Arial" w:hAnsi="Arial" w:cs="Arial"/>
          <w:b/>
          <w:sz w:val="24"/>
          <w:szCs w:val="28"/>
        </w:rPr>
        <w:t>Effect of Neonatal Nutrition on Long Term Barrier Function and Gut Inflammation</w:t>
      </w:r>
    </w:p>
    <w:p w:rsidR="00141F7D" w:rsidRPr="00C84485" w:rsidRDefault="00141F7D" w:rsidP="00064491">
      <w:pPr>
        <w:jc w:val="center"/>
        <w:rPr>
          <w:rFonts w:ascii="Arial" w:hAnsi="Arial" w:cs="Arial"/>
          <w:sz w:val="24"/>
        </w:rPr>
      </w:pPr>
    </w:p>
    <w:p w:rsidR="00971D8D" w:rsidRDefault="00141F7D" w:rsidP="00971D8D">
      <w:pPr>
        <w:jc w:val="center"/>
        <w:rPr>
          <w:rFonts w:ascii="Arial" w:hAnsi="Arial" w:cs="Arial"/>
          <w:sz w:val="24"/>
          <w:szCs w:val="24"/>
        </w:rPr>
      </w:pPr>
      <w:r w:rsidRPr="00C84485">
        <w:rPr>
          <w:rFonts w:ascii="Arial" w:hAnsi="Arial" w:cs="Arial"/>
          <w:sz w:val="24"/>
          <w:szCs w:val="24"/>
        </w:rPr>
        <w:t>Alastair JM Watson</w:t>
      </w:r>
    </w:p>
    <w:p w:rsidR="00141F7D" w:rsidRPr="00C84485" w:rsidRDefault="009A3E03" w:rsidP="00971D8D">
      <w:pPr>
        <w:jc w:val="center"/>
        <w:rPr>
          <w:rFonts w:ascii="Arial" w:hAnsi="Arial" w:cs="Arial"/>
          <w:sz w:val="24"/>
          <w:szCs w:val="24"/>
        </w:rPr>
      </w:pPr>
      <w:r w:rsidRPr="00C84485">
        <w:rPr>
          <w:rFonts w:ascii="Arial" w:hAnsi="Arial" w:cs="Arial"/>
          <w:sz w:val="24"/>
          <w:szCs w:val="24"/>
        </w:rPr>
        <w:t xml:space="preserve">Norwich Medical School, University of East Anglia, </w:t>
      </w:r>
      <w:r w:rsidR="00971D8D">
        <w:rPr>
          <w:rFonts w:ascii="Arial" w:hAnsi="Arial" w:cs="Arial"/>
          <w:sz w:val="24"/>
          <w:szCs w:val="24"/>
        </w:rPr>
        <w:t xml:space="preserve">Norwich Research Park, </w:t>
      </w:r>
      <w:r w:rsidRPr="00C84485">
        <w:rPr>
          <w:rFonts w:ascii="Arial" w:hAnsi="Arial" w:cs="Arial"/>
          <w:sz w:val="24"/>
          <w:szCs w:val="24"/>
        </w:rPr>
        <w:t>Norwich</w:t>
      </w:r>
      <w:r w:rsidR="00064491" w:rsidRPr="00C84485">
        <w:rPr>
          <w:rFonts w:ascii="Arial" w:hAnsi="Arial" w:cs="Arial"/>
          <w:sz w:val="24"/>
          <w:szCs w:val="24"/>
        </w:rPr>
        <w:t xml:space="preserve">, </w:t>
      </w:r>
      <w:r w:rsidRPr="00C84485">
        <w:rPr>
          <w:rFonts w:ascii="Arial" w:hAnsi="Arial" w:cs="Arial"/>
          <w:sz w:val="24"/>
          <w:szCs w:val="24"/>
        </w:rPr>
        <w:t>NR4 7TJ</w:t>
      </w:r>
      <w:r w:rsidR="00141F7D" w:rsidRPr="00C84485">
        <w:rPr>
          <w:rFonts w:ascii="Arial" w:hAnsi="Arial" w:cs="Arial"/>
          <w:sz w:val="24"/>
          <w:szCs w:val="24"/>
        </w:rPr>
        <w:t>, England</w:t>
      </w:r>
      <w:r w:rsidR="00B41CA9">
        <w:rPr>
          <w:rFonts w:ascii="Arial" w:hAnsi="Arial" w:cs="Arial"/>
          <w:sz w:val="24"/>
          <w:szCs w:val="24"/>
        </w:rPr>
        <w:t>.</w:t>
      </w:r>
    </w:p>
    <w:p w:rsidR="00141F7D" w:rsidRPr="00C84485" w:rsidRDefault="00141F7D" w:rsidP="003F6AB2">
      <w:pPr>
        <w:rPr>
          <w:rFonts w:ascii="Arial" w:hAnsi="Arial" w:cs="Arial"/>
          <w:sz w:val="24"/>
        </w:rPr>
      </w:pPr>
    </w:p>
    <w:p w:rsidR="00141F7D" w:rsidRPr="00C84485" w:rsidRDefault="00141F7D" w:rsidP="003F6AB2">
      <w:pPr>
        <w:rPr>
          <w:rFonts w:ascii="Arial" w:hAnsi="Arial" w:cs="Arial"/>
          <w:sz w:val="24"/>
        </w:rPr>
      </w:pPr>
    </w:p>
    <w:p w:rsidR="00141F7D" w:rsidRPr="00C84485" w:rsidRDefault="00141F7D" w:rsidP="003F6AB2">
      <w:pPr>
        <w:jc w:val="center"/>
        <w:rPr>
          <w:rFonts w:ascii="Arial" w:hAnsi="Arial" w:cs="Arial"/>
          <w:b/>
          <w:i/>
          <w:sz w:val="24"/>
          <w:szCs w:val="24"/>
        </w:rPr>
      </w:pPr>
      <w:r w:rsidRPr="00C84485">
        <w:rPr>
          <w:rFonts w:ascii="Arial" w:hAnsi="Arial" w:cs="Arial"/>
          <w:b/>
          <w:i/>
          <w:sz w:val="24"/>
          <w:szCs w:val="24"/>
        </w:rPr>
        <w:t xml:space="preserve">A commissioned </w:t>
      </w:r>
      <w:r w:rsidR="00064491" w:rsidRPr="00C84485">
        <w:rPr>
          <w:rFonts w:ascii="Arial" w:hAnsi="Arial" w:cs="Arial"/>
          <w:b/>
          <w:i/>
          <w:sz w:val="24"/>
          <w:szCs w:val="24"/>
        </w:rPr>
        <w:t xml:space="preserve">Selected Summary </w:t>
      </w:r>
      <w:r w:rsidRPr="00C84485">
        <w:rPr>
          <w:rFonts w:ascii="Arial" w:hAnsi="Arial" w:cs="Arial"/>
          <w:b/>
          <w:i/>
          <w:sz w:val="24"/>
          <w:szCs w:val="24"/>
        </w:rPr>
        <w:t>for G</w:t>
      </w:r>
      <w:r w:rsidR="00064491" w:rsidRPr="00C84485">
        <w:rPr>
          <w:rFonts w:ascii="Arial" w:hAnsi="Arial" w:cs="Arial"/>
          <w:b/>
          <w:i/>
          <w:sz w:val="24"/>
          <w:szCs w:val="24"/>
        </w:rPr>
        <w:t>astroenterology</w:t>
      </w:r>
      <w:r w:rsidRPr="00C84485">
        <w:rPr>
          <w:rFonts w:ascii="Arial" w:hAnsi="Arial" w:cs="Arial"/>
          <w:b/>
          <w:i/>
          <w:sz w:val="24"/>
          <w:szCs w:val="24"/>
        </w:rPr>
        <w:t xml:space="preserve"> on </w:t>
      </w:r>
    </w:p>
    <w:p w:rsidR="00141F7D" w:rsidRPr="00C84485" w:rsidRDefault="00141F7D" w:rsidP="00A2530E">
      <w:pPr>
        <w:autoSpaceDE w:val="0"/>
        <w:autoSpaceDN w:val="0"/>
        <w:adjustRightInd w:val="0"/>
        <w:spacing w:after="0" w:line="240" w:lineRule="auto"/>
        <w:rPr>
          <w:rFonts w:ascii="Arial" w:hAnsi="Arial" w:cs="Arial"/>
          <w:bCs/>
          <w:sz w:val="24"/>
          <w:szCs w:val="24"/>
        </w:rPr>
      </w:pPr>
      <w:r w:rsidRPr="00C84485">
        <w:rPr>
          <w:rFonts w:ascii="Arial" w:hAnsi="Arial" w:cs="Arial"/>
          <w:b/>
          <w:i/>
          <w:sz w:val="24"/>
          <w:szCs w:val="24"/>
        </w:rPr>
        <w:t>“</w:t>
      </w:r>
      <w:r w:rsidR="00971D8D" w:rsidRPr="00971D8D">
        <w:rPr>
          <w:rFonts w:ascii="Arial" w:hAnsi="Arial" w:cs="Arial"/>
          <w:bCs/>
          <w:sz w:val="24"/>
          <w:szCs w:val="24"/>
        </w:rPr>
        <w:t>The Level Of Protein In Milk Formula Modifies Ileal Sensitivity To LPS In A Piglet Model</w:t>
      </w:r>
      <w:r w:rsidR="002148F5">
        <w:rPr>
          <w:rFonts w:ascii="Arial" w:hAnsi="Arial" w:cs="Arial"/>
          <w:bCs/>
          <w:sz w:val="24"/>
          <w:szCs w:val="24"/>
        </w:rPr>
        <w:t>. Chatelais L, Jamin A, Gras-Le Guen C</w:t>
      </w:r>
      <w:r w:rsidR="00971D8D">
        <w:rPr>
          <w:rFonts w:ascii="Arial" w:hAnsi="Arial" w:cs="Arial"/>
          <w:bCs/>
          <w:sz w:val="24"/>
          <w:szCs w:val="24"/>
        </w:rPr>
        <w:t>, Lal</w:t>
      </w:r>
      <w:r w:rsidR="002148F5">
        <w:rPr>
          <w:rFonts w:ascii="Arial" w:hAnsi="Arial" w:cs="Arial"/>
          <w:bCs/>
          <w:sz w:val="24"/>
          <w:szCs w:val="24"/>
        </w:rPr>
        <w:t>lè</w:t>
      </w:r>
      <w:r w:rsidR="00971D8D">
        <w:rPr>
          <w:rFonts w:ascii="Arial" w:hAnsi="Arial" w:cs="Arial"/>
          <w:bCs/>
          <w:sz w:val="24"/>
          <w:szCs w:val="24"/>
        </w:rPr>
        <w:t>s JP, Le Hu</w:t>
      </w:r>
      <w:r w:rsidR="002148F5">
        <w:rPr>
          <w:rFonts w:ascii="Arial" w:hAnsi="Arial" w:cs="Arial"/>
          <w:bCs/>
          <w:sz w:val="24"/>
          <w:szCs w:val="24"/>
        </w:rPr>
        <w:t>ë</w:t>
      </w:r>
      <w:r w:rsidR="00971D8D">
        <w:rPr>
          <w:rFonts w:ascii="Arial" w:hAnsi="Arial" w:cs="Arial"/>
          <w:bCs/>
          <w:sz w:val="24"/>
          <w:szCs w:val="24"/>
        </w:rPr>
        <w:t>rou</w:t>
      </w:r>
      <w:r w:rsidR="00A83D6F">
        <w:rPr>
          <w:rFonts w:ascii="Arial" w:hAnsi="Arial" w:cs="Arial"/>
          <w:bCs/>
          <w:sz w:val="24"/>
          <w:szCs w:val="24"/>
        </w:rPr>
        <w:t>-Luron I, Boudry G. PLoS</w:t>
      </w:r>
      <w:r w:rsidR="002148F5">
        <w:rPr>
          <w:rFonts w:ascii="Arial" w:hAnsi="Arial" w:cs="Arial"/>
          <w:bCs/>
          <w:sz w:val="24"/>
          <w:szCs w:val="24"/>
        </w:rPr>
        <w:t xml:space="preserve"> One 2011 May 9;</w:t>
      </w:r>
      <w:r w:rsidR="00971D8D">
        <w:rPr>
          <w:rFonts w:ascii="Arial" w:hAnsi="Arial" w:cs="Arial"/>
          <w:bCs/>
          <w:sz w:val="24"/>
          <w:szCs w:val="24"/>
        </w:rPr>
        <w:t>6</w:t>
      </w:r>
      <w:r w:rsidR="002148F5">
        <w:rPr>
          <w:rFonts w:ascii="Arial" w:hAnsi="Arial" w:cs="Arial"/>
          <w:bCs/>
          <w:sz w:val="24"/>
          <w:szCs w:val="24"/>
        </w:rPr>
        <w:t>(5)</w:t>
      </w:r>
      <w:r w:rsidR="00971D8D">
        <w:rPr>
          <w:rFonts w:ascii="Arial" w:hAnsi="Arial" w:cs="Arial"/>
          <w:bCs/>
          <w:sz w:val="24"/>
          <w:szCs w:val="24"/>
        </w:rPr>
        <w:t>:e19584</w:t>
      </w:r>
      <w:r w:rsidR="002148F5">
        <w:rPr>
          <w:rFonts w:ascii="Arial" w:hAnsi="Arial" w:cs="Arial"/>
          <w:bCs/>
          <w:sz w:val="24"/>
          <w:szCs w:val="24"/>
        </w:rPr>
        <w:t>. PMID21573022</w:t>
      </w:r>
      <w:r w:rsidRPr="00C84485">
        <w:rPr>
          <w:rFonts w:ascii="Arial" w:hAnsi="Arial" w:cs="Arial"/>
          <w:b/>
          <w:i/>
          <w:sz w:val="24"/>
          <w:szCs w:val="24"/>
          <w:lang w:val="de-DE"/>
        </w:rPr>
        <w:t>”</w:t>
      </w:r>
    </w:p>
    <w:p w:rsidR="00141F7D" w:rsidRPr="00C84485" w:rsidRDefault="00141F7D" w:rsidP="003F6AB2">
      <w:pPr>
        <w:jc w:val="center"/>
        <w:rPr>
          <w:rFonts w:ascii="Arial" w:hAnsi="Arial" w:cs="Arial"/>
          <w:b/>
          <w:sz w:val="24"/>
          <w:szCs w:val="24"/>
          <w:lang w:val="de-DE"/>
        </w:rPr>
      </w:pPr>
    </w:p>
    <w:p w:rsidR="00141F7D" w:rsidRPr="004C6365" w:rsidRDefault="00141F7D" w:rsidP="003F6AB2">
      <w:pPr>
        <w:rPr>
          <w:rFonts w:ascii="Arial" w:hAnsi="Arial" w:cs="Arial"/>
          <w:sz w:val="24"/>
          <w:szCs w:val="24"/>
        </w:rPr>
      </w:pPr>
      <w:r w:rsidRPr="00C84485">
        <w:rPr>
          <w:rFonts w:ascii="Arial" w:hAnsi="Arial" w:cs="Arial"/>
          <w:sz w:val="24"/>
          <w:szCs w:val="24"/>
        </w:rPr>
        <w:t>Words:</w:t>
      </w:r>
      <w:r w:rsidR="00064491" w:rsidRPr="00C84485">
        <w:rPr>
          <w:rFonts w:ascii="Arial" w:hAnsi="Arial" w:cs="Arial"/>
          <w:sz w:val="24"/>
          <w:szCs w:val="24"/>
        </w:rPr>
        <w:tab/>
      </w:r>
      <w:r w:rsidR="006943DF">
        <w:rPr>
          <w:rFonts w:ascii="Arial" w:hAnsi="Arial" w:cs="Arial"/>
          <w:sz w:val="24"/>
          <w:szCs w:val="24"/>
        </w:rPr>
        <w:t>1532</w:t>
      </w:r>
    </w:p>
    <w:p w:rsidR="00141F7D" w:rsidRPr="00C84485" w:rsidRDefault="00141F7D" w:rsidP="003F6AB2">
      <w:pPr>
        <w:rPr>
          <w:rFonts w:ascii="Arial" w:hAnsi="Arial" w:cs="Arial"/>
          <w:sz w:val="24"/>
          <w:szCs w:val="24"/>
        </w:rPr>
      </w:pPr>
      <w:r w:rsidRPr="00C84485">
        <w:rPr>
          <w:rFonts w:ascii="Arial" w:hAnsi="Arial" w:cs="Arial"/>
          <w:sz w:val="24"/>
          <w:szCs w:val="24"/>
        </w:rPr>
        <w:t>Figures:</w:t>
      </w:r>
      <w:r w:rsidRPr="00C84485">
        <w:rPr>
          <w:rFonts w:ascii="Arial" w:hAnsi="Arial" w:cs="Arial"/>
          <w:sz w:val="24"/>
          <w:szCs w:val="24"/>
        </w:rPr>
        <w:tab/>
        <w:t>0</w:t>
      </w:r>
    </w:p>
    <w:p w:rsidR="00141F7D" w:rsidRPr="00C84485" w:rsidRDefault="00141F7D" w:rsidP="003F6AB2">
      <w:pPr>
        <w:rPr>
          <w:rFonts w:ascii="Arial" w:hAnsi="Arial" w:cs="Arial"/>
          <w:sz w:val="24"/>
          <w:szCs w:val="24"/>
        </w:rPr>
      </w:pPr>
      <w:r w:rsidRPr="00C84485">
        <w:rPr>
          <w:rFonts w:ascii="Arial" w:hAnsi="Arial" w:cs="Arial"/>
          <w:sz w:val="24"/>
          <w:szCs w:val="24"/>
        </w:rPr>
        <w:t>References:</w:t>
      </w:r>
      <w:r w:rsidRPr="00C84485">
        <w:rPr>
          <w:rFonts w:ascii="Arial" w:hAnsi="Arial" w:cs="Arial"/>
          <w:sz w:val="24"/>
          <w:szCs w:val="24"/>
        </w:rPr>
        <w:tab/>
      </w:r>
      <w:r w:rsidR="00CE68CA" w:rsidRPr="00C84485">
        <w:rPr>
          <w:rFonts w:ascii="Arial" w:hAnsi="Arial" w:cs="Arial"/>
          <w:sz w:val="24"/>
          <w:szCs w:val="24"/>
        </w:rPr>
        <w:t xml:space="preserve">0 </w:t>
      </w:r>
      <w:r w:rsidR="00EF5324" w:rsidRPr="00C84485">
        <w:rPr>
          <w:rFonts w:ascii="Arial" w:hAnsi="Arial" w:cs="Arial"/>
          <w:sz w:val="24"/>
          <w:szCs w:val="24"/>
        </w:rPr>
        <w:tab/>
      </w:r>
      <w:r w:rsidR="00CE68CA" w:rsidRPr="00C84485">
        <w:rPr>
          <w:rFonts w:ascii="Arial" w:hAnsi="Arial" w:cs="Arial"/>
          <w:sz w:val="24"/>
          <w:szCs w:val="24"/>
        </w:rPr>
        <w:t>(All citations embedded in text)</w:t>
      </w: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rFonts w:ascii="Arial" w:hAnsi="Arial" w:cs="Arial"/>
          <w:sz w:val="24"/>
          <w:szCs w:val="24"/>
        </w:rPr>
      </w:pPr>
      <w:r w:rsidRPr="00C84485">
        <w:rPr>
          <w:rFonts w:ascii="Arial" w:hAnsi="Arial" w:cs="Arial"/>
          <w:sz w:val="24"/>
          <w:szCs w:val="24"/>
        </w:rPr>
        <w:t>Address for correspondence</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Professor Alastair J.M. Watson M.D. F.R.C.P.(Lond) DipABRSM</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Norwich Medical School</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Rm 2.14 Elizabeth Fry Building</w:t>
      </w:r>
    </w:p>
    <w:p w:rsidR="002148F5" w:rsidRDefault="00A2530E" w:rsidP="00A2530E">
      <w:pPr>
        <w:spacing w:after="0"/>
        <w:rPr>
          <w:rFonts w:ascii="Arial" w:hAnsi="Arial" w:cs="Arial"/>
          <w:sz w:val="24"/>
          <w:szCs w:val="24"/>
        </w:rPr>
      </w:pPr>
      <w:r w:rsidRPr="00C84485">
        <w:rPr>
          <w:rFonts w:ascii="Arial" w:hAnsi="Arial" w:cs="Arial"/>
          <w:sz w:val="24"/>
          <w:szCs w:val="24"/>
        </w:rPr>
        <w:t>University of East Anglia, </w:t>
      </w:r>
    </w:p>
    <w:p w:rsidR="00A2530E" w:rsidRPr="00C84485" w:rsidRDefault="002148F5" w:rsidP="00A2530E">
      <w:pPr>
        <w:spacing w:after="0"/>
        <w:rPr>
          <w:rFonts w:ascii="Arial" w:hAnsi="Arial" w:cs="Arial"/>
          <w:sz w:val="24"/>
          <w:szCs w:val="24"/>
        </w:rPr>
      </w:pPr>
      <w:r>
        <w:rPr>
          <w:rFonts w:ascii="Arial" w:hAnsi="Arial" w:cs="Arial"/>
          <w:sz w:val="24"/>
          <w:szCs w:val="24"/>
        </w:rPr>
        <w:t>Norwich Research Park</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Norwich NR4 7TJ </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Office: +(0)1603 597266</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Secretary:+(0)1603 592693</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Fax: +(0)1603 593233</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email: alastair.watson@uea.ac.uk </w:t>
      </w:r>
    </w:p>
    <w:p w:rsidR="00A2530E" w:rsidRPr="00C84485" w:rsidRDefault="00A2530E" w:rsidP="00A2530E">
      <w:pPr>
        <w:spacing w:after="0"/>
        <w:rPr>
          <w:rFonts w:ascii="Arial" w:hAnsi="Arial" w:cs="Arial"/>
          <w:sz w:val="24"/>
          <w:szCs w:val="24"/>
        </w:rPr>
      </w:pPr>
    </w:p>
    <w:p w:rsidR="00141F7D" w:rsidRPr="00C84485" w:rsidRDefault="00141F7D" w:rsidP="00A2530E">
      <w:pPr>
        <w:spacing w:after="0"/>
        <w:rPr>
          <w:rFonts w:ascii="Arial" w:hAnsi="Arial" w:cs="Arial"/>
          <w:sz w:val="24"/>
          <w:szCs w:val="24"/>
        </w:rPr>
      </w:pPr>
    </w:p>
    <w:p w:rsidR="002148F5" w:rsidRPr="00A83D6F" w:rsidRDefault="002148F5" w:rsidP="00BD45D7">
      <w:pPr>
        <w:spacing w:after="0"/>
        <w:jc w:val="both"/>
        <w:rPr>
          <w:rFonts w:ascii="Arial" w:hAnsi="Arial" w:cs="Arial"/>
          <w:sz w:val="24"/>
          <w:szCs w:val="24"/>
        </w:rPr>
      </w:pPr>
      <w:r w:rsidRPr="00A83D6F">
        <w:rPr>
          <w:rFonts w:ascii="Arial" w:hAnsi="Arial" w:cs="Arial"/>
          <w:bCs/>
          <w:i/>
          <w:sz w:val="24"/>
          <w:szCs w:val="24"/>
        </w:rPr>
        <w:t xml:space="preserve">Livie Chatelais, Agnès Jamin, Christèle Gras-Le Guen, </w:t>
      </w:r>
      <w:r w:rsidR="00A83D6F" w:rsidRPr="00A83D6F">
        <w:rPr>
          <w:rFonts w:ascii="Arial" w:hAnsi="Arial" w:cs="Arial"/>
          <w:bCs/>
          <w:i/>
          <w:sz w:val="24"/>
          <w:szCs w:val="24"/>
        </w:rPr>
        <w:t>Jean-Paul Lallès</w:t>
      </w:r>
      <w:r w:rsidRPr="00A83D6F">
        <w:rPr>
          <w:rFonts w:ascii="Arial" w:hAnsi="Arial" w:cs="Arial"/>
          <w:bCs/>
          <w:i/>
          <w:sz w:val="24"/>
          <w:szCs w:val="24"/>
        </w:rPr>
        <w:t xml:space="preserve">, </w:t>
      </w:r>
      <w:r w:rsidR="00A83D6F" w:rsidRPr="00A83D6F">
        <w:rPr>
          <w:rFonts w:ascii="Arial" w:hAnsi="Arial" w:cs="Arial"/>
          <w:bCs/>
          <w:i/>
          <w:sz w:val="24"/>
          <w:szCs w:val="24"/>
        </w:rPr>
        <w:t>Isabelle Le Huërou-Luron</w:t>
      </w:r>
      <w:r w:rsidRPr="00A83D6F">
        <w:rPr>
          <w:rFonts w:ascii="Arial" w:hAnsi="Arial" w:cs="Arial"/>
          <w:bCs/>
          <w:i/>
          <w:sz w:val="24"/>
          <w:szCs w:val="24"/>
        </w:rPr>
        <w:t xml:space="preserve">, </w:t>
      </w:r>
      <w:r w:rsidR="00A83D6F" w:rsidRPr="00A83D6F">
        <w:rPr>
          <w:rFonts w:ascii="Arial" w:hAnsi="Arial" w:cs="Arial"/>
          <w:bCs/>
          <w:i/>
          <w:sz w:val="24"/>
          <w:szCs w:val="24"/>
        </w:rPr>
        <w:t>Gaëlle Boudry</w:t>
      </w:r>
      <w:r w:rsidRPr="00A83D6F">
        <w:rPr>
          <w:rFonts w:ascii="Arial" w:hAnsi="Arial" w:cs="Arial"/>
          <w:bCs/>
          <w:i/>
          <w:sz w:val="24"/>
          <w:szCs w:val="24"/>
        </w:rPr>
        <w:t>.</w:t>
      </w:r>
      <w:r w:rsidR="00A83D6F">
        <w:rPr>
          <w:rFonts w:ascii="Arial" w:hAnsi="Arial" w:cs="Arial"/>
          <w:bCs/>
          <w:sz w:val="24"/>
          <w:szCs w:val="24"/>
        </w:rPr>
        <w:t xml:space="preserve"> (INRA, UMR 1079 SENAH, Saint Gilles, France, Agrocampus Ouest, Rennes, France, Pôle Médico-Chirugical de Pédiatrie et de Génétique Clinique, CHU Rennes, France, Service de Réanimation Pédiatrique, Hôpital Mère – Enfant, CHU Nantes, France) </w:t>
      </w:r>
      <w:r w:rsidR="00A83D6F" w:rsidRPr="00971D8D">
        <w:rPr>
          <w:rFonts w:ascii="Arial" w:hAnsi="Arial" w:cs="Arial"/>
          <w:bCs/>
          <w:sz w:val="24"/>
          <w:szCs w:val="24"/>
        </w:rPr>
        <w:t>The Level Of Protein In Milk Formula Modifies Ileal Sensitivity To LPS In A Piglet Model</w:t>
      </w:r>
      <w:r w:rsidR="00A83D6F">
        <w:rPr>
          <w:rFonts w:ascii="Arial" w:hAnsi="Arial" w:cs="Arial"/>
          <w:bCs/>
          <w:sz w:val="24"/>
          <w:szCs w:val="24"/>
        </w:rPr>
        <w:t>. PLoS One 2011 May 9;6(5):e19584. PMID21573022</w:t>
      </w:r>
    </w:p>
    <w:p w:rsidR="00303BD4" w:rsidRDefault="00303BD4" w:rsidP="00BD45D7">
      <w:pPr>
        <w:spacing w:after="0"/>
        <w:jc w:val="both"/>
        <w:rPr>
          <w:rFonts w:ascii="Arial" w:hAnsi="Arial" w:cs="Arial"/>
          <w:sz w:val="24"/>
          <w:szCs w:val="24"/>
        </w:rPr>
      </w:pPr>
    </w:p>
    <w:p w:rsidR="00B203EC" w:rsidRDefault="00A0189F" w:rsidP="00A675AB">
      <w:pPr>
        <w:spacing w:after="0"/>
        <w:jc w:val="both"/>
        <w:rPr>
          <w:rFonts w:ascii="Arial" w:hAnsi="Arial" w:cs="Arial"/>
          <w:sz w:val="24"/>
          <w:szCs w:val="24"/>
        </w:rPr>
      </w:pPr>
      <w:r>
        <w:rPr>
          <w:rFonts w:ascii="Arial" w:hAnsi="Arial" w:cs="Arial"/>
          <w:sz w:val="24"/>
          <w:szCs w:val="24"/>
        </w:rPr>
        <w:t>There is emerging evide</w:t>
      </w:r>
      <w:r w:rsidR="00CB4FB7">
        <w:rPr>
          <w:rFonts w:ascii="Arial" w:hAnsi="Arial" w:cs="Arial"/>
          <w:sz w:val="24"/>
          <w:szCs w:val="24"/>
        </w:rPr>
        <w:t xml:space="preserve">nce that events in early </w:t>
      </w:r>
      <w:r w:rsidR="00671AD9">
        <w:rPr>
          <w:rFonts w:ascii="Arial" w:hAnsi="Arial" w:cs="Arial"/>
          <w:sz w:val="24"/>
          <w:szCs w:val="24"/>
        </w:rPr>
        <w:t>life, which establish the community structure of the gut microbiota and programming the mucosal immune,</w:t>
      </w:r>
      <w:r>
        <w:rPr>
          <w:rFonts w:ascii="Arial" w:hAnsi="Arial" w:cs="Arial"/>
          <w:sz w:val="24"/>
          <w:szCs w:val="24"/>
        </w:rPr>
        <w:t xml:space="preserve"> have important consequences for the development of inflammatory bowel disease in later life. However there is a lack of examples in the literature where a manipulation in early life has been clearly associated with altered inflammatory responses in later life. </w:t>
      </w:r>
      <w:r w:rsidR="002028BB">
        <w:rPr>
          <w:rFonts w:ascii="Arial" w:hAnsi="Arial" w:cs="Arial"/>
          <w:sz w:val="24"/>
          <w:szCs w:val="24"/>
        </w:rPr>
        <w:t>In the current stud</w:t>
      </w:r>
      <w:r w:rsidR="005F055B">
        <w:rPr>
          <w:rFonts w:ascii="Arial" w:hAnsi="Arial" w:cs="Arial"/>
          <w:sz w:val="24"/>
          <w:szCs w:val="24"/>
        </w:rPr>
        <w:t xml:space="preserve">y the authors investigated the effect of feeding high protein milk to neonatal piglets on the development of the intestinal microbiota, epithelial barrier and immune function and the </w:t>
      </w:r>
      <w:r w:rsidR="00087C92">
        <w:rPr>
          <w:rFonts w:ascii="Arial" w:hAnsi="Arial" w:cs="Arial"/>
          <w:sz w:val="24"/>
          <w:szCs w:val="24"/>
        </w:rPr>
        <w:t>long-term</w:t>
      </w:r>
      <w:r w:rsidR="005F055B">
        <w:rPr>
          <w:rFonts w:ascii="Arial" w:hAnsi="Arial" w:cs="Arial"/>
          <w:sz w:val="24"/>
          <w:szCs w:val="24"/>
        </w:rPr>
        <w:t xml:space="preserve"> consequences for intestinal inflammation. Low birth weight piglets were chosen for study to maximize the potential for observing changes caused by diet. Piglets were separated from sows on day 2 and fed</w:t>
      </w:r>
      <w:r w:rsidR="00087C92">
        <w:rPr>
          <w:rFonts w:ascii="Arial" w:hAnsi="Arial" w:cs="Arial"/>
          <w:sz w:val="24"/>
          <w:szCs w:val="24"/>
        </w:rPr>
        <w:t xml:space="preserve"> either </w:t>
      </w:r>
      <w:r w:rsidR="00E21509">
        <w:rPr>
          <w:rFonts w:ascii="Arial" w:hAnsi="Arial" w:cs="Arial"/>
          <w:sz w:val="24"/>
          <w:szCs w:val="24"/>
        </w:rPr>
        <w:t xml:space="preserve">a </w:t>
      </w:r>
      <w:r w:rsidR="00087C92">
        <w:rPr>
          <w:rFonts w:ascii="Arial" w:hAnsi="Arial" w:cs="Arial"/>
          <w:sz w:val="24"/>
          <w:szCs w:val="24"/>
        </w:rPr>
        <w:t xml:space="preserve">normal or high protein milk formula. </w:t>
      </w:r>
      <w:r w:rsidR="00E21509">
        <w:rPr>
          <w:rFonts w:ascii="Arial" w:hAnsi="Arial" w:cs="Arial"/>
          <w:sz w:val="24"/>
          <w:szCs w:val="24"/>
        </w:rPr>
        <w:t>The high protein formula had 40% higher protein but the same casein/whey and fat to carbohydrate ratio</w:t>
      </w:r>
      <w:r w:rsidR="0033723B">
        <w:rPr>
          <w:rFonts w:ascii="Arial" w:hAnsi="Arial" w:cs="Arial"/>
          <w:sz w:val="24"/>
          <w:szCs w:val="24"/>
        </w:rPr>
        <w:t>s</w:t>
      </w:r>
      <w:r w:rsidR="00E21509">
        <w:rPr>
          <w:rFonts w:ascii="Arial" w:hAnsi="Arial" w:cs="Arial"/>
          <w:sz w:val="24"/>
          <w:szCs w:val="24"/>
        </w:rPr>
        <w:t xml:space="preserve">. The </w:t>
      </w:r>
      <w:r w:rsidR="00B203EC">
        <w:rPr>
          <w:rFonts w:ascii="Arial" w:hAnsi="Arial" w:cs="Arial"/>
          <w:sz w:val="24"/>
          <w:szCs w:val="24"/>
        </w:rPr>
        <w:t>quantity of milk fed to the piglets was calculated to provide the same energy intake from the two formulas</w:t>
      </w:r>
      <w:r w:rsidR="00681325">
        <w:rPr>
          <w:rFonts w:ascii="Arial" w:hAnsi="Arial" w:cs="Arial"/>
          <w:sz w:val="24"/>
          <w:szCs w:val="24"/>
        </w:rPr>
        <w:t>. O</w:t>
      </w:r>
      <w:r w:rsidR="00B203EC">
        <w:rPr>
          <w:rFonts w:ascii="Arial" w:hAnsi="Arial" w:cs="Arial"/>
          <w:sz w:val="24"/>
          <w:szCs w:val="24"/>
        </w:rPr>
        <w:t xml:space="preserve">n day 28 </w:t>
      </w:r>
      <w:r w:rsidR="00681325">
        <w:rPr>
          <w:rFonts w:ascii="Arial" w:hAnsi="Arial" w:cs="Arial"/>
          <w:sz w:val="24"/>
          <w:szCs w:val="24"/>
        </w:rPr>
        <w:t>some of the piglets were sacrificed and others were weaned and kept until sacrifice of day 160.</w:t>
      </w:r>
    </w:p>
    <w:p w:rsidR="00B203EC" w:rsidRDefault="00B203EC" w:rsidP="00A675AB">
      <w:pPr>
        <w:spacing w:after="0"/>
        <w:jc w:val="both"/>
        <w:rPr>
          <w:rFonts w:ascii="Arial" w:hAnsi="Arial" w:cs="Arial"/>
          <w:sz w:val="24"/>
          <w:szCs w:val="24"/>
        </w:rPr>
      </w:pPr>
    </w:p>
    <w:p w:rsidR="002B6146" w:rsidRDefault="00B203EC" w:rsidP="00A675AB">
      <w:pPr>
        <w:spacing w:after="0"/>
        <w:jc w:val="both"/>
        <w:rPr>
          <w:rFonts w:ascii="Arial" w:hAnsi="Arial" w:cs="Arial"/>
          <w:sz w:val="24"/>
          <w:szCs w:val="24"/>
        </w:rPr>
      </w:pPr>
      <w:r>
        <w:rPr>
          <w:rFonts w:ascii="Arial" w:hAnsi="Arial" w:cs="Arial"/>
          <w:sz w:val="24"/>
          <w:szCs w:val="24"/>
        </w:rPr>
        <w:t xml:space="preserve">The high protein formula increased the growth rate of piglets. </w:t>
      </w:r>
      <w:r w:rsidR="00681325">
        <w:rPr>
          <w:rFonts w:ascii="Arial" w:hAnsi="Arial" w:cs="Arial"/>
          <w:sz w:val="24"/>
          <w:szCs w:val="24"/>
        </w:rPr>
        <w:t>The concentrati</w:t>
      </w:r>
      <w:r w:rsidR="003F3EF5">
        <w:rPr>
          <w:rFonts w:ascii="Arial" w:hAnsi="Arial" w:cs="Arial"/>
          <w:sz w:val="24"/>
          <w:szCs w:val="24"/>
        </w:rPr>
        <w:t>on</w:t>
      </w:r>
      <w:r w:rsidR="00681325">
        <w:rPr>
          <w:rFonts w:ascii="Arial" w:hAnsi="Arial" w:cs="Arial"/>
          <w:sz w:val="24"/>
          <w:szCs w:val="24"/>
        </w:rPr>
        <w:t xml:space="preserve"> of ileal aerobic and anaerobic bacteria was measured on days 2, 7 and 28. </w:t>
      </w:r>
      <w:r w:rsidR="003F3EF5">
        <w:rPr>
          <w:rFonts w:ascii="Arial" w:hAnsi="Arial" w:cs="Arial"/>
          <w:sz w:val="24"/>
          <w:szCs w:val="24"/>
        </w:rPr>
        <w:t xml:space="preserve">On day 7 there were higher concentrations of both aerobic and anaerobic bacteria in the high protein formula fed piglets but this difference was lost by day 28. The investigators did not carry out a comprehensive analysis of microbiota but did identify that </w:t>
      </w:r>
      <w:r w:rsidR="003F3EF5" w:rsidRPr="003F3EF5">
        <w:rPr>
          <w:rFonts w:ascii="Arial" w:hAnsi="Arial" w:cs="Arial"/>
          <w:i/>
          <w:sz w:val="24"/>
          <w:szCs w:val="24"/>
        </w:rPr>
        <w:t>Lactobacilli</w:t>
      </w:r>
      <w:r w:rsidR="003F3EF5">
        <w:rPr>
          <w:rFonts w:ascii="Arial" w:hAnsi="Arial" w:cs="Arial"/>
          <w:sz w:val="24"/>
          <w:szCs w:val="24"/>
        </w:rPr>
        <w:t xml:space="preserve"> were elevated while </w:t>
      </w:r>
      <w:r w:rsidR="003F3EF5" w:rsidRPr="003F3EF5">
        <w:rPr>
          <w:rFonts w:ascii="Arial" w:hAnsi="Arial" w:cs="Arial"/>
          <w:i/>
          <w:sz w:val="24"/>
          <w:szCs w:val="24"/>
        </w:rPr>
        <w:t>E.coli</w:t>
      </w:r>
      <w:r w:rsidR="003F3EF5">
        <w:rPr>
          <w:rFonts w:ascii="Arial" w:hAnsi="Arial" w:cs="Arial"/>
          <w:sz w:val="24"/>
          <w:szCs w:val="24"/>
        </w:rPr>
        <w:t xml:space="preserve"> and </w:t>
      </w:r>
      <w:r w:rsidR="003F3EF5" w:rsidRPr="003F3EF5">
        <w:rPr>
          <w:rFonts w:ascii="Arial" w:hAnsi="Arial" w:cs="Arial"/>
          <w:i/>
          <w:sz w:val="24"/>
          <w:szCs w:val="24"/>
        </w:rPr>
        <w:t>Enterococci</w:t>
      </w:r>
      <w:r w:rsidR="003F3EF5">
        <w:rPr>
          <w:rFonts w:ascii="Arial" w:hAnsi="Arial" w:cs="Arial"/>
          <w:sz w:val="24"/>
          <w:szCs w:val="24"/>
        </w:rPr>
        <w:t xml:space="preserve"> were unchanged. The </w:t>
      </w:r>
      <w:r w:rsidR="002B6146">
        <w:rPr>
          <w:rFonts w:ascii="Arial" w:hAnsi="Arial" w:cs="Arial"/>
          <w:sz w:val="24"/>
          <w:szCs w:val="24"/>
        </w:rPr>
        <w:t>concentration of aerobic and anaerobic bacteria adherent to the ileal mucosa was</w:t>
      </w:r>
      <w:r w:rsidR="003F3EF5">
        <w:rPr>
          <w:rFonts w:ascii="Arial" w:hAnsi="Arial" w:cs="Arial"/>
          <w:sz w:val="24"/>
          <w:szCs w:val="24"/>
        </w:rPr>
        <w:t xml:space="preserve"> unchanged. Paradoxically adherent Lactobacilli </w:t>
      </w:r>
      <w:r w:rsidR="002B6146">
        <w:rPr>
          <w:rFonts w:ascii="Arial" w:hAnsi="Arial" w:cs="Arial"/>
          <w:sz w:val="24"/>
          <w:szCs w:val="24"/>
        </w:rPr>
        <w:t xml:space="preserve">was lower in the high protein formula group. Thus the composition of adherent bacterial communities did not reflect changes in the lumen. </w:t>
      </w:r>
    </w:p>
    <w:p w:rsidR="002B6146" w:rsidRDefault="002B6146" w:rsidP="00A675AB">
      <w:pPr>
        <w:spacing w:after="0"/>
        <w:jc w:val="both"/>
        <w:rPr>
          <w:rFonts w:ascii="Arial" w:hAnsi="Arial" w:cs="Arial"/>
          <w:sz w:val="24"/>
          <w:szCs w:val="24"/>
        </w:rPr>
      </w:pPr>
    </w:p>
    <w:p w:rsidR="00711457" w:rsidRDefault="00323518" w:rsidP="00A675AB">
      <w:pPr>
        <w:spacing w:after="0"/>
        <w:jc w:val="both"/>
        <w:rPr>
          <w:rFonts w:ascii="Arial" w:hAnsi="Arial" w:cs="Arial"/>
          <w:sz w:val="24"/>
          <w:szCs w:val="24"/>
        </w:rPr>
      </w:pPr>
      <w:r>
        <w:rPr>
          <w:rFonts w:ascii="Arial" w:hAnsi="Arial" w:cs="Arial"/>
          <w:sz w:val="24"/>
          <w:szCs w:val="24"/>
        </w:rPr>
        <w:t>The effect of the HP formula on the intestinal barrier was measured in Ussing chambers usin</w:t>
      </w:r>
      <w:r w:rsidR="0033723B">
        <w:rPr>
          <w:rFonts w:ascii="Arial" w:hAnsi="Arial" w:cs="Arial"/>
          <w:sz w:val="24"/>
          <w:szCs w:val="24"/>
        </w:rPr>
        <w:t>g FD-4</w:t>
      </w:r>
      <w:r>
        <w:rPr>
          <w:rFonts w:ascii="Arial" w:hAnsi="Arial" w:cs="Arial"/>
          <w:sz w:val="24"/>
          <w:szCs w:val="24"/>
        </w:rPr>
        <w:t xml:space="preserve"> as </w:t>
      </w:r>
      <w:r w:rsidR="0033723B">
        <w:rPr>
          <w:rFonts w:ascii="Arial" w:hAnsi="Arial" w:cs="Arial"/>
          <w:sz w:val="24"/>
          <w:szCs w:val="24"/>
        </w:rPr>
        <w:t xml:space="preserve">a </w:t>
      </w:r>
      <w:r>
        <w:rPr>
          <w:rFonts w:ascii="Arial" w:hAnsi="Arial" w:cs="Arial"/>
          <w:sz w:val="24"/>
          <w:szCs w:val="24"/>
        </w:rPr>
        <w:t>small molecular weight probe and horseradish peroxidase as a high molecular weight probe. The high protein increased the permeability of the ileum to both the low and high molecular weight probes</w:t>
      </w:r>
      <w:r w:rsidR="0033723B">
        <w:rPr>
          <w:rFonts w:ascii="Arial" w:hAnsi="Arial" w:cs="Arial"/>
          <w:sz w:val="24"/>
          <w:szCs w:val="24"/>
        </w:rPr>
        <w:t xml:space="preserve"> on</w:t>
      </w:r>
      <w:r w:rsidR="00711457">
        <w:rPr>
          <w:rFonts w:ascii="Arial" w:hAnsi="Arial" w:cs="Arial"/>
          <w:sz w:val="24"/>
          <w:szCs w:val="24"/>
        </w:rPr>
        <w:t xml:space="preserve"> day</w:t>
      </w:r>
      <w:r w:rsidR="0033723B">
        <w:rPr>
          <w:rFonts w:ascii="Arial" w:hAnsi="Arial" w:cs="Arial"/>
          <w:sz w:val="24"/>
          <w:szCs w:val="24"/>
        </w:rPr>
        <w:t>s</w:t>
      </w:r>
      <w:r w:rsidR="00711457">
        <w:rPr>
          <w:rFonts w:ascii="Arial" w:hAnsi="Arial" w:cs="Arial"/>
          <w:sz w:val="24"/>
          <w:szCs w:val="24"/>
        </w:rPr>
        <w:t xml:space="preserve"> 7 and 28 by between 2.9 </w:t>
      </w:r>
      <w:r w:rsidR="00035E60">
        <w:rPr>
          <w:rFonts w:ascii="Arial" w:hAnsi="Arial" w:cs="Arial"/>
          <w:sz w:val="24"/>
          <w:szCs w:val="24"/>
        </w:rPr>
        <w:t>and 24 fold. There was however n</w:t>
      </w:r>
      <w:r w:rsidR="00711457">
        <w:rPr>
          <w:rFonts w:ascii="Arial" w:hAnsi="Arial" w:cs="Arial"/>
          <w:sz w:val="24"/>
          <w:szCs w:val="24"/>
        </w:rPr>
        <w:t>o difference in bacterial translocation to</w:t>
      </w:r>
      <w:r w:rsidR="00E6329B">
        <w:rPr>
          <w:rFonts w:ascii="Arial" w:hAnsi="Arial" w:cs="Arial"/>
          <w:sz w:val="24"/>
          <w:szCs w:val="24"/>
        </w:rPr>
        <w:t xml:space="preserve"> mesenteric nodes or the spleen,</w:t>
      </w:r>
      <w:r w:rsidR="00711457">
        <w:rPr>
          <w:rFonts w:ascii="Arial" w:hAnsi="Arial" w:cs="Arial"/>
          <w:sz w:val="24"/>
          <w:szCs w:val="24"/>
        </w:rPr>
        <w:t xml:space="preserve"> perhaps reflecting the combined influence of the epithelial barrier and mucosal immune system on bacterial translocation.</w:t>
      </w:r>
    </w:p>
    <w:p w:rsidR="00711457" w:rsidRDefault="00711457" w:rsidP="00A675AB">
      <w:pPr>
        <w:spacing w:after="0"/>
        <w:jc w:val="both"/>
        <w:rPr>
          <w:rFonts w:ascii="Arial" w:hAnsi="Arial" w:cs="Arial"/>
          <w:sz w:val="24"/>
          <w:szCs w:val="24"/>
        </w:rPr>
      </w:pPr>
    </w:p>
    <w:p w:rsidR="0053072A" w:rsidRDefault="00B52EF3" w:rsidP="00A675AB">
      <w:pPr>
        <w:spacing w:after="0"/>
        <w:jc w:val="both"/>
        <w:rPr>
          <w:rFonts w:ascii="Arial" w:hAnsi="Arial" w:cs="Arial"/>
          <w:sz w:val="24"/>
          <w:szCs w:val="24"/>
        </w:rPr>
      </w:pPr>
      <w:r>
        <w:rPr>
          <w:rFonts w:ascii="Arial" w:hAnsi="Arial" w:cs="Arial"/>
          <w:sz w:val="24"/>
          <w:szCs w:val="24"/>
        </w:rPr>
        <w:t xml:space="preserve">The effect of high protein formula on the development of the mucosal immune system was evaluated. At day 28 the density of myeloid (CD172) cells was lower and the density of T (CD3) cells was higher in </w:t>
      </w:r>
      <w:r w:rsidR="0033723B">
        <w:rPr>
          <w:rFonts w:ascii="Arial" w:hAnsi="Arial" w:cs="Arial"/>
          <w:sz w:val="24"/>
          <w:szCs w:val="24"/>
        </w:rPr>
        <w:t>the high protein formula group.</w:t>
      </w:r>
      <w:r>
        <w:rPr>
          <w:rFonts w:ascii="Arial" w:hAnsi="Arial" w:cs="Arial"/>
          <w:sz w:val="24"/>
          <w:szCs w:val="24"/>
        </w:rPr>
        <w:t xml:space="preserve"> The high protein formula also reduced the expression of toll-like receptor 2 (TLR2) by 45%. There was no effect on TLR4 or TLR9. </w:t>
      </w:r>
      <w:r w:rsidR="0033723B">
        <w:rPr>
          <w:rFonts w:ascii="Arial" w:hAnsi="Arial" w:cs="Arial"/>
          <w:sz w:val="24"/>
          <w:szCs w:val="24"/>
        </w:rPr>
        <w:t>Cytokine profiles were</w:t>
      </w:r>
      <w:r w:rsidR="0032160E">
        <w:rPr>
          <w:rFonts w:ascii="Arial" w:hAnsi="Arial" w:cs="Arial"/>
          <w:sz w:val="24"/>
          <w:szCs w:val="24"/>
        </w:rPr>
        <w:t xml:space="preserve"> changed with a 60% reduction in the pro-</w:t>
      </w:r>
      <w:r w:rsidR="0033723B">
        <w:rPr>
          <w:rFonts w:ascii="Arial" w:hAnsi="Arial" w:cs="Arial"/>
          <w:sz w:val="24"/>
          <w:szCs w:val="24"/>
        </w:rPr>
        <w:t>inflammatory cytok</w:t>
      </w:r>
      <w:r w:rsidR="0032160E">
        <w:rPr>
          <w:rFonts w:ascii="Arial" w:hAnsi="Arial" w:cs="Arial"/>
          <w:sz w:val="24"/>
          <w:szCs w:val="24"/>
        </w:rPr>
        <w:t xml:space="preserve">ine IL-1ß </w:t>
      </w:r>
      <w:r w:rsidR="0033723B">
        <w:rPr>
          <w:rFonts w:ascii="Arial" w:hAnsi="Arial" w:cs="Arial"/>
          <w:sz w:val="24"/>
          <w:szCs w:val="24"/>
        </w:rPr>
        <w:t xml:space="preserve">and an increase in IL-10 </w:t>
      </w:r>
      <w:r w:rsidR="0032160E">
        <w:rPr>
          <w:rFonts w:ascii="Arial" w:hAnsi="Arial" w:cs="Arial"/>
          <w:sz w:val="24"/>
          <w:szCs w:val="24"/>
        </w:rPr>
        <w:t xml:space="preserve">mRNA, but </w:t>
      </w:r>
      <w:r w:rsidR="0033723B">
        <w:rPr>
          <w:rFonts w:ascii="Arial" w:hAnsi="Arial" w:cs="Arial"/>
          <w:sz w:val="24"/>
          <w:szCs w:val="24"/>
        </w:rPr>
        <w:t>without</w:t>
      </w:r>
      <w:r w:rsidR="0032160E">
        <w:rPr>
          <w:rFonts w:ascii="Arial" w:hAnsi="Arial" w:cs="Arial"/>
          <w:sz w:val="24"/>
          <w:szCs w:val="24"/>
        </w:rPr>
        <w:t xml:space="preserve"> change in IL-6 or TNF-</w:t>
      </w:r>
      <w:r w:rsidR="0032160E">
        <w:rPr>
          <w:rFonts w:ascii="Arial" w:hAnsi="Arial" w:cs="Arial"/>
          <w:sz w:val="24"/>
          <w:szCs w:val="24"/>
        </w:rPr>
        <w:sym w:font="Symbol" w:char="F061"/>
      </w:r>
      <w:r w:rsidR="0032160E">
        <w:rPr>
          <w:rFonts w:ascii="Arial" w:hAnsi="Arial" w:cs="Arial"/>
          <w:sz w:val="24"/>
          <w:szCs w:val="24"/>
        </w:rPr>
        <w:t>. No changes in TGF-1</w:t>
      </w:r>
      <w:r w:rsidR="0032160E">
        <w:rPr>
          <w:rFonts w:ascii="Arial" w:hAnsi="Arial" w:cs="Arial"/>
          <w:sz w:val="24"/>
          <w:szCs w:val="24"/>
        </w:rPr>
        <w:sym w:font="Symbol" w:char="F062"/>
      </w:r>
      <w:r w:rsidR="0032160E">
        <w:rPr>
          <w:rFonts w:ascii="Arial" w:hAnsi="Arial" w:cs="Arial"/>
          <w:sz w:val="24"/>
          <w:szCs w:val="24"/>
        </w:rPr>
        <w:t>, IL-4 or IL-13 were detected. The ileal NF-</w:t>
      </w:r>
      <w:r w:rsidR="0032160E">
        <w:rPr>
          <w:rFonts w:ascii="Arial" w:hAnsi="Arial" w:cs="Arial"/>
          <w:sz w:val="24"/>
          <w:szCs w:val="24"/>
        </w:rPr>
        <w:sym w:font="Symbol" w:char="F06B"/>
      </w:r>
      <w:r w:rsidR="0032160E">
        <w:rPr>
          <w:rFonts w:ascii="Arial" w:hAnsi="Arial" w:cs="Arial"/>
          <w:sz w:val="24"/>
          <w:szCs w:val="24"/>
        </w:rPr>
        <w:t xml:space="preserve">B signaling pathway was also altered with down regulation of </w:t>
      </w:r>
      <w:r w:rsidR="0053072A">
        <w:rPr>
          <w:rFonts w:ascii="Arial" w:hAnsi="Arial" w:cs="Arial"/>
          <w:sz w:val="24"/>
          <w:szCs w:val="24"/>
        </w:rPr>
        <w:t>NF-</w:t>
      </w:r>
      <w:r w:rsidR="0053072A">
        <w:rPr>
          <w:rFonts w:ascii="Arial" w:hAnsi="Arial" w:cs="Arial"/>
          <w:sz w:val="24"/>
          <w:szCs w:val="24"/>
        </w:rPr>
        <w:sym w:font="Symbol" w:char="F06B"/>
      </w:r>
      <w:r w:rsidR="0053072A">
        <w:rPr>
          <w:rFonts w:ascii="Arial" w:hAnsi="Arial" w:cs="Arial"/>
          <w:sz w:val="24"/>
          <w:szCs w:val="24"/>
        </w:rPr>
        <w:t>B the p100, p65 subunits and I</w:t>
      </w:r>
      <w:r w:rsidR="0053072A">
        <w:rPr>
          <w:rFonts w:ascii="Arial" w:hAnsi="Arial" w:cs="Arial"/>
          <w:sz w:val="24"/>
          <w:szCs w:val="24"/>
        </w:rPr>
        <w:sym w:font="Symbol" w:char="F06B"/>
      </w:r>
      <w:r w:rsidR="0053072A">
        <w:rPr>
          <w:rFonts w:ascii="Arial" w:hAnsi="Arial" w:cs="Arial"/>
          <w:sz w:val="24"/>
          <w:szCs w:val="24"/>
        </w:rPr>
        <w:t>B</w:t>
      </w:r>
      <w:r w:rsidR="0053072A">
        <w:rPr>
          <w:rFonts w:ascii="Arial" w:hAnsi="Arial" w:cs="Arial"/>
          <w:sz w:val="24"/>
          <w:szCs w:val="24"/>
        </w:rPr>
        <w:sym w:font="Symbol" w:char="F061"/>
      </w:r>
      <w:r w:rsidR="0053072A">
        <w:rPr>
          <w:rFonts w:ascii="Arial" w:hAnsi="Arial" w:cs="Arial"/>
          <w:sz w:val="24"/>
          <w:szCs w:val="24"/>
        </w:rPr>
        <w:t xml:space="preserve"> gene expression at day 28. </w:t>
      </w:r>
    </w:p>
    <w:p w:rsidR="0053072A" w:rsidRDefault="0053072A" w:rsidP="00A675AB">
      <w:pPr>
        <w:spacing w:after="0"/>
        <w:jc w:val="both"/>
        <w:rPr>
          <w:rFonts w:ascii="Arial" w:hAnsi="Arial" w:cs="Arial"/>
          <w:sz w:val="24"/>
          <w:szCs w:val="24"/>
        </w:rPr>
      </w:pPr>
    </w:p>
    <w:p w:rsidR="006A214F" w:rsidRDefault="0053072A" w:rsidP="00A675AB">
      <w:pPr>
        <w:spacing w:after="0"/>
        <w:jc w:val="both"/>
        <w:rPr>
          <w:rFonts w:ascii="Arial" w:hAnsi="Arial" w:cs="Arial"/>
          <w:bCs/>
          <w:sz w:val="24"/>
          <w:szCs w:val="24"/>
        </w:rPr>
      </w:pPr>
      <w:r>
        <w:rPr>
          <w:rFonts w:ascii="Arial" w:hAnsi="Arial" w:cs="Arial"/>
          <w:sz w:val="24"/>
          <w:szCs w:val="24"/>
        </w:rPr>
        <w:t>The investigators then examined the effects of high protein formula fed between days 2 and 28 on epithelial barr</w:t>
      </w:r>
      <w:r w:rsidR="009C5F84">
        <w:rPr>
          <w:rFonts w:ascii="Arial" w:hAnsi="Arial" w:cs="Arial"/>
          <w:sz w:val="24"/>
          <w:szCs w:val="24"/>
        </w:rPr>
        <w:t xml:space="preserve">ier function and the sensitivity of the inflammatory response to bacterial products on day 160. </w:t>
      </w:r>
      <w:r>
        <w:rPr>
          <w:rFonts w:ascii="Arial" w:hAnsi="Arial" w:cs="Arial"/>
          <w:sz w:val="24"/>
          <w:szCs w:val="24"/>
        </w:rPr>
        <w:t xml:space="preserve"> </w:t>
      </w:r>
      <w:r w:rsidR="009C5F84">
        <w:rPr>
          <w:rFonts w:ascii="Arial" w:hAnsi="Arial" w:cs="Arial"/>
          <w:sz w:val="24"/>
          <w:szCs w:val="24"/>
        </w:rPr>
        <w:t>The changes in ileal permeability observed at days 7 and 28 were no longer present at day 160. The differences in TRL2 and IL-1</w:t>
      </w:r>
      <w:r w:rsidR="009C5F84">
        <w:rPr>
          <w:rFonts w:ascii="Arial" w:hAnsi="Arial" w:cs="Arial"/>
          <w:sz w:val="24"/>
          <w:szCs w:val="24"/>
        </w:rPr>
        <w:sym w:font="Symbol" w:char="F062"/>
      </w:r>
      <w:r w:rsidR="009C5F84">
        <w:rPr>
          <w:rFonts w:ascii="Arial" w:hAnsi="Arial" w:cs="Arial"/>
          <w:sz w:val="24"/>
          <w:szCs w:val="24"/>
        </w:rPr>
        <w:t xml:space="preserve"> mRNA were also lost at day 160. Ileal explants from piglets sacrificed on day 160 were exposed to rising concentrations of </w:t>
      </w:r>
      <w:r w:rsidR="009C5F84" w:rsidRPr="009C5F84">
        <w:rPr>
          <w:rFonts w:ascii="Arial" w:hAnsi="Arial" w:cs="Arial"/>
          <w:bCs/>
          <w:sz w:val="24"/>
          <w:szCs w:val="24"/>
        </w:rPr>
        <w:t>Lipopolysaccharides</w:t>
      </w:r>
      <w:r w:rsidR="009C5F84">
        <w:rPr>
          <w:rFonts w:ascii="Arial" w:hAnsi="Arial" w:cs="Arial"/>
          <w:bCs/>
          <w:sz w:val="24"/>
          <w:szCs w:val="24"/>
        </w:rPr>
        <w:t xml:space="preserve"> (LPS) in order to examine the sensitivity of </w:t>
      </w:r>
      <w:r w:rsidR="00714CCE">
        <w:rPr>
          <w:rFonts w:ascii="Arial" w:hAnsi="Arial" w:cs="Arial"/>
          <w:bCs/>
          <w:sz w:val="24"/>
          <w:szCs w:val="24"/>
        </w:rPr>
        <w:t>intestine to bacterial products. The ileum of piglets fed high protein formula released less TNF</w:t>
      </w:r>
      <w:r w:rsidR="00714CCE">
        <w:rPr>
          <w:rFonts w:ascii="Arial" w:hAnsi="Arial" w:cs="Arial"/>
          <w:bCs/>
          <w:sz w:val="24"/>
          <w:szCs w:val="24"/>
        </w:rPr>
        <w:sym w:font="Symbol" w:char="F061"/>
      </w:r>
      <w:r w:rsidR="00714CCE">
        <w:rPr>
          <w:rFonts w:ascii="Arial" w:hAnsi="Arial" w:cs="Arial"/>
          <w:bCs/>
          <w:sz w:val="24"/>
          <w:szCs w:val="24"/>
        </w:rPr>
        <w:t xml:space="preserve"> and IL-8 in response to </w:t>
      </w:r>
      <w:r w:rsidR="00030BBE">
        <w:rPr>
          <w:rFonts w:ascii="Arial" w:hAnsi="Arial" w:cs="Arial"/>
          <w:bCs/>
          <w:sz w:val="24"/>
          <w:szCs w:val="24"/>
        </w:rPr>
        <w:t xml:space="preserve">high concentration </w:t>
      </w:r>
      <w:r w:rsidR="00714CCE">
        <w:rPr>
          <w:rFonts w:ascii="Arial" w:hAnsi="Arial" w:cs="Arial"/>
          <w:bCs/>
          <w:sz w:val="24"/>
          <w:szCs w:val="24"/>
        </w:rPr>
        <w:t xml:space="preserve">LPS </w:t>
      </w:r>
      <w:r w:rsidR="00030BBE">
        <w:rPr>
          <w:rFonts w:ascii="Arial" w:hAnsi="Arial" w:cs="Arial"/>
          <w:bCs/>
          <w:sz w:val="24"/>
          <w:szCs w:val="24"/>
        </w:rPr>
        <w:t xml:space="preserve">(200 </w:t>
      </w:r>
      <w:r w:rsidR="00030BBE">
        <w:rPr>
          <w:rFonts w:ascii="Arial" w:hAnsi="Arial" w:cs="Arial"/>
          <w:bCs/>
          <w:sz w:val="24"/>
          <w:szCs w:val="24"/>
        </w:rPr>
        <w:sym w:font="Symbol" w:char="F06D"/>
      </w:r>
      <w:r w:rsidR="00030BBE">
        <w:rPr>
          <w:rFonts w:ascii="Arial" w:hAnsi="Arial" w:cs="Arial"/>
          <w:bCs/>
          <w:sz w:val="24"/>
          <w:szCs w:val="24"/>
        </w:rPr>
        <w:t xml:space="preserve">g/ml) </w:t>
      </w:r>
      <w:r w:rsidR="00714CCE">
        <w:rPr>
          <w:rFonts w:ascii="Arial" w:hAnsi="Arial" w:cs="Arial"/>
          <w:bCs/>
          <w:sz w:val="24"/>
          <w:szCs w:val="24"/>
        </w:rPr>
        <w:t xml:space="preserve">compared to piglets fed normal formulation milk. </w:t>
      </w:r>
      <w:r w:rsidR="00030BBE">
        <w:rPr>
          <w:rFonts w:ascii="Arial" w:hAnsi="Arial" w:cs="Arial"/>
          <w:bCs/>
          <w:sz w:val="24"/>
          <w:szCs w:val="24"/>
        </w:rPr>
        <w:t>There was also reduced expression of NF-</w:t>
      </w:r>
      <w:r w:rsidR="00030BBE">
        <w:rPr>
          <w:rFonts w:ascii="Arial" w:hAnsi="Arial" w:cs="Arial"/>
          <w:bCs/>
          <w:sz w:val="24"/>
          <w:szCs w:val="24"/>
        </w:rPr>
        <w:sym w:font="Symbol" w:char="F06B"/>
      </w:r>
      <w:r w:rsidR="00030BBE">
        <w:rPr>
          <w:rFonts w:ascii="Arial" w:hAnsi="Arial" w:cs="Arial"/>
          <w:bCs/>
          <w:sz w:val="24"/>
          <w:szCs w:val="24"/>
        </w:rPr>
        <w:t>B1 and NF-</w:t>
      </w:r>
      <w:r w:rsidR="00030BBE">
        <w:rPr>
          <w:rFonts w:ascii="Arial" w:hAnsi="Arial" w:cs="Arial"/>
          <w:bCs/>
          <w:sz w:val="24"/>
          <w:szCs w:val="24"/>
        </w:rPr>
        <w:sym w:font="Symbol" w:char="F06B"/>
      </w:r>
      <w:r w:rsidR="00030BBE">
        <w:rPr>
          <w:rFonts w:ascii="Arial" w:hAnsi="Arial" w:cs="Arial"/>
          <w:bCs/>
          <w:sz w:val="24"/>
          <w:szCs w:val="24"/>
        </w:rPr>
        <w:t>B2 in response to LPS challenge in the high protein formula piglets.</w:t>
      </w:r>
      <w:r w:rsidR="0033723B">
        <w:rPr>
          <w:rFonts w:ascii="Arial" w:hAnsi="Arial" w:cs="Arial"/>
          <w:bCs/>
          <w:sz w:val="24"/>
          <w:szCs w:val="24"/>
        </w:rPr>
        <w:t xml:space="preserve"> </w:t>
      </w:r>
    </w:p>
    <w:p w:rsidR="006A214F" w:rsidRDefault="006A214F" w:rsidP="00A675AB">
      <w:pPr>
        <w:spacing w:after="0"/>
        <w:jc w:val="both"/>
        <w:rPr>
          <w:rFonts w:ascii="Arial" w:hAnsi="Arial" w:cs="Arial"/>
          <w:bCs/>
          <w:sz w:val="24"/>
          <w:szCs w:val="24"/>
        </w:rPr>
      </w:pPr>
    </w:p>
    <w:p w:rsidR="00711457" w:rsidRPr="009C5F84" w:rsidRDefault="00B35B98" w:rsidP="00A675AB">
      <w:pPr>
        <w:spacing w:after="0"/>
        <w:jc w:val="both"/>
        <w:rPr>
          <w:rFonts w:ascii="Arial" w:hAnsi="Arial" w:cs="Arial"/>
          <w:sz w:val="24"/>
          <w:szCs w:val="24"/>
        </w:rPr>
      </w:pPr>
      <w:r>
        <w:rPr>
          <w:rFonts w:ascii="Arial" w:hAnsi="Arial" w:cs="Arial"/>
          <w:sz w:val="24"/>
          <w:szCs w:val="24"/>
        </w:rPr>
        <w:t xml:space="preserve">In summary this study shows that feeding neonatal piglets a high protein diet reduces in inflammatory responses to LPS in adulthood. There are </w:t>
      </w:r>
      <w:r w:rsidR="00035E60">
        <w:rPr>
          <w:rFonts w:ascii="Arial" w:hAnsi="Arial" w:cs="Arial"/>
          <w:sz w:val="24"/>
          <w:szCs w:val="24"/>
        </w:rPr>
        <w:t>short-term</w:t>
      </w:r>
      <w:r>
        <w:rPr>
          <w:rFonts w:ascii="Arial" w:hAnsi="Arial" w:cs="Arial"/>
          <w:sz w:val="24"/>
          <w:szCs w:val="24"/>
        </w:rPr>
        <w:t xml:space="preserve"> dietary induced changes in the composition of the microbiota, loss of intestinal epithelial barrier function and accelerated development of the mucosal immune system.</w:t>
      </w:r>
    </w:p>
    <w:p w:rsidR="00B37B32" w:rsidRDefault="00B37B32" w:rsidP="00A675AB">
      <w:pPr>
        <w:spacing w:after="0"/>
        <w:jc w:val="both"/>
        <w:rPr>
          <w:rFonts w:ascii="Arial" w:hAnsi="Arial" w:cs="Arial"/>
          <w:sz w:val="24"/>
          <w:szCs w:val="24"/>
        </w:rPr>
      </w:pPr>
    </w:p>
    <w:p w:rsidR="00711457" w:rsidRPr="00B37B32" w:rsidRDefault="00B37B32" w:rsidP="00A675AB">
      <w:pPr>
        <w:spacing w:after="0"/>
        <w:jc w:val="both"/>
        <w:rPr>
          <w:rFonts w:ascii="Arial" w:hAnsi="Arial" w:cs="Arial"/>
          <w:sz w:val="24"/>
          <w:szCs w:val="24"/>
        </w:rPr>
      </w:pPr>
      <w:r>
        <w:rPr>
          <w:rFonts w:ascii="Arial" w:hAnsi="Arial" w:cs="Arial"/>
          <w:b/>
          <w:sz w:val="24"/>
          <w:szCs w:val="24"/>
        </w:rPr>
        <w:t>Comment</w:t>
      </w:r>
    </w:p>
    <w:p w:rsidR="000B0F9D" w:rsidRDefault="0033723B" w:rsidP="00A675AB">
      <w:pPr>
        <w:spacing w:after="0"/>
        <w:jc w:val="both"/>
        <w:rPr>
          <w:rFonts w:ascii="Arial" w:hAnsi="Arial" w:cs="Arial"/>
          <w:sz w:val="24"/>
          <w:szCs w:val="24"/>
        </w:rPr>
      </w:pPr>
      <w:r w:rsidRPr="0033723B">
        <w:rPr>
          <w:rFonts w:ascii="Arial" w:hAnsi="Arial" w:cs="Arial"/>
          <w:sz w:val="24"/>
          <w:szCs w:val="24"/>
        </w:rPr>
        <w:t xml:space="preserve">Research is now starting to focus on </w:t>
      </w:r>
      <w:r w:rsidR="005415DA">
        <w:rPr>
          <w:rFonts w:ascii="Arial" w:hAnsi="Arial" w:cs="Arial"/>
          <w:sz w:val="24"/>
          <w:szCs w:val="24"/>
        </w:rPr>
        <w:t xml:space="preserve">how </w:t>
      </w:r>
      <w:r w:rsidRPr="0033723B">
        <w:rPr>
          <w:rFonts w:ascii="Arial" w:hAnsi="Arial" w:cs="Arial"/>
          <w:sz w:val="24"/>
          <w:szCs w:val="24"/>
        </w:rPr>
        <w:t xml:space="preserve">the gut microbiota </w:t>
      </w:r>
      <w:r w:rsidR="00D20778">
        <w:rPr>
          <w:rFonts w:ascii="Arial" w:hAnsi="Arial" w:cs="Arial"/>
          <w:sz w:val="24"/>
          <w:szCs w:val="24"/>
        </w:rPr>
        <w:t>is established</w:t>
      </w:r>
      <w:r w:rsidR="00D20778" w:rsidRPr="0033723B">
        <w:rPr>
          <w:rFonts w:ascii="Arial" w:hAnsi="Arial" w:cs="Arial"/>
          <w:sz w:val="24"/>
          <w:szCs w:val="24"/>
        </w:rPr>
        <w:t xml:space="preserve"> </w:t>
      </w:r>
      <w:r w:rsidRPr="0033723B">
        <w:rPr>
          <w:rFonts w:ascii="Arial" w:hAnsi="Arial" w:cs="Arial"/>
          <w:sz w:val="24"/>
          <w:szCs w:val="24"/>
        </w:rPr>
        <w:t>and the programming of gut immunity in early life and how the relationships between these two systems and the intervening epithelial barrier influences the susceptibility to inflammation in later life</w:t>
      </w:r>
      <w:r>
        <w:rPr>
          <w:rFonts w:ascii="Arial" w:hAnsi="Arial" w:cs="Arial"/>
          <w:sz w:val="24"/>
          <w:szCs w:val="24"/>
        </w:rPr>
        <w:t xml:space="preserve"> (Mucosal Immunology 2011;4:127-32)</w:t>
      </w:r>
      <w:r w:rsidRPr="0033723B">
        <w:rPr>
          <w:rFonts w:ascii="Arial" w:hAnsi="Arial" w:cs="Arial"/>
          <w:sz w:val="24"/>
          <w:szCs w:val="24"/>
        </w:rPr>
        <w:t>.</w:t>
      </w:r>
      <w:r>
        <w:rPr>
          <w:rFonts w:ascii="Arial" w:hAnsi="Arial" w:cs="Arial"/>
          <w:sz w:val="24"/>
          <w:szCs w:val="24"/>
        </w:rPr>
        <w:t xml:space="preserve"> </w:t>
      </w:r>
      <w:r w:rsidR="00FB7ED5">
        <w:rPr>
          <w:rFonts w:ascii="Arial" w:hAnsi="Arial" w:cs="Arial"/>
          <w:sz w:val="24"/>
          <w:szCs w:val="24"/>
        </w:rPr>
        <w:t xml:space="preserve">At birth there is </w:t>
      </w:r>
      <w:r w:rsidR="007752CE">
        <w:rPr>
          <w:rFonts w:ascii="Arial" w:hAnsi="Arial" w:cs="Arial"/>
          <w:sz w:val="24"/>
          <w:szCs w:val="24"/>
        </w:rPr>
        <w:t>colonization</w:t>
      </w:r>
      <w:r w:rsidR="006C25F7">
        <w:rPr>
          <w:rFonts w:ascii="Arial" w:hAnsi="Arial" w:cs="Arial"/>
          <w:sz w:val="24"/>
          <w:szCs w:val="24"/>
        </w:rPr>
        <w:t xml:space="preserve"> with aerobic species from th</w:t>
      </w:r>
      <w:r w:rsidR="005415DA">
        <w:rPr>
          <w:rFonts w:ascii="Arial" w:hAnsi="Arial" w:cs="Arial"/>
          <w:sz w:val="24"/>
          <w:szCs w:val="24"/>
        </w:rPr>
        <w:t>e maternal birth canal</w:t>
      </w:r>
      <w:r w:rsidR="006C25F7">
        <w:rPr>
          <w:rFonts w:ascii="Arial" w:hAnsi="Arial" w:cs="Arial"/>
          <w:sz w:val="24"/>
          <w:szCs w:val="24"/>
        </w:rPr>
        <w:t xml:space="preserve">. </w:t>
      </w:r>
      <w:r w:rsidR="00EF0F9D">
        <w:rPr>
          <w:rFonts w:ascii="Arial" w:hAnsi="Arial" w:cs="Arial"/>
          <w:sz w:val="24"/>
          <w:szCs w:val="24"/>
        </w:rPr>
        <w:t>Environmental factors</w:t>
      </w:r>
      <w:r w:rsidR="000B0F9D">
        <w:rPr>
          <w:rFonts w:ascii="Arial" w:hAnsi="Arial" w:cs="Arial"/>
          <w:sz w:val="24"/>
          <w:szCs w:val="24"/>
        </w:rPr>
        <w:t>,</w:t>
      </w:r>
      <w:r w:rsidR="00EF0F9D">
        <w:rPr>
          <w:rFonts w:ascii="Arial" w:hAnsi="Arial" w:cs="Arial"/>
          <w:sz w:val="24"/>
          <w:szCs w:val="24"/>
        </w:rPr>
        <w:t xml:space="preserve"> including diet</w:t>
      </w:r>
      <w:r w:rsidR="000B0F9D">
        <w:rPr>
          <w:rFonts w:ascii="Arial" w:hAnsi="Arial" w:cs="Arial"/>
          <w:sz w:val="24"/>
          <w:szCs w:val="24"/>
        </w:rPr>
        <w:t>,</w:t>
      </w:r>
      <w:r w:rsidR="00EF0F9D">
        <w:rPr>
          <w:rFonts w:ascii="Arial" w:hAnsi="Arial" w:cs="Arial"/>
          <w:sz w:val="24"/>
          <w:szCs w:val="24"/>
        </w:rPr>
        <w:t xml:space="preserve"> are more important than genetic factors </w:t>
      </w:r>
      <w:r w:rsidR="00FB7ED5">
        <w:rPr>
          <w:rFonts w:ascii="Arial" w:hAnsi="Arial" w:cs="Arial"/>
          <w:sz w:val="24"/>
          <w:szCs w:val="24"/>
        </w:rPr>
        <w:t xml:space="preserve">in determining the composition of microbiota </w:t>
      </w:r>
      <w:r w:rsidR="00EF0F9D">
        <w:rPr>
          <w:rFonts w:ascii="Arial" w:hAnsi="Arial" w:cs="Arial"/>
          <w:sz w:val="24"/>
          <w:szCs w:val="24"/>
        </w:rPr>
        <w:t xml:space="preserve">(Nature 2009;457:480-84). </w:t>
      </w:r>
      <w:r w:rsidR="00FB7ED5">
        <w:rPr>
          <w:rFonts w:ascii="Arial" w:hAnsi="Arial" w:cs="Arial"/>
          <w:sz w:val="24"/>
          <w:szCs w:val="24"/>
        </w:rPr>
        <w:t xml:space="preserve">Before weaning </w:t>
      </w:r>
      <w:r w:rsidR="00FB7ED5" w:rsidRPr="00FB7ED5">
        <w:rPr>
          <w:rFonts w:ascii="Arial" w:hAnsi="Arial" w:cs="Arial"/>
          <w:i/>
          <w:sz w:val="24"/>
          <w:szCs w:val="24"/>
        </w:rPr>
        <w:t>Lactobacilli</w:t>
      </w:r>
      <w:r w:rsidR="00FB7ED5">
        <w:rPr>
          <w:rFonts w:ascii="Arial" w:hAnsi="Arial" w:cs="Arial"/>
          <w:sz w:val="24"/>
          <w:szCs w:val="24"/>
        </w:rPr>
        <w:t xml:space="preserve"> and </w:t>
      </w:r>
      <w:r w:rsidR="00FB7ED5" w:rsidRPr="00FB7ED5">
        <w:rPr>
          <w:rFonts w:ascii="Arial" w:hAnsi="Arial" w:cs="Arial"/>
          <w:i/>
          <w:sz w:val="24"/>
          <w:szCs w:val="24"/>
        </w:rPr>
        <w:t>Bifidobacterium</w:t>
      </w:r>
      <w:r w:rsidR="00FB7ED5">
        <w:rPr>
          <w:rFonts w:ascii="Arial" w:hAnsi="Arial" w:cs="Arial"/>
          <w:sz w:val="24"/>
          <w:szCs w:val="24"/>
        </w:rPr>
        <w:t xml:space="preserve"> predominate</w:t>
      </w:r>
      <w:r w:rsidR="005415DA">
        <w:rPr>
          <w:rFonts w:ascii="Arial" w:hAnsi="Arial" w:cs="Arial"/>
          <w:sz w:val="24"/>
          <w:szCs w:val="24"/>
        </w:rPr>
        <w:t xml:space="preserve">. </w:t>
      </w:r>
      <w:r w:rsidR="00FB7ED5">
        <w:rPr>
          <w:rFonts w:ascii="Arial" w:hAnsi="Arial" w:cs="Arial"/>
          <w:sz w:val="24"/>
          <w:szCs w:val="24"/>
        </w:rPr>
        <w:t>After weaning the composition of the microbiota increases in complexity and becomes predominately anaerobic</w:t>
      </w:r>
      <w:r w:rsidR="000B0F9D">
        <w:rPr>
          <w:rFonts w:ascii="Arial" w:hAnsi="Arial" w:cs="Arial"/>
          <w:sz w:val="24"/>
          <w:szCs w:val="24"/>
        </w:rPr>
        <w:t xml:space="preserve"> (Acta Paediatr 2009;98:229-238)</w:t>
      </w:r>
      <w:r w:rsidR="00FB7ED5">
        <w:rPr>
          <w:rFonts w:ascii="Arial" w:hAnsi="Arial" w:cs="Arial"/>
          <w:sz w:val="24"/>
          <w:szCs w:val="24"/>
        </w:rPr>
        <w:t>.</w:t>
      </w:r>
    </w:p>
    <w:p w:rsidR="0033723B" w:rsidRDefault="0033723B" w:rsidP="00A675AB">
      <w:pPr>
        <w:spacing w:after="0"/>
        <w:jc w:val="both"/>
        <w:rPr>
          <w:rFonts w:ascii="Arial" w:hAnsi="Arial" w:cs="Arial"/>
          <w:sz w:val="24"/>
          <w:szCs w:val="24"/>
        </w:rPr>
      </w:pPr>
    </w:p>
    <w:p w:rsidR="009E1D50" w:rsidRDefault="00C36520" w:rsidP="00A675AB">
      <w:pPr>
        <w:spacing w:after="0"/>
        <w:jc w:val="both"/>
        <w:rPr>
          <w:rFonts w:ascii="Arial" w:hAnsi="Arial" w:cs="Arial"/>
          <w:sz w:val="24"/>
          <w:szCs w:val="24"/>
        </w:rPr>
      </w:pPr>
      <w:r>
        <w:rPr>
          <w:rFonts w:ascii="Arial" w:hAnsi="Arial" w:cs="Arial"/>
          <w:sz w:val="24"/>
          <w:szCs w:val="24"/>
        </w:rPr>
        <w:t>There is accumulating evidence that diet alters the gut microbiota though the details of how particular food components influence individu</w:t>
      </w:r>
      <w:r w:rsidR="005415DA">
        <w:rPr>
          <w:rFonts w:ascii="Arial" w:hAnsi="Arial" w:cs="Arial"/>
          <w:sz w:val="24"/>
          <w:szCs w:val="24"/>
        </w:rPr>
        <w:t>al species and the</w:t>
      </w:r>
      <w:r>
        <w:rPr>
          <w:rFonts w:ascii="Arial" w:hAnsi="Arial" w:cs="Arial"/>
          <w:sz w:val="24"/>
          <w:szCs w:val="24"/>
        </w:rPr>
        <w:t xml:space="preserve"> repertoire of genes </w:t>
      </w:r>
      <w:r w:rsidR="005415DA">
        <w:rPr>
          <w:rFonts w:ascii="Arial" w:hAnsi="Arial" w:cs="Arial"/>
          <w:sz w:val="24"/>
          <w:szCs w:val="24"/>
        </w:rPr>
        <w:t>which they express</w:t>
      </w:r>
      <w:r w:rsidR="007752CE">
        <w:rPr>
          <w:rFonts w:ascii="Arial" w:hAnsi="Arial" w:cs="Arial"/>
          <w:sz w:val="24"/>
          <w:szCs w:val="24"/>
        </w:rPr>
        <w:t xml:space="preserve"> </w:t>
      </w:r>
      <w:r>
        <w:rPr>
          <w:rFonts w:ascii="Arial" w:hAnsi="Arial" w:cs="Arial"/>
          <w:sz w:val="24"/>
          <w:szCs w:val="24"/>
        </w:rPr>
        <w:t>remains to be explored</w:t>
      </w:r>
      <w:r w:rsidR="00862F8F">
        <w:rPr>
          <w:rFonts w:ascii="Arial" w:hAnsi="Arial" w:cs="Arial"/>
          <w:sz w:val="24"/>
          <w:szCs w:val="24"/>
        </w:rPr>
        <w:t xml:space="preserve"> (Sci Transl Med 2009;1:6ra14)</w:t>
      </w:r>
      <w:r>
        <w:rPr>
          <w:rFonts w:ascii="Arial" w:hAnsi="Arial" w:cs="Arial"/>
          <w:sz w:val="24"/>
          <w:szCs w:val="24"/>
        </w:rPr>
        <w:t xml:space="preserve">. </w:t>
      </w:r>
      <w:r w:rsidR="005C17E9">
        <w:rPr>
          <w:rFonts w:ascii="Arial" w:hAnsi="Arial" w:cs="Arial"/>
          <w:sz w:val="24"/>
          <w:szCs w:val="24"/>
        </w:rPr>
        <w:t xml:space="preserve">A switch from a normal to high diet in fat causes widespread changes </w:t>
      </w:r>
      <w:r w:rsidR="003E5A60">
        <w:rPr>
          <w:rFonts w:ascii="Arial" w:hAnsi="Arial" w:cs="Arial"/>
          <w:sz w:val="24"/>
          <w:szCs w:val="24"/>
        </w:rPr>
        <w:t xml:space="preserve">in the community structure of gut microbiota (Cell Host Microbe 2008;3:213-223). An elegant </w:t>
      </w:r>
      <w:r w:rsidR="00D83AF6">
        <w:rPr>
          <w:rFonts w:ascii="Arial" w:hAnsi="Arial" w:cs="Arial"/>
          <w:sz w:val="24"/>
          <w:szCs w:val="24"/>
        </w:rPr>
        <w:t>study, which distinguished direct effects of high fat diet on the microbiome from effects secondary to obesity,</w:t>
      </w:r>
      <w:r w:rsidR="003E5A60">
        <w:rPr>
          <w:rFonts w:ascii="Arial" w:hAnsi="Arial" w:cs="Arial"/>
          <w:sz w:val="24"/>
          <w:szCs w:val="24"/>
        </w:rPr>
        <w:t xml:space="preserve"> has shown </w:t>
      </w:r>
      <w:r w:rsidR="007752CE">
        <w:rPr>
          <w:rFonts w:ascii="Arial" w:hAnsi="Arial" w:cs="Arial"/>
          <w:sz w:val="24"/>
          <w:szCs w:val="24"/>
        </w:rPr>
        <w:t xml:space="preserve">high fat diet to be associated with </w:t>
      </w:r>
      <w:r w:rsidR="003E5A60">
        <w:rPr>
          <w:rFonts w:ascii="Arial" w:hAnsi="Arial" w:cs="Arial"/>
          <w:sz w:val="24"/>
          <w:szCs w:val="24"/>
        </w:rPr>
        <w:t xml:space="preserve">a decrease in </w:t>
      </w:r>
      <w:r w:rsidR="003E5A60" w:rsidRPr="008A0F3E">
        <w:rPr>
          <w:rFonts w:ascii="Arial" w:hAnsi="Arial" w:cs="Arial"/>
          <w:i/>
          <w:sz w:val="24"/>
          <w:szCs w:val="24"/>
        </w:rPr>
        <w:t>Bacteroidetes</w:t>
      </w:r>
      <w:r w:rsidR="003E5A60">
        <w:rPr>
          <w:rFonts w:ascii="Arial" w:hAnsi="Arial" w:cs="Arial"/>
          <w:sz w:val="24"/>
          <w:szCs w:val="24"/>
        </w:rPr>
        <w:t xml:space="preserve"> and an increase in </w:t>
      </w:r>
      <w:r w:rsidR="003E5A60" w:rsidRPr="008A0F3E">
        <w:rPr>
          <w:rFonts w:ascii="Arial" w:hAnsi="Arial" w:cs="Arial"/>
          <w:i/>
          <w:sz w:val="24"/>
          <w:szCs w:val="24"/>
        </w:rPr>
        <w:t>Firmicutes</w:t>
      </w:r>
      <w:r w:rsidR="003E5A60">
        <w:rPr>
          <w:rFonts w:ascii="Arial" w:hAnsi="Arial" w:cs="Arial"/>
          <w:sz w:val="24"/>
          <w:szCs w:val="24"/>
        </w:rPr>
        <w:t xml:space="preserve"> and </w:t>
      </w:r>
      <w:r w:rsidR="003E5A60" w:rsidRPr="008A0F3E">
        <w:rPr>
          <w:rFonts w:ascii="Arial" w:hAnsi="Arial" w:cs="Arial"/>
          <w:i/>
          <w:sz w:val="24"/>
          <w:szCs w:val="24"/>
        </w:rPr>
        <w:t>Proteobacteria</w:t>
      </w:r>
      <w:r w:rsidR="003E5A60">
        <w:rPr>
          <w:rFonts w:ascii="Arial" w:hAnsi="Arial" w:cs="Arial"/>
          <w:sz w:val="24"/>
          <w:szCs w:val="24"/>
        </w:rPr>
        <w:t xml:space="preserve">.  </w:t>
      </w:r>
      <w:r w:rsidR="008A0F3E">
        <w:rPr>
          <w:rFonts w:ascii="Arial" w:hAnsi="Arial" w:cs="Arial"/>
          <w:sz w:val="24"/>
          <w:szCs w:val="24"/>
        </w:rPr>
        <w:t xml:space="preserve">Furthermore a high fat also causes extensive changes in gene expression within individual bacterial groupings (Gastroenterology 2009;137:1716-1724). </w:t>
      </w:r>
      <w:r w:rsidR="003B05ED">
        <w:rPr>
          <w:rFonts w:ascii="Arial" w:hAnsi="Arial" w:cs="Arial"/>
          <w:sz w:val="24"/>
          <w:szCs w:val="24"/>
        </w:rPr>
        <w:t xml:space="preserve">Diet supplemented with the amino acids L-threonine, L-serine, L-proline and L-cysteine promotes growth of a wide range bacterial species within stool (J Nutr 2006;136:1558-1564). </w:t>
      </w:r>
      <w:r w:rsidR="008A0F3E">
        <w:rPr>
          <w:rFonts w:ascii="Arial" w:hAnsi="Arial" w:cs="Arial"/>
          <w:sz w:val="24"/>
          <w:szCs w:val="24"/>
        </w:rPr>
        <w:t xml:space="preserve">High protein diet in adults has been shown to </w:t>
      </w:r>
      <w:r w:rsidR="00D92052">
        <w:rPr>
          <w:rFonts w:ascii="Arial" w:hAnsi="Arial" w:cs="Arial"/>
          <w:sz w:val="24"/>
          <w:szCs w:val="24"/>
        </w:rPr>
        <w:t xml:space="preserve">reduce </w:t>
      </w:r>
      <w:r w:rsidR="00D92052" w:rsidRPr="00D92052">
        <w:rPr>
          <w:rFonts w:ascii="Arial" w:hAnsi="Arial" w:cs="Arial"/>
          <w:i/>
          <w:sz w:val="24"/>
          <w:szCs w:val="24"/>
        </w:rPr>
        <w:t>Roseburia/Eubacterium rectale</w:t>
      </w:r>
      <w:r w:rsidR="00D92052">
        <w:rPr>
          <w:rFonts w:ascii="Arial" w:hAnsi="Arial" w:cs="Arial"/>
          <w:sz w:val="24"/>
          <w:szCs w:val="24"/>
        </w:rPr>
        <w:t xml:space="preserve"> with consequent reduction in faecal butyrate and antioxidant phenolic acids such as ferulate (Am J Clin Nutr 2011;93:1062-72). </w:t>
      </w:r>
      <w:r w:rsidR="003B05ED">
        <w:rPr>
          <w:rFonts w:ascii="Arial" w:hAnsi="Arial" w:cs="Arial"/>
          <w:sz w:val="24"/>
          <w:szCs w:val="24"/>
        </w:rPr>
        <w:t xml:space="preserve">The authors argue that such high protein diets will be detrimental to colonic health potentially promoting neoplasia. </w:t>
      </w:r>
    </w:p>
    <w:p w:rsidR="009E1D50" w:rsidRDefault="009E1D50" w:rsidP="00A675AB">
      <w:pPr>
        <w:spacing w:after="0"/>
        <w:jc w:val="both"/>
        <w:rPr>
          <w:rFonts w:ascii="Arial" w:hAnsi="Arial" w:cs="Arial"/>
          <w:sz w:val="24"/>
          <w:szCs w:val="24"/>
        </w:rPr>
      </w:pPr>
    </w:p>
    <w:p w:rsidR="00F57383" w:rsidRDefault="00F57383" w:rsidP="00A675AB">
      <w:pPr>
        <w:spacing w:after="0"/>
        <w:jc w:val="both"/>
        <w:rPr>
          <w:rFonts w:ascii="Arial" w:hAnsi="Arial" w:cs="Arial"/>
          <w:sz w:val="24"/>
          <w:szCs w:val="24"/>
        </w:rPr>
      </w:pPr>
      <w:r>
        <w:rPr>
          <w:rFonts w:ascii="Arial" w:hAnsi="Arial" w:cs="Arial"/>
          <w:sz w:val="24"/>
          <w:szCs w:val="24"/>
        </w:rPr>
        <w:t>Some bacterial</w:t>
      </w:r>
      <w:r w:rsidR="00532197">
        <w:rPr>
          <w:rFonts w:ascii="Arial" w:hAnsi="Arial" w:cs="Arial"/>
          <w:sz w:val="24"/>
          <w:szCs w:val="24"/>
        </w:rPr>
        <w:t xml:space="preserve"> species respond to specific</w:t>
      </w:r>
      <w:r>
        <w:rPr>
          <w:rFonts w:ascii="Arial" w:hAnsi="Arial" w:cs="Arial"/>
          <w:sz w:val="24"/>
          <w:szCs w:val="24"/>
        </w:rPr>
        <w:t xml:space="preserve"> dietary components. For example, </w:t>
      </w:r>
      <w:r w:rsidRPr="007752CE">
        <w:rPr>
          <w:rFonts w:ascii="Arial" w:hAnsi="Arial" w:cs="Arial"/>
          <w:i/>
          <w:sz w:val="24"/>
          <w:szCs w:val="24"/>
          <w:lang w:bidi="ar-SA"/>
        </w:rPr>
        <w:t>Bacteroides thetaiotaomicron</w:t>
      </w:r>
      <w:r>
        <w:rPr>
          <w:rFonts w:ascii="Arial" w:hAnsi="Arial" w:cs="Arial"/>
          <w:sz w:val="24"/>
          <w:szCs w:val="24"/>
          <w:lang w:bidi="ar-SA"/>
        </w:rPr>
        <w:t xml:space="preserve"> expresses a signaling sensor for dietary fructan that controls it</w:t>
      </w:r>
      <w:r w:rsidR="00D31C09">
        <w:rPr>
          <w:rFonts w:ascii="Arial" w:hAnsi="Arial" w:cs="Arial"/>
          <w:sz w:val="24"/>
          <w:szCs w:val="24"/>
          <w:lang w:bidi="ar-SA"/>
        </w:rPr>
        <w:t xml:space="preserve"> ability to be metabolized. Thus bacteria with this sensor have a competitive advantage in vivo. (Cell 2010;141:1241-52). The use of metabolic substrates, or prebiotics, has potential for the </w:t>
      </w:r>
      <w:r w:rsidR="00916B2A">
        <w:rPr>
          <w:rFonts w:ascii="Arial" w:hAnsi="Arial" w:cs="Arial"/>
          <w:sz w:val="24"/>
          <w:szCs w:val="24"/>
          <w:lang w:bidi="ar-SA"/>
        </w:rPr>
        <w:t>therapeutic alteration of the composition of gut microbiota (Gut 2009 58:1091-103).</w:t>
      </w:r>
      <w:r w:rsidR="00D31C09">
        <w:rPr>
          <w:rFonts w:ascii="Arial" w:hAnsi="Arial" w:cs="Arial"/>
          <w:sz w:val="24"/>
          <w:szCs w:val="24"/>
          <w:lang w:bidi="ar-SA"/>
        </w:rPr>
        <w:t xml:space="preserve"> </w:t>
      </w:r>
    </w:p>
    <w:p w:rsidR="00894B83" w:rsidRDefault="00894B83" w:rsidP="00A675AB">
      <w:pPr>
        <w:spacing w:after="0"/>
        <w:jc w:val="both"/>
        <w:rPr>
          <w:rFonts w:ascii="Arial" w:hAnsi="Arial" w:cs="Arial"/>
          <w:sz w:val="24"/>
          <w:szCs w:val="24"/>
        </w:rPr>
      </w:pPr>
    </w:p>
    <w:p w:rsidR="00791F67" w:rsidRDefault="00041001" w:rsidP="00A675AB">
      <w:pPr>
        <w:spacing w:after="0"/>
        <w:jc w:val="both"/>
        <w:rPr>
          <w:rFonts w:ascii="Arial" w:hAnsi="Arial" w:cs="Arial"/>
          <w:sz w:val="24"/>
          <w:szCs w:val="24"/>
        </w:rPr>
      </w:pPr>
      <w:r>
        <w:rPr>
          <w:rFonts w:ascii="Arial" w:hAnsi="Arial" w:cs="Arial"/>
          <w:sz w:val="24"/>
          <w:szCs w:val="24"/>
        </w:rPr>
        <w:t xml:space="preserve">Commensal gut bacteria play an important role in maintaining epithelial </w:t>
      </w:r>
      <w:r w:rsidR="00AB27F4">
        <w:rPr>
          <w:rFonts w:ascii="Arial" w:hAnsi="Arial" w:cs="Arial"/>
          <w:sz w:val="24"/>
          <w:szCs w:val="24"/>
        </w:rPr>
        <w:t>integrity</w:t>
      </w:r>
      <w:r w:rsidR="00CB10C4">
        <w:rPr>
          <w:rFonts w:ascii="Arial" w:hAnsi="Arial" w:cs="Arial"/>
          <w:sz w:val="24"/>
          <w:szCs w:val="24"/>
        </w:rPr>
        <w:t>, proliferation</w:t>
      </w:r>
      <w:r>
        <w:rPr>
          <w:rFonts w:ascii="Arial" w:hAnsi="Arial" w:cs="Arial"/>
          <w:sz w:val="24"/>
          <w:szCs w:val="24"/>
        </w:rPr>
        <w:t xml:space="preserve"> and barrier function</w:t>
      </w:r>
      <w:r w:rsidR="00CB10C4">
        <w:rPr>
          <w:rFonts w:ascii="Arial" w:hAnsi="Arial" w:cs="Arial"/>
          <w:sz w:val="24"/>
          <w:szCs w:val="24"/>
        </w:rPr>
        <w:t xml:space="preserve"> (Science 2001;292:1115-8)</w:t>
      </w:r>
      <w:r>
        <w:rPr>
          <w:rFonts w:ascii="Arial" w:hAnsi="Arial" w:cs="Arial"/>
          <w:sz w:val="24"/>
          <w:szCs w:val="24"/>
        </w:rPr>
        <w:t>. The sensing of microbial macromolecular ligands such as LPS, flagellin</w:t>
      </w:r>
      <w:r w:rsidR="00CB10C4">
        <w:rPr>
          <w:rFonts w:ascii="Arial" w:hAnsi="Arial" w:cs="Arial"/>
          <w:sz w:val="24"/>
          <w:szCs w:val="24"/>
        </w:rPr>
        <w:t xml:space="preserve">, peptidoglycans by toll like receptors 2 and 4 </w:t>
      </w:r>
      <w:r w:rsidR="00AB27F4">
        <w:rPr>
          <w:rFonts w:ascii="Arial" w:hAnsi="Arial" w:cs="Arial"/>
          <w:sz w:val="24"/>
          <w:szCs w:val="24"/>
        </w:rPr>
        <w:t xml:space="preserve">and the adapter protein MyD88 </w:t>
      </w:r>
      <w:r w:rsidR="00CB10C4">
        <w:rPr>
          <w:rFonts w:ascii="Arial" w:hAnsi="Arial" w:cs="Arial"/>
          <w:sz w:val="24"/>
          <w:szCs w:val="24"/>
        </w:rPr>
        <w:t xml:space="preserve">protects epithelial </w:t>
      </w:r>
      <w:r w:rsidR="00AB27F4">
        <w:rPr>
          <w:rFonts w:ascii="Arial" w:hAnsi="Arial" w:cs="Arial"/>
          <w:sz w:val="24"/>
          <w:szCs w:val="24"/>
        </w:rPr>
        <w:t>integrity</w:t>
      </w:r>
      <w:r w:rsidR="00CB10C4">
        <w:rPr>
          <w:rFonts w:ascii="Arial" w:hAnsi="Arial" w:cs="Arial"/>
          <w:sz w:val="24"/>
          <w:szCs w:val="24"/>
        </w:rPr>
        <w:t xml:space="preserve"> and (Cell 2004;118:229-41</w:t>
      </w:r>
      <w:r w:rsidR="00AB27F4">
        <w:rPr>
          <w:rFonts w:ascii="Arial" w:hAnsi="Arial" w:cs="Arial"/>
          <w:sz w:val="24"/>
          <w:szCs w:val="24"/>
        </w:rPr>
        <w:t>, PNAS 2005;102:99-104, Gastroenterology 2007;132:1359-74</w:t>
      </w:r>
      <w:r w:rsidR="00CB10C4">
        <w:rPr>
          <w:rFonts w:ascii="Arial" w:hAnsi="Arial" w:cs="Arial"/>
          <w:sz w:val="24"/>
          <w:szCs w:val="24"/>
        </w:rPr>
        <w:t xml:space="preserve">). </w:t>
      </w:r>
      <w:r w:rsidR="00B70E5A">
        <w:rPr>
          <w:rFonts w:ascii="Arial" w:hAnsi="Arial" w:cs="Arial"/>
          <w:sz w:val="24"/>
          <w:szCs w:val="24"/>
        </w:rPr>
        <w:t>Flagellin has cytoprotective on intestinal epithe</w:t>
      </w:r>
      <w:r w:rsidR="002C11AC">
        <w:rPr>
          <w:rFonts w:ascii="Arial" w:hAnsi="Arial" w:cs="Arial"/>
          <w:sz w:val="24"/>
          <w:szCs w:val="24"/>
        </w:rPr>
        <w:t>lium mediated through TRL5 (J Cl</w:t>
      </w:r>
      <w:r w:rsidR="00B70E5A">
        <w:rPr>
          <w:rFonts w:ascii="Arial" w:hAnsi="Arial" w:cs="Arial"/>
          <w:sz w:val="24"/>
          <w:szCs w:val="24"/>
        </w:rPr>
        <w:t xml:space="preserve">in Invest 2007;117:3909-21). </w:t>
      </w:r>
      <w:r w:rsidR="00791F67">
        <w:rPr>
          <w:rFonts w:ascii="Arial" w:hAnsi="Arial" w:cs="Arial"/>
          <w:sz w:val="24"/>
          <w:szCs w:val="24"/>
        </w:rPr>
        <w:t>NF-</w:t>
      </w:r>
      <w:r w:rsidR="00791F67">
        <w:rPr>
          <w:rFonts w:ascii="Arial" w:hAnsi="Arial" w:cs="Arial"/>
          <w:sz w:val="24"/>
          <w:szCs w:val="24"/>
        </w:rPr>
        <w:sym w:font="Symbol" w:char="F06B"/>
      </w:r>
      <w:r w:rsidR="00791F67">
        <w:rPr>
          <w:rFonts w:ascii="Arial" w:hAnsi="Arial" w:cs="Arial"/>
          <w:sz w:val="24"/>
          <w:szCs w:val="24"/>
        </w:rPr>
        <w:t xml:space="preserve">B mediates some of the effects of toll-like receptors. Accordingly mice null for </w:t>
      </w:r>
      <w:r w:rsidR="00642F34">
        <w:rPr>
          <w:rFonts w:ascii="Arial" w:hAnsi="Arial" w:cs="Arial"/>
          <w:sz w:val="24"/>
          <w:szCs w:val="24"/>
        </w:rPr>
        <w:t>IIK</w:t>
      </w:r>
      <w:r w:rsidR="00642F34">
        <w:rPr>
          <w:rFonts w:ascii="Arial" w:hAnsi="Arial" w:cs="Arial"/>
          <w:sz w:val="24"/>
          <w:szCs w:val="24"/>
        </w:rPr>
        <w:sym w:font="Symbol" w:char="F067"/>
      </w:r>
      <w:r w:rsidR="00642F34">
        <w:rPr>
          <w:rFonts w:ascii="Arial" w:hAnsi="Arial" w:cs="Arial"/>
          <w:sz w:val="24"/>
          <w:szCs w:val="24"/>
        </w:rPr>
        <w:t xml:space="preserve"> or IKK</w:t>
      </w:r>
      <w:r w:rsidR="00642F34">
        <w:rPr>
          <w:rFonts w:ascii="Arial" w:hAnsi="Arial" w:cs="Arial"/>
          <w:sz w:val="24"/>
          <w:szCs w:val="24"/>
        </w:rPr>
        <w:sym w:font="Symbol" w:char="F062"/>
      </w:r>
      <w:r w:rsidR="00642F34">
        <w:rPr>
          <w:rFonts w:ascii="Arial" w:hAnsi="Arial" w:cs="Arial"/>
          <w:sz w:val="24"/>
          <w:szCs w:val="24"/>
        </w:rPr>
        <w:t xml:space="preserve"> have defective barrier function and develop spontaneous colitis (</w:t>
      </w:r>
      <w:r w:rsidR="00174CC2">
        <w:rPr>
          <w:rFonts w:ascii="Arial" w:hAnsi="Arial" w:cs="Arial"/>
          <w:sz w:val="24"/>
          <w:szCs w:val="24"/>
        </w:rPr>
        <w:t>Nature 2007;446:552-6, Nature 2007;446:557-561).</w:t>
      </w:r>
      <w:r w:rsidR="00B1427B">
        <w:rPr>
          <w:rFonts w:ascii="Arial" w:hAnsi="Arial" w:cs="Arial"/>
          <w:sz w:val="24"/>
          <w:szCs w:val="24"/>
        </w:rPr>
        <w:t xml:space="preserve"> </w:t>
      </w:r>
      <w:r w:rsidR="00F97428">
        <w:rPr>
          <w:rFonts w:ascii="Arial" w:hAnsi="Arial" w:cs="Arial"/>
          <w:sz w:val="24"/>
          <w:szCs w:val="24"/>
        </w:rPr>
        <w:t xml:space="preserve"> </w:t>
      </w:r>
      <w:r w:rsidR="00A70414">
        <w:rPr>
          <w:rFonts w:ascii="Arial" w:hAnsi="Arial" w:cs="Arial"/>
          <w:sz w:val="24"/>
          <w:szCs w:val="24"/>
        </w:rPr>
        <w:t>A number of studies have reported that commensal bacteria can suppress activation of NF-</w:t>
      </w:r>
      <w:r w:rsidR="00A70414">
        <w:rPr>
          <w:rFonts w:ascii="Arial" w:hAnsi="Arial" w:cs="Arial"/>
          <w:sz w:val="24"/>
          <w:szCs w:val="24"/>
        </w:rPr>
        <w:sym w:font="Symbol" w:char="F06B"/>
      </w:r>
      <w:r w:rsidR="00A70414">
        <w:rPr>
          <w:rFonts w:ascii="Arial" w:hAnsi="Arial" w:cs="Arial"/>
          <w:sz w:val="24"/>
          <w:szCs w:val="24"/>
        </w:rPr>
        <w:t>B through a variety of mechanisms including generation of reactive oxygen species and butyrate thereby preventing inflammation and enhancing barrier function (Science 2000; 289:1560-3, Nature immunology 2004;5:104-12, J Immunol 2009;182:538-46</w:t>
      </w:r>
      <w:r w:rsidR="00B70E5A">
        <w:rPr>
          <w:rFonts w:ascii="Arial" w:hAnsi="Arial" w:cs="Arial"/>
          <w:sz w:val="24"/>
          <w:szCs w:val="24"/>
        </w:rPr>
        <w:t>, Curr Top Microbiol Imm</w:t>
      </w:r>
      <w:r w:rsidR="00981D4D">
        <w:rPr>
          <w:rFonts w:ascii="Arial" w:hAnsi="Arial" w:cs="Arial"/>
          <w:sz w:val="24"/>
          <w:szCs w:val="24"/>
        </w:rPr>
        <w:t>umol 2011;349:145-58</w:t>
      </w:r>
      <w:r w:rsidR="00A70414">
        <w:rPr>
          <w:rFonts w:ascii="Arial" w:hAnsi="Arial" w:cs="Arial"/>
          <w:sz w:val="24"/>
          <w:szCs w:val="24"/>
        </w:rPr>
        <w:t>).</w:t>
      </w:r>
    </w:p>
    <w:p w:rsidR="00791F67" w:rsidRDefault="00791F67" w:rsidP="00A675AB">
      <w:pPr>
        <w:spacing w:after="0"/>
        <w:jc w:val="both"/>
        <w:rPr>
          <w:rFonts w:ascii="Arial" w:hAnsi="Arial" w:cs="Arial"/>
          <w:sz w:val="24"/>
          <w:szCs w:val="24"/>
        </w:rPr>
      </w:pPr>
    </w:p>
    <w:p w:rsidR="00C36520" w:rsidRPr="00D92052" w:rsidRDefault="00F97428" w:rsidP="00A675AB">
      <w:pPr>
        <w:spacing w:after="0"/>
        <w:jc w:val="both"/>
        <w:rPr>
          <w:rFonts w:ascii="Arial" w:hAnsi="Arial" w:cs="Arial"/>
          <w:sz w:val="24"/>
          <w:szCs w:val="24"/>
        </w:rPr>
      </w:pPr>
      <w:r>
        <w:rPr>
          <w:rFonts w:ascii="Arial" w:hAnsi="Arial" w:cs="Arial"/>
          <w:sz w:val="24"/>
          <w:szCs w:val="24"/>
        </w:rPr>
        <w:t xml:space="preserve">There is also increasing evidence that commensal and probiotic bacteria can alter the expression of tight junction proteins and modulate the signal transduction pathways </w:t>
      </w:r>
      <w:r w:rsidR="006A2D50">
        <w:rPr>
          <w:rFonts w:ascii="Arial" w:hAnsi="Arial" w:cs="Arial"/>
          <w:sz w:val="24"/>
          <w:szCs w:val="24"/>
        </w:rPr>
        <w:t>regulating</w:t>
      </w:r>
      <w:r>
        <w:rPr>
          <w:rFonts w:ascii="Arial" w:hAnsi="Arial" w:cs="Arial"/>
          <w:sz w:val="24"/>
          <w:szCs w:val="24"/>
        </w:rPr>
        <w:t xml:space="preserve"> tight juncti</w:t>
      </w:r>
      <w:r w:rsidR="006A2D50">
        <w:rPr>
          <w:rFonts w:ascii="Arial" w:hAnsi="Arial" w:cs="Arial"/>
          <w:sz w:val="24"/>
          <w:szCs w:val="24"/>
        </w:rPr>
        <w:t>o</w:t>
      </w:r>
      <w:r>
        <w:rPr>
          <w:rFonts w:ascii="Arial" w:hAnsi="Arial" w:cs="Arial"/>
          <w:sz w:val="24"/>
          <w:szCs w:val="24"/>
        </w:rPr>
        <w:t xml:space="preserve">n permeability (J Nutr 2011;141:769-76). </w:t>
      </w:r>
      <w:r w:rsidR="00BC6A2B">
        <w:rPr>
          <w:rFonts w:ascii="Arial" w:hAnsi="Arial" w:cs="Arial"/>
          <w:sz w:val="24"/>
          <w:szCs w:val="24"/>
        </w:rPr>
        <w:t>More re</w:t>
      </w:r>
      <w:r w:rsidR="003F4261">
        <w:rPr>
          <w:rFonts w:ascii="Arial" w:hAnsi="Arial" w:cs="Arial"/>
          <w:sz w:val="24"/>
          <w:szCs w:val="24"/>
        </w:rPr>
        <w:t xml:space="preserve">cently it shown that reactive oxygen species released by commensal bacteria can enhance the healing of small wounds in intestinal epithelial through the inactivation of adhesion kinase phosphatases (PNAS 2011;108:8803-8).   </w:t>
      </w:r>
    </w:p>
    <w:p w:rsidR="00C36520" w:rsidRDefault="00C36520" w:rsidP="00A675AB">
      <w:pPr>
        <w:spacing w:after="0"/>
        <w:jc w:val="both"/>
        <w:rPr>
          <w:rFonts w:ascii="Arial" w:hAnsi="Arial" w:cs="Arial"/>
          <w:sz w:val="24"/>
          <w:szCs w:val="24"/>
        </w:rPr>
      </w:pPr>
    </w:p>
    <w:p w:rsidR="0069201C" w:rsidRDefault="006A214F" w:rsidP="007E0E32">
      <w:pPr>
        <w:spacing w:after="0"/>
        <w:jc w:val="both"/>
        <w:rPr>
          <w:rFonts w:ascii="Arial" w:hAnsi="Arial" w:cs="Arial"/>
          <w:sz w:val="24"/>
          <w:szCs w:val="24"/>
        </w:rPr>
      </w:pPr>
      <w:r>
        <w:rPr>
          <w:rFonts w:ascii="Arial" w:hAnsi="Arial" w:cs="Arial"/>
          <w:sz w:val="24"/>
          <w:szCs w:val="24"/>
        </w:rPr>
        <w:t>The striking finding of this study is that a short dietary change before weaning can have a long-term impact on the severity of inflammatory responses without changing the basal physiology of the GI tract in terms of barrier function and cytokine profile. However when challenged with LPS the mucosa of the HP pigs 4 months after weaning has reduced cytokines responses and less activation of NF-</w:t>
      </w:r>
      <w:r>
        <w:rPr>
          <w:rFonts w:ascii="Arial" w:hAnsi="Arial" w:cs="Arial"/>
          <w:sz w:val="24"/>
          <w:szCs w:val="24"/>
        </w:rPr>
        <w:sym w:font="Symbol" w:char="F06B"/>
      </w:r>
      <w:r>
        <w:rPr>
          <w:rFonts w:ascii="Arial" w:hAnsi="Arial" w:cs="Arial"/>
          <w:sz w:val="24"/>
          <w:szCs w:val="24"/>
        </w:rPr>
        <w:t>B.</w:t>
      </w:r>
      <w:r w:rsidR="006C19CC">
        <w:rPr>
          <w:rFonts w:ascii="Arial" w:hAnsi="Arial" w:cs="Arial"/>
          <w:sz w:val="24"/>
          <w:szCs w:val="24"/>
        </w:rPr>
        <w:t xml:space="preserve"> However there are some important c</w:t>
      </w:r>
      <w:r w:rsidR="007E0E32" w:rsidRPr="007E0E32">
        <w:rPr>
          <w:rFonts w:ascii="Arial" w:hAnsi="Arial" w:cs="Arial"/>
          <w:sz w:val="24"/>
          <w:szCs w:val="24"/>
        </w:rPr>
        <w:t xml:space="preserve">aveats </w:t>
      </w:r>
      <w:r w:rsidR="006C19CC">
        <w:rPr>
          <w:rFonts w:ascii="Arial" w:hAnsi="Arial" w:cs="Arial"/>
          <w:sz w:val="24"/>
          <w:szCs w:val="24"/>
        </w:rPr>
        <w:t xml:space="preserve">that should be stated before general conclusions are drawn. The study of the inflammatory response was </w:t>
      </w:r>
      <w:r w:rsidR="006C19CC">
        <w:rPr>
          <w:rFonts w:ascii="Arial" w:hAnsi="Arial" w:cs="Arial"/>
          <w:i/>
          <w:sz w:val="24"/>
          <w:szCs w:val="24"/>
        </w:rPr>
        <w:t>in vitro</w:t>
      </w:r>
      <w:r w:rsidR="006C19CC">
        <w:rPr>
          <w:rFonts w:ascii="Arial" w:hAnsi="Arial" w:cs="Arial"/>
          <w:sz w:val="24"/>
          <w:szCs w:val="24"/>
        </w:rPr>
        <w:t xml:space="preserve"> and not of a well characterized </w:t>
      </w:r>
      <w:r w:rsidR="006C19CC">
        <w:rPr>
          <w:rFonts w:ascii="Arial" w:hAnsi="Arial" w:cs="Arial"/>
          <w:i/>
          <w:sz w:val="24"/>
          <w:szCs w:val="24"/>
        </w:rPr>
        <w:t>in vivo</w:t>
      </w:r>
      <w:r w:rsidR="006C19CC">
        <w:rPr>
          <w:rFonts w:ascii="Arial" w:hAnsi="Arial" w:cs="Arial"/>
          <w:sz w:val="24"/>
          <w:szCs w:val="24"/>
        </w:rPr>
        <w:t xml:space="preserve"> model of gut inflammation.</w:t>
      </w:r>
      <w:r w:rsidR="007E0E32" w:rsidRPr="007E0E32">
        <w:rPr>
          <w:rFonts w:ascii="Arial" w:hAnsi="Arial" w:cs="Arial"/>
          <w:sz w:val="24"/>
          <w:szCs w:val="24"/>
        </w:rPr>
        <w:t xml:space="preserve"> </w:t>
      </w:r>
      <w:r w:rsidR="006A2D50">
        <w:rPr>
          <w:rFonts w:ascii="Arial" w:hAnsi="Arial" w:cs="Arial"/>
          <w:sz w:val="24"/>
          <w:szCs w:val="24"/>
        </w:rPr>
        <w:t>This is particularly important as a dampened inflammatory response could reduce chronic inflammation but exacerbate acute inflammation (</w:t>
      </w:r>
      <w:r w:rsidR="002136E2">
        <w:rPr>
          <w:rFonts w:ascii="Arial" w:hAnsi="Arial" w:cs="Arial"/>
          <w:sz w:val="24"/>
          <w:szCs w:val="24"/>
        </w:rPr>
        <w:t>Current Topics Microbiology 2011;349:145-58)</w:t>
      </w:r>
      <w:r w:rsidR="006A2D50">
        <w:rPr>
          <w:rFonts w:ascii="Arial" w:hAnsi="Arial" w:cs="Arial"/>
          <w:sz w:val="24"/>
          <w:szCs w:val="24"/>
        </w:rPr>
        <w:t xml:space="preserve">. </w:t>
      </w:r>
      <w:r w:rsidR="006C19CC">
        <w:rPr>
          <w:rFonts w:ascii="Arial" w:hAnsi="Arial" w:cs="Arial"/>
          <w:sz w:val="24"/>
          <w:szCs w:val="24"/>
        </w:rPr>
        <w:t xml:space="preserve">The study design does not allow a clear conclusion to be drawn over whether the long terms effects well because of increased protein or less fat content of the milk formula. There is already precedence for dietary fat to influence the incidence of inflammatory bowel disease. </w:t>
      </w:r>
      <w:r w:rsidR="006C19CC">
        <w:rPr>
          <w:rFonts w:ascii="Arial" w:hAnsi="Arial" w:cs="Arial"/>
          <w:sz w:val="24"/>
          <w:szCs w:val="24"/>
          <w:lang w:bidi="ar-SA"/>
        </w:rPr>
        <w:t xml:space="preserve">Individuals with the highest relative concentrations of arachidonic acid in adipose tissue have a significantly greater risk of developing UC. </w:t>
      </w:r>
      <w:r w:rsidR="006C19CC">
        <w:rPr>
          <w:rFonts w:ascii="Arial" w:hAnsi="Arial" w:cs="Arial"/>
          <w:sz w:val="24"/>
          <w:szCs w:val="24"/>
        </w:rPr>
        <w:t>(</w:t>
      </w:r>
      <w:r w:rsidR="0069201C">
        <w:rPr>
          <w:rFonts w:ascii="Arial" w:hAnsi="Arial" w:cs="Arial"/>
          <w:sz w:val="24"/>
          <w:szCs w:val="24"/>
        </w:rPr>
        <w:t>Gastroenterology 2</w:t>
      </w:r>
      <w:r w:rsidR="0069201C" w:rsidRPr="006C19CC">
        <w:rPr>
          <w:rFonts w:ascii="Arial" w:hAnsi="Arial" w:cs="Arial"/>
          <w:sz w:val="24"/>
          <w:szCs w:val="24"/>
        </w:rPr>
        <w:t>010 Dec;139(6):1912-7</w:t>
      </w:r>
      <w:r w:rsidR="006C19CC">
        <w:rPr>
          <w:rFonts w:ascii="Arial" w:hAnsi="Arial" w:cs="Arial"/>
          <w:lang w:bidi="ar-SA"/>
        </w:rPr>
        <w:t>)</w:t>
      </w:r>
      <w:r w:rsidR="0069201C">
        <w:rPr>
          <w:rFonts w:ascii="Arial" w:hAnsi="Arial" w:cs="Arial"/>
          <w:lang w:bidi="ar-SA"/>
        </w:rPr>
        <w:t xml:space="preserve">. </w:t>
      </w:r>
    </w:p>
    <w:p w:rsidR="006C19CC" w:rsidRDefault="006C19CC" w:rsidP="007E0E32">
      <w:pPr>
        <w:spacing w:after="0"/>
        <w:jc w:val="both"/>
        <w:rPr>
          <w:rFonts w:ascii="Arial" w:hAnsi="Arial" w:cs="Arial"/>
          <w:sz w:val="24"/>
          <w:szCs w:val="24"/>
          <w:lang w:bidi="ar-SA"/>
        </w:rPr>
      </w:pPr>
    </w:p>
    <w:p w:rsidR="007E0E32" w:rsidRPr="00E232C2" w:rsidRDefault="006C19CC" w:rsidP="007E0E32">
      <w:pPr>
        <w:spacing w:after="0"/>
        <w:jc w:val="both"/>
        <w:rPr>
          <w:rFonts w:ascii="Arial" w:hAnsi="Arial" w:cs="Arial"/>
          <w:sz w:val="24"/>
          <w:szCs w:val="24"/>
        </w:rPr>
      </w:pPr>
      <w:r>
        <w:rPr>
          <w:rFonts w:ascii="Arial" w:hAnsi="Arial" w:cs="Arial"/>
          <w:sz w:val="24"/>
          <w:szCs w:val="24"/>
          <w:lang w:bidi="ar-SA"/>
        </w:rPr>
        <w:t xml:space="preserve">Nonetheless this study provides strong support for the idea and diet in early life when the gut microbiota and mucosal immune system are being established could have an important influence in later life on inflammatory conditions such Inflammatory Bowel Disease and other </w:t>
      </w:r>
      <w:r w:rsidR="006A2D50">
        <w:rPr>
          <w:rFonts w:ascii="Arial" w:hAnsi="Arial" w:cs="Arial"/>
          <w:sz w:val="24"/>
          <w:szCs w:val="24"/>
          <w:lang w:bidi="ar-SA"/>
        </w:rPr>
        <w:t xml:space="preserve">more widespread </w:t>
      </w:r>
      <w:r>
        <w:rPr>
          <w:rFonts w:ascii="Arial" w:hAnsi="Arial" w:cs="Arial"/>
          <w:sz w:val="24"/>
          <w:szCs w:val="24"/>
          <w:lang w:bidi="ar-SA"/>
        </w:rPr>
        <w:t xml:space="preserve">inflammatory conditions such as </w:t>
      </w:r>
      <w:r w:rsidR="006A2D50">
        <w:rPr>
          <w:rFonts w:ascii="Arial" w:hAnsi="Arial" w:cs="Arial"/>
          <w:sz w:val="24"/>
          <w:szCs w:val="24"/>
        </w:rPr>
        <w:t>arthritis, fatty liver disease, type 1 and type 2 diabetes and obesity. Furthermore this study s</w:t>
      </w:r>
      <w:r w:rsidR="007E0E32">
        <w:rPr>
          <w:rFonts w:ascii="Arial" w:hAnsi="Arial" w:cs="Arial"/>
          <w:sz w:val="24"/>
          <w:szCs w:val="24"/>
        </w:rPr>
        <w:t>uggests that early intervention in infancy might therapeutic in high risk of chronic inflammation</w:t>
      </w:r>
      <w:r w:rsidR="006A2D50">
        <w:rPr>
          <w:rFonts w:ascii="Arial" w:hAnsi="Arial" w:cs="Arial"/>
          <w:sz w:val="24"/>
          <w:szCs w:val="24"/>
        </w:rPr>
        <w:t xml:space="preserve"> or allergy</w:t>
      </w:r>
      <w:r w:rsidR="007E0E32">
        <w:rPr>
          <w:rFonts w:ascii="Arial" w:hAnsi="Arial" w:cs="Arial"/>
          <w:sz w:val="24"/>
          <w:szCs w:val="24"/>
        </w:rPr>
        <w:t>.</w:t>
      </w:r>
    </w:p>
    <w:p w:rsidR="006A214F" w:rsidRDefault="006A214F" w:rsidP="00BD45D7">
      <w:pPr>
        <w:spacing w:after="0"/>
        <w:jc w:val="both"/>
        <w:rPr>
          <w:rFonts w:ascii="Arial" w:hAnsi="Arial" w:cs="Arial"/>
          <w:sz w:val="24"/>
          <w:szCs w:val="24"/>
        </w:rPr>
      </w:pPr>
    </w:p>
    <w:p w:rsidR="007E0E32" w:rsidRDefault="007E0E32"/>
    <w:sectPr w:rsidR="007E0E32" w:rsidSect="00684238">
      <w:headerReference w:type="default" r:id="rId8"/>
      <w:pgSz w:w="11906" w:h="16838" w:code="9"/>
      <w:pgMar w:top="1440" w:right="1440" w:bottom="1440" w:left="1440" w:header="709" w:footer="709"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1D50" w:rsidRDefault="009E1D50" w:rsidP="00684238">
      <w:pPr>
        <w:spacing w:after="0" w:line="240" w:lineRule="auto"/>
      </w:pPr>
      <w:r>
        <w:separator/>
      </w:r>
    </w:p>
  </w:endnote>
  <w:endnote w:type="continuationSeparator" w:id="0">
    <w:p w:rsidR="009E1D50" w:rsidRDefault="009E1D50" w:rsidP="006842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1D50" w:rsidRDefault="009E1D50" w:rsidP="00684238">
      <w:pPr>
        <w:spacing w:after="0" w:line="240" w:lineRule="auto"/>
      </w:pPr>
      <w:r>
        <w:separator/>
      </w:r>
    </w:p>
  </w:footnote>
  <w:footnote w:type="continuationSeparator" w:id="0">
    <w:p w:rsidR="009E1D50" w:rsidRDefault="009E1D50" w:rsidP="00684238">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5053189"/>
      <w:docPartObj>
        <w:docPartGallery w:val="Page Numbers (Top of Page)"/>
        <w:docPartUnique/>
      </w:docPartObj>
    </w:sdtPr>
    <w:sdtContent>
      <w:p w:rsidR="009E1D50" w:rsidRDefault="009E1D50">
        <w:pPr>
          <w:pStyle w:val="Header"/>
          <w:jc w:val="right"/>
        </w:pPr>
        <w:r>
          <w:t xml:space="preserve">Page </w:t>
        </w:r>
        <w:r w:rsidR="00661933">
          <w:rPr>
            <w:b/>
            <w:sz w:val="24"/>
            <w:szCs w:val="24"/>
          </w:rPr>
          <w:fldChar w:fldCharType="begin"/>
        </w:r>
        <w:r>
          <w:rPr>
            <w:b/>
          </w:rPr>
          <w:instrText xml:space="preserve"> PAGE </w:instrText>
        </w:r>
        <w:r w:rsidR="00661933">
          <w:rPr>
            <w:b/>
            <w:sz w:val="24"/>
            <w:szCs w:val="24"/>
          </w:rPr>
          <w:fldChar w:fldCharType="separate"/>
        </w:r>
        <w:r w:rsidR="006943DF">
          <w:rPr>
            <w:b/>
            <w:noProof/>
          </w:rPr>
          <w:t>2</w:t>
        </w:r>
        <w:r w:rsidR="00661933">
          <w:rPr>
            <w:b/>
            <w:sz w:val="24"/>
            <w:szCs w:val="24"/>
          </w:rPr>
          <w:fldChar w:fldCharType="end"/>
        </w:r>
        <w:r>
          <w:t xml:space="preserve"> of </w:t>
        </w:r>
        <w:r w:rsidR="00661933">
          <w:rPr>
            <w:b/>
            <w:sz w:val="24"/>
            <w:szCs w:val="24"/>
          </w:rPr>
          <w:fldChar w:fldCharType="begin"/>
        </w:r>
        <w:r>
          <w:rPr>
            <w:b/>
          </w:rPr>
          <w:instrText xml:space="preserve"> NUMPAGES  </w:instrText>
        </w:r>
        <w:r w:rsidR="00661933">
          <w:rPr>
            <w:b/>
            <w:sz w:val="24"/>
            <w:szCs w:val="24"/>
          </w:rPr>
          <w:fldChar w:fldCharType="separate"/>
        </w:r>
        <w:r w:rsidR="006943DF">
          <w:rPr>
            <w:b/>
            <w:noProof/>
          </w:rPr>
          <w:t>5</w:t>
        </w:r>
        <w:r w:rsidR="00661933">
          <w:rPr>
            <w:b/>
            <w:sz w:val="24"/>
            <w:szCs w:val="24"/>
          </w:rPr>
          <w:fldChar w:fldCharType="end"/>
        </w:r>
      </w:p>
    </w:sdtContent>
  </w:sdt>
  <w:p w:rsidR="009E1D50" w:rsidRDefault="009E1D50">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016530E"/>
    <w:multiLevelType w:val="hybridMultilevel"/>
    <w:tmpl w:val="F13AC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F5453B"/>
    <w:multiLevelType w:val="hybridMultilevel"/>
    <w:tmpl w:val="7A1E6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E827B74"/>
    <w:multiLevelType w:val="hybridMultilevel"/>
    <w:tmpl w:val="D3A4F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20"/>
  <w:hyphenationZone w:val="425"/>
  <w:characterSpacingControl w:val="doNotCompress"/>
  <w:footnotePr>
    <w:footnote w:id="-1"/>
    <w:footnote w:id="0"/>
  </w:footnotePr>
  <w:endnotePr>
    <w:endnote w:id="-1"/>
    <w:endnote w:id="0"/>
  </w:endnotePr>
  <w:compat>
    <w:useFELayout/>
  </w:compat>
  <w:rsids>
    <w:rsidRoot w:val="003F6AB2"/>
    <w:rsid w:val="000074D0"/>
    <w:rsid w:val="00010D61"/>
    <w:rsid w:val="00014E67"/>
    <w:rsid w:val="00022384"/>
    <w:rsid w:val="000251E1"/>
    <w:rsid w:val="000259A7"/>
    <w:rsid w:val="00030BBE"/>
    <w:rsid w:val="00034FBF"/>
    <w:rsid w:val="00035E60"/>
    <w:rsid w:val="00041001"/>
    <w:rsid w:val="00044339"/>
    <w:rsid w:val="0004799C"/>
    <w:rsid w:val="0005660F"/>
    <w:rsid w:val="00061F90"/>
    <w:rsid w:val="00062FD3"/>
    <w:rsid w:val="00064491"/>
    <w:rsid w:val="00067D49"/>
    <w:rsid w:val="00077696"/>
    <w:rsid w:val="000804B0"/>
    <w:rsid w:val="00087521"/>
    <w:rsid w:val="00087C92"/>
    <w:rsid w:val="000A02B5"/>
    <w:rsid w:val="000B0F2C"/>
    <w:rsid w:val="000B0F9D"/>
    <w:rsid w:val="000B1775"/>
    <w:rsid w:val="000B6BA0"/>
    <w:rsid w:val="000C1677"/>
    <w:rsid w:val="000D2487"/>
    <w:rsid w:val="000E0C53"/>
    <w:rsid w:val="000E629E"/>
    <w:rsid w:val="000F59DA"/>
    <w:rsid w:val="001022CD"/>
    <w:rsid w:val="00105404"/>
    <w:rsid w:val="0010656C"/>
    <w:rsid w:val="00114FFF"/>
    <w:rsid w:val="00115211"/>
    <w:rsid w:val="0011795E"/>
    <w:rsid w:val="001219E5"/>
    <w:rsid w:val="00121C1A"/>
    <w:rsid w:val="00126CDA"/>
    <w:rsid w:val="00133545"/>
    <w:rsid w:val="00141F7D"/>
    <w:rsid w:val="00142BD9"/>
    <w:rsid w:val="001470C6"/>
    <w:rsid w:val="001473E8"/>
    <w:rsid w:val="00165055"/>
    <w:rsid w:val="0017295D"/>
    <w:rsid w:val="00174CC2"/>
    <w:rsid w:val="00183BD6"/>
    <w:rsid w:val="00185A51"/>
    <w:rsid w:val="00190DE1"/>
    <w:rsid w:val="00196EF9"/>
    <w:rsid w:val="001B0630"/>
    <w:rsid w:val="001C1072"/>
    <w:rsid w:val="001C32F6"/>
    <w:rsid w:val="001C343A"/>
    <w:rsid w:val="001D419E"/>
    <w:rsid w:val="001F4EB5"/>
    <w:rsid w:val="002028BB"/>
    <w:rsid w:val="00210FD5"/>
    <w:rsid w:val="00211036"/>
    <w:rsid w:val="002136E2"/>
    <w:rsid w:val="002148F5"/>
    <w:rsid w:val="00215428"/>
    <w:rsid w:val="00217E29"/>
    <w:rsid w:val="00220C0F"/>
    <w:rsid w:val="00222C8E"/>
    <w:rsid w:val="00233913"/>
    <w:rsid w:val="00236805"/>
    <w:rsid w:val="00240295"/>
    <w:rsid w:val="002414EA"/>
    <w:rsid w:val="002422FD"/>
    <w:rsid w:val="00242990"/>
    <w:rsid w:val="00243A0B"/>
    <w:rsid w:val="00245A49"/>
    <w:rsid w:val="0024697D"/>
    <w:rsid w:val="0024790C"/>
    <w:rsid w:val="002527C8"/>
    <w:rsid w:val="002667B1"/>
    <w:rsid w:val="00274949"/>
    <w:rsid w:val="002809B4"/>
    <w:rsid w:val="0028269A"/>
    <w:rsid w:val="0028703C"/>
    <w:rsid w:val="002A4257"/>
    <w:rsid w:val="002B6146"/>
    <w:rsid w:val="002C0085"/>
    <w:rsid w:val="002C11AC"/>
    <w:rsid w:val="002C44C6"/>
    <w:rsid w:val="002D100A"/>
    <w:rsid w:val="002D112C"/>
    <w:rsid w:val="002D45F1"/>
    <w:rsid w:val="002D52C9"/>
    <w:rsid w:val="002E6267"/>
    <w:rsid w:val="002E7203"/>
    <w:rsid w:val="002F6F14"/>
    <w:rsid w:val="003027B0"/>
    <w:rsid w:val="00303BD4"/>
    <w:rsid w:val="00310050"/>
    <w:rsid w:val="003116CF"/>
    <w:rsid w:val="0032160E"/>
    <w:rsid w:val="00323518"/>
    <w:rsid w:val="00326B6B"/>
    <w:rsid w:val="00333C94"/>
    <w:rsid w:val="0033723B"/>
    <w:rsid w:val="00343AD2"/>
    <w:rsid w:val="00344417"/>
    <w:rsid w:val="003472FA"/>
    <w:rsid w:val="0035585D"/>
    <w:rsid w:val="003566E2"/>
    <w:rsid w:val="00362C76"/>
    <w:rsid w:val="00364684"/>
    <w:rsid w:val="003678AA"/>
    <w:rsid w:val="0037221D"/>
    <w:rsid w:val="0037224D"/>
    <w:rsid w:val="00386A7C"/>
    <w:rsid w:val="00394EFC"/>
    <w:rsid w:val="003A1EC3"/>
    <w:rsid w:val="003A68D5"/>
    <w:rsid w:val="003B05ED"/>
    <w:rsid w:val="003B19DE"/>
    <w:rsid w:val="003B42C8"/>
    <w:rsid w:val="003B6EED"/>
    <w:rsid w:val="003C3A45"/>
    <w:rsid w:val="003C77AA"/>
    <w:rsid w:val="003D7F02"/>
    <w:rsid w:val="003E5A60"/>
    <w:rsid w:val="003E5FAB"/>
    <w:rsid w:val="003F0C33"/>
    <w:rsid w:val="003F3EF5"/>
    <w:rsid w:val="003F4261"/>
    <w:rsid w:val="003F6AB2"/>
    <w:rsid w:val="004019FD"/>
    <w:rsid w:val="004043B9"/>
    <w:rsid w:val="004103E8"/>
    <w:rsid w:val="00410B79"/>
    <w:rsid w:val="00421F35"/>
    <w:rsid w:val="00422122"/>
    <w:rsid w:val="00424E03"/>
    <w:rsid w:val="00424F93"/>
    <w:rsid w:val="004268BA"/>
    <w:rsid w:val="004273AC"/>
    <w:rsid w:val="00427DDB"/>
    <w:rsid w:val="00436130"/>
    <w:rsid w:val="00440384"/>
    <w:rsid w:val="004442F1"/>
    <w:rsid w:val="0044710E"/>
    <w:rsid w:val="00452A5C"/>
    <w:rsid w:val="00455273"/>
    <w:rsid w:val="004669D5"/>
    <w:rsid w:val="00483295"/>
    <w:rsid w:val="0049378D"/>
    <w:rsid w:val="004969E5"/>
    <w:rsid w:val="004A0173"/>
    <w:rsid w:val="004A0A00"/>
    <w:rsid w:val="004A1D2E"/>
    <w:rsid w:val="004A2940"/>
    <w:rsid w:val="004A3ABA"/>
    <w:rsid w:val="004B0A64"/>
    <w:rsid w:val="004C6365"/>
    <w:rsid w:val="004D5432"/>
    <w:rsid w:val="004D596C"/>
    <w:rsid w:val="004E20B3"/>
    <w:rsid w:val="004F458C"/>
    <w:rsid w:val="004F5E62"/>
    <w:rsid w:val="00500393"/>
    <w:rsid w:val="00501640"/>
    <w:rsid w:val="00501F56"/>
    <w:rsid w:val="0053072A"/>
    <w:rsid w:val="00532197"/>
    <w:rsid w:val="005343C4"/>
    <w:rsid w:val="00540DE1"/>
    <w:rsid w:val="005415DA"/>
    <w:rsid w:val="0055532C"/>
    <w:rsid w:val="00560996"/>
    <w:rsid w:val="00561382"/>
    <w:rsid w:val="00562100"/>
    <w:rsid w:val="005657E1"/>
    <w:rsid w:val="00567042"/>
    <w:rsid w:val="005706FD"/>
    <w:rsid w:val="00577855"/>
    <w:rsid w:val="00580ABD"/>
    <w:rsid w:val="00583AA9"/>
    <w:rsid w:val="0058536E"/>
    <w:rsid w:val="00585F37"/>
    <w:rsid w:val="00593469"/>
    <w:rsid w:val="00593931"/>
    <w:rsid w:val="00594741"/>
    <w:rsid w:val="00596506"/>
    <w:rsid w:val="005A1F35"/>
    <w:rsid w:val="005A4267"/>
    <w:rsid w:val="005A44FE"/>
    <w:rsid w:val="005B6EA0"/>
    <w:rsid w:val="005C17E9"/>
    <w:rsid w:val="005C3CD6"/>
    <w:rsid w:val="005D3583"/>
    <w:rsid w:val="005F055B"/>
    <w:rsid w:val="005F189B"/>
    <w:rsid w:val="005F485B"/>
    <w:rsid w:val="005F4B4D"/>
    <w:rsid w:val="00600713"/>
    <w:rsid w:val="00600FFF"/>
    <w:rsid w:val="006063AE"/>
    <w:rsid w:val="00612B48"/>
    <w:rsid w:val="00615034"/>
    <w:rsid w:val="00620CA3"/>
    <w:rsid w:val="006273FE"/>
    <w:rsid w:val="006275DD"/>
    <w:rsid w:val="006370B8"/>
    <w:rsid w:val="0063717C"/>
    <w:rsid w:val="00642F34"/>
    <w:rsid w:val="00645776"/>
    <w:rsid w:val="00645BE3"/>
    <w:rsid w:val="00647D91"/>
    <w:rsid w:val="00650F4F"/>
    <w:rsid w:val="006546CD"/>
    <w:rsid w:val="00654DD6"/>
    <w:rsid w:val="00661933"/>
    <w:rsid w:val="006646F0"/>
    <w:rsid w:val="00666FC7"/>
    <w:rsid w:val="00671AD9"/>
    <w:rsid w:val="00671B3F"/>
    <w:rsid w:val="00671E47"/>
    <w:rsid w:val="00673DE4"/>
    <w:rsid w:val="00675069"/>
    <w:rsid w:val="00675506"/>
    <w:rsid w:val="00681325"/>
    <w:rsid w:val="00684238"/>
    <w:rsid w:val="0069201C"/>
    <w:rsid w:val="006924BA"/>
    <w:rsid w:val="006943DF"/>
    <w:rsid w:val="006A1283"/>
    <w:rsid w:val="006A214F"/>
    <w:rsid w:val="006A2D50"/>
    <w:rsid w:val="006A4393"/>
    <w:rsid w:val="006A47FE"/>
    <w:rsid w:val="006A56B4"/>
    <w:rsid w:val="006B3542"/>
    <w:rsid w:val="006C19CC"/>
    <w:rsid w:val="006C25F7"/>
    <w:rsid w:val="006C309D"/>
    <w:rsid w:val="006D2CB2"/>
    <w:rsid w:val="006E251E"/>
    <w:rsid w:val="006F73C3"/>
    <w:rsid w:val="007001AA"/>
    <w:rsid w:val="0070300B"/>
    <w:rsid w:val="00707522"/>
    <w:rsid w:val="00710900"/>
    <w:rsid w:val="00710AF9"/>
    <w:rsid w:val="00711457"/>
    <w:rsid w:val="00713C32"/>
    <w:rsid w:val="00713E85"/>
    <w:rsid w:val="00714CCE"/>
    <w:rsid w:val="00716E62"/>
    <w:rsid w:val="0072245F"/>
    <w:rsid w:val="00723D1A"/>
    <w:rsid w:val="00733569"/>
    <w:rsid w:val="0074018A"/>
    <w:rsid w:val="0074723D"/>
    <w:rsid w:val="00751A4C"/>
    <w:rsid w:val="007621DA"/>
    <w:rsid w:val="00762D1F"/>
    <w:rsid w:val="007658AC"/>
    <w:rsid w:val="007723B8"/>
    <w:rsid w:val="007734C0"/>
    <w:rsid w:val="007752CE"/>
    <w:rsid w:val="0077575F"/>
    <w:rsid w:val="007876DC"/>
    <w:rsid w:val="00791F67"/>
    <w:rsid w:val="007C72FE"/>
    <w:rsid w:val="007D2858"/>
    <w:rsid w:val="007D2E30"/>
    <w:rsid w:val="007D6352"/>
    <w:rsid w:val="007E0E32"/>
    <w:rsid w:val="007E7771"/>
    <w:rsid w:val="007F18E2"/>
    <w:rsid w:val="007F59D6"/>
    <w:rsid w:val="0081213C"/>
    <w:rsid w:val="00823414"/>
    <w:rsid w:val="00832BF7"/>
    <w:rsid w:val="0083794B"/>
    <w:rsid w:val="00862C73"/>
    <w:rsid w:val="00862F8F"/>
    <w:rsid w:val="00863CF6"/>
    <w:rsid w:val="00865786"/>
    <w:rsid w:val="00867188"/>
    <w:rsid w:val="008723AB"/>
    <w:rsid w:val="00877480"/>
    <w:rsid w:val="00887E66"/>
    <w:rsid w:val="00894B83"/>
    <w:rsid w:val="008A0F3E"/>
    <w:rsid w:val="008A560B"/>
    <w:rsid w:val="008C514F"/>
    <w:rsid w:val="008C6A50"/>
    <w:rsid w:val="008D07A7"/>
    <w:rsid w:val="008D24A4"/>
    <w:rsid w:val="008E284F"/>
    <w:rsid w:val="008F2809"/>
    <w:rsid w:val="00915C59"/>
    <w:rsid w:val="00916B2A"/>
    <w:rsid w:val="0091711A"/>
    <w:rsid w:val="00934DB9"/>
    <w:rsid w:val="00961755"/>
    <w:rsid w:val="009636CF"/>
    <w:rsid w:val="00964B10"/>
    <w:rsid w:val="00971D8D"/>
    <w:rsid w:val="0097341B"/>
    <w:rsid w:val="00981D4D"/>
    <w:rsid w:val="00983A2C"/>
    <w:rsid w:val="00990922"/>
    <w:rsid w:val="009936D5"/>
    <w:rsid w:val="00994ACC"/>
    <w:rsid w:val="009A142C"/>
    <w:rsid w:val="009A3E03"/>
    <w:rsid w:val="009B19C2"/>
    <w:rsid w:val="009C5F84"/>
    <w:rsid w:val="009C72C4"/>
    <w:rsid w:val="009D0E9F"/>
    <w:rsid w:val="009D5AEB"/>
    <w:rsid w:val="009D68C4"/>
    <w:rsid w:val="009E1D50"/>
    <w:rsid w:val="009F34DA"/>
    <w:rsid w:val="009F75E9"/>
    <w:rsid w:val="00A0189F"/>
    <w:rsid w:val="00A04AC0"/>
    <w:rsid w:val="00A207B0"/>
    <w:rsid w:val="00A2530E"/>
    <w:rsid w:val="00A418CD"/>
    <w:rsid w:val="00A47C28"/>
    <w:rsid w:val="00A55440"/>
    <w:rsid w:val="00A61AC0"/>
    <w:rsid w:val="00A675AB"/>
    <w:rsid w:val="00A675C8"/>
    <w:rsid w:val="00A70414"/>
    <w:rsid w:val="00A83D6F"/>
    <w:rsid w:val="00A909D6"/>
    <w:rsid w:val="00A91C2D"/>
    <w:rsid w:val="00AA51AF"/>
    <w:rsid w:val="00AB27F4"/>
    <w:rsid w:val="00AD3F41"/>
    <w:rsid w:val="00AD4FC9"/>
    <w:rsid w:val="00AD5D37"/>
    <w:rsid w:val="00AF5028"/>
    <w:rsid w:val="00B1427B"/>
    <w:rsid w:val="00B203EC"/>
    <w:rsid w:val="00B22ED4"/>
    <w:rsid w:val="00B239CE"/>
    <w:rsid w:val="00B32044"/>
    <w:rsid w:val="00B35B98"/>
    <w:rsid w:val="00B37B32"/>
    <w:rsid w:val="00B41CA9"/>
    <w:rsid w:val="00B42AEC"/>
    <w:rsid w:val="00B52D66"/>
    <w:rsid w:val="00B52EF3"/>
    <w:rsid w:val="00B600B3"/>
    <w:rsid w:val="00B63691"/>
    <w:rsid w:val="00B6674F"/>
    <w:rsid w:val="00B70A54"/>
    <w:rsid w:val="00B70B1F"/>
    <w:rsid w:val="00B70E5A"/>
    <w:rsid w:val="00B71F5E"/>
    <w:rsid w:val="00B7661A"/>
    <w:rsid w:val="00B76C31"/>
    <w:rsid w:val="00B80500"/>
    <w:rsid w:val="00B80773"/>
    <w:rsid w:val="00B81C56"/>
    <w:rsid w:val="00B8204D"/>
    <w:rsid w:val="00B84F35"/>
    <w:rsid w:val="00B85C82"/>
    <w:rsid w:val="00B865E0"/>
    <w:rsid w:val="00B866B3"/>
    <w:rsid w:val="00B869B8"/>
    <w:rsid w:val="00B93500"/>
    <w:rsid w:val="00B951E9"/>
    <w:rsid w:val="00BB3156"/>
    <w:rsid w:val="00BB5D4F"/>
    <w:rsid w:val="00BC6A2B"/>
    <w:rsid w:val="00BD4497"/>
    <w:rsid w:val="00BD45D7"/>
    <w:rsid w:val="00BD5807"/>
    <w:rsid w:val="00BE51A3"/>
    <w:rsid w:val="00BE5964"/>
    <w:rsid w:val="00C04541"/>
    <w:rsid w:val="00C07F36"/>
    <w:rsid w:val="00C118BD"/>
    <w:rsid w:val="00C17A86"/>
    <w:rsid w:val="00C17D8E"/>
    <w:rsid w:val="00C356D0"/>
    <w:rsid w:val="00C35E64"/>
    <w:rsid w:val="00C36520"/>
    <w:rsid w:val="00C37AA2"/>
    <w:rsid w:val="00C55F17"/>
    <w:rsid w:val="00C57909"/>
    <w:rsid w:val="00C60D90"/>
    <w:rsid w:val="00C62030"/>
    <w:rsid w:val="00C71540"/>
    <w:rsid w:val="00C751FD"/>
    <w:rsid w:val="00C84485"/>
    <w:rsid w:val="00C847DD"/>
    <w:rsid w:val="00C92520"/>
    <w:rsid w:val="00C96855"/>
    <w:rsid w:val="00C96B34"/>
    <w:rsid w:val="00CB10C4"/>
    <w:rsid w:val="00CB23A0"/>
    <w:rsid w:val="00CB4448"/>
    <w:rsid w:val="00CB4FB7"/>
    <w:rsid w:val="00CD777F"/>
    <w:rsid w:val="00CD7CFB"/>
    <w:rsid w:val="00CE0262"/>
    <w:rsid w:val="00CE250A"/>
    <w:rsid w:val="00CE5225"/>
    <w:rsid w:val="00CE5B7C"/>
    <w:rsid w:val="00CE68CA"/>
    <w:rsid w:val="00CE774A"/>
    <w:rsid w:val="00CE7878"/>
    <w:rsid w:val="00CF7BDF"/>
    <w:rsid w:val="00CF7BFC"/>
    <w:rsid w:val="00D07844"/>
    <w:rsid w:val="00D13863"/>
    <w:rsid w:val="00D177E5"/>
    <w:rsid w:val="00D1780F"/>
    <w:rsid w:val="00D20778"/>
    <w:rsid w:val="00D31C09"/>
    <w:rsid w:val="00D45D73"/>
    <w:rsid w:val="00D521B9"/>
    <w:rsid w:val="00D52A2D"/>
    <w:rsid w:val="00D67DF4"/>
    <w:rsid w:val="00D7031B"/>
    <w:rsid w:val="00D7075C"/>
    <w:rsid w:val="00D766F0"/>
    <w:rsid w:val="00D83AF6"/>
    <w:rsid w:val="00D83E11"/>
    <w:rsid w:val="00D85D54"/>
    <w:rsid w:val="00D90444"/>
    <w:rsid w:val="00D92052"/>
    <w:rsid w:val="00D97E64"/>
    <w:rsid w:val="00DB10FF"/>
    <w:rsid w:val="00DB62A6"/>
    <w:rsid w:val="00DC29D6"/>
    <w:rsid w:val="00DC4D45"/>
    <w:rsid w:val="00DD127D"/>
    <w:rsid w:val="00DD1C38"/>
    <w:rsid w:val="00DE6D28"/>
    <w:rsid w:val="00DE7FEE"/>
    <w:rsid w:val="00DF3CD9"/>
    <w:rsid w:val="00DF6569"/>
    <w:rsid w:val="00E00833"/>
    <w:rsid w:val="00E05C38"/>
    <w:rsid w:val="00E1115C"/>
    <w:rsid w:val="00E21509"/>
    <w:rsid w:val="00E232C2"/>
    <w:rsid w:val="00E36C18"/>
    <w:rsid w:val="00E37A72"/>
    <w:rsid w:val="00E44E42"/>
    <w:rsid w:val="00E5150A"/>
    <w:rsid w:val="00E5514B"/>
    <w:rsid w:val="00E61E33"/>
    <w:rsid w:val="00E6329B"/>
    <w:rsid w:val="00E73B47"/>
    <w:rsid w:val="00E75296"/>
    <w:rsid w:val="00E75EF2"/>
    <w:rsid w:val="00E81FDF"/>
    <w:rsid w:val="00E834C3"/>
    <w:rsid w:val="00E865F9"/>
    <w:rsid w:val="00E86A8D"/>
    <w:rsid w:val="00E94389"/>
    <w:rsid w:val="00EC2A9D"/>
    <w:rsid w:val="00ED0470"/>
    <w:rsid w:val="00ED4519"/>
    <w:rsid w:val="00ED45E6"/>
    <w:rsid w:val="00ED487B"/>
    <w:rsid w:val="00ED51AE"/>
    <w:rsid w:val="00ED5FAB"/>
    <w:rsid w:val="00ED77CD"/>
    <w:rsid w:val="00EE0AB2"/>
    <w:rsid w:val="00EE56A9"/>
    <w:rsid w:val="00EE62AF"/>
    <w:rsid w:val="00EF0F9D"/>
    <w:rsid w:val="00EF5324"/>
    <w:rsid w:val="00EF6133"/>
    <w:rsid w:val="00F0343B"/>
    <w:rsid w:val="00F04231"/>
    <w:rsid w:val="00F06671"/>
    <w:rsid w:val="00F151A2"/>
    <w:rsid w:val="00F3287E"/>
    <w:rsid w:val="00F347BB"/>
    <w:rsid w:val="00F41490"/>
    <w:rsid w:val="00F42710"/>
    <w:rsid w:val="00F505AC"/>
    <w:rsid w:val="00F57383"/>
    <w:rsid w:val="00F6021F"/>
    <w:rsid w:val="00F6786C"/>
    <w:rsid w:val="00F73BB9"/>
    <w:rsid w:val="00F749AF"/>
    <w:rsid w:val="00F91C06"/>
    <w:rsid w:val="00F95AEA"/>
    <w:rsid w:val="00F96358"/>
    <w:rsid w:val="00F97428"/>
    <w:rsid w:val="00FA672B"/>
    <w:rsid w:val="00FA6AFD"/>
    <w:rsid w:val="00FB0D06"/>
    <w:rsid w:val="00FB574B"/>
    <w:rsid w:val="00FB7ED5"/>
    <w:rsid w:val="00FC2D9A"/>
    <w:rsid w:val="00FF63B3"/>
    <w:rsid w:val="00FF7192"/>
    <w:rsid w:val="00FF7BFE"/>
  </w:rsids>
  <m:mathPr>
    <m:mathFont m:val="@ＭＳ ゴシック"/>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0" w:defSemiHidden="0" w:defUnhideWhenUsed="0" w:defQFormat="0" w:count="276"/>
  <w:style w:type="paragraph" w:default="1" w:styleId="Normal">
    <w:name w:val="Normal"/>
    <w:qFormat/>
    <w:rsid w:val="00215428"/>
  </w:style>
  <w:style w:type="paragraph" w:styleId="Heading1">
    <w:name w:val="heading 1"/>
    <w:basedOn w:val="Normal"/>
    <w:next w:val="Normal"/>
    <w:link w:val="Heading1Char"/>
    <w:uiPriority w:val="9"/>
    <w:qFormat/>
    <w:rsid w:val="00215428"/>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215428"/>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215428"/>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215428"/>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215428"/>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215428"/>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215428"/>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215428"/>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215428"/>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locked/>
    <w:rsid w:val="00215428"/>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locked/>
    <w:rsid w:val="00215428"/>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locked/>
    <w:rsid w:val="00215428"/>
    <w:rPr>
      <w:rFonts w:asciiTheme="majorHAnsi" w:eastAsiaTheme="majorEastAsia" w:hAnsiTheme="majorHAnsi" w:cstheme="majorBidi"/>
      <w:b/>
      <w:bCs/>
    </w:rPr>
  </w:style>
  <w:style w:type="character" w:customStyle="1" w:styleId="Heading4Char">
    <w:name w:val="Heading 4 Char"/>
    <w:basedOn w:val="DefaultParagraphFont"/>
    <w:link w:val="Heading4"/>
    <w:uiPriority w:val="9"/>
    <w:locked/>
    <w:rsid w:val="00215428"/>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locked/>
    <w:rsid w:val="00215428"/>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locked/>
    <w:rsid w:val="00215428"/>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locked/>
    <w:rsid w:val="00215428"/>
    <w:rPr>
      <w:rFonts w:asciiTheme="majorHAnsi" w:eastAsiaTheme="majorEastAsia" w:hAnsiTheme="majorHAnsi" w:cstheme="majorBidi"/>
      <w:i/>
      <w:iCs/>
    </w:rPr>
  </w:style>
  <w:style w:type="character" w:customStyle="1" w:styleId="Heading8Char">
    <w:name w:val="Heading 8 Char"/>
    <w:basedOn w:val="DefaultParagraphFont"/>
    <w:link w:val="Heading8"/>
    <w:uiPriority w:val="9"/>
    <w:locked/>
    <w:rsid w:val="00215428"/>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locked/>
    <w:rsid w:val="00215428"/>
    <w:rPr>
      <w:rFonts w:asciiTheme="majorHAnsi" w:eastAsiaTheme="majorEastAsia" w:hAnsiTheme="majorHAnsi" w:cstheme="majorBidi"/>
      <w:i/>
      <w:iCs/>
      <w:spacing w:val="5"/>
      <w:sz w:val="20"/>
      <w:szCs w:val="20"/>
    </w:rPr>
  </w:style>
  <w:style w:type="character" w:styleId="Hyperlink">
    <w:name w:val="Hyperlink"/>
    <w:basedOn w:val="DefaultParagraphFont"/>
    <w:uiPriority w:val="99"/>
    <w:rsid w:val="003F6AB2"/>
    <w:rPr>
      <w:rFonts w:cs="Times New Roman"/>
      <w:color w:val="0033CC"/>
      <w:u w:val="single"/>
    </w:rPr>
  </w:style>
  <w:style w:type="paragraph" w:styleId="Title">
    <w:name w:val="Title"/>
    <w:basedOn w:val="Normal"/>
    <w:next w:val="Normal"/>
    <w:link w:val="TitleChar"/>
    <w:uiPriority w:val="10"/>
    <w:qFormat/>
    <w:rsid w:val="00215428"/>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locked/>
    <w:rsid w:val="00215428"/>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215428"/>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locked/>
    <w:rsid w:val="00215428"/>
    <w:rPr>
      <w:rFonts w:asciiTheme="majorHAnsi" w:eastAsiaTheme="majorEastAsia" w:hAnsiTheme="majorHAnsi" w:cstheme="majorBidi"/>
      <w:i/>
      <w:iCs/>
      <w:spacing w:val="13"/>
      <w:sz w:val="24"/>
      <w:szCs w:val="24"/>
    </w:rPr>
  </w:style>
  <w:style w:type="character" w:styleId="Strong">
    <w:name w:val="Strong"/>
    <w:uiPriority w:val="22"/>
    <w:qFormat/>
    <w:rsid w:val="00215428"/>
    <w:rPr>
      <w:b/>
      <w:bCs/>
    </w:rPr>
  </w:style>
  <w:style w:type="character" w:styleId="Emphasis">
    <w:name w:val="Emphasis"/>
    <w:uiPriority w:val="20"/>
    <w:qFormat/>
    <w:rsid w:val="00215428"/>
    <w:rPr>
      <w:b/>
      <w:bCs/>
      <w:i/>
      <w:iCs/>
      <w:spacing w:val="10"/>
      <w:bdr w:val="none" w:sz="0" w:space="0" w:color="auto"/>
      <w:shd w:val="clear" w:color="auto" w:fill="auto"/>
    </w:rPr>
  </w:style>
  <w:style w:type="paragraph" w:styleId="NoSpacing">
    <w:name w:val="No Spacing"/>
    <w:basedOn w:val="Normal"/>
    <w:uiPriority w:val="1"/>
    <w:qFormat/>
    <w:rsid w:val="00215428"/>
    <w:pPr>
      <w:spacing w:after="0" w:line="240" w:lineRule="auto"/>
    </w:pPr>
  </w:style>
  <w:style w:type="paragraph" w:styleId="ListParagraph">
    <w:name w:val="List Paragraph"/>
    <w:basedOn w:val="Normal"/>
    <w:uiPriority w:val="34"/>
    <w:qFormat/>
    <w:rsid w:val="00215428"/>
    <w:pPr>
      <w:ind w:left="720"/>
      <w:contextualSpacing/>
    </w:pPr>
  </w:style>
  <w:style w:type="paragraph" w:styleId="Quote">
    <w:name w:val="Quote"/>
    <w:basedOn w:val="Normal"/>
    <w:next w:val="Normal"/>
    <w:link w:val="QuoteChar"/>
    <w:uiPriority w:val="29"/>
    <w:qFormat/>
    <w:rsid w:val="00215428"/>
    <w:pPr>
      <w:spacing w:before="200" w:after="0"/>
      <w:ind w:left="360" w:right="360"/>
    </w:pPr>
    <w:rPr>
      <w:i/>
      <w:iCs/>
    </w:rPr>
  </w:style>
  <w:style w:type="character" w:customStyle="1" w:styleId="QuoteChar">
    <w:name w:val="Quote Char"/>
    <w:basedOn w:val="DefaultParagraphFont"/>
    <w:link w:val="Quote"/>
    <w:uiPriority w:val="29"/>
    <w:locked/>
    <w:rsid w:val="00215428"/>
    <w:rPr>
      <w:i/>
      <w:iCs/>
    </w:rPr>
  </w:style>
  <w:style w:type="paragraph" w:styleId="IntenseQuote">
    <w:name w:val="Intense Quote"/>
    <w:basedOn w:val="Normal"/>
    <w:next w:val="Normal"/>
    <w:link w:val="IntenseQuoteChar"/>
    <w:uiPriority w:val="30"/>
    <w:qFormat/>
    <w:rsid w:val="00215428"/>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locked/>
    <w:rsid w:val="00215428"/>
    <w:rPr>
      <w:b/>
      <w:bCs/>
      <w:i/>
      <w:iCs/>
    </w:rPr>
  </w:style>
  <w:style w:type="character" w:styleId="SubtleEmphasis">
    <w:name w:val="Subtle Emphasis"/>
    <w:uiPriority w:val="19"/>
    <w:qFormat/>
    <w:rsid w:val="00215428"/>
    <w:rPr>
      <w:i/>
      <w:iCs/>
    </w:rPr>
  </w:style>
  <w:style w:type="character" w:styleId="IntenseEmphasis">
    <w:name w:val="Intense Emphasis"/>
    <w:uiPriority w:val="21"/>
    <w:qFormat/>
    <w:rsid w:val="00215428"/>
    <w:rPr>
      <w:b/>
      <w:bCs/>
    </w:rPr>
  </w:style>
  <w:style w:type="character" w:styleId="SubtleReference">
    <w:name w:val="Subtle Reference"/>
    <w:uiPriority w:val="31"/>
    <w:qFormat/>
    <w:rsid w:val="00215428"/>
    <w:rPr>
      <w:smallCaps/>
    </w:rPr>
  </w:style>
  <w:style w:type="character" w:styleId="IntenseReference">
    <w:name w:val="Intense Reference"/>
    <w:uiPriority w:val="32"/>
    <w:qFormat/>
    <w:rsid w:val="00215428"/>
    <w:rPr>
      <w:smallCaps/>
      <w:spacing w:val="5"/>
      <w:u w:val="single"/>
    </w:rPr>
  </w:style>
  <w:style w:type="character" w:styleId="BookTitle">
    <w:name w:val="Book Title"/>
    <w:uiPriority w:val="33"/>
    <w:qFormat/>
    <w:rsid w:val="00215428"/>
    <w:rPr>
      <w:i/>
      <w:iCs/>
      <w:smallCaps/>
      <w:spacing w:val="5"/>
    </w:rPr>
  </w:style>
  <w:style w:type="paragraph" w:styleId="TOCHeading">
    <w:name w:val="TOC Heading"/>
    <w:basedOn w:val="Heading1"/>
    <w:next w:val="Normal"/>
    <w:uiPriority w:val="39"/>
    <w:unhideWhenUsed/>
    <w:qFormat/>
    <w:rsid w:val="00215428"/>
    <w:pPr>
      <w:outlineLvl w:val="9"/>
    </w:pPr>
  </w:style>
  <w:style w:type="character" w:customStyle="1" w:styleId="ti2">
    <w:name w:val="ti2"/>
    <w:basedOn w:val="DefaultParagraphFont"/>
    <w:uiPriority w:val="99"/>
    <w:rsid w:val="00E81FDF"/>
    <w:rPr>
      <w:rFonts w:cs="Times New Roman"/>
      <w:sz w:val="22"/>
      <w:szCs w:val="22"/>
    </w:rPr>
  </w:style>
  <w:style w:type="paragraph" w:styleId="Header">
    <w:name w:val="header"/>
    <w:basedOn w:val="Normal"/>
    <w:link w:val="HeaderChar"/>
    <w:uiPriority w:val="99"/>
    <w:unhideWhenUsed/>
    <w:rsid w:val="006842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238"/>
    <w:rPr>
      <w:lang w:val="en-GB" w:eastAsia="en-US"/>
    </w:rPr>
  </w:style>
  <w:style w:type="paragraph" w:styleId="Footer">
    <w:name w:val="footer"/>
    <w:basedOn w:val="Normal"/>
    <w:link w:val="FooterChar"/>
    <w:uiPriority w:val="99"/>
    <w:semiHidden/>
    <w:unhideWhenUsed/>
    <w:rsid w:val="0068423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84238"/>
    <w:rPr>
      <w:lang w:val="en-GB" w:eastAsia="en-US"/>
    </w:rPr>
  </w:style>
  <w:style w:type="character" w:styleId="CommentReference">
    <w:name w:val="annotation reference"/>
    <w:basedOn w:val="DefaultParagraphFont"/>
    <w:uiPriority w:val="99"/>
    <w:semiHidden/>
    <w:unhideWhenUsed/>
    <w:rsid w:val="00865786"/>
    <w:rPr>
      <w:sz w:val="16"/>
      <w:szCs w:val="16"/>
    </w:rPr>
  </w:style>
  <w:style w:type="paragraph" w:styleId="CommentText">
    <w:name w:val="annotation text"/>
    <w:basedOn w:val="Normal"/>
    <w:link w:val="CommentTextChar"/>
    <w:uiPriority w:val="99"/>
    <w:semiHidden/>
    <w:unhideWhenUsed/>
    <w:rsid w:val="00865786"/>
    <w:pPr>
      <w:spacing w:line="240" w:lineRule="auto"/>
    </w:pPr>
    <w:rPr>
      <w:sz w:val="20"/>
      <w:szCs w:val="20"/>
    </w:rPr>
  </w:style>
  <w:style w:type="character" w:customStyle="1" w:styleId="CommentTextChar">
    <w:name w:val="Comment Text Char"/>
    <w:basedOn w:val="DefaultParagraphFont"/>
    <w:link w:val="CommentText"/>
    <w:uiPriority w:val="99"/>
    <w:semiHidden/>
    <w:rsid w:val="00865786"/>
    <w:rPr>
      <w:sz w:val="20"/>
      <w:szCs w:val="20"/>
      <w:lang w:val="en-GB" w:eastAsia="en-US"/>
    </w:rPr>
  </w:style>
  <w:style w:type="paragraph" w:styleId="CommentSubject">
    <w:name w:val="annotation subject"/>
    <w:basedOn w:val="CommentText"/>
    <w:next w:val="CommentText"/>
    <w:link w:val="CommentSubjectChar"/>
    <w:uiPriority w:val="99"/>
    <w:semiHidden/>
    <w:unhideWhenUsed/>
    <w:rsid w:val="00865786"/>
    <w:rPr>
      <w:b/>
      <w:bCs/>
    </w:rPr>
  </w:style>
  <w:style w:type="character" w:customStyle="1" w:styleId="CommentSubjectChar">
    <w:name w:val="Comment Subject Char"/>
    <w:basedOn w:val="CommentTextChar"/>
    <w:link w:val="CommentSubject"/>
    <w:uiPriority w:val="99"/>
    <w:semiHidden/>
    <w:rsid w:val="00865786"/>
    <w:rPr>
      <w:b/>
      <w:bCs/>
    </w:rPr>
  </w:style>
  <w:style w:type="paragraph" w:styleId="BalloonText">
    <w:name w:val="Balloon Text"/>
    <w:basedOn w:val="Normal"/>
    <w:link w:val="BalloonTextChar"/>
    <w:uiPriority w:val="99"/>
    <w:semiHidden/>
    <w:unhideWhenUsed/>
    <w:rsid w:val="008657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786"/>
    <w:rPr>
      <w:rFonts w:ascii="Tahoma" w:hAnsi="Tahoma" w:cs="Tahoma"/>
      <w:sz w:val="16"/>
      <w:szCs w:val="16"/>
      <w:lang w:val="en-GB" w:eastAsia="en-US"/>
    </w:rPr>
  </w:style>
  <w:style w:type="character" w:customStyle="1" w:styleId="journalname">
    <w:name w:val="journalname"/>
    <w:basedOn w:val="DefaultParagraphFont"/>
    <w:rsid w:val="00BB5D4F"/>
  </w:style>
  <w:style w:type="character" w:customStyle="1" w:styleId="ti">
    <w:name w:val="ti"/>
    <w:basedOn w:val="DefaultParagraphFont"/>
    <w:rsid w:val="007723B8"/>
  </w:style>
  <w:style w:type="paragraph" w:customStyle="1" w:styleId="title1">
    <w:name w:val="title1"/>
    <w:basedOn w:val="Normal"/>
    <w:rsid w:val="00D7031B"/>
    <w:pPr>
      <w:spacing w:before="100" w:beforeAutospacing="1" w:after="0" w:line="240" w:lineRule="auto"/>
      <w:ind w:left="825"/>
    </w:pPr>
    <w:rPr>
      <w:rFonts w:ascii="Times New Roman" w:hAnsi="Times New Roman"/>
      <w:lang w:eastAsia="en-GB"/>
    </w:rPr>
  </w:style>
  <w:style w:type="paragraph" w:customStyle="1" w:styleId="authors1">
    <w:name w:val="authors1"/>
    <w:basedOn w:val="Normal"/>
    <w:rsid w:val="00D7031B"/>
    <w:pPr>
      <w:spacing w:before="72" w:after="0" w:line="240" w:lineRule="atLeast"/>
      <w:ind w:left="825"/>
    </w:pPr>
    <w:rPr>
      <w:rFonts w:ascii="Times New Roman" w:hAnsi="Times New Roman"/>
      <w:lang w:eastAsia="en-GB"/>
    </w:rPr>
  </w:style>
  <w:style w:type="paragraph" w:customStyle="1" w:styleId="source1">
    <w:name w:val="source1"/>
    <w:basedOn w:val="Normal"/>
    <w:rsid w:val="00D7031B"/>
    <w:pPr>
      <w:spacing w:before="120" w:after="84" w:line="240" w:lineRule="atLeast"/>
      <w:ind w:left="825"/>
    </w:pPr>
    <w:rPr>
      <w:rFonts w:ascii="Times New Roman" w:hAnsi="Times New Roman"/>
      <w:sz w:val="18"/>
      <w:szCs w:val="18"/>
      <w:lang w:eastAsia="en-GB"/>
    </w:rPr>
  </w:style>
  <w:style w:type="paragraph" w:styleId="NormalWeb">
    <w:name w:val="Normal (Web)"/>
    <w:basedOn w:val="Normal"/>
    <w:uiPriority w:val="99"/>
    <w:rsid w:val="000D2487"/>
    <w:pPr>
      <w:spacing w:beforeLines="1" w:afterLines="1" w:line="240" w:lineRule="auto"/>
    </w:pPr>
    <w:rPr>
      <w:rFonts w:ascii="Times" w:hAnsi="Times" w:cs="Times New Roman"/>
      <w:sz w:val="20"/>
      <w:szCs w:val="20"/>
      <w:lang w:val="en-GB" w:bidi="ar-SA"/>
    </w:rPr>
  </w:style>
</w:styles>
</file>

<file path=word/webSettings.xml><?xml version="1.0" encoding="utf-8"?>
<w:webSettings xmlns:r="http://schemas.openxmlformats.org/officeDocument/2006/relationships" xmlns:w="http://schemas.openxmlformats.org/wordprocessingml/2006/main">
  <w:divs>
    <w:div w:id="412435481">
      <w:bodyDiv w:val="1"/>
      <w:marLeft w:val="0"/>
      <w:marRight w:val="0"/>
      <w:marTop w:val="0"/>
      <w:marBottom w:val="0"/>
      <w:divBdr>
        <w:top w:val="none" w:sz="0" w:space="0" w:color="auto"/>
        <w:left w:val="none" w:sz="0" w:space="0" w:color="auto"/>
        <w:bottom w:val="none" w:sz="0" w:space="0" w:color="auto"/>
        <w:right w:val="none" w:sz="0" w:space="0" w:color="auto"/>
      </w:divBdr>
      <w:divsChild>
        <w:div w:id="1143696639">
          <w:marLeft w:val="120"/>
          <w:marRight w:val="120"/>
          <w:marTop w:val="0"/>
          <w:marBottom w:val="0"/>
          <w:divBdr>
            <w:top w:val="none" w:sz="0" w:space="0" w:color="auto"/>
            <w:left w:val="none" w:sz="0" w:space="0" w:color="auto"/>
            <w:bottom w:val="none" w:sz="0" w:space="0" w:color="auto"/>
            <w:right w:val="none" w:sz="0" w:space="0" w:color="auto"/>
          </w:divBdr>
          <w:divsChild>
            <w:div w:id="1752852072">
              <w:marLeft w:val="0"/>
              <w:marRight w:val="0"/>
              <w:marTop w:val="0"/>
              <w:marBottom w:val="0"/>
              <w:divBdr>
                <w:top w:val="none" w:sz="0" w:space="0" w:color="auto"/>
                <w:left w:val="none" w:sz="0" w:space="0" w:color="auto"/>
                <w:bottom w:val="none" w:sz="0" w:space="0" w:color="auto"/>
                <w:right w:val="none" w:sz="0" w:space="0" w:color="auto"/>
              </w:divBdr>
              <w:divsChild>
                <w:div w:id="548764483">
                  <w:marLeft w:val="0"/>
                  <w:marRight w:val="0"/>
                  <w:marTop w:val="72"/>
                  <w:marBottom w:val="0"/>
                  <w:divBdr>
                    <w:top w:val="none" w:sz="0" w:space="0" w:color="auto"/>
                    <w:left w:val="none" w:sz="0" w:space="0" w:color="auto"/>
                    <w:bottom w:val="none" w:sz="0" w:space="0" w:color="auto"/>
                    <w:right w:val="none" w:sz="0" w:space="0" w:color="auto"/>
                  </w:divBdr>
                  <w:divsChild>
                    <w:div w:id="823205254">
                      <w:marLeft w:val="0"/>
                      <w:marRight w:val="0"/>
                      <w:marTop w:val="0"/>
                      <w:marBottom w:val="0"/>
                      <w:divBdr>
                        <w:top w:val="none" w:sz="0" w:space="0" w:color="auto"/>
                        <w:left w:val="none" w:sz="0" w:space="0" w:color="auto"/>
                        <w:bottom w:val="none" w:sz="0" w:space="0" w:color="auto"/>
                        <w:right w:val="none" w:sz="0" w:space="0" w:color="auto"/>
                      </w:divBdr>
                      <w:divsChild>
                        <w:div w:id="154805091">
                          <w:marLeft w:val="120"/>
                          <w:marRight w:val="0"/>
                          <w:marTop w:val="0"/>
                          <w:marBottom w:val="0"/>
                          <w:divBdr>
                            <w:top w:val="none" w:sz="0" w:space="0" w:color="auto"/>
                            <w:left w:val="none" w:sz="0" w:space="0" w:color="auto"/>
                            <w:bottom w:val="none" w:sz="0" w:space="0" w:color="auto"/>
                            <w:right w:val="none" w:sz="0" w:space="0" w:color="auto"/>
                          </w:divBdr>
                          <w:divsChild>
                            <w:div w:id="1940722456">
                              <w:marLeft w:val="0"/>
                              <w:marRight w:val="0"/>
                              <w:marTop w:val="0"/>
                              <w:marBottom w:val="0"/>
                              <w:divBdr>
                                <w:top w:val="none" w:sz="0" w:space="0" w:color="auto"/>
                                <w:left w:val="none" w:sz="0" w:space="0" w:color="auto"/>
                                <w:bottom w:val="none" w:sz="0" w:space="0" w:color="auto"/>
                                <w:right w:val="none" w:sz="0" w:space="0" w:color="auto"/>
                              </w:divBdr>
                              <w:divsChild>
                                <w:div w:id="679353439">
                                  <w:marLeft w:val="-120"/>
                                  <w:marRight w:val="0"/>
                                  <w:marTop w:val="12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4452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F7921E-D491-6543-B63B-0BFB7CD5A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1685</Words>
  <Characters>9607</Characters>
  <Application>Microsoft Macintosh Word</Application>
  <DocSecurity>0</DocSecurity>
  <Lines>80</Lines>
  <Paragraphs>19</Paragraphs>
  <ScaleCrop>false</ScaleCrop>
  <HeadingPairs>
    <vt:vector size="2" baseType="variant">
      <vt:variant>
        <vt:lpstr>Title</vt:lpstr>
      </vt:variant>
      <vt:variant>
        <vt:i4>1</vt:i4>
      </vt:variant>
    </vt:vector>
  </HeadingPairs>
  <TitlesOfParts>
    <vt:vector size="1" baseType="lpstr">
      <vt:lpstr>The new “Connexon” to the pathogenesis of E</vt:lpstr>
    </vt:vector>
  </TitlesOfParts>
  <Company>The University of Liverpool</Company>
  <LinksUpToDate>false</LinksUpToDate>
  <CharactersWithSpaces>11798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“Connexon” to the pathogenesis of E</dc:title>
  <dc:creator>Alastair Watson</dc:creator>
  <cp:lastModifiedBy>Alastair Watson</cp:lastModifiedBy>
  <cp:revision>3</cp:revision>
  <cp:lastPrinted>2011-06-16T08:20:00Z</cp:lastPrinted>
  <dcterms:created xsi:type="dcterms:W3CDTF">2011-06-19T10:00:00Z</dcterms:created>
  <dcterms:modified xsi:type="dcterms:W3CDTF">2011-06-19T10:02:00Z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-508744233</vt:i4>
  </property>
  <property fmtid="{D5CDD505-2E9C-101B-9397-08002B2CF9AE}" pid="3" name="_NewReviewCycle">
    <vt:lpwstr/>
  </property>
  <property fmtid="{D5CDD505-2E9C-101B-9397-08002B2CF9AE}" pid="4" name="_EmailSubject">
    <vt:lpwstr>Manuscript</vt:lpwstr>
  </property>
  <property fmtid="{D5CDD505-2E9C-101B-9397-08002B2CF9AE}" pid="5" name="_AuthorEmail">
    <vt:lpwstr>A.Hart@uea.ac.uk</vt:lpwstr>
  </property>
  <property fmtid="{D5CDD505-2E9C-101B-9397-08002B2CF9AE}" pid="6" name="_AuthorEmailDisplayName">
    <vt:lpwstr>Hart Andrew Dr (MED)</vt:lpwstr>
  </property>
</Properties>
</file>