
<file path=[Content_Types].xml><?xml version="1.0" encoding="utf-8"?>
<Types xmlns="http://schemas.openxmlformats.org/package/2006/content-types">
  <Override PartName="/word/document.xml" ContentType="application/vnd.openxmlformats-officedocument.wordprocessingml.document.main+xml"/>
  <Override PartName="/word/numbering.xml" ContentType="application/vnd.openxmlformats-officedocument.wordprocessingml.numbering+xml"/>
  <Override PartName="/docProps/core.xml" ContentType="application/vnd.openxmlformats-package.core-properties+xml"/>
  <Override PartName="/docProps/app.xml" ContentType="application/vnd.openxmlformats-officedocument.extended-properties+xml"/>
  <Default Extension="xml" ContentType="application/xml"/>
  <Override PartName="/customXml/itemProps1.xml" ContentType="application/vnd.openxmlformats-officedocument.customXmlProperties+xml"/>
  <Override PartName="/word/webSettings.xml" ContentType="application/vnd.openxmlformats-officedocument.wordprocessingml.webSettings+xml"/>
  <Override PartName="/word/theme/theme1.xml" ContentType="application/vnd.openxmlformats-officedocument.theme+xml"/>
  <Override PartName="/word/endnotes.xml" ContentType="application/vnd.openxmlformats-officedocument.wordprocessingml.endnotes+xml"/>
  <Override PartName="/word/header1.xml" ContentType="application/vnd.openxmlformats-officedocument.wordprocessingml.header+xml"/>
  <Default Extension="rels" ContentType="application/vnd.openxmlformats-package.relationships+xml"/>
  <Override PartName="/word/styles.xml" ContentType="application/vnd.openxmlformats-officedocument.wordprocessingml.styles+xml"/>
  <Override PartName="/word/settings.xml" ContentType="application/vnd.openxmlformats-officedocument.wordprocessingml.settings+xml"/>
  <Override PartName="/word/fontTable.xml" ContentType="application/vnd.openxmlformats-officedocument.wordprocessingml.fontTable+xml"/>
  <Override PartName="/word/footnotes.xml" ContentType="application/vnd.openxmlformats-officedocument.wordprocessingml.footnot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41F7D" w:rsidRPr="004103E8" w:rsidRDefault="00064491" w:rsidP="00064491">
      <w:pPr>
        <w:jc w:val="center"/>
        <w:rPr>
          <w:rFonts w:ascii="Arial" w:hAnsi="Arial" w:cs="Arial"/>
          <w:b/>
          <w:sz w:val="28"/>
          <w:szCs w:val="28"/>
        </w:rPr>
      </w:pPr>
      <w:r>
        <w:rPr>
          <w:rFonts w:ascii="Arial" w:hAnsi="Arial" w:cs="Arial"/>
          <w:b/>
          <w:sz w:val="28"/>
          <w:szCs w:val="28"/>
        </w:rPr>
        <w:t>GUT microbiota control gut permeability through GLP-2</w:t>
      </w:r>
    </w:p>
    <w:p w:rsidR="00141F7D" w:rsidRPr="004103E8" w:rsidRDefault="00141F7D" w:rsidP="00064491">
      <w:pPr>
        <w:jc w:val="center"/>
        <w:rPr>
          <w:rFonts w:ascii="Arial" w:hAnsi="Arial" w:cs="Arial"/>
        </w:rPr>
      </w:pPr>
    </w:p>
    <w:p w:rsidR="00141F7D" w:rsidRPr="00064491" w:rsidRDefault="00141F7D" w:rsidP="00064491">
      <w:pPr>
        <w:jc w:val="center"/>
        <w:rPr>
          <w:rFonts w:ascii="Arial" w:hAnsi="Arial" w:cs="Arial"/>
          <w:sz w:val="24"/>
          <w:szCs w:val="24"/>
          <w:vertAlign w:val="superscript"/>
        </w:rPr>
      </w:pPr>
      <w:r w:rsidRPr="00064491">
        <w:rPr>
          <w:rFonts w:ascii="Arial" w:hAnsi="Arial" w:cs="Arial"/>
          <w:sz w:val="24"/>
          <w:szCs w:val="24"/>
        </w:rPr>
        <w:t>Alastair JM Watson</w:t>
      </w:r>
      <w:r w:rsidR="00424E03">
        <w:rPr>
          <w:rFonts w:ascii="Arial" w:hAnsi="Arial" w:cs="Arial"/>
          <w:sz w:val="24"/>
          <w:szCs w:val="24"/>
        </w:rPr>
        <w:t>, Carrie A Duckworth</w:t>
      </w:r>
    </w:p>
    <w:p w:rsidR="00141F7D" w:rsidRPr="00064491" w:rsidRDefault="00141F7D" w:rsidP="00064491">
      <w:pPr>
        <w:ind w:left="720"/>
        <w:rPr>
          <w:rFonts w:ascii="Arial" w:hAnsi="Arial" w:cs="Arial"/>
          <w:sz w:val="24"/>
          <w:szCs w:val="24"/>
        </w:rPr>
      </w:pPr>
      <w:r w:rsidRPr="00064491">
        <w:rPr>
          <w:rFonts w:ascii="Arial" w:hAnsi="Arial" w:cs="Arial"/>
          <w:sz w:val="24"/>
          <w:szCs w:val="24"/>
        </w:rPr>
        <w:t xml:space="preserve">School of Clinical Sciences, University of Liverpool, Crown St </w:t>
      </w:r>
      <w:r w:rsidR="00064491">
        <w:rPr>
          <w:rFonts w:ascii="Arial" w:hAnsi="Arial" w:cs="Arial"/>
          <w:sz w:val="24"/>
          <w:szCs w:val="24"/>
        </w:rPr>
        <w:t xml:space="preserve">Liverpool, </w:t>
      </w:r>
      <w:r w:rsidRPr="00064491">
        <w:rPr>
          <w:rFonts w:ascii="Arial" w:hAnsi="Arial" w:cs="Arial"/>
          <w:sz w:val="24"/>
          <w:szCs w:val="24"/>
        </w:rPr>
        <w:t>L69 3BX, England</w:t>
      </w:r>
    </w:p>
    <w:p w:rsidR="00141F7D" w:rsidRDefault="00141F7D" w:rsidP="003F6AB2">
      <w:pPr>
        <w:rPr>
          <w:rFonts w:ascii="Arial" w:hAnsi="Arial" w:cs="Arial"/>
        </w:rPr>
      </w:pPr>
    </w:p>
    <w:p w:rsidR="00141F7D" w:rsidRPr="004103E8" w:rsidRDefault="00141F7D" w:rsidP="003F6AB2">
      <w:pPr>
        <w:rPr>
          <w:rFonts w:ascii="Arial" w:hAnsi="Arial" w:cs="Arial"/>
        </w:rPr>
      </w:pPr>
    </w:p>
    <w:p w:rsidR="00141F7D" w:rsidRPr="00064491" w:rsidRDefault="00141F7D" w:rsidP="003F6AB2">
      <w:pPr>
        <w:jc w:val="center"/>
        <w:rPr>
          <w:rFonts w:ascii="Arial" w:hAnsi="Arial" w:cs="Arial"/>
          <w:b/>
          <w:i/>
          <w:sz w:val="24"/>
          <w:szCs w:val="24"/>
        </w:rPr>
      </w:pPr>
      <w:r w:rsidRPr="00064491">
        <w:rPr>
          <w:rFonts w:ascii="Arial" w:hAnsi="Arial" w:cs="Arial"/>
          <w:b/>
          <w:i/>
          <w:sz w:val="24"/>
          <w:szCs w:val="24"/>
        </w:rPr>
        <w:t xml:space="preserve">A commissioned </w:t>
      </w:r>
      <w:r w:rsidR="00064491" w:rsidRPr="00064491">
        <w:rPr>
          <w:rFonts w:ascii="Arial" w:hAnsi="Arial" w:cs="Arial"/>
          <w:b/>
          <w:i/>
          <w:sz w:val="24"/>
          <w:szCs w:val="24"/>
        </w:rPr>
        <w:t xml:space="preserve">Selected Summary </w:t>
      </w:r>
      <w:r w:rsidRPr="00064491">
        <w:rPr>
          <w:rFonts w:ascii="Arial" w:hAnsi="Arial" w:cs="Arial"/>
          <w:b/>
          <w:i/>
          <w:sz w:val="24"/>
          <w:szCs w:val="24"/>
        </w:rPr>
        <w:t>for G</w:t>
      </w:r>
      <w:r w:rsidR="00064491" w:rsidRPr="00064491">
        <w:rPr>
          <w:rFonts w:ascii="Arial" w:hAnsi="Arial" w:cs="Arial"/>
          <w:b/>
          <w:i/>
          <w:sz w:val="24"/>
          <w:szCs w:val="24"/>
        </w:rPr>
        <w:t>astroenterology</w:t>
      </w:r>
      <w:r w:rsidRPr="00064491">
        <w:rPr>
          <w:rFonts w:ascii="Arial" w:hAnsi="Arial" w:cs="Arial"/>
          <w:b/>
          <w:i/>
          <w:sz w:val="24"/>
          <w:szCs w:val="24"/>
        </w:rPr>
        <w:t xml:space="preserve"> on </w:t>
      </w:r>
    </w:p>
    <w:p w:rsidR="00141F7D" w:rsidRPr="00064491" w:rsidRDefault="00141F7D" w:rsidP="00064491">
      <w:pPr>
        <w:autoSpaceDE w:val="0"/>
        <w:autoSpaceDN w:val="0"/>
        <w:adjustRightInd w:val="0"/>
        <w:spacing w:after="0" w:line="240" w:lineRule="auto"/>
        <w:rPr>
          <w:rFonts w:ascii="Arial" w:hAnsi="Arial" w:cs="Arial"/>
          <w:b/>
          <w:sz w:val="24"/>
          <w:szCs w:val="24"/>
          <w:lang w:val="de-DE"/>
        </w:rPr>
      </w:pPr>
      <w:r w:rsidRPr="00064491">
        <w:rPr>
          <w:rFonts w:ascii="Arial" w:hAnsi="Arial" w:cs="Arial"/>
          <w:b/>
          <w:i/>
          <w:sz w:val="24"/>
          <w:szCs w:val="24"/>
        </w:rPr>
        <w:t>“</w:t>
      </w:r>
      <w:r w:rsidR="00064491" w:rsidRPr="00064491">
        <w:rPr>
          <w:rFonts w:ascii="Arial" w:hAnsi="Arial" w:cs="Arial"/>
          <w:sz w:val="24"/>
          <w:szCs w:val="24"/>
          <w:lang w:eastAsia="de-DE"/>
        </w:rPr>
        <w:t>Changes in gut microbiota control inflammation in obese mice through a mechanism involving GLP-2-driven improvement of gut permeability</w:t>
      </w:r>
      <w:r w:rsidR="00A04AC0">
        <w:rPr>
          <w:rFonts w:ascii="Arial" w:hAnsi="Arial" w:cs="Arial"/>
          <w:sz w:val="24"/>
          <w:szCs w:val="24"/>
          <w:lang w:eastAsia="de-DE"/>
        </w:rPr>
        <w:t>.</w:t>
      </w:r>
      <w:r w:rsidRPr="00064491">
        <w:rPr>
          <w:rFonts w:ascii="Arial" w:hAnsi="Arial" w:cs="Arial"/>
          <w:b/>
          <w:i/>
          <w:sz w:val="24"/>
          <w:szCs w:val="24"/>
        </w:rPr>
        <w:t xml:space="preserve"> </w:t>
      </w:r>
      <w:r w:rsidR="00064491" w:rsidRPr="00064491">
        <w:rPr>
          <w:rFonts w:ascii="Arial" w:hAnsi="Arial" w:cs="Arial"/>
          <w:sz w:val="24"/>
          <w:szCs w:val="24"/>
          <w:lang w:eastAsia="de-DE"/>
        </w:rPr>
        <w:t>Cani, P. D., Possemiers, S.Van de Wiele, T.</w:t>
      </w:r>
      <w:r w:rsidR="00064491">
        <w:rPr>
          <w:rFonts w:ascii="Arial" w:hAnsi="Arial" w:cs="Arial"/>
          <w:sz w:val="24"/>
          <w:szCs w:val="24"/>
          <w:lang w:eastAsia="de-DE"/>
        </w:rPr>
        <w:t>et al</w:t>
      </w:r>
      <w:r w:rsidRPr="00064491">
        <w:rPr>
          <w:rFonts w:ascii="Arial" w:hAnsi="Arial" w:cs="Arial"/>
          <w:b/>
          <w:i/>
          <w:sz w:val="24"/>
          <w:szCs w:val="24"/>
          <w:lang w:val="de-DE"/>
        </w:rPr>
        <w:t xml:space="preserve">. </w:t>
      </w:r>
      <w:r w:rsidRPr="00064491">
        <w:rPr>
          <w:rFonts w:ascii="Arial" w:hAnsi="Arial" w:cs="Arial"/>
          <w:i/>
          <w:sz w:val="24"/>
          <w:szCs w:val="24"/>
          <w:lang w:val="de-DE"/>
        </w:rPr>
        <w:t>GUT 20</w:t>
      </w:r>
      <w:r w:rsidR="00064491" w:rsidRPr="00064491">
        <w:rPr>
          <w:rFonts w:ascii="Arial" w:hAnsi="Arial" w:cs="Arial"/>
          <w:i/>
          <w:sz w:val="24"/>
          <w:szCs w:val="24"/>
          <w:lang w:val="de-DE"/>
        </w:rPr>
        <w:t>09</w:t>
      </w:r>
      <w:r w:rsidRPr="00064491">
        <w:rPr>
          <w:rFonts w:ascii="Arial" w:hAnsi="Arial" w:cs="Arial"/>
          <w:i/>
          <w:sz w:val="24"/>
          <w:szCs w:val="24"/>
          <w:lang w:val="de-DE"/>
        </w:rPr>
        <w:t>;</w:t>
      </w:r>
      <w:r w:rsidR="00064491" w:rsidRPr="00064491">
        <w:rPr>
          <w:rFonts w:ascii="Arial" w:hAnsi="Arial" w:cs="Arial"/>
          <w:i/>
          <w:sz w:val="24"/>
          <w:szCs w:val="24"/>
          <w:lang w:val="de-DE"/>
        </w:rPr>
        <w:t>58</w:t>
      </w:r>
      <w:r w:rsidRPr="00064491">
        <w:rPr>
          <w:rFonts w:ascii="Arial" w:hAnsi="Arial" w:cs="Arial"/>
          <w:i/>
          <w:sz w:val="24"/>
          <w:szCs w:val="24"/>
          <w:lang w:val="de-DE"/>
        </w:rPr>
        <w:t>:</w:t>
      </w:r>
      <w:r w:rsidR="00064491" w:rsidRPr="00064491">
        <w:rPr>
          <w:rFonts w:ascii="Arial" w:hAnsi="Arial" w:cs="Arial"/>
          <w:i/>
          <w:sz w:val="24"/>
          <w:szCs w:val="24"/>
          <w:lang w:val="de-DE"/>
        </w:rPr>
        <w:t>1091-1103</w:t>
      </w:r>
      <w:r w:rsidRPr="00064491">
        <w:rPr>
          <w:rFonts w:ascii="Arial" w:hAnsi="Arial" w:cs="Arial"/>
          <w:b/>
          <w:i/>
          <w:sz w:val="24"/>
          <w:szCs w:val="24"/>
          <w:lang w:val="de-DE"/>
        </w:rPr>
        <w:t>”</w:t>
      </w:r>
    </w:p>
    <w:p w:rsidR="00141F7D" w:rsidRPr="00064491" w:rsidRDefault="00141F7D" w:rsidP="003F6AB2">
      <w:pPr>
        <w:jc w:val="center"/>
        <w:rPr>
          <w:rFonts w:ascii="Arial" w:hAnsi="Arial" w:cs="Arial"/>
          <w:b/>
          <w:sz w:val="24"/>
          <w:szCs w:val="24"/>
          <w:lang w:val="de-DE"/>
        </w:rPr>
      </w:pPr>
    </w:p>
    <w:p w:rsidR="00141F7D" w:rsidRPr="00064491" w:rsidRDefault="00141F7D" w:rsidP="003F6AB2">
      <w:pPr>
        <w:rPr>
          <w:rFonts w:ascii="Arial" w:hAnsi="Arial" w:cs="Arial"/>
          <w:sz w:val="24"/>
          <w:szCs w:val="24"/>
        </w:rPr>
      </w:pPr>
      <w:r w:rsidRPr="00064491">
        <w:rPr>
          <w:rFonts w:ascii="Arial" w:hAnsi="Arial" w:cs="Arial"/>
          <w:sz w:val="24"/>
          <w:szCs w:val="24"/>
        </w:rPr>
        <w:t>Words:</w:t>
      </w:r>
      <w:r w:rsidR="00064491">
        <w:rPr>
          <w:rFonts w:ascii="Arial" w:hAnsi="Arial" w:cs="Arial"/>
          <w:sz w:val="24"/>
          <w:szCs w:val="24"/>
        </w:rPr>
        <w:tab/>
      </w:r>
      <w:r w:rsidR="000C1677">
        <w:rPr>
          <w:rFonts w:ascii="Arial" w:hAnsi="Arial" w:cs="Arial"/>
          <w:sz w:val="24"/>
          <w:szCs w:val="24"/>
        </w:rPr>
        <w:t>1459</w:t>
      </w:r>
    </w:p>
    <w:p w:rsidR="00141F7D" w:rsidRPr="00064491" w:rsidRDefault="00141F7D" w:rsidP="003F6AB2">
      <w:pPr>
        <w:rPr>
          <w:rFonts w:ascii="Arial" w:hAnsi="Arial" w:cs="Arial"/>
          <w:sz w:val="24"/>
          <w:szCs w:val="24"/>
        </w:rPr>
      </w:pPr>
      <w:r w:rsidRPr="00064491">
        <w:rPr>
          <w:rFonts w:ascii="Arial" w:hAnsi="Arial" w:cs="Arial"/>
          <w:sz w:val="24"/>
          <w:szCs w:val="24"/>
        </w:rPr>
        <w:t>Figures:</w:t>
      </w:r>
      <w:r w:rsidRPr="00064491">
        <w:rPr>
          <w:rFonts w:ascii="Arial" w:hAnsi="Arial" w:cs="Arial"/>
          <w:sz w:val="24"/>
          <w:szCs w:val="24"/>
        </w:rPr>
        <w:tab/>
        <w:t>0</w:t>
      </w:r>
    </w:p>
    <w:p w:rsidR="00141F7D" w:rsidRPr="00064491" w:rsidRDefault="00141F7D" w:rsidP="003F6AB2">
      <w:pPr>
        <w:rPr>
          <w:rFonts w:ascii="Arial" w:hAnsi="Arial" w:cs="Arial"/>
          <w:sz w:val="24"/>
          <w:szCs w:val="24"/>
        </w:rPr>
      </w:pPr>
      <w:r w:rsidRPr="00064491">
        <w:rPr>
          <w:rFonts w:ascii="Arial" w:hAnsi="Arial" w:cs="Arial"/>
          <w:sz w:val="24"/>
          <w:szCs w:val="24"/>
        </w:rPr>
        <w:t>References:</w:t>
      </w:r>
      <w:r w:rsidRPr="00064491">
        <w:rPr>
          <w:rFonts w:ascii="Arial" w:hAnsi="Arial" w:cs="Arial"/>
          <w:sz w:val="24"/>
          <w:szCs w:val="24"/>
        </w:rPr>
        <w:tab/>
      </w:r>
      <w:r w:rsidR="00CE68CA">
        <w:rPr>
          <w:rFonts w:ascii="Arial" w:hAnsi="Arial" w:cs="Arial"/>
          <w:sz w:val="24"/>
          <w:szCs w:val="24"/>
        </w:rPr>
        <w:t xml:space="preserve">0 </w:t>
      </w:r>
      <w:r w:rsidR="00EF5324">
        <w:rPr>
          <w:rFonts w:ascii="Arial" w:hAnsi="Arial" w:cs="Arial"/>
          <w:sz w:val="24"/>
          <w:szCs w:val="24"/>
        </w:rPr>
        <w:tab/>
      </w:r>
      <w:r w:rsidR="00CE68CA">
        <w:rPr>
          <w:rFonts w:ascii="Arial" w:hAnsi="Arial" w:cs="Arial"/>
          <w:sz w:val="24"/>
          <w:szCs w:val="24"/>
        </w:rPr>
        <w:t>(All citations embedded in text)</w:t>
      </w:r>
    </w:p>
    <w:p w:rsidR="00141F7D" w:rsidRDefault="00141F7D" w:rsidP="006646F0">
      <w:pPr>
        <w:spacing w:after="0"/>
      </w:pPr>
    </w:p>
    <w:p w:rsidR="00141F7D" w:rsidRDefault="00141F7D" w:rsidP="006646F0">
      <w:pPr>
        <w:spacing w:after="0"/>
      </w:pPr>
    </w:p>
    <w:p w:rsidR="00141F7D" w:rsidRDefault="00141F7D" w:rsidP="006646F0">
      <w:pPr>
        <w:spacing w:after="0"/>
      </w:pPr>
    </w:p>
    <w:p w:rsidR="00141F7D" w:rsidRDefault="00141F7D" w:rsidP="006646F0">
      <w:pPr>
        <w:spacing w:after="0"/>
      </w:pPr>
    </w:p>
    <w:p w:rsidR="00141F7D" w:rsidRDefault="00141F7D" w:rsidP="006646F0">
      <w:pPr>
        <w:spacing w:after="0"/>
      </w:pPr>
    </w:p>
    <w:p w:rsidR="00141F7D" w:rsidRDefault="00141F7D" w:rsidP="006646F0">
      <w:pPr>
        <w:spacing w:after="0"/>
      </w:pPr>
    </w:p>
    <w:p w:rsidR="00141F7D" w:rsidRDefault="00141F7D" w:rsidP="006646F0">
      <w:pPr>
        <w:spacing w:after="0"/>
      </w:pPr>
    </w:p>
    <w:p w:rsidR="00141F7D" w:rsidRDefault="00141F7D" w:rsidP="006646F0">
      <w:pPr>
        <w:spacing w:after="0"/>
      </w:pPr>
    </w:p>
    <w:p w:rsidR="00141F7D" w:rsidRPr="00064491" w:rsidRDefault="00141F7D" w:rsidP="006646F0">
      <w:pPr>
        <w:spacing w:after="0"/>
        <w:rPr>
          <w:rFonts w:ascii="Arial" w:hAnsi="Arial" w:cs="Arial"/>
          <w:sz w:val="24"/>
          <w:szCs w:val="24"/>
        </w:rPr>
      </w:pPr>
      <w:r w:rsidRPr="00064491">
        <w:rPr>
          <w:rFonts w:ascii="Arial" w:hAnsi="Arial" w:cs="Arial"/>
          <w:sz w:val="24"/>
          <w:szCs w:val="24"/>
        </w:rPr>
        <w:t>*Address for correspondence</w:t>
      </w:r>
    </w:p>
    <w:p w:rsidR="00141F7D" w:rsidRPr="00064491" w:rsidRDefault="00141F7D" w:rsidP="006646F0">
      <w:pPr>
        <w:spacing w:after="0"/>
        <w:rPr>
          <w:rFonts w:ascii="Arial" w:hAnsi="Arial" w:cs="Arial"/>
          <w:sz w:val="24"/>
          <w:szCs w:val="24"/>
        </w:rPr>
      </w:pPr>
      <w:r w:rsidRPr="00064491">
        <w:rPr>
          <w:rFonts w:ascii="Arial" w:hAnsi="Arial" w:cs="Arial"/>
          <w:sz w:val="24"/>
          <w:szCs w:val="24"/>
        </w:rPr>
        <w:t>Professor Alastair Watson</w:t>
      </w:r>
    </w:p>
    <w:p w:rsidR="00141F7D" w:rsidRPr="00064491" w:rsidRDefault="00141F7D" w:rsidP="006646F0">
      <w:pPr>
        <w:spacing w:after="0"/>
        <w:rPr>
          <w:rFonts w:ascii="Arial" w:hAnsi="Arial" w:cs="Arial"/>
          <w:sz w:val="24"/>
          <w:szCs w:val="24"/>
        </w:rPr>
      </w:pPr>
      <w:r w:rsidRPr="00064491">
        <w:rPr>
          <w:rFonts w:ascii="Arial" w:hAnsi="Arial" w:cs="Arial"/>
          <w:sz w:val="24"/>
          <w:szCs w:val="24"/>
        </w:rPr>
        <w:t>School of Clinical Sciences</w:t>
      </w:r>
    </w:p>
    <w:p w:rsidR="00141F7D" w:rsidRPr="00064491" w:rsidRDefault="00141F7D" w:rsidP="006646F0">
      <w:pPr>
        <w:spacing w:after="0"/>
        <w:rPr>
          <w:rFonts w:ascii="Arial" w:hAnsi="Arial" w:cs="Arial"/>
          <w:sz w:val="24"/>
          <w:szCs w:val="24"/>
        </w:rPr>
      </w:pPr>
      <w:r w:rsidRPr="00064491">
        <w:rPr>
          <w:rFonts w:ascii="Arial" w:hAnsi="Arial" w:cs="Arial"/>
          <w:sz w:val="24"/>
          <w:szCs w:val="24"/>
        </w:rPr>
        <w:t>The Henry Wellcome Laboratory</w:t>
      </w:r>
    </w:p>
    <w:p w:rsidR="00141F7D" w:rsidRPr="00064491" w:rsidRDefault="00141F7D" w:rsidP="006646F0">
      <w:pPr>
        <w:spacing w:after="0"/>
        <w:rPr>
          <w:rFonts w:ascii="Arial" w:hAnsi="Arial" w:cs="Arial"/>
          <w:sz w:val="24"/>
          <w:szCs w:val="24"/>
        </w:rPr>
      </w:pPr>
      <w:r w:rsidRPr="00064491">
        <w:rPr>
          <w:rFonts w:ascii="Arial" w:hAnsi="Arial" w:cs="Arial"/>
          <w:sz w:val="24"/>
          <w:szCs w:val="24"/>
        </w:rPr>
        <w:t>Nuffield Building</w:t>
      </w:r>
    </w:p>
    <w:p w:rsidR="00141F7D" w:rsidRPr="00064491" w:rsidRDefault="00141F7D" w:rsidP="006646F0">
      <w:pPr>
        <w:spacing w:after="0"/>
        <w:rPr>
          <w:rFonts w:ascii="Arial" w:hAnsi="Arial" w:cs="Arial"/>
          <w:sz w:val="24"/>
          <w:szCs w:val="24"/>
        </w:rPr>
      </w:pPr>
      <w:r w:rsidRPr="00064491">
        <w:rPr>
          <w:rFonts w:ascii="Arial" w:hAnsi="Arial" w:cs="Arial"/>
          <w:sz w:val="24"/>
          <w:szCs w:val="24"/>
        </w:rPr>
        <w:t>University of Liverpool</w:t>
      </w:r>
    </w:p>
    <w:p w:rsidR="00141F7D" w:rsidRPr="00064491" w:rsidRDefault="00141F7D" w:rsidP="006646F0">
      <w:pPr>
        <w:spacing w:after="0"/>
        <w:rPr>
          <w:rFonts w:ascii="Arial" w:hAnsi="Arial" w:cs="Arial"/>
          <w:sz w:val="24"/>
          <w:szCs w:val="24"/>
        </w:rPr>
      </w:pPr>
      <w:r w:rsidRPr="00064491">
        <w:rPr>
          <w:rFonts w:ascii="Arial" w:hAnsi="Arial" w:cs="Arial"/>
          <w:sz w:val="24"/>
          <w:szCs w:val="24"/>
        </w:rPr>
        <w:t>Crown St.</w:t>
      </w:r>
    </w:p>
    <w:p w:rsidR="00141F7D" w:rsidRPr="00064491" w:rsidRDefault="00141F7D" w:rsidP="006646F0">
      <w:pPr>
        <w:spacing w:after="0"/>
        <w:rPr>
          <w:rFonts w:ascii="Arial" w:hAnsi="Arial" w:cs="Arial"/>
          <w:sz w:val="24"/>
          <w:szCs w:val="24"/>
        </w:rPr>
      </w:pPr>
      <w:r w:rsidRPr="00064491">
        <w:rPr>
          <w:rFonts w:ascii="Arial" w:hAnsi="Arial" w:cs="Arial"/>
          <w:sz w:val="24"/>
          <w:szCs w:val="24"/>
        </w:rPr>
        <w:t>Liverpool</w:t>
      </w:r>
    </w:p>
    <w:p w:rsidR="00141F7D" w:rsidRPr="00064491" w:rsidRDefault="00141F7D" w:rsidP="006646F0">
      <w:pPr>
        <w:spacing w:after="0"/>
        <w:rPr>
          <w:rFonts w:ascii="Arial" w:hAnsi="Arial" w:cs="Arial"/>
          <w:sz w:val="24"/>
          <w:szCs w:val="24"/>
        </w:rPr>
      </w:pPr>
      <w:r w:rsidRPr="00064491">
        <w:rPr>
          <w:rFonts w:ascii="Arial" w:hAnsi="Arial" w:cs="Arial"/>
          <w:sz w:val="24"/>
          <w:szCs w:val="24"/>
        </w:rPr>
        <w:t>L69 3BX</w:t>
      </w:r>
    </w:p>
    <w:p w:rsidR="00141F7D" w:rsidRPr="00064491" w:rsidRDefault="00141F7D" w:rsidP="006646F0">
      <w:pPr>
        <w:spacing w:after="0"/>
        <w:rPr>
          <w:rFonts w:ascii="Arial" w:hAnsi="Arial" w:cs="Arial"/>
          <w:sz w:val="24"/>
          <w:szCs w:val="24"/>
        </w:rPr>
      </w:pPr>
      <w:r w:rsidRPr="00064491">
        <w:rPr>
          <w:rFonts w:ascii="Arial" w:hAnsi="Arial" w:cs="Arial"/>
          <w:sz w:val="24"/>
          <w:szCs w:val="24"/>
        </w:rPr>
        <w:t>England</w:t>
      </w:r>
    </w:p>
    <w:p w:rsidR="00141F7D" w:rsidRPr="00064491" w:rsidRDefault="00141F7D" w:rsidP="006646F0">
      <w:pPr>
        <w:spacing w:after="0"/>
        <w:rPr>
          <w:rFonts w:ascii="Arial" w:hAnsi="Arial" w:cs="Arial"/>
          <w:sz w:val="24"/>
          <w:szCs w:val="24"/>
        </w:rPr>
      </w:pPr>
      <w:r w:rsidRPr="00064491">
        <w:rPr>
          <w:rFonts w:ascii="Arial" w:hAnsi="Arial" w:cs="Arial"/>
          <w:sz w:val="24"/>
          <w:szCs w:val="24"/>
        </w:rPr>
        <w:t xml:space="preserve">Tel: </w:t>
      </w:r>
      <w:r w:rsidR="00A04AC0">
        <w:rPr>
          <w:rFonts w:ascii="Arial" w:hAnsi="Arial" w:cs="Arial"/>
          <w:sz w:val="24"/>
          <w:szCs w:val="24"/>
        </w:rPr>
        <w:tab/>
      </w:r>
      <w:r w:rsidRPr="00064491">
        <w:rPr>
          <w:rFonts w:ascii="Arial" w:hAnsi="Arial" w:cs="Arial"/>
          <w:sz w:val="24"/>
          <w:szCs w:val="24"/>
        </w:rPr>
        <w:t xml:space="preserve">+(0)151-794-6822 (secretary)  </w:t>
      </w:r>
    </w:p>
    <w:p w:rsidR="00141F7D" w:rsidRPr="00064491" w:rsidRDefault="00141F7D" w:rsidP="006646F0">
      <w:pPr>
        <w:spacing w:after="0"/>
        <w:rPr>
          <w:rFonts w:ascii="Arial" w:hAnsi="Arial" w:cs="Arial"/>
          <w:sz w:val="24"/>
          <w:szCs w:val="24"/>
        </w:rPr>
      </w:pPr>
      <w:r w:rsidRPr="00064491">
        <w:rPr>
          <w:rFonts w:ascii="Arial" w:hAnsi="Arial" w:cs="Arial"/>
          <w:sz w:val="24"/>
          <w:szCs w:val="24"/>
        </w:rPr>
        <w:t xml:space="preserve">     </w:t>
      </w:r>
      <w:r w:rsidR="00A04AC0">
        <w:rPr>
          <w:rFonts w:ascii="Arial" w:hAnsi="Arial" w:cs="Arial"/>
          <w:sz w:val="24"/>
          <w:szCs w:val="24"/>
        </w:rPr>
        <w:tab/>
      </w:r>
      <w:r w:rsidRPr="00064491">
        <w:rPr>
          <w:rFonts w:ascii="Arial" w:hAnsi="Arial" w:cs="Arial"/>
          <w:sz w:val="24"/>
          <w:szCs w:val="24"/>
        </w:rPr>
        <w:t>+(0)151-794-6811 (office)</w:t>
      </w:r>
    </w:p>
    <w:p w:rsidR="00141F7D" w:rsidRPr="00064491" w:rsidRDefault="00141F7D" w:rsidP="006646F0">
      <w:pPr>
        <w:spacing w:after="0"/>
        <w:rPr>
          <w:rFonts w:ascii="Arial" w:hAnsi="Arial" w:cs="Arial"/>
          <w:sz w:val="24"/>
          <w:szCs w:val="24"/>
        </w:rPr>
      </w:pPr>
      <w:r w:rsidRPr="00064491">
        <w:rPr>
          <w:rFonts w:ascii="Arial" w:hAnsi="Arial" w:cs="Arial"/>
          <w:sz w:val="24"/>
          <w:szCs w:val="24"/>
        </w:rPr>
        <w:t xml:space="preserve">Fax: </w:t>
      </w:r>
      <w:r w:rsidR="00A04AC0">
        <w:rPr>
          <w:rFonts w:ascii="Arial" w:hAnsi="Arial" w:cs="Arial"/>
          <w:sz w:val="24"/>
          <w:szCs w:val="24"/>
        </w:rPr>
        <w:tab/>
      </w:r>
      <w:r w:rsidRPr="00064491">
        <w:rPr>
          <w:rFonts w:ascii="Arial" w:hAnsi="Arial" w:cs="Arial"/>
          <w:sz w:val="24"/>
          <w:szCs w:val="24"/>
        </w:rPr>
        <w:t>+(0)151-794-6825</w:t>
      </w:r>
    </w:p>
    <w:p w:rsidR="00141F7D" w:rsidRDefault="00141F7D" w:rsidP="006646F0">
      <w:pPr>
        <w:spacing w:after="0"/>
        <w:rPr>
          <w:rFonts w:ascii="Arial" w:hAnsi="Arial" w:cs="Arial"/>
          <w:sz w:val="24"/>
          <w:szCs w:val="24"/>
        </w:rPr>
      </w:pPr>
      <w:r w:rsidRPr="00064491">
        <w:rPr>
          <w:rFonts w:ascii="Arial" w:hAnsi="Arial" w:cs="Arial"/>
          <w:sz w:val="24"/>
          <w:szCs w:val="24"/>
        </w:rPr>
        <w:t xml:space="preserve">Email: </w:t>
      </w:r>
      <w:hyperlink r:id="rId8" w:history="1">
        <w:r w:rsidRPr="00064491">
          <w:rPr>
            <w:rFonts w:ascii="Arial" w:hAnsi="Arial" w:cs="Arial"/>
            <w:sz w:val="24"/>
            <w:szCs w:val="24"/>
          </w:rPr>
          <w:t>Alastair.watson@liv.ac.uk</w:t>
        </w:r>
      </w:hyperlink>
    </w:p>
    <w:p w:rsidR="00064491" w:rsidRDefault="00064491" w:rsidP="00EF5324">
      <w:pPr>
        <w:spacing w:after="0"/>
        <w:jc w:val="both"/>
        <w:rPr>
          <w:rFonts w:ascii="Arial" w:hAnsi="Arial" w:cs="Arial"/>
          <w:sz w:val="24"/>
          <w:szCs w:val="24"/>
          <w:lang w:val="de-DE"/>
        </w:rPr>
      </w:pPr>
      <w:r w:rsidRPr="00064491">
        <w:rPr>
          <w:rFonts w:ascii="Arial" w:hAnsi="Arial" w:cs="Arial"/>
          <w:i/>
          <w:sz w:val="24"/>
          <w:szCs w:val="24"/>
          <w:lang w:eastAsia="de-DE"/>
        </w:rPr>
        <w:t>Cani, P. D., Possemiers, S.Van de Wiele, T.</w:t>
      </w:r>
      <w:r w:rsidR="00865786">
        <w:rPr>
          <w:rFonts w:ascii="Arial" w:hAnsi="Arial" w:cs="Arial"/>
          <w:i/>
          <w:sz w:val="24"/>
          <w:szCs w:val="24"/>
          <w:lang w:eastAsia="de-DE"/>
        </w:rPr>
        <w:t xml:space="preserve"> </w:t>
      </w:r>
      <w:r w:rsidRPr="00064491">
        <w:rPr>
          <w:rFonts w:ascii="Arial" w:hAnsi="Arial" w:cs="Arial"/>
          <w:i/>
          <w:sz w:val="24"/>
          <w:szCs w:val="24"/>
          <w:lang w:eastAsia="de-DE"/>
        </w:rPr>
        <w:t>et al</w:t>
      </w:r>
      <w:r w:rsidRPr="00064491">
        <w:rPr>
          <w:rFonts w:ascii="Arial" w:hAnsi="Arial" w:cs="Arial"/>
          <w:b/>
          <w:i/>
          <w:sz w:val="24"/>
          <w:szCs w:val="24"/>
          <w:lang w:val="de-DE"/>
        </w:rPr>
        <w:t xml:space="preserve">. </w:t>
      </w:r>
      <w:r w:rsidR="00865786" w:rsidRPr="00865786">
        <w:rPr>
          <w:rFonts w:ascii="Arial" w:hAnsi="Arial" w:cs="Arial"/>
          <w:sz w:val="24"/>
          <w:szCs w:val="24"/>
          <w:lang w:val="de-DE"/>
        </w:rPr>
        <w:t>(</w:t>
      </w:r>
      <w:r w:rsidRPr="00865786">
        <w:rPr>
          <w:rFonts w:ascii="Arial" w:hAnsi="Arial" w:cs="Arial"/>
          <w:sz w:val="24"/>
          <w:szCs w:val="24"/>
          <w:lang w:val="de-DE"/>
        </w:rPr>
        <w:t>Unit of Pharmacokinetics, Metabolism, Nutrition and Toxicology, Louvain Drug Research Unit, Université</w:t>
      </w:r>
      <w:r w:rsidR="00865786" w:rsidRPr="00865786">
        <w:rPr>
          <w:rFonts w:ascii="Arial" w:hAnsi="Arial" w:cs="Arial"/>
          <w:sz w:val="24"/>
          <w:szCs w:val="24"/>
          <w:lang w:val="de-DE"/>
        </w:rPr>
        <w:t xml:space="preserve"> catholique de Louvain, Brussels, Belgium</w:t>
      </w:r>
      <w:r w:rsidR="00EF5324">
        <w:rPr>
          <w:rFonts w:ascii="Arial" w:hAnsi="Arial" w:cs="Arial"/>
          <w:sz w:val="24"/>
          <w:szCs w:val="24"/>
          <w:lang w:val="de-DE"/>
        </w:rPr>
        <w:t>)</w:t>
      </w:r>
      <w:r w:rsidR="00EF5324" w:rsidRPr="00865786">
        <w:rPr>
          <w:rFonts w:ascii="Arial" w:hAnsi="Arial" w:cs="Arial"/>
          <w:sz w:val="24"/>
          <w:szCs w:val="24"/>
          <w:lang w:val="de-DE"/>
        </w:rPr>
        <w:t xml:space="preserve"> </w:t>
      </w:r>
      <w:r w:rsidR="00EF5324" w:rsidRPr="00EF5324">
        <w:rPr>
          <w:rFonts w:ascii="Arial" w:hAnsi="Arial" w:cs="Arial"/>
          <w:sz w:val="24"/>
          <w:szCs w:val="24"/>
          <w:lang w:val="de-DE"/>
        </w:rPr>
        <w:t>Changes</w:t>
      </w:r>
      <w:r w:rsidRPr="00064491">
        <w:rPr>
          <w:rFonts w:ascii="Arial" w:hAnsi="Arial" w:cs="Arial"/>
          <w:sz w:val="24"/>
          <w:szCs w:val="24"/>
          <w:lang w:eastAsia="de-DE"/>
        </w:rPr>
        <w:t xml:space="preserve"> in gut microbiota control inflammation in obese mice through a mechanism involving GLP-2-driven improvement of gut permeability</w:t>
      </w:r>
      <w:r>
        <w:rPr>
          <w:rFonts w:ascii="Arial" w:hAnsi="Arial" w:cs="Arial"/>
          <w:sz w:val="24"/>
          <w:szCs w:val="24"/>
          <w:lang w:eastAsia="de-DE"/>
        </w:rPr>
        <w:t xml:space="preserve">. </w:t>
      </w:r>
      <w:r w:rsidRPr="00865786">
        <w:rPr>
          <w:rFonts w:ascii="Arial" w:hAnsi="Arial" w:cs="Arial"/>
          <w:sz w:val="24"/>
          <w:szCs w:val="24"/>
          <w:lang w:val="de-DE"/>
        </w:rPr>
        <w:t>GUT 2009;58:1091-1103</w:t>
      </w:r>
    </w:p>
    <w:p w:rsidR="00865786" w:rsidRDefault="00865786" w:rsidP="006646F0">
      <w:pPr>
        <w:spacing w:after="0"/>
        <w:rPr>
          <w:rFonts w:ascii="Arial" w:hAnsi="Arial" w:cs="Arial"/>
          <w:sz w:val="24"/>
          <w:szCs w:val="24"/>
          <w:lang w:val="de-DE"/>
        </w:rPr>
      </w:pPr>
    </w:p>
    <w:p w:rsidR="000C1677" w:rsidRDefault="000C1677" w:rsidP="006646F0">
      <w:pPr>
        <w:spacing w:after="0"/>
        <w:rPr>
          <w:rFonts w:ascii="Arial" w:hAnsi="Arial" w:cs="Arial"/>
          <w:sz w:val="24"/>
          <w:szCs w:val="24"/>
          <w:lang w:val="de-DE"/>
        </w:rPr>
      </w:pPr>
    </w:p>
    <w:p w:rsidR="00B85C82" w:rsidRDefault="00865786" w:rsidP="00EF5324">
      <w:pPr>
        <w:spacing w:after="0" w:line="480" w:lineRule="auto"/>
        <w:jc w:val="both"/>
        <w:rPr>
          <w:rFonts w:ascii="Arial" w:hAnsi="Arial" w:cs="Arial"/>
          <w:sz w:val="24"/>
          <w:szCs w:val="24"/>
        </w:rPr>
      </w:pPr>
      <w:r w:rsidRPr="00F95AEA">
        <w:rPr>
          <w:rFonts w:ascii="Arial" w:hAnsi="Arial" w:cs="Arial"/>
          <w:sz w:val="24"/>
          <w:szCs w:val="24"/>
        </w:rPr>
        <w:t xml:space="preserve">Obesity is part </w:t>
      </w:r>
      <w:r w:rsidR="00F95AEA">
        <w:rPr>
          <w:rFonts w:ascii="Arial" w:hAnsi="Arial" w:cs="Arial"/>
          <w:sz w:val="24"/>
          <w:szCs w:val="24"/>
        </w:rPr>
        <w:t xml:space="preserve">a constellation of </w:t>
      </w:r>
      <w:r w:rsidR="00CE68CA">
        <w:rPr>
          <w:rFonts w:ascii="Arial" w:hAnsi="Arial" w:cs="Arial"/>
          <w:sz w:val="24"/>
          <w:szCs w:val="24"/>
        </w:rPr>
        <w:t xml:space="preserve">cardiovascular </w:t>
      </w:r>
      <w:r w:rsidR="00F95AEA">
        <w:rPr>
          <w:rFonts w:ascii="Arial" w:hAnsi="Arial" w:cs="Arial"/>
          <w:sz w:val="24"/>
          <w:szCs w:val="24"/>
        </w:rPr>
        <w:t xml:space="preserve">risk factors called the </w:t>
      </w:r>
      <w:r w:rsidR="00E75EF2">
        <w:rPr>
          <w:rFonts w:ascii="Arial" w:hAnsi="Arial" w:cs="Arial"/>
          <w:sz w:val="24"/>
          <w:szCs w:val="24"/>
        </w:rPr>
        <w:t>M</w:t>
      </w:r>
      <w:r w:rsidRPr="00F95AEA">
        <w:rPr>
          <w:rFonts w:ascii="Arial" w:hAnsi="Arial" w:cs="Arial"/>
          <w:sz w:val="24"/>
          <w:szCs w:val="24"/>
        </w:rPr>
        <w:t xml:space="preserve">etabolic </w:t>
      </w:r>
      <w:r w:rsidR="00E75EF2">
        <w:rPr>
          <w:rFonts w:ascii="Arial" w:hAnsi="Arial" w:cs="Arial"/>
          <w:sz w:val="24"/>
          <w:szCs w:val="24"/>
        </w:rPr>
        <w:t>S</w:t>
      </w:r>
      <w:r w:rsidRPr="00F95AEA">
        <w:rPr>
          <w:rFonts w:ascii="Arial" w:hAnsi="Arial" w:cs="Arial"/>
          <w:sz w:val="24"/>
          <w:szCs w:val="24"/>
        </w:rPr>
        <w:t>yndrome</w:t>
      </w:r>
      <w:r w:rsidR="00596506" w:rsidRPr="00F95AEA">
        <w:rPr>
          <w:rFonts w:ascii="Arial" w:hAnsi="Arial" w:cs="Arial"/>
          <w:sz w:val="24"/>
          <w:szCs w:val="24"/>
        </w:rPr>
        <w:t xml:space="preserve"> which comprises visceral obesity, dyslipidaemia, hyperglycaemia and hypertension</w:t>
      </w:r>
      <w:r w:rsidR="00F95AEA" w:rsidRPr="00F95AEA">
        <w:rPr>
          <w:rFonts w:ascii="Arial" w:hAnsi="Arial" w:cs="Arial"/>
          <w:sz w:val="24"/>
          <w:szCs w:val="24"/>
        </w:rPr>
        <w:t xml:space="preserve"> and</w:t>
      </w:r>
      <w:r w:rsidR="00596506" w:rsidRPr="00F95AEA">
        <w:rPr>
          <w:rFonts w:ascii="Arial" w:hAnsi="Arial" w:cs="Arial"/>
          <w:sz w:val="24"/>
          <w:szCs w:val="24"/>
        </w:rPr>
        <w:t xml:space="preserve"> is </w:t>
      </w:r>
      <w:r w:rsidR="00F95AEA" w:rsidRPr="00F95AEA">
        <w:rPr>
          <w:rFonts w:ascii="Arial" w:hAnsi="Arial" w:cs="Arial"/>
          <w:sz w:val="24"/>
          <w:szCs w:val="24"/>
        </w:rPr>
        <w:t xml:space="preserve">associated with systemic inflammation, fatty liver and thrombosis. </w:t>
      </w:r>
      <w:r w:rsidR="00F95AEA">
        <w:rPr>
          <w:rFonts w:ascii="Arial" w:hAnsi="Arial" w:cs="Arial"/>
          <w:sz w:val="24"/>
          <w:szCs w:val="24"/>
        </w:rPr>
        <w:t xml:space="preserve">Recent experimental evidence suggests </w:t>
      </w:r>
      <w:r w:rsidR="00222C8E">
        <w:rPr>
          <w:rFonts w:ascii="Arial" w:hAnsi="Arial" w:cs="Arial"/>
          <w:sz w:val="24"/>
          <w:szCs w:val="24"/>
        </w:rPr>
        <w:t>that</w:t>
      </w:r>
      <w:r w:rsidR="00F95AEA">
        <w:rPr>
          <w:rFonts w:ascii="Arial" w:hAnsi="Arial" w:cs="Arial"/>
          <w:sz w:val="24"/>
          <w:szCs w:val="24"/>
        </w:rPr>
        <w:t xml:space="preserve"> bacteria within the gut</w:t>
      </w:r>
      <w:r w:rsidR="00222C8E">
        <w:rPr>
          <w:rFonts w:ascii="Arial" w:hAnsi="Arial" w:cs="Arial"/>
          <w:sz w:val="24"/>
          <w:szCs w:val="24"/>
        </w:rPr>
        <w:t>,</w:t>
      </w:r>
      <w:r w:rsidR="00F95AEA">
        <w:rPr>
          <w:rFonts w:ascii="Arial" w:hAnsi="Arial" w:cs="Arial"/>
          <w:sz w:val="24"/>
          <w:szCs w:val="24"/>
        </w:rPr>
        <w:t xml:space="preserve"> </w:t>
      </w:r>
      <w:r w:rsidR="00A04AC0">
        <w:rPr>
          <w:rFonts w:ascii="Arial" w:hAnsi="Arial" w:cs="Arial"/>
          <w:sz w:val="24"/>
          <w:szCs w:val="24"/>
        </w:rPr>
        <w:t xml:space="preserve">now termed the “gut microbiota”, might influence obesity and the metabolic syndrome. </w:t>
      </w:r>
    </w:p>
    <w:p w:rsidR="00B85C82" w:rsidRDefault="00B85C82" w:rsidP="00EF5324">
      <w:pPr>
        <w:spacing w:after="0" w:line="480" w:lineRule="auto"/>
        <w:jc w:val="both"/>
        <w:rPr>
          <w:rFonts w:ascii="Arial" w:hAnsi="Arial" w:cs="Arial"/>
          <w:sz w:val="24"/>
          <w:szCs w:val="24"/>
        </w:rPr>
      </w:pPr>
    </w:p>
    <w:p w:rsidR="003B19DE" w:rsidRPr="007F18E2" w:rsidRDefault="003472FA" w:rsidP="00EF5324">
      <w:pPr>
        <w:spacing w:after="0" w:line="480" w:lineRule="auto"/>
        <w:jc w:val="both"/>
        <w:rPr>
          <w:rFonts w:ascii="Arial" w:hAnsi="Arial" w:cs="Arial"/>
          <w:sz w:val="24"/>
          <w:szCs w:val="24"/>
        </w:rPr>
      </w:pPr>
      <w:r>
        <w:rPr>
          <w:rFonts w:ascii="Arial" w:hAnsi="Arial" w:cs="Arial"/>
          <w:sz w:val="24"/>
          <w:szCs w:val="24"/>
        </w:rPr>
        <w:t>At first sight</w:t>
      </w:r>
      <w:r w:rsidR="00FF7BFE">
        <w:rPr>
          <w:rFonts w:ascii="Arial" w:hAnsi="Arial" w:cs="Arial"/>
          <w:sz w:val="24"/>
          <w:szCs w:val="24"/>
        </w:rPr>
        <w:t>,</w:t>
      </w:r>
      <w:r>
        <w:rPr>
          <w:rFonts w:ascii="Arial" w:hAnsi="Arial" w:cs="Arial"/>
          <w:sz w:val="24"/>
          <w:szCs w:val="24"/>
        </w:rPr>
        <w:t xml:space="preserve"> the</w:t>
      </w:r>
      <w:r w:rsidR="00FF7BFE">
        <w:rPr>
          <w:rFonts w:ascii="Arial" w:hAnsi="Arial" w:cs="Arial"/>
          <w:sz w:val="24"/>
          <w:szCs w:val="24"/>
        </w:rPr>
        <w:t xml:space="preserve"> </w:t>
      </w:r>
      <w:r w:rsidR="00E75EF2">
        <w:rPr>
          <w:rFonts w:ascii="Arial" w:hAnsi="Arial" w:cs="Arial"/>
          <w:sz w:val="24"/>
          <w:szCs w:val="24"/>
        </w:rPr>
        <w:t>idea</w:t>
      </w:r>
      <w:r>
        <w:rPr>
          <w:rFonts w:ascii="Arial" w:hAnsi="Arial" w:cs="Arial"/>
          <w:sz w:val="24"/>
          <w:szCs w:val="24"/>
        </w:rPr>
        <w:t xml:space="preserve"> that </w:t>
      </w:r>
      <w:r w:rsidR="00222C8E">
        <w:rPr>
          <w:rFonts w:ascii="Arial" w:hAnsi="Arial" w:cs="Arial"/>
          <w:sz w:val="24"/>
          <w:szCs w:val="24"/>
        </w:rPr>
        <w:t xml:space="preserve">gut microbiota </w:t>
      </w:r>
      <w:r w:rsidR="00650F4F">
        <w:rPr>
          <w:rFonts w:ascii="Arial" w:hAnsi="Arial" w:cs="Arial"/>
          <w:sz w:val="24"/>
          <w:szCs w:val="24"/>
        </w:rPr>
        <w:t>might be</w:t>
      </w:r>
      <w:r>
        <w:rPr>
          <w:rFonts w:ascii="Arial" w:hAnsi="Arial" w:cs="Arial"/>
          <w:sz w:val="24"/>
          <w:szCs w:val="24"/>
        </w:rPr>
        <w:t xml:space="preserve"> related to obesity is surprising but make</w:t>
      </w:r>
      <w:r w:rsidR="00650F4F">
        <w:rPr>
          <w:rFonts w:ascii="Arial" w:hAnsi="Arial" w:cs="Arial"/>
          <w:sz w:val="24"/>
          <w:szCs w:val="24"/>
        </w:rPr>
        <w:t>s</w:t>
      </w:r>
      <w:r>
        <w:rPr>
          <w:rFonts w:ascii="Arial" w:hAnsi="Arial" w:cs="Arial"/>
          <w:sz w:val="24"/>
          <w:szCs w:val="24"/>
        </w:rPr>
        <w:t xml:space="preserve"> perfect sense when one considers that </w:t>
      </w:r>
      <w:r w:rsidR="00E75EF2">
        <w:rPr>
          <w:rFonts w:ascii="Arial" w:hAnsi="Arial" w:cs="Arial"/>
          <w:sz w:val="24"/>
          <w:szCs w:val="24"/>
        </w:rPr>
        <w:t xml:space="preserve">gut </w:t>
      </w:r>
      <w:r>
        <w:rPr>
          <w:rFonts w:ascii="Arial" w:hAnsi="Arial" w:cs="Arial"/>
          <w:sz w:val="24"/>
          <w:szCs w:val="24"/>
        </w:rPr>
        <w:t>bacteria harvest energy (calories) from food in preparation for absorption</w:t>
      </w:r>
      <w:r w:rsidR="00650F4F">
        <w:rPr>
          <w:rFonts w:ascii="Arial" w:hAnsi="Arial" w:cs="Arial"/>
          <w:sz w:val="24"/>
          <w:szCs w:val="24"/>
        </w:rPr>
        <w:t xml:space="preserve"> (Proc Natl Acad Sci U S A 2007;10</w:t>
      </w:r>
      <w:r w:rsidR="009D5AEB">
        <w:rPr>
          <w:rFonts w:ascii="Arial" w:hAnsi="Arial" w:cs="Arial"/>
          <w:sz w:val="24"/>
          <w:szCs w:val="24"/>
        </w:rPr>
        <w:t>2:11070-11075</w:t>
      </w:r>
      <w:r w:rsidR="00650F4F">
        <w:rPr>
          <w:rFonts w:ascii="Arial" w:hAnsi="Arial" w:cs="Arial"/>
          <w:sz w:val="24"/>
          <w:szCs w:val="24"/>
        </w:rPr>
        <w:t>).</w:t>
      </w:r>
      <w:r w:rsidR="009D5AEB">
        <w:rPr>
          <w:rFonts w:ascii="Arial" w:hAnsi="Arial" w:cs="Arial"/>
          <w:sz w:val="24"/>
          <w:szCs w:val="24"/>
        </w:rPr>
        <w:t xml:space="preserve"> </w:t>
      </w:r>
      <w:r w:rsidR="00B7661A">
        <w:rPr>
          <w:rFonts w:ascii="Arial" w:hAnsi="Arial" w:cs="Arial"/>
          <w:sz w:val="24"/>
          <w:szCs w:val="24"/>
        </w:rPr>
        <w:t xml:space="preserve">Germ-free mice gain weight when colonized with distal colonic bacteria (PNAS 2004;101:15718-15723). Obesity with mice lacking leptin is associated with a decrease in </w:t>
      </w:r>
      <w:r w:rsidR="00B7661A">
        <w:rPr>
          <w:rFonts w:ascii="Arial" w:hAnsi="Arial" w:cs="Arial"/>
          <w:i/>
          <w:sz w:val="24"/>
          <w:szCs w:val="24"/>
        </w:rPr>
        <w:t>Bacteroidetes</w:t>
      </w:r>
      <w:r w:rsidR="00B7661A">
        <w:rPr>
          <w:rFonts w:ascii="Arial" w:hAnsi="Arial" w:cs="Arial"/>
          <w:sz w:val="24"/>
          <w:szCs w:val="24"/>
        </w:rPr>
        <w:t xml:space="preserve"> phylum and an increase in </w:t>
      </w:r>
      <w:r w:rsidR="00B7661A" w:rsidRPr="0073587F">
        <w:rPr>
          <w:rFonts w:ascii="Arial" w:hAnsi="Arial" w:cs="Arial"/>
          <w:i/>
          <w:sz w:val="24"/>
          <w:szCs w:val="24"/>
        </w:rPr>
        <w:t>Firmicute</w:t>
      </w:r>
      <w:r w:rsidR="00B7661A">
        <w:rPr>
          <w:rFonts w:ascii="Arial" w:hAnsi="Arial" w:cs="Arial"/>
          <w:i/>
          <w:sz w:val="24"/>
          <w:szCs w:val="24"/>
        </w:rPr>
        <w:t xml:space="preserve">s </w:t>
      </w:r>
      <w:r w:rsidR="00B7661A">
        <w:rPr>
          <w:rFonts w:ascii="Arial" w:hAnsi="Arial" w:cs="Arial"/>
          <w:sz w:val="24"/>
          <w:szCs w:val="24"/>
        </w:rPr>
        <w:t xml:space="preserve">(PNAS 2005;102:11070-11075). Similar observations have been made in obese humans (Nature 2006;444:1027-1031). </w:t>
      </w:r>
      <w:r w:rsidR="00B32044">
        <w:rPr>
          <w:rFonts w:ascii="Arial" w:hAnsi="Arial" w:cs="Arial"/>
          <w:sz w:val="24"/>
          <w:szCs w:val="24"/>
        </w:rPr>
        <w:t>Lipopolysaccharide (LPS)</w:t>
      </w:r>
      <w:r w:rsidR="00E75EF2">
        <w:rPr>
          <w:rFonts w:ascii="Arial" w:hAnsi="Arial" w:cs="Arial"/>
          <w:sz w:val="24"/>
          <w:szCs w:val="24"/>
        </w:rPr>
        <w:t>,</w:t>
      </w:r>
      <w:r w:rsidR="00B32044">
        <w:rPr>
          <w:rFonts w:ascii="Arial" w:hAnsi="Arial" w:cs="Arial"/>
          <w:sz w:val="24"/>
          <w:szCs w:val="24"/>
        </w:rPr>
        <w:t xml:space="preserve"> which </w:t>
      </w:r>
      <w:r w:rsidR="00E75EF2">
        <w:rPr>
          <w:rFonts w:ascii="Arial" w:hAnsi="Arial" w:cs="Arial"/>
          <w:sz w:val="24"/>
          <w:szCs w:val="24"/>
        </w:rPr>
        <w:t>is</w:t>
      </w:r>
      <w:r w:rsidR="00B32044">
        <w:rPr>
          <w:rFonts w:ascii="Arial" w:hAnsi="Arial" w:cs="Arial"/>
          <w:sz w:val="24"/>
          <w:szCs w:val="24"/>
        </w:rPr>
        <w:t xml:space="preserve"> derived from the outer membrane of gram –ve bacteria</w:t>
      </w:r>
      <w:r w:rsidR="00E75EF2">
        <w:rPr>
          <w:rFonts w:ascii="Arial" w:hAnsi="Arial" w:cs="Arial"/>
          <w:sz w:val="24"/>
          <w:szCs w:val="24"/>
        </w:rPr>
        <w:t>,</w:t>
      </w:r>
      <w:r w:rsidR="00B32044">
        <w:rPr>
          <w:rFonts w:ascii="Arial" w:hAnsi="Arial" w:cs="Arial"/>
          <w:sz w:val="24"/>
          <w:szCs w:val="24"/>
        </w:rPr>
        <w:t xml:space="preserve"> is </w:t>
      </w:r>
      <w:r w:rsidR="004D596C" w:rsidRPr="00B32044">
        <w:rPr>
          <w:rFonts w:ascii="Arial" w:hAnsi="Arial" w:cs="Arial"/>
          <w:sz w:val="24"/>
          <w:szCs w:val="24"/>
        </w:rPr>
        <w:t>involved</w:t>
      </w:r>
      <w:r w:rsidR="00865786" w:rsidRPr="00B32044">
        <w:rPr>
          <w:rFonts w:ascii="Arial" w:hAnsi="Arial" w:cs="Arial"/>
          <w:sz w:val="24"/>
          <w:szCs w:val="24"/>
        </w:rPr>
        <w:t xml:space="preserve"> in metabolic endotoxaemia, </w:t>
      </w:r>
      <w:r w:rsidR="00B85C82" w:rsidRPr="00B32044">
        <w:rPr>
          <w:rFonts w:ascii="Arial" w:hAnsi="Arial" w:cs="Arial"/>
          <w:sz w:val="24"/>
          <w:szCs w:val="24"/>
        </w:rPr>
        <w:t xml:space="preserve">inflammation </w:t>
      </w:r>
      <w:r w:rsidR="00B85C82">
        <w:rPr>
          <w:rFonts w:ascii="Arial" w:hAnsi="Arial" w:cs="Arial"/>
          <w:sz w:val="24"/>
          <w:szCs w:val="24"/>
        </w:rPr>
        <w:t xml:space="preserve">of </w:t>
      </w:r>
      <w:r w:rsidR="00865786" w:rsidRPr="00B32044">
        <w:rPr>
          <w:rFonts w:ascii="Arial" w:hAnsi="Arial" w:cs="Arial"/>
          <w:sz w:val="24"/>
          <w:szCs w:val="24"/>
        </w:rPr>
        <w:t>adipose tissue and metabolic disorders</w:t>
      </w:r>
      <w:r w:rsidR="00B32044" w:rsidRPr="00B32044">
        <w:rPr>
          <w:rFonts w:ascii="Arial" w:hAnsi="Arial" w:cs="Arial"/>
          <w:sz w:val="24"/>
          <w:szCs w:val="24"/>
        </w:rPr>
        <w:t xml:space="preserve"> </w:t>
      </w:r>
      <w:r w:rsidR="00B32044">
        <w:rPr>
          <w:rFonts w:ascii="Arial" w:hAnsi="Arial" w:cs="Arial"/>
          <w:sz w:val="24"/>
          <w:szCs w:val="24"/>
        </w:rPr>
        <w:t>caused by high</w:t>
      </w:r>
      <w:r w:rsidR="00D7031B">
        <w:rPr>
          <w:rFonts w:ascii="Arial" w:hAnsi="Arial" w:cs="Arial"/>
          <w:sz w:val="24"/>
          <w:szCs w:val="24"/>
        </w:rPr>
        <w:t>-</w:t>
      </w:r>
      <w:r w:rsidR="00B32044">
        <w:rPr>
          <w:rFonts w:ascii="Arial" w:hAnsi="Arial" w:cs="Arial"/>
          <w:sz w:val="24"/>
          <w:szCs w:val="24"/>
        </w:rPr>
        <w:t xml:space="preserve">fat </w:t>
      </w:r>
      <w:r w:rsidR="00B32044" w:rsidRPr="00B32044">
        <w:rPr>
          <w:rFonts w:ascii="Arial" w:hAnsi="Arial" w:cs="Arial"/>
          <w:sz w:val="24"/>
          <w:szCs w:val="24"/>
        </w:rPr>
        <w:t>diet</w:t>
      </w:r>
      <w:r w:rsidR="00B32044">
        <w:rPr>
          <w:rFonts w:ascii="Arial" w:hAnsi="Arial" w:cs="Arial"/>
          <w:sz w:val="24"/>
          <w:szCs w:val="24"/>
        </w:rPr>
        <w:t>s</w:t>
      </w:r>
      <w:r w:rsidR="005F4B4D">
        <w:rPr>
          <w:rFonts w:ascii="Arial" w:hAnsi="Arial" w:cs="Arial"/>
          <w:sz w:val="24"/>
          <w:szCs w:val="24"/>
        </w:rPr>
        <w:t xml:space="preserve"> (Diabetes 2007;56:1761-72, Diabetologia 2007;50:2374-83, Diabetes 2008;57:1470-81)</w:t>
      </w:r>
      <w:r w:rsidR="00B32044">
        <w:rPr>
          <w:rFonts w:ascii="Arial" w:hAnsi="Arial" w:cs="Arial"/>
          <w:sz w:val="24"/>
          <w:szCs w:val="24"/>
        </w:rPr>
        <w:t xml:space="preserve">. </w:t>
      </w:r>
      <w:r w:rsidR="00E75EF2">
        <w:rPr>
          <w:rFonts w:ascii="Arial" w:hAnsi="Arial" w:cs="Arial"/>
          <w:sz w:val="24"/>
          <w:szCs w:val="24"/>
        </w:rPr>
        <w:t>G</w:t>
      </w:r>
      <w:r w:rsidR="00B32044">
        <w:rPr>
          <w:rFonts w:ascii="Arial" w:hAnsi="Arial" w:cs="Arial"/>
          <w:sz w:val="24"/>
          <w:szCs w:val="24"/>
        </w:rPr>
        <w:t xml:space="preserve">ut microbiota </w:t>
      </w:r>
      <w:r w:rsidR="00E75EF2">
        <w:rPr>
          <w:rFonts w:ascii="Arial" w:hAnsi="Arial" w:cs="Arial"/>
          <w:sz w:val="24"/>
          <w:szCs w:val="24"/>
        </w:rPr>
        <w:t>are</w:t>
      </w:r>
      <w:r w:rsidR="004A2940">
        <w:rPr>
          <w:rFonts w:ascii="Arial" w:hAnsi="Arial" w:cs="Arial"/>
          <w:sz w:val="24"/>
          <w:szCs w:val="24"/>
        </w:rPr>
        <w:t xml:space="preserve"> a potential source of LPS as </w:t>
      </w:r>
      <w:r w:rsidR="00410B79">
        <w:rPr>
          <w:rFonts w:ascii="Arial" w:hAnsi="Arial" w:cs="Arial"/>
          <w:sz w:val="24"/>
          <w:szCs w:val="24"/>
        </w:rPr>
        <w:t xml:space="preserve">a </w:t>
      </w:r>
      <w:r w:rsidR="004A2940">
        <w:rPr>
          <w:rFonts w:ascii="Arial" w:hAnsi="Arial" w:cs="Arial"/>
          <w:sz w:val="24"/>
          <w:szCs w:val="24"/>
        </w:rPr>
        <w:t xml:space="preserve">high fat diet increases intestinal permeability and treatment with antibiotics can reduce the metabolic endotoxaemia. </w:t>
      </w:r>
      <w:r w:rsidR="007F18E2">
        <w:rPr>
          <w:rFonts w:ascii="Arial" w:hAnsi="Arial" w:cs="Arial"/>
          <w:sz w:val="24"/>
          <w:szCs w:val="24"/>
        </w:rPr>
        <w:t xml:space="preserve">Loss of </w:t>
      </w:r>
      <w:r w:rsidR="007F18E2" w:rsidRPr="00E75EF2">
        <w:rPr>
          <w:rFonts w:ascii="Arial" w:hAnsi="Arial" w:cs="Arial"/>
          <w:i/>
          <w:sz w:val="24"/>
          <w:szCs w:val="24"/>
        </w:rPr>
        <w:t>Bifidobacteria</w:t>
      </w:r>
      <w:r w:rsidR="004D596C" w:rsidRPr="007F18E2">
        <w:rPr>
          <w:rFonts w:ascii="Arial" w:hAnsi="Arial" w:cs="Arial"/>
          <w:sz w:val="24"/>
          <w:szCs w:val="24"/>
        </w:rPr>
        <w:t xml:space="preserve"> </w:t>
      </w:r>
      <w:r w:rsidR="007F18E2">
        <w:rPr>
          <w:rFonts w:ascii="Arial" w:hAnsi="Arial" w:cs="Arial"/>
          <w:sz w:val="24"/>
          <w:szCs w:val="24"/>
        </w:rPr>
        <w:t xml:space="preserve">spp. is particularly associated with endotoxaemia caused by </w:t>
      </w:r>
      <w:r w:rsidR="00410B79">
        <w:rPr>
          <w:rFonts w:ascii="Arial" w:hAnsi="Arial" w:cs="Arial"/>
          <w:sz w:val="24"/>
          <w:szCs w:val="24"/>
        </w:rPr>
        <w:t xml:space="preserve">a diet </w:t>
      </w:r>
      <w:r w:rsidR="007F18E2">
        <w:rPr>
          <w:rFonts w:ascii="Arial" w:hAnsi="Arial" w:cs="Arial"/>
          <w:sz w:val="24"/>
          <w:szCs w:val="24"/>
        </w:rPr>
        <w:t>high</w:t>
      </w:r>
      <w:r w:rsidR="00410B79">
        <w:rPr>
          <w:rFonts w:ascii="Arial" w:hAnsi="Arial" w:cs="Arial"/>
          <w:sz w:val="24"/>
          <w:szCs w:val="24"/>
        </w:rPr>
        <w:t xml:space="preserve"> in</w:t>
      </w:r>
      <w:r w:rsidR="007F18E2">
        <w:rPr>
          <w:rFonts w:ascii="Arial" w:hAnsi="Arial" w:cs="Arial"/>
          <w:sz w:val="24"/>
          <w:szCs w:val="24"/>
        </w:rPr>
        <w:t xml:space="preserve"> fat. </w:t>
      </w:r>
      <w:r w:rsidR="007F18E2" w:rsidRPr="007F18E2">
        <w:rPr>
          <w:rFonts w:ascii="Arial" w:hAnsi="Arial" w:cs="Arial"/>
          <w:sz w:val="24"/>
          <w:szCs w:val="24"/>
        </w:rPr>
        <w:t>However the m</w:t>
      </w:r>
      <w:r w:rsidR="003B19DE" w:rsidRPr="007F18E2">
        <w:rPr>
          <w:rFonts w:ascii="Arial" w:hAnsi="Arial" w:cs="Arial"/>
          <w:sz w:val="24"/>
          <w:szCs w:val="24"/>
        </w:rPr>
        <w:t>echanism</w:t>
      </w:r>
      <w:r w:rsidR="007F18E2" w:rsidRPr="007F18E2">
        <w:rPr>
          <w:rFonts w:ascii="Arial" w:hAnsi="Arial" w:cs="Arial"/>
          <w:sz w:val="24"/>
          <w:szCs w:val="24"/>
        </w:rPr>
        <w:t>s</w:t>
      </w:r>
      <w:r w:rsidR="003B19DE" w:rsidRPr="007F18E2">
        <w:rPr>
          <w:rFonts w:ascii="Arial" w:hAnsi="Arial" w:cs="Arial"/>
          <w:sz w:val="24"/>
          <w:szCs w:val="24"/>
        </w:rPr>
        <w:t xml:space="preserve"> linking prebiotic changes in microbiota, endotoxaemi</w:t>
      </w:r>
      <w:r w:rsidR="007F18E2">
        <w:rPr>
          <w:rFonts w:ascii="Arial" w:hAnsi="Arial" w:cs="Arial"/>
          <w:sz w:val="24"/>
          <w:szCs w:val="24"/>
        </w:rPr>
        <w:t>a</w:t>
      </w:r>
      <w:r w:rsidR="003B19DE" w:rsidRPr="007F18E2">
        <w:rPr>
          <w:rFonts w:ascii="Arial" w:hAnsi="Arial" w:cs="Arial"/>
          <w:sz w:val="24"/>
          <w:szCs w:val="24"/>
        </w:rPr>
        <w:t xml:space="preserve"> and metabolic disorders are unknown</w:t>
      </w:r>
      <w:r w:rsidR="007F18E2">
        <w:rPr>
          <w:rFonts w:ascii="Arial" w:hAnsi="Arial" w:cs="Arial"/>
          <w:sz w:val="24"/>
          <w:szCs w:val="24"/>
        </w:rPr>
        <w:t>.</w:t>
      </w:r>
    </w:p>
    <w:p w:rsidR="008723AB" w:rsidRDefault="008723AB" w:rsidP="00EF5324">
      <w:pPr>
        <w:spacing w:after="0" w:line="480" w:lineRule="auto"/>
        <w:jc w:val="both"/>
        <w:rPr>
          <w:rFonts w:ascii="Arial" w:hAnsi="Arial" w:cs="Arial"/>
          <w:sz w:val="24"/>
          <w:szCs w:val="24"/>
        </w:rPr>
      </w:pPr>
    </w:p>
    <w:p w:rsidR="006A4393" w:rsidRDefault="008723AB" w:rsidP="00EF5324">
      <w:pPr>
        <w:spacing w:after="0" w:line="480" w:lineRule="auto"/>
        <w:jc w:val="both"/>
        <w:rPr>
          <w:rFonts w:ascii="Arial" w:hAnsi="Arial" w:cs="Arial"/>
          <w:sz w:val="24"/>
          <w:szCs w:val="24"/>
        </w:rPr>
      </w:pPr>
      <w:r>
        <w:rPr>
          <w:rFonts w:ascii="Arial" w:hAnsi="Arial" w:cs="Arial"/>
          <w:sz w:val="24"/>
          <w:szCs w:val="24"/>
        </w:rPr>
        <w:t xml:space="preserve">In this study Cani </w:t>
      </w:r>
      <w:r w:rsidR="00654DD6" w:rsidRPr="00654DD6">
        <w:rPr>
          <w:rFonts w:ascii="Arial" w:hAnsi="Arial" w:cs="Arial"/>
          <w:i/>
          <w:sz w:val="24"/>
          <w:szCs w:val="24"/>
        </w:rPr>
        <w:t>et al</w:t>
      </w:r>
      <w:r>
        <w:rPr>
          <w:rFonts w:ascii="Arial" w:hAnsi="Arial" w:cs="Arial"/>
          <w:sz w:val="24"/>
          <w:szCs w:val="24"/>
        </w:rPr>
        <w:t xml:space="preserve"> </w:t>
      </w:r>
      <w:r w:rsidR="00733569">
        <w:rPr>
          <w:rFonts w:ascii="Arial" w:hAnsi="Arial" w:cs="Arial"/>
          <w:sz w:val="24"/>
          <w:szCs w:val="24"/>
        </w:rPr>
        <w:t xml:space="preserve">add another dimension to the relationship between the gut microbiome and obesity. They </w:t>
      </w:r>
      <w:r>
        <w:rPr>
          <w:rFonts w:ascii="Arial" w:hAnsi="Arial" w:cs="Arial"/>
          <w:sz w:val="24"/>
          <w:szCs w:val="24"/>
        </w:rPr>
        <w:t xml:space="preserve">show that feeding </w:t>
      </w:r>
      <w:r w:rsidR="0063717C" w:rsidRPr="008723AB">
        <w:rPr>
          <w:rFonts w:ascii="Arial" w:hAnsi="Arial" w:cs="Arial"/>
          <w:i/>
          <w:sz w:val="24"/>
          <w:szCs w:val="24"/>
        </w:rPr>
        <w:t>ob/ob</w:t>
      </w:r>
      <w:r w:rsidR="0063717C">
        <w:rPr>
          <w:rFonts w:ascii="Arial" w:hAnsi="Arial" w:cs="Arial"/>
          <w:sz w:val="24"/>
          <w:szCs w:val="24"/>
        </w:rPr>
        <w:t xml:space="preserve"> obese mice </w:t>
      </w:r>
      <w:r w:rsidR="00B7661A">
        <w:rPr>
          <w:rFonts w:ascii="Arial" w:hAnsi="Arial" w:cs="Arial"/>
          <w:sz w:val="24"/>
          <w:szCs w:val="24"/>
        </w:rPr>
        <w:t xml:space="preserve">(which are </w:t>
      </w:r>
      <w:r w:rsidR="007F18E2">
        <w:rPr>
          <w:rFonts w:ascii="Arial" w:hAnsi="Arial" w:cs="Arial"/>
          <w:sz w:val="24"/>
          <w:szCs w:val="24"/>
        </w:rPr>
        <w:t>deficient</w:t>
      </w:r>
      <w:r>
        <w:rPr>
          <w:rFonts w:ascii="Arial" w:hAnsi="Arial" w:cs="Arial"/>
          <w:sz w:val="24"/>
          <w:szCs w:val="24"/>
        </w:rPr>
        <w:t xml:space="preserve"> </w:t>
      </w:r>
      <w:r w:rsidR="0063717C">
        <w:rPr>
          <w:rFonts w:ascii="Arial" w:hAnsi="Arial" w:cs="Arial"/>
          <w:sz w:val="24"/>
          <w:szCs w:val="24"/>
        </w:rPr>
        <w:t xml:space="preserve">in </w:t>
      </w:r>
      <w:r w:rsidR="00B85C82">
        <w:rPr>
          <w:rFonts w:ascii="Arial" w:hAnsi="Arial" w:cs="Arial"/>
          <w:sz w:val="24"/>
          <w:szCs w:val="24"/>
        </w:rPr>
        <w:t>the satiety protein leptin</w:t>
      </w:r>
      <w:r w:rsidR="00B7661A">
        <w:rPr>
          <w:rFonts w:ascii="Arial" w:hAnsi="Arial" w:cs="Arial"/>
          <w:sz w:val="24"/>
          <w:szCs w:val="24"/>
        </w:rPr>
        <w:t>)</w:t>
      </w:r>
      <w:r w:rsidR="00B85C82">
        <w:rPr>
          <w:rFonts w:ascii="Arial" w:hAnsi="Arial" w:cs="Arial"/>
          <w:sz w:val="24"/>
          <w:szCs w:val="24"/>
        </w:rPr>
        <w:t xml:space="preserve"> </w:t>
      </w:r>
      <w:r w:rsidR="004E20B3">
        <w:rPr>
          <w:rFonts w:ascii="Arial" w:hAnsi="Arial" w:cs="Arial"/>
          <w:sz w:val="24"/>
          <w:szCs w:val="24"/>
        </w:rPr>
        <w:t>a</w:t>
      </w:r>
      <w:r>
        <w:rPr>
          <w:rFonts w:ascii="Arial" w:hAnsi="Arial" w:cs="Arial"/>
          <w:sz w:val="24"/>
          <w:szCs w:val="24"/>
        </w:rPr>
        <w:t xml:space="preserve"> prebiotic </w:t>
      </w:r>
      <w:r w:rsidR="004E20B3">
        <w:rPr>
          <w:rFonts w:ascii="Arial" w:hAnsi="Arial" w:cs="Arial"/>
          <w:sz w:val="24"/>
          <w:szCs w:val="24"/>
        </w:rPr>
        <w:t>diet</w:t>
      </w:r>
      <w:r>
        <w:rPr>
          <w:rFonts w:ascii="Arial" w:hAnsi="Arial" w:cs="Arial"/>
          <w:sz w:val="24"/>
          <w:szCs w:val="24"/>
        </w:rPr>
        <w:t xml:space="preserve"> </w:t>
      </w:r>
      <w:r w:rsidR="0063717C">
        <w:rPr>
          <w:rFonts w:ascii="Arial" w:hAnsi="Arial" w:cs="Arial"/>
          <w:sz w:val="24"/>
          <w:szCs w:val="24"/>
        </w:rPr>
        <w:t xml:space="preserve">containing oligofructose </w:t>
      </w:r>
      <w:r>
        <w:rPr>
          <w:rFonts w:ascii="Arial" w:hAnsi="Arial" w:cs="Arial"/>
          <w:sz w:val="24"/>
          <w:szCs w:val="24"/>
        </w:rPr>
        <w:t xml:space="preserve">increases total bacterial count in the caecum with higher </w:t>
      </w:r>
      <w:r w:rsidRPr="008723AB">
        <w:rPr>
          <w:rFonts w:ascii="Arial" w:hAnsi="Arial" w:cs="Arial"/>
          <w:i/>
          <w:sz w:val="24"/>
          <w:szCs w:val="24"/>
        </w:rPr>
        <w:t>Lactobacillus, Bifidiobacterium</w:t>
      </w:r>
      <w:r>
        <w:rPr>
          <w:rFonts w:ascii="Arial" w:hAnsi="Arial" w:cs="Arial"/>
          <w:sz w:val="24"/>
          <w:szCs w:val="24"/>
        </w:rPr>
        <w:t xml:space="preserve"> and </w:t>
      </w:r>
      <w:r w:rsidRPr="004E20B3">
        <w:rPr>
          <w:rFonts w:ascii="Arial" w:hAnsi="Arial" w:cs="Arial"/>
          <w:i/>
          <w:sz w:val="24"/>
          <w:szCs w:val="24"/>
        </w:rPr>
        <w:t>C</w:t>
      </w:r>
      <w:r w:rsidR="004E20B3">
        <w:rPr>
          <w:rFonts w:ascii="Arial" w:hAnsi="Arial" w:cs="Arial"/>
          <w:i/>
          <w:sz w:val="24"/>
          <w:szCs w:val="24"/>
        </w:rPr>
        <w:t>lostridium</w:t>
      </w:r>
      <w:r w:rsidRPr="004E20B3">
        <w:rPr>
          <w:rFonts w:ascii="Arial" w:hAnsi="Arial" w:cs="Arial"/>
          <w:i/>
          <w:sz w:val="24"/>
          <w:szCs w:val="24"/>
        </w:rPr>
        <w:t xml:space="preserve"> coccoides-E</w:t>
      </w:r>
      <w:r w:rsidR="004E20B3">
        <w:rPr>
          <w:rFonts w:ascii="Arial" w:hAnsi="Arial" w:cs="Arial"/>
          <w:i/>
          <w:sz w:val="24"/>
          <w:szCs w:val="24"/>
        </w:rPr>
        <w:t>ubacterium</w:t>
      </w:r>
      <w:r w:rsidRPr="004E20B3">
        <w:rPr>
          <w:rFonts w:ascii="Arial" w:hAnsi="Arial" w:cs="Arial"/>
          <w:i/>
          <w:sz w:val="24"/>
          <w:szCs w:val="24"/>
        </w:rPr>
        <w:t xml:space="preserve"> rectale</w:t>
      </w:r>
      <w:r>
        <w:rPr>
          <w:rFonts w:ascii="Arial" w:hAnsi="Arial" w:cs="Arial"/>
          <w:sz w:val="24"/>
          <w:szCs w:val="24"/>
        </w:rPr>
        <w:t xml:space="preserve"> species </w:t>
      </w:r>
      <w:r w:rsidR="00EE56A9">
        <w:rPr>
          <w:rFonts w:ascii="Arial" w:hAnsi="Arial" w:cs="Arial"/>
          <w:sz w:val="24"/>
          <w:szCs w:val="24"/>
        </w:rPr>
        <w:t>compared to</w:t>
      </w:r>
      <w:r>
        <w:rPr>
          <w:rFonts w:ascii="Arial" w:hAnsi="Arial" w:cs="Arial"/>
          <w:sz w:val="24"/>
          <w:szCs w:val="24"/>
        </w:rPr>
        <w:t xml:space="preserve"> mice fed eith</w:t>
      </w:r>
      <w:r w:rsidR="004E20B3">
        <w:rPr>
          <w:rFonts w:ascii="Arial" w:hAnsi="Arial" w:cs="Arial"/>
          <w:sz w:val="24"/>
          <w:szCs w:val="24"/>
        </w:rPr>
        <w:t>er</w:t>
      </w:r>
      <w:r>
        <w:rPr>
          <w:rFonts w:ascii="Arial" w:hAnsi="Arial" w:cs="Arial"/>
          <w:sz w:val="24"/>
          <w:szCs w:val="24"/>
        </w:rPr>
        <w:t xml:space="preserve"> a control diet or a diet containing </w:t>
      </w:r>
      <w:r w:rsidR="005C3CD6">
        <w:rPr>
          <w:rFonts w:ascii="Arial" w:hAnsi="Arial" w:cs="Arial"/>
          <w:sz w:val="24"/>
          <w:szCs w:val="24"/>
        </w:rPr>
        <w:t xml:space="preserve">the </w:t>
      </w:r>
      <w:r>
        <w:rPr>
          <w:rFonts w:ascii="Arial" w:hAnsi="Arial" w:cs="Arial"/>
          <w:sz w:val="24"/>
          <w:szCs w:val="24"/>
        </w:rPr>
        <w:t>non-fermentable carbohydrate</w:t>
      </w:r>
      <w:r w:rsidR="005C3CD6">
        <w:rPr>
          <w:rFonts w:ascii="Arial" w:hAnsi="Arial" w:cs="Arial"/>
          <w:sz w:val="24"/>
          <w:szCs w:val="24"/>
        </w:rPr>
        <w:t xml:space="preserve"> </w:t>
      </w:r>
      <w:r w:rsidR="00F749AF">
        <w:rPr>
          <w:rFonts w:ascii="Arial" w:hAnsi="Arial" w:cs="Arial"/>
          <w:sz w:val="24"/>
          <w:szCs w:val="24"/>
        </w:rPr>
        <w:t>cellulose</w:t>
      </w:r>
      <w:r>
        <w:rPr>
          <w:rFonts w:ascii="Arial" w:hAnsi="Arial" w:cs="Arial"/>
          <w:sz w:val="24"/>
          <w:szCs w:val="24"/>
        </w:rPr>
        <w:t>.</w:t>
      </w:r>
      <w:r w:rsidR="004E20B3">
        <w:rPr>
          <w:rFonts w:ascii="Arial" w:hAnsi="Arial" w:cs="Arial"/>
          <w:sz w:val="24"/>
          <w:szCs w:val="24"/>
        </w:rPr>
        <w:t xml:space="preserve"> </w:t>
      </w:r>
      <w:r w:rsidR="00410B79">
        <w:rPr>
          <w:rFonts w:ascii="Arial" w:hAnsi="Arial" w:cs="Arial"/>
          <w:sz w:val="24"/>
          <w:szCs w:val="24"/>
        </w:rPr>
        <w:t xml:space="preserve">Oligofructose is a branched oligosaccharide that is not readily broken down in the small intestine, </w:t>
      </w:r>
      <w:r w:rsidR="00C60D90">
        <w:rPr>
          <w:rFonts w:ascii="Arial" w:hAnsi="Arial" w:cs="Arial"/>
          <w:sz w:val="24"/>
          <w:szCs w:val="24"/>
        </w:rPr>
        <w:t xml:space="preserve">but rather </w:t>
      </w:r>
      <w:r w:rsidR="00410B79">
        <w:rPr>
          <w:rFonts w:ascii="Arial" w:hAnsi="Arial" w:cs="Arial"/>
          <w:sz w:val="24"/>
          <w:szCs w:val="24"/>
        </w:rPr>
        <w:t xml:space="preserve">undergoes fermentation in the colon.  </w:t>
      </w:r>
      <w:r w:rsidR="004E20B3">
        <w:rPr>
          <w:rFonts w:ascii="Arial" w:hAnsi="Arial" w:cs="Arial"/>
          <w:sz w:val="24"/>
          <w:szCs w:val="24"/>
        </w:rPr>
        <w:t xml:space="preserve">Mice fed the prebiotic diet </w:t>
      </w:r>
      <w:r w:rsidR="00707522">
        <w:rPr>
          <w:rFonts w:ascii="Arial" w:hAnsi="Arial" w:cs="Arial"/>
          <w:sz w:val="24"/>
          <w:szCs w:val="24"/>
        </w:rPr>
        <w:t xml:space="preserve">containing oligofructose </w:t>
      </w:r>
      <w:r w:rsidR="004E20B3">
        <w:rPr>
          <w:rFonts w:ascii="Arial" w:hAnsi="Arial" w:cs="Arial"/>
          <w:sz w:val="24"/>
          <w:szCs w:val="24"/>
        </w:rPr>
        <w:t xml:space="preserve">had reduced </w:t>
      </w:r>
      <w:r w:rsidR="00877480">
        <w:rPr>
          <w:rFonts w:ascii="Arial" w:hAnsi="Arial" w:cs="Arial"/>
          <w:sz w:val="24"/>
          <w:szCs w:val="24"/>
        </w:rPr>
        <w:t>gut wall permeability</w:t>
      </w:r>
      <w:r w:rsidR="00707522">
        <w:rPr>
          <w:rFonts w:ascii="Arial" w:hAnsi="Arial" w:cs="Arial"/>
          <w:sz w:val="24"/>
          <w:szCs w:val="24"/>
        </w:rPr>
        <w:t xml:space="preserve"> and</w:t>
      </w:r>
      <w:r w:rsidR="00877480">
        <w:rPr>
          <w:rFonts w:ascii="Arial" w:hAnsi="Arial" w:cs="Arial"/>
          <w:sz w:val="24"/>
          <w:szCs w:val="24"/>
        </w:rPr>
        <w:t xml:space="preserve"> reduced plasma lipopolysaccharide (LPS) suggesting that the prebiotic diet reduces uptake of bacterial products from the gut lumen. As gut permeability can be regulated at the </w:t>
      </w:r>
      <w:r w:rsidR="002527C8">
        <w:rPr>
          <w:rFonts w:ascii="Arial" w:hAnsi="Arial" w:cs="Arial"/>
          <w:sz w:val="24"/>
          <w:szCs w:val="24"/>
        </w:rPr>
        <w:t xml:space="preserve">level of the </w:t>
      </w:r>
      <w:r w:rsidR="00877480">
        <w:rPr>
          <w:rFonts w:ascii="Arial" w:hAnsi="Arial" w:cs="Arial"/>
          <w:sz w:val="24"/>
          <w:szCs w:val="24"/>
        </w:rPr>
        <w:t>tight junction</w:t>
      </w:r>
      <w:r w:rsidR="004F458C">
        <w:rPr>
          <w:rFonts w:ascii="Arial" w:hAnsi="Arial" w:cs="Arial"/>
          <w:sz w:val="24"/>
          <w:szCs w:val="24"/>
        </w:rPr>
        <w:t xml:space="preserve"> </w:t>
      </w:r>
      <w:r w:rsidR="002527C8">
        <w:rPr>
          <w:rFonts w:ascii="Arial" w:hAnsi="Arial" w:cs="Arial"/>
          <w:sz w:val="24"/>
          <w:szCs w:val="24"/>
        </w:rPr>
        <w:t>between epithelial cells</w:t>
      </w:r>
      <w:r w:rsidR="00C60D90">
        <w:rPr>
          <w:rFonts w:ascii="Arial" w:hAnsi="Arial" w:cs="Arial"/>
          <w:sz w:val="24"/>
          <w:szCs w:val="24"/>
        </w:rPr>
        <w:t>,</w:t>
      </w:r>
      <w:r w:rsidR="002527C8">
        <w:rPr>
          <w:rFonts w:ascii="Arial" w:hAnsi="Arial" w:cs="Arial"/>
          <w:sz w:val="24"/>
          <w:szCs w:val="24"/>
        </w:rPr>
        <w:t xml:space="preserve"> </w:t>
      </w:r>
      <w:r w:rsidR="004F458C">
        <w:rPr>
          <w:rFonts w:ascii="Arial" w:hAnsi="Arial" w:cs="Arial"/>
          <w:sz w:val="24"/>
          <w:szCs w:val="24"/>
        </w:rPr>
        <w:t xml:space="preserve">the investigators examined the expression of the tight junction proteins ZO-1 and occludin. </w:t>
      </w:r>
      <w:r w:rsidR="00EE56A9">
        <w:rPr>
          <w:rFonts w:ascii="Arial" w:hAnsi="Arial" w:cs="Arial"/>
          <w:sz w:val="24"/>
          <w:szCs w:val="24"/>
        </w:rPr>
        <w:t>Expression of these proteins was</w:t>
      </w:r>
      <w:r w:rsidR="004F458C">
        <w:rPr>
          <w:rFonts w:ascii="Arial" w:hAnsi="Arial" w:cs="Arial"/>
          <w:sz w:val="24"/>
          <w:szCs w:val="24"/>
        </w:rPr>
        <w:t xml:space="preserve"> increased in </w:t>
      </w:r>
      <w:r w:rsidR="004F458C" w:rsidRPr="004F458C">
        <w:rPr>
          <w:rFonts w:ascii="Arial" w:hAnsi="Arial" w:cs="Arial"/>
          <w:i/>
          <w:sz w:val="24"/>
          <w:szCs w:val="24"/>
        </w:rPr>
        <w:t>ob/ob</w:t>
      </w:r>
      <w:r w:rsidR="004F458C">
        <w:rPr>
          <w:rFonts w:ascii="Arial" w:hAnsi="Arial" w:cs="Arial"/>
          <w:i/>
          <w:sz w:val="24"/>
          <w:szCs w:val="24"/>
        </w:rPr>
        <w:t xml:space="preserve"> </w:t>
      </w:r>
      <w:r w:rsidR="004F458C">
        <w:rPr>
          <w:rFonts w:ascii="Arial" w:hAnsi="Arial" w:cs="Arial"/>
          <w:sz w:val="24"/>
          <w:szCs w:val="24"/>
        </w:rPr>
        <w:t xml:space="preserve">mice fed the prebiotic diet compared to </w:t>
      </w:r>
      <w:r w:rsidR="00A61AC0">
        <w:rPr>
          <w:rFonts w:ascii="Arial" w:hAnsi="Arial" w:cs="Arial"/>
          <w:sz w:val="24"/>
          <w:szCs w:val="24"/>
        </w:rPr>
        <w:t xml:space="preserve">obese mice fed </w:t>
      </w:r>
      <w:r w:rsidR="005C3CD6">
        <w:rPr>
          <w:rFonts w:ascii="Arial" w:hAnsi="Arial" w:cs="Arial"/>
          <w:sz w:val="24"/>
          <w:szCs w:val="24"/>
        </w:rPr>
        <w:t xml:space="preserve">control and cellulose diets. </w:t>
      </w:r>
      <w:r w:rsidR="00EE56A9">
        <w:rPr>
          <w:rFonts w:ascii="Arial" w:hAnsi="Arial" w:cs="Arial"/>
          <w:sz w:val="24"/>
          <w:szCs w:val="24"/>
        </w:rPr>
        <w:t>Levels of ZO</w:t>
      </w:r>
      <w:r w:rsidR="00A61AC0">
        <w:rPr>
          <w:rFonts w:ascii="Arial" w:hAnsi="Arial" w:cs="Arial"/>
          <w:sz w:val="24"/>
          <w:szCs w:val="24"/>
        </w:rPr>
        <w:t xml:space="preserve">-1 and </w:t>
      </w:r>
      <w:r w:rsidR="00062FD3">
        <w:rPr>
          <w:rFonts w:ascii="Arial" w:hAnsi="Arial" w:cs="Arial"/>
          <w:sz w:val="24"/>
          <w:szCs w:val="24"/>
        </w:rPr>
        <w:t>occludin</w:t>
      </w:r>
      <w:r w:rsidR="00A61AC0">
        <w:rPr>
          <w:rFonts w:ascii="Arial" w:hAnsi="Arial" w:cs="Arial"/>
          <w:sz w:val="24"/>
          <w:szCs w:val="24"/>
        </w:rPr>
        <w:t xml:space="preserve"> mRNA had a </w:t>
      </w:r>
      <w:r w:rsidR="00EE56A9">
        <w:rPr>
          <w:rFonts w:ascii="Arial" w:hAnsi="Arial" w:cs="Arial"/>
          <w:sz w:val="24"/>
          <w:szCs w:val="24"/>
        </w:rPr>
        <w:t>negative</w:t>
      </w:r>
      <w:r w:rsidR="00A61AC0">
        <w:rPr>
          <w:rFonts w:ascii="Arial" w:hAnsi="Arial" w:cs="Arial"/>
          <w:sz w:val="24"/>
          <w:szCs w:val="24"/>
        </w:rPr>
        <w:t xml:space="preserve"> correlation with gut permeability. </w:t>
      </w:r>
      <w:r w:rsidR="005C3CD6">
        <w:rPr>
          <w:rFonts w:ascii="Arial" w:hAnsi="Arial" w:cs="Arial"/>
          <w:sz w:val="24"/>
          <w:szCs w:val="24"/>
        </w:rPr>
        <w:t xml:space="preserve">Of interest, barrier function of </w:t>
      </w:r>
      <w:r w:rsidR="005C3CD6" w:rsidRPr="00EE56A9">
        <w:rPr>
          <w:rFonts w:ascii="Arial" w:hAnsi="Arial" w:cs="Arial"/>
          <w:i/>
          <w:sz w:val="24"/>
          <w:szCs w:val="24"/>
        </w:rPr>
        <w:t>ob/ob</w:t>
      </w:r>
      <w:r w:rsidR="005C3CD6">
        <w:rPr>
          <w:rFonts w:ascii="Arial" w:hAnsi="Arial" w:cs="Arial"/>
          <w:sz w:val="24"/>
          <w:szCs w:val="24"/>
        </w:rPr>
        <w:t xml:space="preserve"> mice </w:t>
      </w:r>
      <w:r w:rsidR="00062FD3">
        <w:rPr>
          <w:rFonts w:ascii="Arial" w:hAnsi="Arial" w:cs="Arial"/>
          <w:sz w:val="24"/>
          <w:szCs w:val="24"/>
        </w:rPr>
        <w:t>wa</w:t>
      </w:r>
      <w:r w:rsidR="005C3CD6">
        <w:rPr>
          <w:rFonts w:ascii="Arial" w:hAnsi="Arial" w:cs="Arial"/>
          <w:sz w:val="24"/>
          <w:szCs w:val="24"/>
        </w:rPr>
        <w:t xml:space="preserve">s substantially lower than that of wildtype mice regardless of diet. </w:t>
      </w:r>
      <w:r w:rsidR="002527C8">
        <w:rPr>
          <w:rFonts w:ascii="Arial" w:hAnsi="Arial" w:cs="Arial"/>
          <w:sz w:val="24"/>
          <w:szCs w:val="24"/>
        </w:rPr>
        <w:t>The prebiotic diet also reduced inflammatory mediators (IL-1α, IL-1b, TN</w:t>
      </w:r>
      <w:r w:rsidR="00EE56A9">
        <w:rPr>
          <w:rFonts w:ascii="Arial" w:hAnsi="Arial" w:cs="Arial"/>
          <w:sz w:val="24"/>
          <w:szCs w:val="24"/>
        </w:rPr>
        <w:t>Fα, MCP-1, MIP-1a, INFγ, IL6, IL</w:t>
      </w:r>
      <w:r w:rsidR="002527C8">
        <w:rPr>
          <w:rFonts w:ascii="Arial" w:hAnsi="Arial" w:cs="Arial"/>
          <w:sz w:val="24"/>
          <w:szCs w:val="24"/>
        </w:rPr>
        <w:t>10, IL18 and I</w:t>
      </w:r>
      <w:r w:rsidR="00EE56A9">
        <w:rPr>
          <w:rFonts w:ascii="Arial" w:hAnsi="Arial" w:cs="Arial"/>
          <w:sz w:val="24"/>
          <w:szCs w:val="24"/>
        </w:rPr>
        <w:t>L</w:t>
      </w:r>
      <w:r w:rsidR="002527C8">
        <w:rPr>
          <w:rFonts w:ascii="Arial" w:hAnsi="Arial" w:cs="Arial"/>
          <w:sz w:val="24"/>
          <w:szCs w:val="24"/>
        </w:rPr>
        <w:t xml:space="preserve">15) and </w:t>
      </w:r>
      <w:r w:rsidR="006A4393">
        <w:rPr>
          <w:rFonts w:ascii="Arial" w:hAnsi="Arial" w:cs="Arial"/>
          <w:sz w:val="24"/>
          <w:szCs w:val="24"/>
        </w:rPr>
        <w:t>wa</w:t>
      </w:r>
      <w:r w:rsidR="00F91C06">
        <w:rPr>
          <w:rFonts w:ascii="Arial" w:hAnsi="Arial" w:cs="Arial"/>
          <w:sz w:val="24"/>
          <w:szCs w:val="24"/>
        </w:rPr>
        <w:t>s associated with a reduced thrombotic state (PAI-1), reduced macrophage infiltration (CD68, TLR4) and less oxidative stress (NADPH oxidase, iNOS)</w:t>
      </w:r>
      <w:r w:rsidR="00F42710">
        <w:rPr>
          <w:rFonts w:ascii="Arial" w:hAnsi="Arial" w:cs="Arial"/>
          <w:sz w:val="24"/>
          <w:szCs w:val="24"/>
        </w:rPr>
        <w:t xml:space="preserve">. Furthermore these markers were correlated with reduced </w:t>
      </w:r>
      <w:r w:rsidR="00F42710" w:rsidRPr="00F42710">
        <w:rPr>
          <w:rFonts w:ascii="Arial" w:hAnsi="Arial" w:cs="Arial"/>
          <w:i/>
          <w:sz w:val="24"/>
          <w:szCs w:val="24"/>
        </w:rPr>
        <w:t>Bidfidobacterium</w:t>
      </w:r>
      <w:r w:rsidR="00F42710">
        <w:rPr>
          <w:rFonts w:ascii="Arial" w:hAnsi="Arial" w:cs="Arial"/>
          <w:sz w:val="24"/>
          <w:szCs w:val="24"/>
        </w:rPr>
        <w:t xml:space="preserve"> spp. within the gut lumen. Together these data suggest that the prebiotic diet alters gut microbiota</w:t>
      </w:r>
      <w:r w:rsidR="00585F37">
        <w:rPr>
          <w:rFonts w:ascii="Arial" w:hAnsi="Arial" w:cs="Arial"/>
          <w:sz w:val="24"/>
          <w:szCs w:val="24"/>
        </w:rPr>
        <w:t xml:space="preserve"> in such a way that the integrity of tight junctions is increased</w:t>
      </w:r>
      <w:r w:rsidR="00707522">
        <w:rPr>
          <w:rFonts w:ascii="Arial" w:hAnsi="Arial" w:cs="Arial"/>
          <w:sz w:val="24"/>
          <w:szCs w:val="24"/>
        </w:rPr>
        <w:t>,</w:t>
      </w:r>
      <w:r w:rsidR="00585F37">
        <w:rPr>
          <w:rFonts w:ascii="Arial" w:hAnsi="Arial" w:cs="Arial"/>
          <w:sz w:val="24"/>
          <w:szCs w:val="24"/>
        </w:rPr>
        <w:t xml:space="preserve"> </w:t>
      </w:r>
      <w:r w:rsidR="00A91C2D">
        <w:rPr>
          <w:rFonts w:ascii="Arial" w:hAnsi="Arial" w:cs="Arial"/>
          <w:sz w:val="24"/>
          <w:szCs w:val="24"/>
        </w:rPr>
        <w:t xml:space="preserve">which </w:t>
      </w:r>
      <w:r w:rsidR="00585F37">
        <w:rPr>
          <w:rFonts w:ascii="Arial" w:hAnsi="Arial" w:cs="Arial"/>
          <w:sz w:val="24"/>
          <w:szCs w:val="24"/>
        </w:rPr>
        <w:t xml:space="preserve">reduces the absorption of bacterial products leading </w:t>
      </w:r>
      <w:r w:rsidR="00A91C2D">
        <w:rPr>
          <w:rFonts w:ascii="Arial" w:hAnsi="Arial" w:cs="Arial"/>
          <w:sz w:val="24"/>
          <w:szCs w:val="24"/>
        </w:rPr>
        <w:t xml:space="preserve">to a reduction </w:t>
      </w:r>
      <w:r w:rsidR="00F0343B">
        <w:rPr>
          <w:rFonts w:ascii="Arial" w:hAnsi="Arial" w:cs="Arial"/>
          <w:sz w:val="24"/>
          <w:szCs w:val="24"/>
        </w:rPr>
        <w:t xml:space="preserve">of </w:t>
      </w:r>
      <w:r w:rsidR="00A91C2D">
        <w:rPr>
          <w:rFonts w:ascii="Arial" w:hAnsi="Arial" w:cs="Arial"/>
          <w:sz w:val="24"/>
          <w:szCs w:val="24"/>
        </w:rPr>
        <w:t>systemic inflammatory response</w:t>
      </w:r>
      <w:r w:rsidR="00F0343B">
        <w:rPr>
          <w:rFonts w:ascii="Arial" w:hAnsi="Arial" w:cs="Arial"/>
          <w:sz w:val="24"/>
          <w:szCs w:val="24"/>
        </w:rPr>
        <w:t>s</w:t>
      </w:r>
      <w:r w:rsidR="00585F37">
        <w:rPr>
          <w:rFonts w:ascii="Arial" w:hAnsi="Arial" w:cs="Arial"/>
          <w:sz w:val="24"/>
          <w:szCs w:val="24"/>
        </w:rPr>
        <w:t xml:space="preserve">. </w:t>
      </w:r>
    </w:p>
    <w:p w:rsidR="006A4393" w:rsidRDefault="006A4393" w:rsidP="00EF5324">
      <w:pPr>
        <w:spacing w:after="0" w:line="480" w:lineRule="auto"/>
        <w:jc w:val="both"/>
        <w:rPr>
          <w:rFonts w:ascii="Arial" w:hAnsi="Arial" w:cs="Arial"/>
          <w:sz w:val="24"/>
          <w:szCs w:val="24"/>
        </w:rPr>
      </w:pPr>
    </w:p>
    <w:p w:rsidR="002527C8" w:rsidRDefault="00A91C2D" w:rsidP="00EF5324">
      <w:pPr>
        <w:spacing w:after="0" w:line="480" w:lineRule="auto"/>
        <w:jc w:val="both"/>
        <w:rPr>
          <w:rFonts w:ascii="Arial" w:hAnsi="Arial" w:cs="Arial"/>
          <w:sz w:val="24"/>
          <w:szCs w:val="24"/>
        </w:rPr>
      </w:pPr>
      <w:r>
        <w:rPr>
          <w:rFonts w:ascii="Arial" w:hAnsi="Arial" w:cs="Arial"/>
          <w:sz w:val="24"/>
          <w:szCs w:val="24"/>
        </w:rPr>
        <w:t>To determine the mechanisms of action of the prebiotic diet</w:t>
      </w:r>
      <w:r w:rsidR="00707522">
        <w:rPr>
          <w:rFonts w:ascii="Arial" w:hAnsi="Arial" w:cs="Arial"/>
          <w:sz w:val="24"/>
          <w:szCs w:val="24"/>
        </w:rPr>
        <w:t>,</w:t>
      </w:r>
      <w:r>
        <w:rPr>
          <w:rFonts w:ascii="Arial" w:hAnsi="Arial" w:cs="Arial"/>
          <w:sz w:val="24"/>
          <w:szCs w:val="24"/>
        </w:rPr>
        <w:t xml:space="preserve"> gut peptides were investigated. </w:t>
      </w:r>
      <w:r w:rsidR="00E75296">
        <w:rPr>
          <w:rFonts w:ascii="Arial" w:hAnsi="Arial" w:cs="Arial"/>
          <w:sz w:val="24"/>
          <w:szCs w:val="24"/>
        </w:rPr>
        <w:t>Glucagon</w:t>
      </w:r>
      <w:r w:rsidR="006A4393">
        <w:rPr>
          <w:rFonts w:ascii="Arial" w:hAnsi="Arial" w:cs="Arial"/>
          <w:sz w:val="24"/>
          <w:szCs w:val="24"/>
        </w:rPr>
        <w:t>-</w:t>
      </w:r>
      <w:r w:rsidR="00F749AF">
        <w:rPr>
          <w:rFonts w:ascii="Arial" w:hAnsi="Arial" w:cs="Arial"/>
          <w:sz w:val="24"/>
          <w:szCs w:val="24"/>
        </w:rPr>
        <w:t xml:space="preserve">like peptide 2 (GLP-2) and mRNA of its parent molecule proglucagon was increased in </w:t>
      </w:r>
      <w:r w:rsidR="00F749AF" w:rsidRPr="00F749AF">
        <w:rPr>
          <w:rFonts w:ascii="Arial" w:hAnsi="Arial" w:cs="Arial"/>
          <w:i/>
          <w:sz w:val="24"/>
          <w:szCs w:val="24"/>
        </w:rPr>
        <w:t>ob/ob</w:t>
      </w:r>
      <w:r w:rsidR="00F749AF">
        <w:rPr>
          <w:rFonts w:ascii="Arial" w:hAnsi="Arial" w:cs="Arial"/>
          <w:sz w:val="24"/>
          <w:szCs w:val="24"/>
        </w:rPr>
        <w:t xml:space="preserve"> mice fed the prebiotic diet</w:t>
      </w:r>
      <w:r w:rsidR="00F151A2">
        <w:rPr>
          <w:rFonts w:ascii="Arial" w:hAnsi="Arial" w:cs="Arial"/>
          <w:sz w:val="24"/>
          <w:szCs w:val="24"/>
        </w:rPr>
        <w:t xml:space="preserve"> and were correlated with increased tight junction ZO-1 and occludin, reduced gut permeability and reduced plasma LPS concentration. Blockade of GLP-2 wit</w:t>
      </w:r>
      <w:r w:rsidR="00A909D6">
        <w:rPr>
          <w:rFonts w:ascii="Arial" w:hAnsi="Arial" w:cs="Arial"/>
          <w:sz w:val="24"/>
          <w:szCs w:val="24"/>
        </w:rPr>
        <w:t xml:space="preserve">h the receptor antagonist </w:t>
      </w:r>
      <w:r w:rsidR="00707522">
        <w:rPr>
          <w:rFonts w:ascii="Arial" w:hAnsi="Arial" w:cs="Arial"/>
          <w:sz w:val="24"/>
          <w:szCs w:val="24"/>
        </w:rPr>
        <w:t>GLP-2 (</w:t>
      </w:r>
      <w:r w:rsidR="00A909D6">
        <w:rPr>
          <w:rFonts w:ascii="Arial" w:hAnsi="Arial" w:cs="Arial"/>
          <w:sz w:val="24"/>
          <w:szCs w:val="24"/>
        </w:rPr>
        <w:t>3-33</w:t>
      </w:r>
      <w:r w:rsidR="00707522">
        <w:rPr>
          <w:rFonts w:ascii="Arial" w:hAnsi="Arial" w:cs="Arial"/>
          <w:sz w:val="24"/>
          <w:szCs w:val="24"/>
        </w:rPr>
        <w:t>)</w:t>
      </w:r>
      <w:r w:rsidR="00F151A2">
        <w:rPr>
          <w:rFonts w:ascii="Arial" w:hAnsi="Arial" w:cs="Arial"/>
          <w:sz w:val="24"/>
          <w:szCs w:val="24"/>
        </w:rPr>
        <w:t xml:space="preserve"> </w:t>
      </w:r>
      <w:r w:rsidR="00A909D6">
        <w:rPr>
          <w:rFonts w:ascii="Arial" w:hAnsi="Arial" w:cs="Arial"/>
          <w:sz w:val="24"/>
          <w:szCs w:val="24"/>
        </w:rPr>
        <w:t>(</w:t>
      </w:r>
      <w:r w:rsidR="00F151A2">
        <w:rPr>
          <w:rFonts w:ascii="Arial" w:hAnsi="Arial" w:cs="Arial"/>
          <w:sz w:val="24"/>
          <w:szCs w:val="24"/>
        </w:rPr>
        <w:t xml:space="preserve">Eurogentec, Belgium) </w:t>
      </w:r>
      <w:r w:rsidR="00A909D6">
        <w:rPr>
          <w:rFonts w:ascii="Arial" w:hAnsi="Arial" w:cs="Arial"/>
          <w:sz w:val="24"/>
          <w:szCs w:val="24"/>
        </w:rPr>
        <w:t xml:space="preserve">prevented the reduction in </w:t>
      </w:r>
      <w:r w:rsidR="00707522">
        <w:rPr>
          <w:rFonts w:ascii="Arial" w:hAnsi="Arial" w:cs="Arial"/>
          <w:sz w:val="24"/>
          <w:szCs w:val="24"/>
        </w:rPr>
        <w:t xml:space="preserve">plasma </w:t>
      </w:r>
      <w:r w:rsidR="00A909D6">
        <w:rPr>
          <w:rFonts w:ascii="Arial" w:hAnsi="Arial" w:cs="Arial"/>
          <w:sz w:val="24"/>
          <w:szCs w:val="24"/>
        </w:rPr>
        <w:t>LPS</w:t>
      </w:r>
      <w:r w:rsidR="00E75296">
        <w:rPr>
          <w:rFonts w:ascii="Arial" w:hAnsi="Arial" w:cs="Arial"/>
          <w:sz w:val="24"/>
          <w:szCs w:val="24"/>
        </w:rPr>
        <w:t xml:space="preserve">, </w:t>
      </w:r>
      <w:r w:rsidR="00F0343B">
        <w:rPr>
          <w:rFonts w:ascii="Arial" w:hAnsi="Arial" w:cs="Arial"/>
          <w:sz w:val="24"/>
          <w:szCs w:val="24"/>
        </w:rPr>
        <w:t>and the decrease in</w:t>
      </w:r>
      <w:r w:rsidR="00A909D6">
        <w:rPr>
          <w:rFonts w:ascii="Arial" w:hAnsi="Arial" w:cs="Arial"/>
          <w:sz w:val="24"/>
          <w:szCs w:val="24"/>
        </w:rPr>
        <w:t xml:space="preserve"> inflammatory markers </w:t>
      </w:r>
      <w:r w:rsidR="00E75296">
        <w:rPr>
          <w:rFonts w:ascii="Arial" w:hAnsi="Arial" w:cs="Arial"/>
          <w:sz w:val="24"/>
          <w:szCs w:val="24"/>
        </w:rPr>
        <w:t xml:space="preserve">and tight junction changes </w:t>
      </w:r>
      <w:r w:rsidR="00A909D6">
        <w:rPr>
          <w:rFonts w:ascii="Arial" w:hAnsi="Arial" w:cs="Arial"/>
          <w:sz w:val="24"/>
          <w:szCs w:val="24"/>
        </w:rPr>
        <w:t xml:space="preserve">found in </w:t>
      </w:r>
      <w:r w:rsidR="00A909D6" w:rsidRPr="00A909D6">
        <w:rPr>
          <w:rFonts w:ascii="Arial" w:hAnsi="Arial" w:cs="Arial"/>
          <w:i/>
          <w:sz w:val="24"/>
          <w:szCs w:val="24"/>
        </w:rPr>
        <w:t>ob/ob</w:t>
      </w:r>
      <w:r w:rsidR="00A909D6">
        <w:rPr>
          <w:rFonts w:ascii="Arial" w:hAnsi="Arial" w:cs="Arial"/>
          <w:sz w:val="24"/>
          <w:szCs w:val="24"/>
        </w:rPr>
        <w:t xml:space="preserve"> mice fed the prebiotic diet. </w:t>
      </w:r>
      <w:r w:rsidR="00E75296">
        <w:rPr>
          <w:rFonts w:ascii="Arial" w:hAnsi="Arial" w:cs="Arial"/>
          <w:sz w:val="24"/>
          <w:szCs w:val="24"/>
        </w:rPr>
        <w:t>Finally, administration of GLP-2 to ob/ob mice on a normal diet increased tight junction protein</w:t>
      </w:r>
      <w:r w:rsidR="00E86A8D">
        <w:rPr>
          <w:rFonts w:ascii="Arial" w:hAnsi="Arial" w:cs="Arial"/>
          <w:sz w:val="24"/>
          <w:szCs w:val="24"/>
        </w:rPr>
        <w:t xml:space="preserve"> expression</w:t>
      </w:r>
      <w:r w:rsidR="00707522">
        <w:rPr>
          <w:rFonts w:ascii="Arial" w:hAnsi="Arial" w:cs="Arial"/>
          <w:sz w:val="24"/>
          <w:szCs w:val="24"/>
        </w:rPr>
        <w:t>,</w:t>
      </w:r>
      <w:r w:rsidR="00F0343B">
        <w:rPr>
          <w:rFonts w:ascii="Arial" w:hAnsi="Arial" w:cs="Arial"/>
          <w:sz w:val="24"/>
          <w:szCs w:val="24"/>
        </w:rPr>
        <w:t xml:space="preserve"> </w:t>
      </w:r>
      <w:r w:rsidR="00E75296">
        <w:rPr>
          <w:rFonts w:ascii="Arial" w:hAnsi="Arial" w:cs="Arial"/>
          <w:sz w:val="24"/>
          <w:szCs w:val="24"/>
        </w:rPr>
        <w:t xml:space="preserve">reduced plasma LPS and </w:t>
      </w:r>
      <w:r w:rsidR="00707522">
        <w:rPr>
          <w:rFonts w:ascii="Arial" w:hAnsi="Arial" w:cs="Arial"/>
          <w:sz w:val="24"/>
          <w:szCs w:val="24"/>
        </w:rPr>
        <w:t xml:space="preserve">reduced </w:t>
      </w:r>
      <w:r w:rsidR="00E75296">
        <w:rPr>
          <w:rFonts w:ascii="Arial" w:hAnsi="Arial" w:cs="Arial"/>
          <w:sz w:val="24"/>
          <w:szCs w:val="24"/>
        </w:rPr>
        <w:t xml:space="preserve">inflammatory markers. Thus the beneficial effects of the prebiotic diet appear to be mediated through </w:t>
      </w:r>
      <w:r w:rsidR="00B600B3">
        <w:rPr>
          <w:rFonts w:ascii="Arial" w:hAnsi="Arial" w:cs="Arial"/>
          <w:sz w:val="24"/>
          <w:szCs w:val="24"/>
        </w:rPr>
        <w:t xml:space="preserve">GLP-2. </w:t>
      </w:r>
    </w:p>
    <w:p w:rsidR="00BD5807" w:rsidRDefault="00BD5807" w:rsidP="00EF5324">
      <w:pPr>
        <w:spacing w:after="0" w:line="480" w:lineRule="auto"/>
        <w:jc w:val="both"/>
        <w:rPr>
          <w:rFonts w:ascii="Arial" w:hAnsi="Arial" w:cs="Arial"/>
          <w:sz w:val="24"/>
          <w:szCs w:val="24"/>
        </w:rPr>
      </w:pPr>
    </w:p>
    <w:p w:rsidR="00BD5807" w:rsidRPr="000C1677" w:rsidRDefault="00BD5807" w:rsidP="00EF5324">
      <w:pPr>
        <w:spacing w:after="0"/>
        <w:jc w:val="both"/>
        <w:rPr>
          <w:rFonts w:ascii="Arial" w:hAnsi="Arial" w:cs="Arial"/>
          <w:b/>
          <w:sz w:val="24"/>
          <w:szCs w:val="24"/>
        </w:rPr>
      </w:pPr>
      <w:r w:rsidRPr="000C1677">
        <w:rPr>
          <w:rFonts w:ascii="Arial" w:hAnsi="Arial" w:cs="Arial"/>
          <w:b/>
          <w:sz w:val="24"/>
          <w:szCs w:val="24"/>
        </w:rPr>
        <w:t xml:space="preserve">Comments </w:t>
      </w:r>
    </w:p>
    <w:p w:rsidR="00DC4D45" w:rsidRDefault="00DC4D45" w:rsidP="00EF5324">
      <w:pPr>
        <w:spacing w:after="0"/>
        <w:jc w:val="both"/>
        <w:rPr>
          <w:rFonts w:ascii="Arial" w:hAnsi="Arial" w:cs="Arial"/>
          <w:sz w:val="24"/>
          <w:szCs w:val="24"/>
        </w:rPr>
      </w:pPr>
    </w:p>
    <w:p w:rsidR="00D177E5" w:rsidRDefault="007723B8" w:rsidP="00EF5324">
      <w:pPr>
        <w:spacing w:after="0" w:line="480" w:lineRule="auto"/>
        <w:jc w:val="both"/>
        <w:rPr>
          <w:rFonts w:ascii="Arial" w:hAnsi="Arial" w:cs="Arial"/>
          <w:sz w:val="24"/>
          <w:szCs w:val="24"/>
        </w:rPr>
      </w:pPr>
      <w:r>
        <w:rPr>
          <w:rFonts w:ascii="Arial" w:hAnsi="Arial" w:cs="Arial"/>
          <w:sz w:val="24"/>
          <w:szCs w:val="24"/>
        </w:rPr>
        <w:t xml:space="preserve">This paper adds to the growing literature on the influence of gut microbiota on obesity. Although obesity is the </w:t>
      </w:r>
      <w:r w:rsidR="000E629E">
        <w:rPr>
          <w:rFonts w:ascii="Arial" w:hAnsi="Arial" w:cs="Arial"/>
          <w:sz w:val="24"/>
          <w:szCs w:val="24"/>
        </w:rPr>
        <w:t xml:space="preserve">result of </w:t>
      </w:r>
      <w:r>
        <w:rPr>
          <w:rFonts w:ascii="Arial" w:hAnsi="Arial" w:cs="Arial"/>
          <w:sz w:val="24"/>
          <w:szCs w:val="24"/>
        </w:rPr>
        <w:t xml:space="preserve">energy </w:t>
      </w:r>
      <w:r w:rsidR="000E629E">
        <w:rPr>
          <w:rFonts w:ascii="Arial" w:hAnsi="Arial" w:cs="Arial"/>
          <w:sz w:val="24"/>
          <w:szCs w:val="24"/>
        </w:rPr>
        <w:t>(</w:t>
      </w:r>
      <w:r>
        <w:rPr>
          <w:rFonts w:ascii="Arial" w:hAnsi="Arial" w:cs="Arial"/>
          <w:sz w:val="24"/>
          <w:szCs w:val="24"/>
        </w:rPr>
        <w:t>caloric</w:t>
      </w:r>
      <w:r w:rsidR="000E629E">
        <w:rPr>
          <w:rFonts w:ascii="Arial" w:hAnsi="Arial" w:cs="Arial"/>
          <w:sz w:val="24"/>
          <w:szCs w:val="24"/>
        </w:rPr>
        <w:t>)</w:t>
      </w:r>
      <w:r>
        <w:rPr>
          <w:rFonts w:ascii="Arial" w:hAnsi="Arial" w:cs="Arial"/>
          <w:sz w:val="24"/>
          <w:szCs w:val="24"/>
        </w:rPr>
        <w:t xml:space="preserve"> input being greater than expenditure</w:t>
      </w:r>
      <w:r w:rsidR="000E629E">
        <w:rPr>
          <w:rFonts w:ascii="Arial" w:hAnsi="Arial" w:cs="Arial"/>
          <w:sz w:val="24"/>
          <w:szCs w:val="24"/>
        </w:rPr>
        <w:t>,</w:t>
      </w:r>
      <w:r>
        <w:rPr>
          <w:rFonts w:ascii="Arial" w:hAnsi="Arial" w:cs="Arial"/>
          <w:sz w:val="24"/>
          <w:szCs w:val="24"/>
        </w:rPr>
        <w:t xml:space="preserve"> gut microbiota can influence the harvesting of energy from food, particularly from carbohydrates, and alter genes regulating fat storage. Recent twin studies has shown </w:t>
      </w:r>
      <w:r w:rsidR="000E629E">
        <w:rPr>
          <w:rFonts w:ascii="Arial" w:hAnsi="Arial" w:cs="Arial"/>
          <w:sz w:val="24"/>
          <w:szCs w:val="24"/>
        </w:rPr>
        <w:t xml:space="preserve">humans have </w:t>
      </w:r>
      <w:r>
        <w:rPr>
          <w:rFonts w:ascii="Arial" w:hAnsi="Arial" w:cs="Arial"/>
          <w:sz w:val="24"/>
          <w:szCs w:val="24"/>
        </w:rPr>
        <w:t xml:space="preserve">a core gut microbiome characterized by shared genes, though not by shared phylotypes (Nature 2009;457:480-484). Thus the gut microbiota possesses a core repertoire of shared biochemical functions </w:t>
      </w:r>
      <w:r w:rsidR="00BD4497">
        <w:rPr>
          <w:rFonts w:ascii="Arial" w:hAnsi="Arial" w:cs="Arial"/>
          <w:sz w:val="24"/>
          <w:szCs w:val="24"/>
        </w:rPr>
        <w:t xml:space="preserve">including sugar, fat and protein metabolism </w:t>
      </w:r>
      <w:r w:rsidR="000E629E">
        <w:rPr>
          <w:rFonts w:ascii="Arial" w:hAnsi="Arial" w:cs="Arial"/>
          <w:sz w:val="24"/>
          <w:szCs w:val="24"/>
        </w:rPr>
        <w:t>re</w:t>
      </w:r>
      <w:r>
        <w:rPr>
          <w:rFonts w:ascii="Arial" w:hAnsi="Arial" w:cs="Arial"/>
          <w:sz w:val="24"/>
          <w:szCs w:val="24"/>
        </w:rPr>
        <w:t xml:space="preserve">presented by </w:t>
      </w:r>
      <w:r w:rsidR="00BD4497">
        <w:rPr>
          <w:rFonts w:ascii="Arial" w:hAnsi="Arial" w:cs="Arial"/>
          <w:sz w:val="24"/>
          <w:szCs w:val="24"/>
        </w:rPr>
        <w:t xml:space="preserve">bacterial </w:t>
      </w:r>
      <w:r>
        <w:rPr>
          <w:rFonts w:ascii="Arial" w:hAnsi="Arial" w:cs="Arial"/>
          <w:sz w:val="24"/>
          <w:szCs w:val="24"/>
        </w:rPr>
        <w:t>genes. The identity of the bacterial species or lineages containing the</w:t>
      </w:r>
      <w:r w:rsidR="00D7031B">
        <w:rPr>
          <w:rFonts w:ascii="Arial" w:hAnsi="Arial" w:cs="Arial"/>
          <w:sz w:val="24"/>
          <w:szCs w:val="24"/>
        </w:rPr>
        <w:t>se</w:t>
      </w:r>
      <w:r>
        <w:rPr>
          <w:rFonts w:ascii="Arial" w:hAnsi="Arial" w:cs="Arial"/>
          <w:sz w:val="24"/>
          <w:szCs w:val="24"/>
        </w:rPr>
        <w:t xml:space="preserve"> genes is of lesser importance</w:t>
      </w:r>
      <w:r w:rsidR="000E629E">
        <w:rPr>
          <w:rFonts w:ascii="Arial" w:hAnsi="Arial" w:cs="Arial"/>
          <w:sz w:val="24"/>
          <w:szCs w:val="24"/>
        </w:rPr>
        <w:t xml:space="preserve"> than their biochemical function</w:t>
      </w:r>
      <w:r>
        <w:rPr>
          <w:rFonts w:ascii="Arial" w:hAnsi="Arial" w:cs="Arial"/>
          <w:sz w:val="24"/>
          <w:szCs w:val="24"/>
        </w:rPr>
        <w:t xml:space="preserve">.  </w:t>
      </w:r>
    </w:p>
    <w:p w:rsidR="000C1677" w:rsidRDefault="000C1677" w:rsidP="00EF5324">
      <w:pPr>
        <w:spacing w:after="0" w:line="480" w:lineRule="auto"/>
        <w:jc w:val="both"/>
        <w:rPr>
          <w:rFonts w:ascii="Arial" w:hAnsi="Arial" w:cs="Arial"/>
          <w:sz w:val="24"/>
          <w:szCs w:val="24"/>
        </w:rPr>
      </w:pPr>
    </w:p>
    <w:p w:rsidR="007723B8" w:rsidRDefault="007723B8" w:rsidP="00EF5324">
      <w:pPr>
        <w:spacing w:after="0" w:line="480" w:lineRule="auto"/>
        <w:jc w:val="both"/>
        <w:rPr>
          <w:rFonts w:ascii="Arial" w:hAnsi="Arial" w:cs="Arial"/>
          <w:sz w:val="24"/>
          <w:szCs w:val="24"/>
        </w:rPr>
      </w:pPr>
      <w:r>
        <w:rPr>
          <w:rFonts w:ascii="Arial" w:hAnsi="Arial" w:cs="Arial"/>
          <w:sz w:val="24"/>
          <w:szCs w:val="24"/>
        </w:rPr>
        <w:t>A set of 400 genes are enriched in obese individuals including enhancement of phosphotransferase systems which process carbohydrates within the gut and phylotypes (</w:t>
      </w:r>
      <w:r>
        <w:rPr>
          <w:rFonts w:ascii="Arial" w:hAnsi="Arial" w:cs="Arial"/>
          <w:i/>
          <w:sz w:val="24"/>
          <w:szCs w:val="24"/>
        </w:rPr>
        <w:t xml:space="preserve">Prevotellaceae </w:t>
      </w:r>
      <w:r>
        <w:rPr>
          <w:rFonts w:ascii="Arial" w:hAnsi="Arial" w:cs="Arial"/>
          <w:sz w:val="24"/>
          <w:szCs w:val="24"/>
        </w:rPr>
        <w:t xml:space="preserve"> and </w:t>
      </w:r>
      <w:r>
        <w:rPr>
          <w:rFonts w:ascii="Arial" w:hAnsi="Arial" w:cs="Arial"/>
          <w:i/>
          <w:sz w:val="24"/>
          <w:szCs w:val="24"/>
        </w:rPr>
        <w:t>Meathanobacteriales)</w:t>
      </w:r>
      <w:r>
        <w:rPr>
          <w:rFonts w:ascii="Arial" w:hAnsi="Arial" w:cs="Arial"/>
          <w:sz w:val="24"/>
          <w:szCs w:val="24"/>
        </w:rPr>
        <w:t xml:space="preserve"> which produce and utilise hydrogen to harvest energy from indigestible carbohydrates (PNAS 200</w:t>
      </w:r>
      <w:r w:rsidR="00D7031B">
        <w:rPr>
          <w:rFonts w:ascii="Arial" w:hAnsi="Arial" w:cs="Arial"/>
          <w:sz w:val="24"/>
          <w:szCs w:val="24"/>
        </w:rPr>
        <w:t>9</w:t>
      </w:r>
      <w:r>
        <w:rPr>
          <w:rFonts w:ascii="Arial" w:hAnsi="Arial" w:cs="Arial"/>
          <w:sz w:val="24"/>
          <w:szCs w:val="24"/>
        </w:rPr>
        <w:t xml:space="preserve">;106:2365-2370). The gut microbiota also increases fat storage via carbohydrate response element (ChREBP) and liver sterol response element-binding protein type-1 (SREBP-1) and promotes the </w:t>
      </w:r>
      <w:r w:rsidRPr="009550FF">
        <w:rPr>
          <w:rFonts w:ascii="Arial" w:hAnsi="Arial" w:cs="Arial"/>
          <w:sz w:val="24"/>
          <w:szCs w:val="24"/>
        </w:rPr>
        <w:t>deposition of triglycerides in adipocytes</w:t>
      </w:r>
      <w:r>
        <w:rPr>
          <w:rFonts w:ascii="Arial" w:hAnsi="Arial" w:cs="Arial"/>
          <w:sz w:val="24"/>
          <w:szCs w:val="24"/>
        </w:rPr>
        <w:t xml:space="preserve"> by suppressing fasting-induced adipocyte factor (Fiaf) (PNAS 2007;104:979-984). Collectively these data show that the microbiome of obese individuals is more efficient at harvesting and storing calories from food than the gut flora of individuals of normal weight.</w:t>
      </w:r>
    </w:p>
    <w:p w:rsidR="00ED487B" w:rsidRDefault="00ED487B" w:rsidP="00EF5324">
      <w:pPr>
        <w:autoSpaceDE w:val="0"/>
        <w:autoSpaceDN w:val="0"/>
        <w:adjustRightInd w:val="0"/>
        <w:spacing w:after="0" w:line="480" w:lineRule="auto"/>
        <w:jc w:val="both"/>
        <w:rPr>
          <w:rFonts w:ascii="Arial" w:hAnsi="Arial" w:cs="Arial"/>
          <w:sz w:val="24"/>
          <w:szCs w:val="24"/>
        </w:rPr>
      </w:pPr>
    </w:p>
    <w:p w:rsidR="006370B8" w:rsidRDefault="00863CF6" w:rsidP="00EF5324">
      <w:pPr>
        <w:autoSpaceDE w:val="0"/>
        <w:autoSpaceDN w:val="0"/>
        <w:adjustRightInd w:val="0"/>
        <w:spacing w:after="0" w:line="480" w:lineRule="auto"/>
        <w:jc w:val="both"/>
        <w:rPr>
          <w:rFonts w:ascii="Arial" w:hAnsi="Arial" w:cs="Arial"/>
          <w:sz w:val="24"/>
          <w:szCs w:val="24"/>
        </w:rPr>
      </w:pPr>
      <w:r>
        <w:rPr>
          <w:rFonts w:ascii="Arial" w:hAnsi="Arial" w:cs="Arial"/>
          <w:sz w:val="24"/>
          <w:szCs w:val="24"/>
        </w:rPr>
        <w:t xml:space="preserve">The observations that intestinal microbiota can modulate tight junctions through a mechanism mediated by GLP-2 </w:t>
      </w:r>
      <w:r w:rsidR="00233913">
        <w:rPr>
          <w:rFonts w:ascii="Arial" w:hAnsi="Arial" w:cs="Arial"/>
          <w:sz w:val="24"/>
          <w:szCs w:val="24"/>
        </w:rPr>
        <w:t xml:space="preserve">are </w:t>
      </w:r>
      <w:r>
        <w:rPr>
          <w:rFonts w:ascii="Arial" w:hAnsi="Arial" w:cs="Arial"/>
          <w:sz w:val="24"/>
          <w:szCs w:val="24"/>
        </w:rPr>
        <w:t>provocative. Tight junctions form the apical most part of the junctional complex and form a circumferential barrier around intestinal epithelial cells functioning to tightly regulate the paracellular space. Tight junctional complexes consist of the ~60kDa tetraspan membrane protein occludin combined with one or more ~20-27kDa claudins from a family of ~24 members, and junctional adhesion molecules (JAMs).  Occludin directly binds to zonula occludens-1 (ZO-1) which is one of a number of cytoplasmic plaque proteins that may bind to each other and also to cytoskeletal proteins such as actin microfilaments (Ann N Y Acad Sci 2009</w:t>
      </w:r>
      <w:r w:rsidR="008E284F">
        <w:rPr>
          <w:rFonts w:ascii="Arial" w:hAnsi="Arial" w:cs="Arial"/>
          <w:sz w:val="24"/>
          <w:szCs w:val="24"/>
        </w:rPr>
        <w:t>;</w:t>
      </w:r>
      <w:r>
        <w:rPr>
          <w:rFonts w:ascii="Arial" w:hAnsi="Arial" w:cs="Arial"/>
          <w:sz w:val="24"/>
          <w:szCs w:val="24"/>
        </w:rPr>
        <w:t>1165:44-52).  The importance of occludin in regulating barrier function is not yet apparent as occludin-deficient mice show normal epithelial and paracellular resistance.  Occludin is therefore not required for barrier formation.  Occludin is however sensitive to oxidative stress</w:t>
      </w:r>
      <w:r w:rsidRPr="00BB5D4F">
        <w:rPr>
          <w:rFonts w:ascii="Arial" w:hAnsi="Arial" w:cs="Arial"/>
          <w:sz w:val="24"/>
          <w:szCs w:val="24"/>
        </w:rPr>
        <w:t xml:space="preserve"> (</w:t>
      </w:r>
      <w:r w:rsidRPr="00343AD2">
        <w:rPr>
          <w:rStyle w:val="journalname"/>
          <w:rFonts w:ascii="Arial" w:hAnsi="Arial" w:cs="Arial"/>
          <w:sz w:val="24"/>
          <w:szCs w:val="24"/>
        </w:rPr>
        <w:t>Ann N Y Acad Sci</w:t>
      </w:r>
      <w:r w:rsidRPr="00343AD2">
        <w:rPr>
          <w:rFonts w:ascii="Arial" w:hAnsi="Arial" w:cs="Arial"/>
          <w:sz w:val="24"/>
          <w:szCs w:val="24"/>
        </w:rPr>
        <w:t>. 2009;1165:19-27)</w:t>
      </w:r>
      <w:r>
        <w:rPr>
          <w:rFonts w:ascii="Arial" w:hAnsi="Arial" w:cs="Arial"/>
          <w:sz w:val="24"/>
          <w:szCs w:val="24"/>
        </w:rPr>
        <w:t xml:space="preserve"> and knockdown of occludin by siRNA in tissue culture leads to an alteration in tight junction dynami</w:t>
      </w:r>
      <w:r w:rsidRPr="00EF6133">
        <w:rPr>
          <w:rFonts w:ascii="Arial" w:hAnsi="Arial" w:cs="Arial"/>
          <w:sz w:val="24"/>
          <w:szCs w:val="24"/>
        </w:rPr>
        <w:t>cs</w:t>
      </w:r>
      <w:r>
        <w:rPr>
          <w:rFonts w:ascii="Arial" w:hAnsi="Arial" w:cs="Arial"/>
          <w:sz w:val="24"/>
          <w:szCs w:val="24"/>
        </w:rPr>
        <w:t xml:space="preserve"> suggesting that this protein, at least in some contexts is an important tight junction modulator (</w:t>
      </w:r>
      <w:r w:rsidRPr="00EF6133">
        <w:rPr>
          <w:rFonts w:ascii="Arial" w:hAnsi="Arial" w:cs="Arial"/>
          <w:iCs/>
          <w:sz w:val="24"/>
          <w:szCs w:val="24"/>
          <w:lang w:eastAsia="de-DE"/>
        </w:rPr>
        <w:t>Am J Physiol Cell Physiol</w:t>
      </w:r>
      <w:r w:rsidR="00067D49">
        <w:rPr>
          <w:rFonts w:ascii="Arial" w:hAnsi="Arial" w:cs="Arial"/>
          <w:iCs/>
          <w:sz w:val="24"/>
          <w:szCs w:val="24"/>
          <w:lang w:eastAsia="de-DE"/>
        </w:rPr>
        <w:t xml:space="preserve"> 2005:</w:t>
      </w:r>
      <w:r w:rsidRPr="00EF6133">
        <w:rPr>
          <w:rFonts w:ascii="Arial" w:hAnsi="Arial" w:cs="Arial"/>
          <w:i/>
          <w:iCs/>
          <w:sz w:val="24"/>
          <w:szCs w:val="24"/>
          <w:lang w:eastAsia="de-DE"/>
        </w:rPr>
        <w:t xml:space="preserve"> </w:t>
      </w:r>
      <w:r w:rsidRPr="00EF6133">
        <w:rPr>
          <w:rFonts w:ascii="Arial" w:hAnsi="Arial" w:cs="Arial"/>
          <w:sz w:val="24"/>
          <w:szCs w:val="24"/>
          <w:lang w:eastAsia="de-DE"/>
        </w:rPr>
        <w:t>288:1231-1241)</w:t>
      </w:r>
      <w:r>
        <w:rPr>
          <w:rFonts w:ascii="Arial" w:hAnsi="Arial" w:cs="Arial"/>
          <w:sz w:val="24"/>
          <w:szCs w:val="24"/>
        </w:rPr>
        <w:t>.</w:t>
      </w:r>
    </w:p>
    <w:p w:rsidR="00863CF6" w:rsidRDefault="00863CF6" w:rsidP="00EF5324">
      <w:pPr>
        <w:autoSpaceDE w:val="0"/>
        <w:autoSpaceDN w:val="0"/>
        <w:adjustRightInd w:val="0"/>
        <w:spacing w:after="0" w:line="480" w:lineRule="auto"/>
        <w:jc w:val="both"/>
        <w:rPr>
          <w:rFonts w:ascii="Arial" w:hAnsi="Arial" w:cs="Arial"/>
          <w:sz w:val="24"/>
          <w:szCs w:val="24"/>
        </w:rPr>
      </w:pPr>
    </w:p>
    <w:p w:rsidR="00863CF6" w:rsidRDefault="00863CF6" w:rsidP="00EF5324">
      <w:pPr>
        <w:autoSpaceDE w:val="0"/>
        <w:autoSpaceDN w:val="0"/>
        <w:adjustRightInd w:val="0"/>
        <w:spacing w:after="0" w:line="480" w:lineRule="auto"/>
        <w:jc w:val="both"/>
        <w:rPr>
          <w:rFonts w:ascii="Arial" w:hAnsi="Arial" w:cs="Arial"/>
          <w:sz w:val="24"/>
          <w:szCs w:val="24"/>
        </w:rPr>
      </w:pPr>
      <w:r>
        <w:rPr>
          <w:rFonts w:ascii="Arial" w:hAnsi="Arial" w:cs="Arial"/>
          <w:sz w:val="24"/>
          <w:szCs w:val="24"/>
        </w:rPr>
        <w:t xml:space="preserve">Tight junction mRNA expression of occludin and ZO-1 were found by Cani and colleagues to be elevated </w:t>
      </w:r>
      <w:r w:rsidR="007734C0">
        <w:rPr>
          <w:rFonts w:ascii="Arial" w:hAnsi="Arial" w:cs="Arial"/>
          <w:sz w:val="24"/>
          <w:szCs w:val="24"/>
        </w:rPr>
        <w:t xml:space="preserve">towards </w:t>
      </w:r>
      <w:r>
        <w:rPr>
          <w:rFonts w:ascii="Arial" w:hAnsi="Arial" w:cs="Arial"/>
          <w:sz w:val="24"/>
          <w:szCs w:val="24"/>
        </w:rPr>
        <w:t xml:space="preserve">normal wild-type levels in ob/ob mice fed the prebiotic oligofructose. Further studies are warranted to determine whether </w:t>
      </w:r>
      <w:r w:rsidR="007734C0">
        <w:rPr>
          <w:rFonts w:ascii="Arial" w:hAnsi="Arial" w:cs="Arial"/>
          <w:sz w:val="24"/>
          <w:szCs w:val="24"/>
        </w:rPr>
        <w:t xml:space="preserve">the observed changes in barrier function are mediated by occludin and/or ZO-1 or by </w:t>
      </w:r>
      <w:r>
        <w:rPr>
          <w:rFonts w:ascii="Arial" w:hAnsi="Arial" w:cs="Arial"/>
          <w:sz w:val="24"/>
          <w:szCs w:val="24"/>
        </w:rPr>
        <w:t>other tight junction associated molecules such as the claudins and JAMs</w:t>
      </w:r>
      <w:r w:rsidR="008E284F">
        <w:rPr>
          <w:rFonts w:ascii="Arial" w:hAnsi="Arial" w:cs="Arial"/>
          <w:sz w:val="24"/>
          <w:szCs w:val="24"/>
        </w:rPr>
        <w:t xml:space="preserve">, and whether these other molecules are </w:t>
      </w:r>
      <w:r>
        <w:rPr>
          <w:rFonts w:ascii="Arial" w:hAnsi="Arial" w:cs="Arial"/>
          <w:sz w:val="24"/>
          <w:szCs w:val="24"/>
        </w:rPr>
        <w:t xml:space="preserve"> implicated in barrier response to GLP-2</w:t>
      </w:r>
      <w:r w:rsidR="007734C0">
        <w:rPr>
          <w:rFonts w:ascii="Arial" w:hAnsi="Arial" w:cs="Arial"/>
          <w:sz w:val="24"/>
          <w:szCs w:val="24"/>
        </w:rPr>
        <w:t xml:space="preserve"> with occludin and ZO-1 having bystander roles only.</w:t>
      </w:r>
    </w:p>
    <w:p w:rsidR="004B0A64" w:rsidRDefault="004B0A64" w:rsidP="00EF5324">
      <w:pPr>
        <w:autoSpaceDE w:val="0"/>
        <w:autoSpaceDN w:val="0"/>
        <w:adjustRightInd w:val="0"/>
        <w:spacing w:after="0" w:line="480" w:lineRule="auto"/>
        <w:jc w:val="both"/>
        <w:rPr>
          <w:rFonts w:ascii="Arial" w:hAnsi="Arial" w:cs="Arial"/>
          <w:sz w:val="24"/>
          <w:szCs w:val="24"/>
        </w:rPr>
      </w:pPr>
    </w:p>
    <w:p w:rsidR="00ED487B" w:rsidRDefault="00E86A8D" w:rsidP="00EF5324">
      <w:pPr>
        <w:autoSpaceDE w:val="0"/>
        <w:autoSpaceDN w:val="0"/>
        <w:adjustRightInd w:val="0"/>
        <w:spacing w:after="0" w:line="480" w:lineRule="auto"/>
        <w:jc w:val="both"/>
        <w:rPr>
          <w:rFonts w:ascii="Arial" w:hAnsi="Arial" w:cs="Arial"/>
          <w:sz w:val="24"/>
          <w:szCs w:val="24"/>
        </w:rPr>
      </w:pPr>
      <w:r>
        <w:rPr>
          <w:rFonts w:ascii="Arial" w:hAnsi="Arial" w:cs="Arial"/>
          <w:sz w:val="24"/>
          <w:szCs w:val="24"/>
        </w:rPr>
        <w:t xml:space="preserve">GLP-2 is co-secreted with GLP-1 </w:t>
      </w:r>
      <w:r w:rsidR="00CE7878">
        <w:rPr>
          <w:rFonts w:ascii="Arial" w:hAnsi="Arial" w:cs="Arial"/>
          <w:sz w:val="24"/>
          <w:szCs w:val="24"/>
        </w:rPr>
        <w:t xml:space="preserve">following post-translational processing of </w:t>
      </w:r>
      <w:r w:rsidR="005A4267">
        <w:rPr>
          <w:rFonts w:ascii="Arial" w:hAnsi="Arial" w:cs="Arial"/>
          <w:sz w:val="24"/>
          <w:szCs w:val="24"/>
        </w:rPr>
        <w:t>proglucagon</w:t>
      </w:r>
      <w:r w:rsidR="00CE7878">
        <w:rPr>
          <w:rFonts w:ascii="Arial" w:hAnsi="Arial" w:cs="Arial"/>
          <w:sz w:val="24"/>
          <w:szCs w:val="24"/>
        </w:rPr>
        <w:t xml:space="preserve"> </w:t>
      </w:r>
      <w:r w:rsidR="00D766F0">
        <w:rPr>
          <w:rFonts w:ascii="Arial" w:hAnsi="Arial" w:cs="Arial"/>
          <w:sz w:val="24"/>
          <w:szCs w:val="24"/>
        </w:rPr>
        <w:t>from enteroendocrine L-</w:t>
      </w:r>
      <w:r>
        <w:rPr>
          <w:rFonts w:ascii="Arial" w:hAnsi="Arial" w:cs="Arial"/>
          <w:sz w:val="24"/>
          <w:szCs w:val="24"/>
        </w:rPr>
        <w:t>cells in response to carbohydrate and fat ingestion</w:t>
      </w:r>
      <w:r w:rsidR="00D766F0">
        <w:rPr>
          <w:rFonts w:ascii="Arial" w:hAnsi="Arial" w:cs="Arial"/>
          <w:sz w:val="24"/>
          <w:szCs w:val="24"/>
        </w:rPr>
        <w:t xml:space="preserve">.  A prebiotic diet has previously been shown </w:t>
      </w:r>
      <w:r w:rsidR="005A4267">
        <w:rPr>
          <w:rFonts w:ascii="Arial" w:hAnsi="Arial" w:cs="Arial"/>
          <w:sz w:val="24"/>
          <w:szCs w:val="24"/>
        </w:rPr>
        <w:t xml:space="preserve">in the proximal colon </w:t>
      </w:r>
      <w:r w:rsidR="00D766F0">
        <w:rPr>
          <w:rFonts w:ascii="Arial" w:hAnsi="Arial" w:cs="Arial"/>
          <w:sz w:val="24"/>
          <w:szCs w:val="24"/>
        </w:rPr>
        <w:t xml:space="preserve">to </w:t>
      </w:r>
      <w:r w:rsidR="005A4267">
        <w:rPr>
          <w:rFonts w:ascii="Arial" w:hAnsi="Arial" w:cs="Arial"/>
          <w:sz w:val="24"/>
          <w:szCs w:val="24"/>
        </w:rPr>
        <w:t xml:space="preserve">double </w:t>
      </w:r>
      <w:r w:rsidR="00D766F0">
        <w:rPr>
          <w:rFonts w:ascii="Arial" w:hAnsi="Arial" w:cs="Arial"/>
          <w:sz w:val="24"/>
          <w:szCs w:val="24"/>
        </w:rPr>
        <w:t xml:space="preserve">L-cell </w:t>
      </w:r>
      <w:r w:rsidR="005A4267">
        <w:rPr>
          <w:rFonts w:ascii="Arial" w:hAnsi="Arial" w:cs="Arial"/>
          <w:sz w:val="24"/>
          <w:szCs w:val="24"/>
        </w:rPr>
        <w:t>population and i</w:t>
      </w:r>
      <w:r w:rsidR="00D766F0">
        <w:rPr>
          <w:rFonts w:ascii="Arial" w:hAnsi="Arial" w:cs="Arial"/>
          <w:sz w:val="24"/>
          <w:szCs w:val="24"/>
        </w:rPr>
        <w:t xml:space="preserve">ncrease abundance of neuorgenin-3 and </w:t>
      </w:r>
      <w:r w:rsidR="005A4267">
        <w:rPr>
          <w:rFonts w:ascii="Arial" w:hAnsi="Arial" w:cs="Arial"/>
          <w:sz w:val="24"/>
          <w:szCs w:val="24"/>
        </w:rPr>
        <w:t>N</w:t>
      </w:r>
      <w:r w:rsidR="00D766F0">
        <w:rPr>
          <w:rFonts w:ascii="Arial" w:hAnsi="Arial" w:cs="Arial"/>
          <w:sz w:val="24"/>
          <w:szCs w:val="24"/>
        </w:rPr>
        <w:t>euroD mRNA</w:t>
      </w:r>
      <w:r w:rsidR="005A4267">
        <w:rPr>
          <w:rFonts w:ascii="Arial" w:hAnsi="Arial" w:cs="Arial"/>
          <w:sz w:val="24"/>
          <w:szCs w:val="24"/>
        </w:rPr>
        <w:t xml:space="preserve"> associated with enteroendocrine cell differentiation</w:t>
      </w:r>
      <w:r w:rsidR="00344417">
        <w:rPr>
          <w:rFonts w:ascii="Arial" w:hAnsi="Arial" w:cs="Arial"/>
          <w:sz w:val="24"/>
          <w:szCs w:val="24"/>
        </w:rPr>
        <w:t xml:space="preserve">.  The short chain fatty acid butyrate </w:t>
      </w:r>
      <w:r w:rsidR="00593931">
        <w:rPr>
          <w:rFonts w:ascii="Arial" w:hAnsi="Arial" w:cs="Arial"/>
          <w:sz w:val="24"/>
          <w:szCs w:val="24"/>
        </w:rPr>
        <w:t>which</w:t>
      </w:r>
      <w:r w:rsidR="00344417">
        <w:rPr>
          <w:rFonts w:ascii="Arial" w:hAnsi="Arial" w:cs="Arial"/>
          <w:sz w:val="24"/>
          <w:szCs w:val="24"/>
        </w:rPr>
        <w:t xml:space="preserve"> is produced by fermentation of prebiotics, has been suggested to be an important determinant of intestinal different</w:t>
      </w:r>
      <w:r w:rsidR="006370B8">
        <w:rPr>
          <w:rFonts w:ascii="Arial" w:hAnsi="Arial" w:cs="Arial"/>
          <w:sz w:val="24"/>
          <w:szCs w:val="24"/>
        </w:rPr>
        <w:t>iat</w:t>
      </w:r>
      <w:r w:rsidR="00344417">
        <w:rPr>
          <w:rFonts w:ascii="Arial" w:hAnsi="Arial" w:cs="Arial"/>
          <w:sz w:val="24"/>
          <w:szCs w:val="24"/>
        </w:rPr>
        <w:t>ion and increase</w:t>
      </w:r>
      <w:r w:rsidR="00593931">
        <w:rPr>
          <w:rFonts w:ascii="Arial" w:hAnsi="Arial" w:cs="Arial"/>
          <w:sz w:val="24"/>
          <w:szCs w:val="24"/>
        </w:rPr>
        <w:t>s</w:t>
      </w:r>
      <w:r w:rsidR="00344417">
        <w:rPr>
          <w:rFonts w:ascii="Arial" w:hAnsi="Arial" w:cs="Arial"/>
          <w:sz w:val="24"/>
          <w:szCs w:val="24"/>
        </w:rPr>
        <w:t xml:space="preserve"> proglucagon gene expression </w:t>
      </w:r>
      <w:r w:rsidR="00654DD6" w:rsidRPr="00654DD6">
        <w:rPr>
          <w:rFonts w:ascii="Arial" w:hAnsi="Arial" w:cs="Arial"/>
          <w:i/>
          <w:sz w:val="24"/>
          <w:szCs w:val="24"/>
        </w:rPr>
        <w:t xml:space="preserve">in vitro </w:t>
      </w:r>
      <w:r w:rsidR="00593931">
        <w:rPr>
          <w:rFonts w:ascii="Arial" w:hAnsi="Arial" w:cs="Arial"/>
          <w:sz w:val="24"/>
          <w:szCs w:val="24"/>
        </w:rPr>
        <w:t xml:space="preserve">suggesting </w:t>
      </w:r>
      <w:r w:rsidR="00344417">
        <w:rPr>
          <w:rFonts w:ascii="Arial" w:hAnsi="Arial" w:cs="Arial"/>
          <w:sz w:val="24"/>
          <w:szCs w:val="24"/>
        </w:rPr>
        <w:t>a mechanism by which prebiotics increase GLP-2 expression</w:t>
      </w:r>
      <w:r w:rsidR="00593931">
        <w:rPr>
          <w:rFonts w:ascii="Arial" w:hAnsi="Arial" w:cs="Arial"/>
          <w:sz w:val="24"/>
          <w:szCs w:val="24"/>
        </w:rPr>
        <w:t xml:space="preserve"> </w:t>
      </w:r>
      <w:r w:rsidR="00D766F0">
        <w:rPr>
          <w:rFonts w:ascii="Arial" w:hAnsi="Arial" w:cs="Arial"/>
          <w:sz w:val="24"/>
          <w:szCs w:val="24"/>
        </w:rPr>
        <w:t>(British Journal of Nutrition 2007 98</w:t>
      </w:r>
      <w:r w:rsidR="005A4267">
        <w:rPr>
          <w:rFonts w:ascii="Arial" w:hAnsi="Arial" w:cs="Arial"/>
          <w:sz w:val="24"/>
          <w:szCs w:val="24"/>
        </w:rPr>
        <w:t>:32-37).</w:t>
      </w:r>
      <w:r w:rsidR="00DD1C38">
        <w:rPr>
          <w:rFonts w:ascii="Arial" w:hAnsi="Arial" w:cs="Arial"/>
          <w:sz w:val="24"/>
          <w:szCs w:val="24"/>
        </w:rPr>
        <w:t xml:space="preserve"> </w:t>
      </w:r>
      <w:r w:rsidR="005A4267">
        <w:rPr>
          <w:rFonts w:ascii="Arial" w:hAnsi="Arial" w:cs="Arial"/>
          <w:sz w:val="24"/>
          <w:szCs w:val="24"/>
        </w:rPr>
        <w:t xml:space="preserve"> </w:t>
      </w:r>
      <w:r w:rsidR="00CE250A">
        <w:rPr>
          <w:rFonts w:ascii="Arial" w:hAnsi="Arial" w:cs="Arial"/>
          <w:sz w:val="24"/>
          <w:szCs w:val="24"/>
        </w:rPr>
        <w:t xml:space="preserve">GLP-2 </w:t>
      </w:r>
      <w:r>
        <w:rPr>
          <w:rFonts w:ascii="Arial" w:hAnsi="Arial" w:cs="Arial"/>
          <w:sz w:val="24"/>
          <w:szCs w:val="24"/>
        </w:rPr>
        <w:t>functions to reduce intestinal permeability and exert trophic effects in the gut</w:t>
      </w:r>
      <w:r w:rsidR="00CE250A">
        <w:rPr>
          <w:rFonts w:ascii="Arial" w:hAnsi="Arial" w:cs="Arial"/>
          <w:sz w:val="24"/>
          <w:szCs w:val="24"/>
        </w:rPr>
        <w:t xml:space="preserve"> by activation of the GLP-2 receptor</w:t>
      </w:r>
      <w:r w:rsidR="004D5432">
        <w:rPr>
          <w:rFonts w:ascii="Arial" w:hAnsi="Arial" w:cs="Arial"/>
          <w:sz w:val="24"/>
          <w:szCs w:val="24"/>
        </w:rPr>
        <w:t xml:space="preserve"> (GLP-2R)</w:t>
      </w:r>
      <w:r w:rsidR="00CE250A">
        <w:rPr>
          <w:rFonts w:ascii="Arial" w:hAnsi="Arial" w:cs="Arial"/>
          <w:sz w:val="24"/>
          <w:szCs w:val="24"/>
        </w:rPr>
        <w:t xml:space="preserve"> (Gastroenterology 2009;137:997-1005)</w:t>
      </w:r>
      <w:r>
        <w:rPr>
          <w:rFonts w:ascii="Arial" w:hAnsi="Arial" w:cs="Arial"/>
          <w:sz w:val="24"/>
          <w:szCs w:val="24"/>
        </w:rPr>
        <w:t>.</w:t>
      </w:r>
      <w:r w:rsidR="004D5432">
        <w:rPr>
          <w:rFonts w:ascii="Arial" w:hAnsi="Arial" w:cs="Arial"/>
          <w:sz w:val="24"/>
          <w:szCs w:val="24"/>
        </w:rPr>
        <w:t xml:space="preserve">  </w:t>
      </w:r>
    </w:p>
    <w:p w:rsidR="000C1677" w:rsidRDefault="000C1677" w:rsidP="00EF5324">
      <w:pPr>
        <w:autoSpaceDE w:val="0"/>
        <w:autoSpaceDN w:val="0"/>
        <w:adjustRightInd w:val="0"/>
        <w:spacing w:after="0" w:line="480" w:lineRule="auto"/>
        <w:jc w:val="both"/>
        <w:rPr>
          <w:rFonts w:ascii="Arial" w:hAnsi="Arial" w:cs="Arial"/>
          <w:sz w:val="24"/>
          <w:szCs w:val="24"/>
        </w:rPr>
      </w:pPr>
    </w:p>
    <w:p w:rsidR="00733569" w:rsidRPr="007001AA" w:rsidRDefault="00440384" w:rsidP="00EF5324">
      <w:pPr>
        <w:spacing w:after="0" w:line="480" w:lineRule="auto"/>
        <w:jc w:val="both"/>
        <w:rPr>
          <w:rFonts w:ascii="Arial" w:hAnsi="Arial" w:cs="Arial"/>
          <w:sz w:val="24"/>
          <w:szCs w:val="24"/>
        </w:rPr>
      </w:pPr>
      <w:r>
        <w:rPr>
          <w:rFonts w:ascii="Arial" w:hAnsi="Arial" w:cs="Arial"/>
          <w:sz w:val="24"/>
          <w:szCs w:val="24"/>
        </w:rPr>
        <w:t xml:space="preserve">The use of prebiotics is not the only way in which the gut microbiota might be </w:t>
      </w:r>
      <w:r w:rsidR="00DC29D6">
        <w:rPr>
          <w:rFonts w:ascii="Arial" w:hAnsi="Arial" w:cs="Arial"/>
          <w:sz w:val="24"/>
          <w:szCs w:val="24"/>
        </w:rPr>
        <w:t xml:space="preserve">manipulated </w:t>
      </w:r>
      <w:r>
        <w:rPr>
          <w:rFonts w:ascii="Arial" w:hAnsi="Arial" w:cs="Arial"/>
          <w:sz w:val="24"/>
          <w:szCs w:val="24"/>
        </w:rPr>
        <w:t xml:space="preserve">beneficially in obesity. </w:t>
      </w:r>
      <w:r>
        <w:rPr>
          <w:rStyle w:val="ti"/>
          <w:rFonts w:ascii="Arial" w:hAnsi="Arial" w:cs="Arial"/>
          <w:sz w:val="24"/>
          <w:szCs w:val="24"/>
        </w:rPr>
        <w:t xml:space="preserve">RELMβ KO mice remain lean despite being administered a high-fat diet enabling the study of a high-fat diet in the absence of obesity.  The alteration in diet itself, despite the absence of obesity was shown to cause an alteration in gut microbiota (Gastroenterology 2009 in press doi:10.1053/j.gastro.2009.08.042). It may also therefore be possible to manipulate diet to induce a helpful change in gut microbiota. </w:t>
      </w:r>
      <w:r w:rsidR="00DC29D6">
        <w:rPr>
          <w:rStyle w:val="ti"/>
          <w:rFonts w:ascii="Arial" w:hAnsi="Arial" w:cs="Arial"/>
          <w:sz w:val="24"/>
          <w:szCs w:val="24"/>
        </w:rPr>
        <w:t xml:space="preserve">Addition of </w:t>
      </w:r>
      <w:r w:rsidR="00EF5324">
        <w:rPr>
          <w:rFonts w:ascii="Arial" w:hAnsi="Arial" w:cs="Arial"/>
          <w:sz w:val="24"/>
          <w:szCs w:val="24"/>
        </w:rPr>
        <w:t xml:space="preserve">probiotic </w:t>
      </w:r>
      <w:r w:rsidR="007001AA" w:rsidRPr="007001AA">
        <w:rPr>
          <w:rFonts w:ascii="Arial" w:hAnsi="Arial" w:cs="Arial"/>
          <w:sz w:val="24"/>
          <w:szCs w:val="24"/>
        </w:rPr>
        <w:t xml:space="preserve">bacteria </w:t>
      </w:r>
      <w:r w:rsidR="00DC29D6">
        <w:rPr>
          <w:rFonts w:ascii="Arial" w:hAnsi="Arial" w:cs="Arial"/>
          <w:sz w:val="24"/>
          <w:szCs w:val="24"/>
        </w:rPr>
        <w:t>might also have beneficial effects.</w:t>
      </w:r>
      <w:r w:rsidR="00EF5324">
        <w:rPr>
          <w:rFonts w:ascii="Arial" w:hAnsi="Arial" w:cs="Arial"/>
          <w:sz w:val="24"/>
          <w:szCs w:val="24"/>
        </w:rPr>
        <w:t xml:space="preserve"> </w:t>
      </w:r>
      <w:r w:rsidR="00DC29D6">
        <w:rPr>
          <w:rFonts w:ascii="Arial" w:hAnsi="Arial" w:cs="Arial"/>
          <w:sz w:val="24"/>
          <w:szCs w:val="24"/>
        </w:rPr>
        <w:t>F</w:t>
      </w:r>
      <w:r w:rsidR="00654DD6">
        <w:rPr>
          <w:rFonts w:ascii="Arial" w:hAnsi="Arial" w:cs="Arial"/>
          <w:sz w:val="24"/>
          <w:szCs w:val="24"/>
        </w:rPr>
        <w:t xml:space="preserve">or example </w:t>
      </w:r>
      <w:r w:rsidR="00654DD6" w:rsidRPr="00654DD6">
        <w:rPr>
          <w:rFonts w:ascii="Arial" w:hAnsi="Arial" w:cs="Arial"/>
          <w:i/>
          <w:sz w:val="24"/>
          <w:szCs w:val="24"/>
        </w:rPr>
        <w:t>Lactobacillus rhamnosus</w:t>
      </w:r>
      <w:r w:rsidR="00654DD6" w:rsidRPr="00654DD6">
        <w:rPr>
          <w:rFonts w:ascii="Arial" w:hAnsi="Arial" w:cs="Arial"/>
          <w:sz w:val="24"/>
          <w:szCs w:val="24"/>
        </w:rPr>
        <w:t xml:space="preserve"> GG-produce soluble proteins </w:t>
      </w:r>
      <w:r w:rsidR="002667B1">
        <w:rPr>
          <w:rFonts w:ascii="Arial" w:hAnsi="Arial" w:cs="Arial"/>
          <w:sz w:val="24"/>
          <w:szCs w:val="24"/>
        </w:rPr>
        <w:t xml:space="preserve">that </w:t>
      </w:r>
      <w:r w:rsidR="00654DD6" w:rsidRPr="00654DD6">
        <w:rPr>
          <w:rFonts w:ascii="Arial" w:hAnsi="Arial" w:cs="Arial"/>
          <w:sz w:val="24"/>
          <w:szCs w:val="24"/>
        </w:rPr>
        <w:t>can improve intestinal barrier function by inducing a redistribution of TJ proteins occludin and ZO-1 by mechanisms involving PKC and MAP kinase (Am J Physiol 2008;294:</w:t>
      </w:r>
      <w:r w:rsidR="00654DD6" w:rsidRPr="00654DD6">
        <w:rPr>
          <w:rStyle w:val="ti"/>
          <w:rFonts w:ascii="Arial" w:hAnsi="Arial" w:cs="Arial"/>
          <w:sz w:val="24"/>
          <w:szCs w:val="24"/>
        </w:rPr>
        <w:t>G1060-9).</w:t>
      </w:r>
      <w:r w:rsidR="00386A7C">
        <w:rPr>
          <w:rStyle w:val="ti"/>
          <w:rFonts w:ascii="Arial" w:hAnsi="Arial" w:cs="Arial"/>
          <w:sz w:val="24"/>
          <w:szCs w:val="24"/>
        </w:rPr>
        <w:t xml:space="preserve"> </w:t>
      </w:r>
      <w:r w:rsidR="002667B1">
        <w:rPr>
          <w:rStyle w:val="ti"/>
          <w:rFonts w:ascii="Arial" w:hAnsi="Arial" w:cs="Arial"/>
          <w:sz w:val="24"/>
          <w:szCs w:val="24"/>
        </w:rPr>
        <w:t>The key to the development of pre or prebiotic manipulation of the gut microbiota will be to understand the ecology of gut microenvironments in sufficient detail to that changes in gut microbiota are both predictable and reliable.</w:t>
      </w:r>
    </w:p>
    <w:p w:rsidR="00B70B1F" w:rsidRPr="004F458C" w:rsidRDefault="00B70B1F" w:rsidP="00EF5324">
      <w:pPr>
        <w:spacing w:after="0"/>
        <w:jc w:val="both"/>
        <w:rPr>
          <w:rFonts w:ascii="Arial" w:hAnsi="Arial" w:cs="Arial"/>
          <w:sz w:val="24"/>
          <w:szCs w:val="24"/>
        </w:rPr>
      </w:pPr>
    </w:p>
    <w:sectPr w:rsidR="00B70B1F" w:rsidRPr="004F458C" w:rsidSect="00684238">
      <w:headerReference w:type="default" r:id="rId9"/>
      <w:pgSz w:w="11906" w:h="16838" w:code="9"/>
      <w:pgMar w:top="1440" w:right="1440" w:bottom="1440" w:left="1440" w:header="709" w:footer="709" w:gutter="0"/>
      <w:cols w:space="708"/>
      <w:titlePg/>
      <w:docGrid w:linePitch="360"/>
    </w:sectPr>
  </w:body>
</w:document>
</file>

<file path=word/endnotes.xml><?xml version="1.0" encoding="utf-8"?>
<w:endnotes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B869B8" w:rsidRDefault="00B869B8" w:rsidP="00684238">
      <w:pPr>
        <w:spacing w:after="0" w:line="240" w:lineRule="auto"/>
      </w:pPr>
      <w:r>
        <w:separator/>
      </w:r>
    </w:p>
  </w:endnote>
  <w:endnote w:type="continuationSeparator" w:id="0">
    <w:p w:rsidR="00B869B8" w:rsidRDefault="00B869B8" w:rsidP="00684238">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0000000000000000000"/>
    <w:charset w:val="02"/>
    <w:family w:val="auto"/>
    <w:pitch w:val="variable"/>
    <w:sig w:usb0="00000000" w:usb1="00000000" w:usb2="00010000" w:usb3="00000000" w:csb0="80000000" w:csb1="00000000"/>
  </w:font>
  <w:font w:name="Times New Roman">
    <w:panose1 w:val="02020603050405020304"/>
    <w:charset w:val="00"/>
    <w:family w:val="auto"/>
    <w:pitch w:val="variable"/>
    <w:sig w:usb0="00000003" w:usb1="00000000" w:usb2="00000000" w:usb3="00000000" w:csb0="00000001" w:csb1="00000000"/>
  </w:font>
  <w:font w:name="Courier New">
    <w:panose1 w:val="02070309020205020404"/>
    <w:charset w:val="00"/>
    <w:family w:val="auto"/>
    <w:pitch w:val="variable"/>
    <w:sig w:usb0="00000003" w:usb1="00000000" w:usb2="00000000" w:usb3="00000000" w:csb0="00000001" w:csb1="00000000"/>
  </w:font>
  <w:font w:name="Wingdings">
    <w:panose1 w:val="05020102010804080708"/>
    <w:charset w:val="02"/>
    <w:family w:val="auto"/>
    <w:pitch w:val="variable"/>
    <w:sig w:usb0="00000000" w:usb1="00000000" w:usb2="00010000" w:usb3="00000000" w:csb0="80000000" w:csb1="00000000"/>
  </w:font>
  <w:font w:name="Calibri">
    <w:panose1 w:val="020F0502020204030204"/>
    <w:charset w:val="00"/>
    <w:family w:val="auto"/>
    <w:pitch w:val="variable"/>
    <w:sig w:usb0="00000003" w:usb1="00000000" w:usb2="00000000" w:usb3="00000000" w:csb0="00000001" w:csb1="00000000"/>
  </w:font>
  <w:font w:name="Cambria">
    <w:panose1 w:val="02040503050406030204"/>
    <w:charset w:val="00"/>
    <w:family w:val="auto"/>
    <w:pitch w:val="variable"/>
    <w:sig w:usb0="00000003" w:usb1="00000000" w:usb2="00000000" w:usb3="00000000" w:csb0="00000001" w:csb1="00000000"/>
  </w:font>
  <w:font w:name="Tahoma">
    <w:panose1 w:val="020B0604030504040204"/>
    <w:charset w:val="00"/>
    <w:family w:val="swiss"/>
    <w:pitch w:val="variable"/>
    <w:sig w:usb0="E1002AFF" w:usb1="C000605B" w:usb2="00000029" w:usb3="00000000" w:csb0="000101FF" w:csb1="00000000"/>
  </w:font>
  <w:font w:name="Arial">
    <w:panose1 w:val="020B0604020202020204"/>
    <w:charset w:val="00"/>
    <w:family w:val="auto"/>
    <w:pitch w:val="variable"/>
    <w:sig w:usb0="00000003" w:usb1="00000000" w:usb2="00000000" w:usb3="00000000" w:csb0="00000001" w:csb1="00000000"/>
  </w:font>
</w:fonts>
</file>

<file path=word/footnotes.xml><?xml version="1.0" encoding="utf-8"?>
<w:footnotes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B869B8" w:rsidRDefault="00B869B8" w:rsidP="00684238">
      <w:pPr>
        <w:spacing w:after="0" w:line="240" w:lineRule="auto"/>
      </w:pPr>
      <w:r>
        <w:separator/>
      </w:r>
    </w:p>
  </w:footnote>
  <w:footnote w:type="continuationSeparator" w:id="0">
    <w:p w:rsidR="00B869B8" w:rsidRDefault="00B869B8" w:rsidP="00684238">
      <w:pPr>
        <w:spacing w:after="0" w:line="240" w:lineRule="auto"/>
      </w:pPr>
      <w:r>
        <w:continuationSeparator/>
      </w:r>
    </w:p>
  </w:footnote>
</w:footnotes>
</file>

<file path=word/header1.xml><?xml version="1.0" encoding="utf-8"?>
<w:hdr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565053189"/>
      <w:docPartObj>
        <w:docPartGallery w:val="Page Numbers (Top of Page)"/>
        <w:docPartUnique/>
      </w:docPartObj>
    </w:sdtPr>
    <w:sdtContent>
      <w:p w:rsidR="00ED51AE" w:rsidRDefault="00ED51AE">
        <w:pPr>
          <w:pStyle w:val="Header"/>
          <w:jc w:val="right"/>
        </w:pPr>
        <w:r>
          <w:t xml:space="preserve">Page </w:t>
        </w:r>
        <w:r w:rsidR="00646542">
          <w:rPr>
            <w:b/>
            <w:sz w:val="24"/>
            <w:szCs w:val="24"/>
          </w:rPr>
          <w:fldChar w:fldCharType="begin"/>
        </w:r>
        <w:r>
          <w:rPr>
            <w:b/>
          </w:rPr>
          <w:instrText xml:space="preserve"> PAGE </w:instrText>
        </w:r>
        <w:r w:rsidR="00646542">
          <w:rPr>
            <w:b/>
            <w:sz w:val="24"/>
            <w:szCs w:val="24"/>
          </w:rPr>
          <w:fldChar w:fldCharType="separate"/>
        </w:r>
        <w:r w:rsidR="002A6A5F">
          <w:rPr>
            <w:b/>
            <w:noProof/>
          </w:rPr>
          <w:t>7</w:t>
        </w:r>
        <w:r w:rsidR="00646542">
          <w:rPr>
            <w:b/>
            <w:sz w:val="24"/>
            <w:szCs w:val="24"/>
          </w:rPr>
          <w:fldChar w:fldCharType="end"/>
        </w:r>
        <w:r>
          <w:t xml:space="preserve"> of </w:t>
        </w:r>
        <w:r w:rsidR="00646542">
          <w:rPr>
            <w:b/>
            <w:sz w:val="24"/>
            <w:szCs w:val="24"/>
          </w:rPr>
          <w:fldChar w:fldCharType="begin"/>
        </w:r>
        <w:r>
          <w:rPr>
            <w:b/>
          </w:rPr>
          <w:instrText xml:space="preserve"> NUMPAGES  </w:instrText>
        </w:r>
        <w:r w:rsidR="00646542">
          <w:rPr>
            <w:b/>
            <w:sz w:val="24"/>
            <w:szCs w:val="24"/>
          </w:rPr>
          <w:fldChar w:fldCharType="separate"/>
        </w:r>
        <w:r w:rsidR="002A6A5F">
          <w:rPr>
            <w:b/>
            <w:noProof/>
          </w:rPr>
          <w:t>7</w:t>
        </w:r>
        <w:r w:rsidR="00646542">
          <w:rPr>
            <w:b/>
            <w:sz w:val="24"/>
            <w:szCs w:val="24"/>
          </w:rPr>
          <w:fldChar w:fldCharType="end"/>
        </w:r>
      </w:p>
    </w:sdtContent>
  </w:sdt>
  <w:p w:rsidR="00ED51AE" w:rsidRDefault="00ED51AE">
    <w:pPr>
      <w:pStyle w:val="Header"/>
    </w:pPr>
  </w:p>
</w:hdr>
</file>

<file path=word/numbering.xml><?xml version="1.0" encoding="utf-8"?>
<w:numbering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59F5453B"/>
    <w:multiLevelType w:val="hybridMultilevel"/>
    <w:tmpl w:val="7A1E6D5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2"/>
  <w:trackRevisions/>
  <w:doNotTrackMoves/>
  <w:defaultTabStop w:val="720"/>
  <w:hyphenationZone w:val="425"/>
  <w:characterSpacingControl w:val="doNotCompress"/>
  <w:footnotePr>
    <w:footnote w:id="-1"/>
    <w:footnote w:id="0"/>
  </w:footnotePr>
  <w:endnotePr>
    <w:endnote w:id="-1"/>
    <w:endnote w:id="0"/>
  </w:endnotePr>
  <w:compat/>
  <w:rsids>
    <w:rsidRoot w:val="003F6AB2"/>
    <w:rsid w:val="00014E67"/>
    <w:rsid w:val="000259A7"/>
    <w:rsid w:val="00044339"/>
    <w:rsid w:val="00062FD3"/>
    <w:rsid w:val="00064491"/>
    <w:rsid w:val="00067D49"/>
    <w:rsid w:val="00087521"/>
    <w:rsid w:val="000A02B5"/>
    <w:rsid w:val="000B0F2C"/>
    <w:rsid w:val="000B1775"/>
    <w:rsid w:val="000C1677"/>
    <w:rsid w:val="000E629E"/>
    <w:rsid w:val="000F59DA"/>
    <w:rsid w:val="001022CD"/>
    <w:rsid w:val="00105404"/>
    <w:rsid w:val="00114FFF"/>
    <w:rsid w:val="00121C1A"/>
    <w:rsid w:val="00126CDA"/>
    <w:rsid w:val="00141F7D"/>
    <w:rsid w:val="00142BD9"/>
    <w:rsid w:val="001473E8"/>
    <w:rsid w:val="00165055"/>
    <w:rsid w:val="00185A51"/>
    <w:rsid w:val="00190DE1"/>
    <w:rsid w:val="001B0630"/>
    <w:rsid w:val="001C32F6"/>
    <w:rsid w:val="001C343A"/>
    <w:rsid w:val="001D419E"/>
    <w:rsid w:val="001F4EB5"/>
    <w:rsid w:val="00222C8E"/>
    <w:rsid w:val="00233913"/>
    <w:rsid w:val="00236805"/>
    <w:rsid w:val="002414EA"/>
    <w:rsid w:val="00243A0B"/>
    <w:rsid w:val="0024697D"/>
    <w:rsid w:val="0024790C"/>
    <w:rsid w:val="002527C8"/>
    <w:rsid w:val="002667B1"/>
    <w:rsid w:val="00274949"/>
    <w:rsid w:val="002809B4"/>
    <w:rsid w:val="0028269A"/>
    <w:rsid w:val="002A4257"/>
    <w:rsid w:val="002A6A5F"/>
    <w:rsid w:val="002C0085"/>
    <w:rsid w:val="002C44C6"/>
    <w:rsid w:val="002D112C"/>
    <w:rsid w:val="002D45F1"/>
    <w:rsid w:val="003116CF"/>
    <w:rsid w:val="00326B6B"/>
    <w:rsid w:val="00343AD2"/>
    <w:rsid w:val="00344417"/>
    <w:rsid w:val="003472FA"/>
    <w:rsid w:val="00362C76"/>
    <w:rsid w:val="0037221D"/>
    <w:rsid w:val="00386A7C"/>
    <w:rsid w:val="00394EFC"/>
    <w:rsid w:val="003A1EC3"/>
    <w:rsid w:val="003A68D5"/>
    <w:rsid w:val="003B19DE"/>
    <w:rsid w:val="003B42C8"/>
    <w:rsid w:val="003D7F02"/>
    <w:rsid w:val="003F0C33"/>
    <w:rsid w:val="003F6AB2"/>
    <w:rsid w:val="004043B9"/>
    <w:rsid w:val="004103E8"/>
    <w:rsid w:val="00410B79"/>
    <w:rsid w:val="00424E03"/>
    <w:rsid w:val="00424F93"/>
    <w:rsid w:val="004268BA"/>
    <w:rsid w:val="00427DDB"/>
    <w:rsid w:val="00440384"/>
    <w:rsid w:val="0044710E"/>
    <w:rsid w:val="00455273"/>
    <w:rsid w:val="00483295"/>
    <w:rsid w:val="0049378D"/>
    <w:rsid w:val="004A0A00"/>
    <w:rsid w:val="004A1D2E"/>
    <w:rsid w:val="004A2940"/>
    <w:rsid w:val="004A3ABA"/>
    <w:rsid w:val="004B0A64"/>
    <w:rsid w:val="004D5432"/>
    <w:rsid w:val="004D596C"/>
    <w:rsid w:val="004E20B3"/>
    <w:rsid w:val="004F458C"/>
    <w:rsid w:val="004F5E62"/>
    <w:rsid w:val="00501F56"/>
    <w:rsid w:val="00561382"/>
    <w:rsid w:val="005657E1"/>
    <w:rsid w:val="00567042"/>
    <w:rsid w:val="005706FD"/>
    <w:rsid w:val="00583AA9"/>
    <w:rsid w:val="0058536E"/>
    <w:rsid w:val="00585F37"/>
    <w:rsid w:val="00593469"/>
    <w:rsid w:val="00593931"/>
    <w:rsid w:val="00596506"/>
    <w:rsid w:val="005A1F35"/>
    <w:rsid w:val="005A4267"/>
    <w:rsid w:val="005A44FE"/>
    <w:rsid w:val="005C3CD6"/>
    <w:rsid w:val="005D3583"/>
    <w:rsid w:val="005F485B"/>
    <w:rsid w:val="005F4B4D"/>
    <w:rsid w:val="00600713"/>
    <w:rsid w:val="006063AE"/>
    <w:rsid w:val="00612B48"/>
    <w:rsid w:val="00615034"/>
    <w:rsid w:val="006370B8"/>
    <w:rsid w:val="0063717C"/>
    <w:rsid w:val="00645776"/>
    <w:rsid w:val="00645BE3"/>
    <w:rsid w:val="00646542"/>
    <w:rsid w:val="00650F4F"/>
    <w:rsid w:val="00654DD6"/>
    <w:rsid w:val="006646F0"/>
    <w:rsid w:val="00666FC7"/>
    <w:rsid w:val="00673DE4"/>
    <w:rsid w:val="00675069"/>
    <w:rsid w:val="00684238"/>
    <w:rsid w:val="006924BA"/>
    <w:rsid w:val="006A4393"/>
    <w:rsid w:val="006B3542"/>
    <w:rsid w:val="006C309D"/>
    <w:rsid w:val="006D2CB2"/>
    <w:rsid w:val="006E251E"/>
    <w:rsid w:val="007001AA"/>
    <w:rsid w:val="00707522"/>
    <w:rsid w:val="00710900"/>
    <w:rsid w:val="00710AF9"/>
    <w:rsid w:val="00713C32"/>
    <w:rsid w:val="00713E85"/>
    <w:rsid w:val="0072245F"/>
    <w:rsid w:val="00733569"/>
    <w:rsid w:val="00751A4C"/>
    <w:rsid w:val="007621DA"/>
    <w:rsid w:val="00762D1F"/>
    <w:rsid w:val="007723B8"/>
    <w:rsid w:val="007734C0"/>
    <w:rsid w:val="0077575F"/>
    <w:rsid w:val="007C72FE"/>
    <w:rsid w:val="007D2858"/>
    <w:rsid w:val="007D2E30"/>
    <w:rsid w:val="007E7771"/>
    <w:rsid w:val="007F18E2"/>
    <w:rsid w:val="007F59D6"/>
    <w:rsid w:val="0081213C"/>
    <w:rsid w:val="00823414"/>
    <w:rsid w:val="00832BF7"/>
    <w:rsid w:val="00863CF6"/>
    <w:rsid w:val="00865786"/>
    <w:rsid w:val="00867188"/>
    <w:rsid w:val="008723AB"/>
    <w:rsid w:val="00877480"/>
    <w:rsid w:val="008C514F"/>
    <w:rsid w:val="008E284F"/>
    <w:rsid w:val="008F2809"/>
    <w:rsid w:val="00915C59"/>
    <w:rsid w:val="0091711A"/>
    <w:rsid w:val="00934DB9"/>
    <w:rsid w:val="00961755"/>
    <w:rsid w:val="00990922"/>
    <w:rsid w:val="00994ACC"/>
    <w:rsid w:val="009A142C"/>
    <w:rsid w:val="009C72C4"/>
    <w:rsid w:val="009D0E9F"/>
    <w:rsid w:val="009D5AEB"/>
    <w:rsid w:val="009D68C4"/>
    <w:rsid w:val="009F75E9"/>
    <w:rsid w:val="00A04AC0"/>
    <w:rsid w:val="00A207B0"/>
    <w:rsid w:val="00A47C28"/>
    <w:rsid w:val="00A55440"/>
    <w:rsid w:val="00A61AC0"/>
    <w:rsid w:val="00A675C8"/>
    <w:rsid w:val="00A909D6"/>
    <w:rsid w:val="00A91C2D"/>
    <w:rsid w:val="00AD3F41"/>
    <w:rsid w:val="00AD4FC9"/>
    <w:rsid w:val="00AD5D37"/>
    <w:rsid w:val="00B32044"/>
    <w:rsid w:val="00B600B3"/>
    <w:rsid w:val="00B6674F"/>
    <w:rsid w:val="00B70A54"/>
    <w:rsid w:val="00B70B1F"/>
    <w:rsid w:val="00B7661A"/>
    <w:rsid w:val="00B80500"/>
    <w:rsid w:val="00B81C56"/>
    <w:rsid w:val="00B8204D"/>
    <w:rsid w:val="00B85C82"/>
    <w:rsid w:val="00B866B3"/>
    <w:rsid w:val="00B869B8"/>
    <w:rsid w:val="00B951E9"/>
    <w:rsid w:val="00BB5D4F"/>
    <w:rsid w:val="00BD4497"/>
    <w:rsid w:val="00BD5807"/>
    <w:rsid w:val="00C04541"/>
    <w:rsid w:val="00C07F36"/>
    <w:rsid w:val="00C118BD"/>
    <w:rsid w:val="00C17A86"/>
    <w:rsid w:val="00C17D8E"/>
    <w:rsid w:val="00C55F17"/>
    <w:rsid w:val="00C60D90"/>
    <w:rsid w:val="00C62030"/>
    <w:rsid w:val="00C71540"/>
    <w:rsid w:val="00C96855"/>
    <w:rsid w:val="00CB23A0"/>
    <w:rsid w:val="00CD7CFB"/>
    <w:rsid w:val="00CE0262"/>
    <w:rsid w:val="00CE250A"/>
    <w:rsid w:val="00CE68CA"/>
    <w:rsid w:val="00CE7878"/>
    <w:rsid w:val="00CF7BDF"/>
    <w:rsid w:val="00CF7BFC"/>
    <w:rsid w:val="00D07844"/>
    <w:rsid w:val="00D13863"/>
    <w:rsid w:val="00D177E5"/>
    <w:rsid w:val="00D45D73"/>
    <w:rsid w:val="00D521B9"/>
    <w:rsid w:val="00D52A2D"/>
    <w:rsid w:val="00D7031B"/>
    <w:rsid w:val="00D7075C"/>
    <w:rsid w:val="00D766F0"/>
    <w:rsid w:val="00D83E11"/>
    <w:rsid w:val="00D85D54"/>
    <w:rsid w:val="00D90444"/>
    <w:rsid w:val="00D97E64"/>
    <w:rsid w:val="00DB62A6"/>
    <w:rsid w:val="00DC29D6"/>
    <w:rsid w:val="00DC4D45"/>
    <w:rsid w:val="00DD127D"/>
    <w:rsid w:val="00DD1C38"/>
    <w:rsid w:val="00DE6D28"/>
    <w:rsid w:val="00DE7FEE"/>
    <w:rsid w:val="00E00833"/>
    <w:rsid w:val="00E36C18"/>
    <w:rsid w:val="00E37A72"/>
    <w:rsid w:val="00E44E42"/>
    <w:rsid w:val="00E73B47"/>
    <w:rsid w:val="00E75296"/>
    <w:rsid w:val="00E75EF2"/>
    <w:rsid w:val="00E81FDF"/>
    <w:rsid w:val="00E834C3"/>
    <w:rsid w:val="00E865F9"/>
    <w:rsid w:val="00E86A8D"/>
    <w:rsid w:val="00EC2A9D"/>
    <w:rsid w:val="00ED0470"/>
    <w:rsid w:val="00ED487B"/>
    <w:rsid w:val="00ED51AE"/>
    <w:rsid w:val="00ED77CD"/>
    <w:rsid w:val="00EE0AB2"/>
    <w:rsid w:val="00EE56A9"/>
    <w:rsid w:val="00EF5324"/>
    <w:rsid w:val="00EF6133"/>
    <w:rsid w:val="00F0343B"/>
    <w:rsid w:val="00F06671"/>
    <w:rsid w:val="00F151A2"/>
    <w:rsid w:val="00F347BB"/>
    <w:rsid w:val="00F41490"/>
    <w:rsid w:val="00F42710"/>
    <w:rsid w:val="00F505AC"/>
    <w:rsid w:val="00F6021F"/>
    <w:rsid w:val="00F73BB9"/>
    <w:rsid w:val="00F749AF"/>
    <w:rsid w:val="00F91C06"/>
    <w:rsid w:val="00F95AEA"/>
    <w:rsid w:val="00F96358"/>
    <w:rsid w:val="00FA6AFD"/>
    <w:rsid w:val="00FB0D06"/>
    <w:rsid w:val="00FF63B3"/>
    <w:rsid w:val="00FF7BFE"/>
  </w:rsids>
  <m:mathPr>
    <m:mathFont m:val="Arial Black"/>
    <m:brkBin m:val="before"/>
    <m:brkBinSub m:val="--"/>
    <m:smallFrac m:val="off"/>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Times New Roman" w:hAnsi="Calibri" w:cs="Times New Roman"/>
        <w:sz w:val="22"/>
        <w:szCs w:val="22"/>
        <w:lang w:val="de-DE" w:eastAsia="de-DE" w:bidi="ar-SA"/>
      </w:rPr>
    </w:rPrDefault>
    <w:pPrDefault/>
  </w:docDefaults>
  <w:latentStyles w:defLockedState="0" w:defUIPriority="99" w:defSemiHidden="0" w:defUnhideWhenUsed="0" w:defQFormat="0" w:count="276">
    <w:lsdException w:name="Normal" w:locked="1" w:uiPriority="0" w:qFormat="1"/>
    <w:lsdException w:name="heading 1" w:locked="1" w:uiPriority="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locked="1" w:uiPriority="0"/>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3F6AB2"/>
    <w:pPr>
      <w:spacing w:after="200" w:line="276" w:lineRule="auto"/>
    </w:pPr>
    <w:rPr>
      <w:lang w:val="en-GB" w:eastAsia="en-US"/>
    </w:rPr>
  </w:style>
  <w:style w:type="paragraph" w:styleId="Heading1">
    <w:name w:val="heading 1"/>
    <w:basedOn w:val="Normal"/>
    <w:next w:val="Normal"/>
    <w:link w:val="Heading1Char"/>
    <w:uiPriority w:val="99"/>
    <w:qFormat/>
    <w:rsid w:val="003F6AB2"/>
    <w:pPr>
      <w:spacing w:before="480" w:after="0"/>
      <w:contextualSpacing/>
      <w:outlineLvl w:val="0"/>
    </w:pPr>
    <w:rPr>
      <w:rFonts w:ascii="Cambria" w:hAnsi="Cambria"/>
      <w:b/>
      <w:bCs/>
      <w:sz w:val="28"/>
      <w:szCs w:val="28"/>
    </w:rPr>
  </w:style>
  <w:style w:type="paragraph" w:styleId="Heading2">
    <w:name w:val="heading 2"/>
    <w:basedOn w:val="Normal"/>
    <w:next w:val="Normal"/>
    <w:link w:val="Heading2Char"/>
    <w:uiPriority w:val="99"/>
    <w:qFormat/>
    <w:rsid w:val="003F6AB2"/>
    <w:pPr>
      <w:spacing w:before="200" w:after="0"/>
      <w:outlineLvl w:val="1"/>
    </w:pPr>
    <w:rPr>
      <w:rFonts w:ascii="Cambria" w:hAnsi="Cambria"/>
      <w:b/>
      <w:bCs/>
      <w:sz w:val="26"/>
      <w:szCs w:val="26"/>
    </w:rPr>
  </w:style>
  <w:style w:type="paragraph" w:styleId="Heading3">
    <w:name w:val="heading 3"/>
    <w:basedOn w:val="Normal"/>
    <w:next w:val="Normal"/>
    <w:link w:val="Heading3Char"/>
    <w:uiPriority w:val="99"/>
    <w:qFormat/>
    <w:rsid w:val="003F6AB2"/>
    <w:pPr>
      <w:spacing w:before="200" w:after="0" w:line="271" w:lineRule="auto"/>
      <w:outlineLvl w:val="2"/>
    </w:pPr>
    <w:rPr>
      <w:rFonts w:ascii="Cambria" w:hAnsi="Cambria"/>
      <w:b/>
      <w:bCs/>
    </w:rPr>
  </w:style>
  <w:style w:type="paragraph" w:styleId="Heading4">
    <w:name w:val="heading 4"/>
    <w:basedOn w:val="Normal"/>
    <w:next w:val="Normal"/>
    <w:link w:val="Heading4Char"/>
    <w:uiPriority w:val="99"/>
    <w:qFormat/>
    <w:rsid w:val="003F6AB2"/>
    <w:pPr>
      <w:spacing w:before="200" w:after="0"/>
      <w:outlineLvl w:val="3"/>
    </w:pPr>
    <w:rPr>
      <w:rFonts w:ascii="Cambria" w:hAnsi="Cambria"/>
      <w:b/>
      <w:bCs/>
      <w:i/>
      <w:iCs/>
    </w:rPr>
  </w:style>
  <w:style w:type="paragraph" w:styleId="Heading5">
    <w:name w:val="heading 5"/>
    <w:basedOn w:val="Normal"/>
    <w:next w:val="Normal"/>
    <w:link w:val="Heading5Char"/>
    <w:uiPriority w:val="99"/>
    <w:qFormat/>
    <w:rsid w:val="003F6AB2"/>
    <w:pPr>
      <w:spacing w:before="200" w:after="0"/>
      <w:outlineLvl w:val="4"/>
    </w:pPr>
    <w:rPr>
      <w:rFonts w:ascii="Cambria" w:hAnsi="Cambria"/>
      <w:b/>
      <w:bCs/>
      <w:color w:val="7F7F7F"/>
    </w:rPr>
  </w:style>
  <w:style w:type="paragraph" w:styleId="Heading6">
    <w:name w:val="heading 6"/>
    <w:basedOn w:val="Normal"/>
    <w:next w:val="Normal"/>
    <w:link w:val="Heading6Char"/>
    <w:uiPriority w:val="99"/>
    <w:qFormat/>
    <w:rsid w:val="003F6AB2"/>
    <w:pPr>
      <w:spacing w:after="0" w:line="271" w:lineRule="auto"/>
      <w:outlineLvl w:val="5"/>
    </w:pPr>
    <w:rPr>
      <w:rFonts w:ascii="Cambria" w:hAnsi="Cambria"/>
      <w:b/>
      <w:bCs/>
      <w:i/>
      <w:iCs/>
      <w:color w:val="7F7F7F"/>
    </w:rPr>
  </w:style>
  <w:style w:type="paragraph" w:styleId="Heading7">
    <w:name w:val="heading 7"/>
    <w:basedOn w:val="Normal"/>
    <w:next w:val="Normal"/>
    <w:link w:val="Heading7Char"/>
    <w:uiPriority w:val="99"/>
    <w:qFormat/>
    <w:rsid w:val="003F6AB2"/>
    <w:pPr>
      <w:spacing w:after="0"/>
      <w:outlineLvl w:val="6"/>
    </w:pPr>
    <w:rPr>
      <w:rFonts w:ascii="Cambria" w:hAnsi="Cambria"/>
      <w:i/>
      <w:iCs/>
    </w:rPr>
  </w:style>
  <w:style w:type="paragraph" w:styleId="Heading8">
    <w:name w:val="heading 8"/>
    <w:basedOn w:val="Normal"/>
    <w:next w:val="Normal"/>
    <w:link w:val="Heading8Char"/>
    <w:uiPriority w:val="99"/>
    <w:qFormat/>
    <w:rsid w:val="003F6AB2"/>
    <w:pPr>
      <w:spacing w:after="0"/>
      <w:outlineLvl w:val="7"/>
    </w:pPr>
    <w:rPr>
      <w:rFonts w:ascii="Cambria" w:hAnsi="Cambria"/>
      <w:sz w:val="20"/>
      <w:szCs w:val="20"/>
    </w:rPr>
  </w:style>
  <w:style w:type="paragraph" w:styleId="Heading9">
    <w:name w:val="heading 9"/>
    <w:basedOn w:val="Normal"/>
    <w:next w:val="Normal"/>
    <w:link w:val="Heading9Char"/>
    <w:uiPriority w:val="99"/>
    <w:qFormat/>
    <w:rsid w:val="003F6AB2"/>
    <w:pPr>
      <w:spacing w:after="0"/>
      <w:outlineLvl w:val="8"/>
    </w:pPr>
    <w:rPr>
      <w:rFonts w:ascii="Cambria" w:hAnsi="Cambria"/>
      <w:i/>
      <w:iCs/>
      <w:spacing w:val="5"/>
      <w:sz w:val="20"/>
      <w:szCs w:val="20"/>
    </w:rPr>
  </w:style>
  <w:style w:type="character" w:default="1" w:styleId="DefaultParagraphFont">
    <w:name w:val="Default Paragraph Font"/>
    <w:semiHidden/>
    <w:unhideWhenUsed/>
  </w:style>
  <w:style w:type="table" w:default="1" w:styleId="TableNormal">
    <w:name w:val="Normal Table"/>
    <w:semiHidden/>
    <w:unhideWhenUsed/>
    <w:qFormat/>
    <w:tblPr>
      <w:tblInd w:w="0" w:type="dxa"/>
      <w:tblCellMar>
        <w:top w:w="0" w:type="dxa"/>
        <w:left w:w="108" w:type="dxa"/>
        <w:bottom w:w="0" w:type="dxa"/>
        <w:right w:w="108" w:type="dxa"/>
      </w:tblCellMar>
    </w:tblPr>
  </w:style>
  <w:style w:type="numbering" w:default="1" w:styleId="NoList">
    <w:name w:val="No List"/>
    <w:semiHidden/>
    <w:unhideWhenUsed/>
  </w:style>
  <w:style w:type="character" w:customStyle="1" w:styleId="Heading1Char">
    <w:name w:val="Heading 1 Char"/>
    <w:basedOn w:val="DefaultParagraphFont"/>
    <w:link w:val="Heading1"/>
    <w:uiPriority w:val="99"/>
    <w:locked/>
    <w:rsid w:val="003F6AB2"/>
    <w:rPr>
      <w:rFonts w:ascii="Cambria" w:hAnsi="Cambria" w:cs="Times New Roman"/>
      <w:b/>
      <w:bCs/>
      <w:sz w:val="28"/>
      <w:szCs w:val="28"/>
    </w:rPr>
  </w:style>
  <w:style w:type="character" w:customStyle="1" w:styleId="Heading2Char">
    <w:name w:val="Heading 2 Char"/>
    <w:basedOn w:val="DefaultParagraphFont"/>
    <w:link w:val="Heading2"/>
    <w:uiPriority w:val="99"/>
    <w:semiHidden/>
    <w:locked/>
    <w:rsid w:val="003F6AB2"/>
    <w:rPr>
      <w:rFonts w:ascii="Cambria" w:hAnsi="Cambria" w:cs="Times New Roman"/>
      <w:b/>
      <w:bCs/>
      <w:sz w:val="26"/>
      <w:szCs w:val="26"/>
    </w:rPr>
  </w:style>
  <w:style w:type="character" w:customStyle="1" w:styleId="Heading3Char">
    <w:name w:val="Heading 3 Char"/>
    <w:basedOn w:val="DefaultParagraphFont"/>
    <w:link w:val="Heading3"/>
    <w:uiPriority w:val="99"/>
    <w:locked/>
    <w:rsid w:val="003F6AB2"/>
    <w:rPr>
      <w:rFonts w:ascii="Cambria" w:hAnsi="Cambria" w:cs="Times New Roman"/>
      <w:b/>
      <w:bCs/>
    </w:rPr>
  </w:style>
  <w:style w:type="character" w:customStyle="1" w:styleId="Heading4Char">
    <w:name w:val="Heading 4 Char"/>
    <w:basedOn w:val="DefaultParagraphFont"/>
    <w:link w:val="Heading4"/>
    <w:uiPriority w:val="99"/>
    <w:semiHidden/>
    <w:locked/>
    <w:rsid w:val="003F6AB2"/>
    <w:rPr>
      <w:rFonts w:ascii="Cambria" w:hAnsi="Cambria" w:cs="Times New Roman"/>
      <w:b/>
      <w:bCs/>
      <w:i/>
      <w:iCs/>
    </w:rPr>
  </w:style>
  <w:style w:type="character" w:customStyle="1" w:styleId="Heading5Char">
    <w:name w:val="Heading 5 Char"/>
    <w:basedOn w:val="DefaultParagraphFont"/>
    <w:link w:val="Heading5"/>
    <w:uiPriority w:val="99"/>
    <w:semiHidden/>
    <w:locked/>
    <w:rsid w:val="003F6AB2"/>
    <w:rPr>
      <w:rFonts w:ascii="Cambria" w:hAnsi="Cambria" w:cs="Times New Roman"/>
      <w:b/>
      <w:bCs/>
      <w:color w:val="7F7F7F"/>
    </w:rPr>
  </w:style>
  <w:style w:type="character" w:customStyle="1" w:styleId="Heading6Char">
    <w:name w:val="Heading 6 Char"/>
    <w:basedOn w:val="DefaultParagraphFont"/>
    <w:link w:val="Heading6"/>
    <w:uiPriority w:val="99"/>
    <w:semiHidden/>
    <w:locked/>
    <w:rsid w:val="003F6AB2"/>
    <w:rPr>
      <w:rFonts w:ascii="Cambria" w:hAnsi="Cambria" w:cs="Times New Roman"/>
      <w:b/>
      <w:bCs/>
      <w:i/>
      <w:iCs/>
      <w:color w:val="7F7F7F"/>
    </w:rPr>
  </w:style>
  <w:style w:type="character" w:customStyle="1" w:styleId="Heading7Char">
    <w:name w:val="Heading 7 Char"/>
    <w:basedOn w:val="DefaultParagraphFont"/>
    <w:link w:val="Heading7"/>
    <w:uiPriority w:val="99"/>
    <w:semiHidden/>
    <w:locked/>
    <w:rsid w:val="003F6AB2"/>
    <w:rPr>
      <w:rFonts w:ascii="Cambria" w:hAnsi="Cambria" w:cs="Times New Roman"/>
      <w:i/>
      <w:iCs/>
    </w:rPr>
  </w:style>
  <w:style w:type="character" w:customStyle="1" w:styleId="Heading8Char">
    <w:name w:val="Heading 8 Char"/>
    <w:basedOn w:val="DefaultParagraphFont"/>
    <w:link w:val="Heading8"/>
    <w:uiPriority w:val="99"/>
    <w:semiHidden/>
    <w:locked/>
    <w:rsid w:val="003F6AB2"/>
    <w:rPr>
      <w:rFonts w:ascii="Cambria" w:hAnsi="Cambria" w:cs="Times New Roman"/>
      <w:sz w:val="20"/>
      <w:szCs w:val="20"/>
    </w:rPr>
  </w:style>
  <w:style w:type="character" w:customStyle="1" w:styleId="Heading9Char">
    <w:name w:val="Heading 9 Char"/>
    <w:basedOn w:val="DefaultParagraphFont"/>
    <w:link w:val="Heading9"/>
    <w:uiPriority w:val="99"/>
    <w:semiHidden/>
    <w:locked/>
    <w:rsid w:val="003F6AB2"/>
    <w:rPr>
      <w:rFonts w:ascii="Cambria" w:hAnsi="Cambria" w:cs="Times New Roman"/>
      <w:i/>
      <w:iCs/>
      <w:spacing w:val="5"/>
      <w:sz w:val="20"/>
      <w:szCs w:val="20"/>
    </w:rPr>
  </w:style>
  <w:style w:type="character" w:styleId="Hyperlink">
    <w:name w:val="Hyperlink"/>
    <w:basedOn w:val="DefaultParagraphFont"/>
    <w:uiPriority w:val="99"/>
    <w:rsid w:val="003F6AB2"/>
    <w:rPr>
      <w:rFonts w:cs="Times New Roman"/>
      <w:color w:val="0033CC"/>
      <w:u w:val="single"/>
    </w:rPr>
  </w:style>
  <w:style w:type="paragraph" w:styleId="Title">
    <w:name w:val="Title"/>
    <w:basedOn w:val="Normal"/>
    <w:next w:val="Normal"/>
    <w:link w:val="TitleChar"/>
    <w:uiPriority w:val="99"/>
    <w:qFormat/>
    <w:rsid w:val="003F6AB2"/>
    <w:pPr>
      <w:pBdr>
        <w:bottom w:val="single" w:sz="4" w:space="1" w:color="auto"/>
      </w:pBdr>
      <w:spacing w:line="240" w:lineRule="auto"/>
      <w:contextualSpacing/>
    </w:pPr>
    <w:rPr>
      <w:rFonts w:ascii="Cambria" w:hAnsi="Cambria"/>
      <w:spacing w:val="5"/>
      <w:sz w:val="52"/>
      <w:szCs w:val="52"/>
    </w:rPr>
  </w:style>
  <w:style w:type="character" w:customStyle="1" w:styleId="TitleChar">
    <w:name w:val="Title Char"/>
    <w:basedOn w:val="DefaultParagraphFont"/>
    <w:link w:val="Title"/>
    <w:uiPriority w:val="99"/>
    <w:locked/>
    <w:rsid w:val="003F6AB2"/>
    <w:rPr>
      <w:rFonts w:ascii="Cambria" w:hAnsi="Cambria" w:cs="Times New Roman"/>
      <w:spacing w:val="5"/>
      <w:sz w:val="52"/>
      <w:szCs w:val="52"/>
    </w:rPr>
  </w:style>
  <w:style w:type="paragraph" w:styleId="Subtitle">
    <w:name w:val="Subtitle"/>
    <w:basedOn w:val="Normal"/>
    <w:next w:val="Normal"/>
    <w:link w:val="SubtitleChar"/>
    <w:uiPriority w:val="99"/>
    <w:qFormat/>
    <w:rsid w:val="003F6AB2"/>
    <w:pPr>
      <w:spacing w:after="600"/>
    </w:pPr>
    <w:rPr>
      <w:rFonts w:ascii="Cambria" w:hAnsi="Cambria"/>
      <w:i/>
      <w:iCs/>
      <w:spacing w:val="13"/>
      <w:sz w:val="24"/>
      <w:szCs w:val="24"/>
    </w:rPr>
  </w:style>
  <w:style w:type="character" w:customStyle="1" w:styleId="SubtitleChar">
    <w:name w:val="Subtitle Char"/>
    <w:basedOn w:val="DefaultParagraphFont"/>
    <w:link w:val="Subtitle"/>
    <w:uiPriority w:val="99"/>
    <w:locked/>
    <w:rsid w:val="003F6AB2"/>
    <w:rPr>
      <w:rFonts w:ascii="Cambria" w:hAnsi="Cambria" w:cs="Times New Roman"/>
      <w:i/>
      <w:iCs/>
      <w:spacing w:val="13"/>
      <w:sz w:val="24"/>
      <w:szCs w:val="24"/>
    </w:rPr>
  </w:style>
  <w:style w:type="character" w:styleId="Strong">
    <w:name w:val="Strong"/>
    <w:basedOn w:val="DefaultParagraphFont"/>
    <w:uiPriority w:val="99"/>
    <w:qFormat/>
    <w:rsid w:val="003F6AB2"/>
    <w:rPr>
      <w:rFonts w:cs="Times New Roman"/>
      <w:b/>
    </w:rPr>
  </w:style>
  <w:style w:type="character" w:styleId="Emphasis">
    <w:name w:val="Emphasis"/>
    <w:basedOn w:val="DefaultParagraphFont"/>
    <w:uiPriority w:val="99"/>
    <w:qFormat/>
    <w:rsid w:val="003F6AB2"/>
    <w:rPr>
      <w:rFonts w:cs="Times New Roman"/>
      <w:b/>
      <w:i/>
      <w:spacing w:val="10"/>
      <w:shd w:val="clear" w:color="auto" w:fill="auto"/>
    </w:rPr>
  </w:style>
  <w:style w:type="paragraph" w:styleId="NoSpacing">
    <w:name w:val="No Spacing"/>
    <w:basedOn w:val="Normal"/>
    <w:uiPriority w:val="99"/>
    <w:qFormat/>
    <w:rsid w:val="003F6AB2"/>
    <w:pPr>
      <w:spacing w:after="0" w:line="240" w:lineRule="auto"/>
    </w:pPr>
  </w:style>
  <w:style w:type="paragraph" w:styleId="ListParagraph">
    <w:name w:val="List Paragraph"/>
    <w:basedOn w:val="Normal"/>
    <w:uiPriority w:val="99"/>
    <w:qFormat/>
    <w:rsid w:val="003F6AB2"/>
    <w:pPr>
      <w:ind w:left="720"/>
      <w:contextualSpacing/>
    </w:pPr>
  </w:style>
  <w:style w:type="paragraph" w:styleId="Quote">
    <w:name w:val="Quote"/>
    <w:basedOn w:val="Normal"/>
    <w:next w:val="Normal"/>
    <w:link w:val="QuoteChar"/>
    <w:uiPriority w:val="99"/>
    <w:qFormat/>
    <w:rsid w:val="003F6AB2"/>
    <w:pPr>
      <w:spacing w:before="200" w:after="0"/>
      <w:ind w:left="360" w:right="360"/>
    </w:pPr>
    <w:rPr>
      <w:i/>
      <w:iCs/>
    </w:rPr>
  </w:style>
  <w:style w:type="character" w:customStyle="1" w:styleId="QuoteChar">
    <w:name w:val="Quote Char"/>
    <w:basedOn w:val="DefaultParagraphFont"/>
    <w:link w:val="Quote"/>
    <w:uiPriority w:val="99"/>
    <w:locked/>
    <w:rsid w:val="003F6AB2"/>
    <w:rPr>
      <w:rFonts w:cs="Times New Roman"/>
      <w:i/>
      <w:iCs/>
    </w:rPr>
  </w:style>
  <w:style w:type="paragraph" w:styleId="IntenseQuote">
    <w:name w:val="Intense Quote"/>
    <w:basedOn w:val="Normal"/>
    <w:next w:val="Normal"/>
    <w:link w:val="IntenseQuoteChar"/>
    <w:uiPriority w:val="99"/>
    <w:qFormat/>
    <w:rsid w:val="003F6AB2"/>
    <w:pPr>
      <w:pBdr>
        <w:bottom w:val="single" w:sz="4" w:space="1" w:color="auto"/>
      </w:pBdr>
      <w:spacing w:before="200" w:after="280"/>
      <w:ind w:left="1008" w:right="1152"/>
      <w:jc w:val="both"/>
    </w:pPr>
    <w:rPr>
      <w:b/>
      <w:bCs/>
      <w:i/>
      <w:iCs/>
    </w:rPr>
  </w:style>
  <w:style w:type="character" w:customStyle="1" w:styleId="IntenseQuoteChar">
    <w:name w:val="Intense Quote Char"/>
    <w:basedOn w:val="DefaultParagraphFont"/>
    <w:link w:val="IntenseQuote"/>
    <w:uiPriority w:val="99"/>
    <w:locked/>
    <w:rsid w:val="003F6AB2"/>
    <w:rPr>
      <w:rFonts w:cs="Times New Roman"/>
      <w:b/>
      <w:bCs/>
      <w:i/>
      <w:iCs/>
    </w:rPr>
  </w:style>
  <w:style w:type="character" w:styleId="SubtleEmphasis">
    <w:name w:val="Subtle Emphasis"/>
    <w:basedOn w:val="DefaultParagraphFont"/>
    <w:uiPriority w:val="99"/>
    <w:qFormat/>
    <w:rsid w:val="003F6AB2"/>
    <w:rPr>
      <w:i/>
    </w:rPr>
  </w:style>
  <w:style w:type="character" w:styleId="IntenseEmphasis">
    <w:name w:val="Intense Emphasis"/>
    <w:basedOn w:val="DefaultParagraphFont"/>
    <w:uiPriority w:val="99"/>
    <w:qFormat/>
    <w:rsid w:val="003F6AB2"/>
    <w:rPr>
      <w:b/>
    </w:rPr>
  </w:style>
  <w:style w:type="character" w:styleId="SubtleReference">
    <w:name w:val="Subtle Reference"/>
    <w:basedOn w:val="DefaultParagraphFont"/>
    <w:uiPriority w:val="99"/>
    <w:qFormat/>
    <w:rsid w:val="003F6AB2"/>
    <w:rPr>
      <w:smallCaps/>
    </w:rPr>
  </w:style>
  <w:style w:type="character" w:styleId="IntenseReference">
    <w:name w:val="Intense Reference"/>
    <w:basedOn w:val="DefaultParagraphFont"/>
    <w:uiPriority w:val="99"/>
    <w:qFormat/>
    <w:rsid w:val="003F6AB2"/>
    <w:rPr>
      <w:smallCaps/>
      <w:spacing w:val="5"/>
      <w:u w:val="single"/>
    </w:rPr>
  </w:style>
  <w:style w:type="character" w:styleId="BookTitle">
    <w:name w:val="Book Title"/>
    <w:basedOn w:val="DefaultParagraphFont"/>
    <w:uiPriority w:val="99"/>
    <w:qFormat/>
    <w:rsid w:val="003F6AB2"/>
    <w:rPr>
      <w:i/>
      <w:smallCaps/>
      <w:spacing w:val="5"/>
    </w:rPr>
  </w:style>
  <w:style w:type="paragraph" w:styleId="TOCHeading">
    <w:name w:val="TOC Heading"/>
    <w:basedOn w:val="Heading1"/>
    <w:next w:val="Normal"/>
    <w:uiPriority w:val="99"/>
    <w:qFormat/>
    <w:rsid w:val="003F6AB2"/>
    <w:pPr>
      <w:outlineLvl w:val="9"/>
    </w:pPr>
  </w:style>
  <w:style w:type="character" w:customStyle="1" w:styleId="ti2">
    <w:name w:val="ti2"/>
    <w:basedOn w:val="DefaultParagraphFont"/>
    <w:uiPriority w:val="99"/>
    <w:rsid w:val="00E81FDF"/>
    <w:rPr>
      <w:rFonts w:cs="Times New Roman"/>
      <w:sz w:val="22"/>
      <w:szCs w:val="22"/>
    </w:rPr>
  </w:style>
  <w:style w:type="paragraph" w:styleId="Header">
    <w:name w:val="header"/>
    <w:basedOn w:val="Normal"/>
    <w:link w:val="HeaderChar"/>
    <w:uiPriority w:val="99"/>
    <w:unhideWhenUsed/>
    <w:rsid w:val="00684238"/>
    <w:pPr>
      <w:tabs>
        <w:tab w:val="center" w:pos="4513"/>
        <w:tab w:val="right" w:pos="9026"/>
      </w:tabs>
      <w:spacing w:after="0" w:line="240" w:lineRule="auto"/>
    </w:pPr>
  </w:style>
  <w:style w:type="character" w:customStyle="1" w:styleId="HeaderChar">
    <w:name w:val="Header Char"/>
    <w:basedOn w:val="DefaultParagraphFont"/>
    <w:link w:val="Header"/>
    <w:uiPriority w:val="99"/>
    <w:rsid w:val="00684238"/>
    <w:rPr>
      <w:lang w:val="en-GB" w:eastAsia="en-US"/>
    </w:rPr>
  </w:style>
  <w:style w:type="paragraph" w:styleId="Footer">
    <w:name w:val="footer"/>
    <w:basedOn w:val="Normal"/>
    <w:link w:val="FooterChar"/>
    <w:uiPriority w:val="99"/>
    <w:semiHidden/>
    <w:unhideWhenUsed/>
    <w:rsid w:val="00684238"/>
    <w:pPr>
      <w:tabs>
        <w:tab w:val="center" w:pos="4513"/>
        <w:tab w:val="right" w:pos="9026"/>
      </w:tabs>
      <w:spacing w:after="0" w:line="240" w:lineRule="auto"/>
    </w:pPr>
  </w:style>
  <w:style w:type="character" w:customStyle="1" w:styleId="FooterChar">
    <w:name w:val="Footer Char"/>
    <w:basedOn w:val="DefaultParagraphFont"/>
    <w:link w:val="Footer"/>
    <w:uiPriority w:val="99"/>
    <w:semiHidden/>
    <w:rsid w:val="00684238"/>
    <w:rPr>
      <w:lang w:val="en-GB" w:eastAsia="en-US"/>
    </w:rPr>
  </w:style>
  <w:style w:type="character" w:styleId="CommentReference">
    <w:name w:val="annotation reference"/>
    <w:basedOn w:val="DefaultParagraphFont"/>
    <w:uiPriority w:val="99"/>
    <w:semiHidden/>
    <w:unhideWhenUsed/>
    <w:rsid w:val="00865786"/>
    <w:rPr>
      <w:sz w:val="16"/>
      <w:szCs w:val="16"/>
    </w:rPr>
  </w:style>
  <w:style w:type="paragraph" w:styleId="CommentText">
    <w:name w:val="annotation text"/>
    <w:basedOn w:val="Normal"/>
    <w:link w:val="CommentTextChar"/>
    <w:uiPriority w:val="99"/>
    <w:semiHidden/>
    <w:unhideWhenUsed/>
    <w:rsid w:val="00865786"/>
    <w:pPr>
      <w:spacing w:line="240" w:lineRule="auto"/>
    </w:pPr>
    <w:rPr>
      <w:sz w:val="20"/>
      <w:szCs w:val="20"/>
    </w:rPr>
  </w:style>
  <w:style w:type="character" w:customStyle="1" w:styleId="CommentTextChar">
    <w:name w:val="Comment Text Char"/>
    <w:basedOn w:val="DefaultParagraphFont"/>
    <w:link w:val="CommentText"/>
    <w:uiPriority w:val="99"/>
    <w:semiHidden/>
    <w:rsid w:val="00865786"/>
    <w:rPr>
      <w:sz w:val="20"/>
      <w:szCs w:val="20"/>
      <w:lang w:val="en-GB" w:eastAsia="en-US"/>
    </w:rPr>
  </w:style>
  <w:style w:type="paragraph" w:styleId="CommentSubject">
    <w:name w:val="annotation subject"/>
    <w:basedOn w:val="CommentText"/>
    <w:next w:val="CommentText"/>
    <w:link w:val="CommentSubjectChar"/>
    <w:uiPriority w:val="99"/>
    <w:semiHidden/>
    <w:unhideWhenUsed/>
    <w:rsid w:val="00865786"/>
    <w:rPr>
      <w:b/>
      <w:bCs/>
    </w:rPr>
  </w:style>
  <w:style w:type="character" w:customStyle="1" w:styleId="CommentSubjectChar">
    <w:name w:val="Comment Subject Char"/>
    <w:basedOn w:val="CommentTextChar"/>
    <w:link w:val="CommentSubject"/>
    <w:uiPriority w:val="99"/>
    <w:semiHidden/>
    <w:rsid w:val="00865786"/>
    <w:rPr>
      <w:b/>
      <w:bCs/>
    </w:rPr>
  </w:style>
  <w:style w:type="paragraph" w:styleId="BalloonText">
    <w:name w:val="Balloon Text"/>
    <w:basedOn w:val="Normal"/>
    <w:link w:val="BalloonTextChar"/>
    <w:uiPriority w:val="99"/>
    <w:semiHidden/>
    <w:unhideWhenUsed/>
    <w:rsid w:val="00865786"/>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865786"/>
    <w:rPr>
      <w:rFonts w:ascii="Tahoma" w:hAnsi="Tahoma" w:cs="Tahoma"/>
      <w:sz w:val="16"/>
      <w:szCs w:val="16"/>
      <w:lang w:val="en-GB" w:eastAsia="en-US"/>
    </w:rPr>
  </w:style>
  <w:style w:type="character" w:customStyle="1" w:styleId="journalname">
    <w:name w:val="journalname"/>
    <w:basedOn w:val="DefaultParagraphFont"/>
    <w:rsid w:val="00BB5D4F"/>
  </w:style>
  <w:style w:type="character" w:customStyle="1" w:styleId="ti">
    <w:name w:val="ti"/>
    <w:basedOn w:val="DefaultParagraphFont"/>
    <w:rsid w:val="007723B8"/>
  </w:style>
  <w:style w:type="paragraph" w:customStyle="1" w:styleId="title1">
    <w:name w:val="title1"/>
    <w:basedOn w:val="Normal"/>
    <w:rsid w:val="00D7031B"/>
    <w:pPr>
      <w:spacing w:before="100" w:beforeAutospacing="1" w:after="0" w:line="240" w:lineRule="auto"/>
      <w:ind w:left="825"/>
    </w:pPr>
    <w:rPr>
      <w:rFonts w:ascii="Times New Roman" w:hAnsi="Times New Roman"/>
      <w:lang w:eastAsia="en-GB"/>
    </w:rPr>
  </w:style>
  <w:style w:type="paragraph" w:customStyle="1" w:styleId="authors1">
    <w:name w:val="authors1"/>
    <w:basedOn w:val="Normal"/>
    <w:rsid w:val="00D7031B"/>
    <w:pPr>
      <w:spacing w:before="72" w:after="0" w:line="240" w:lineRule="atLeast"/>
      <w:ind w:left="825"/>
    </w:pPr>
    <w:rPr>
      <w:rFonts w:ascii="Times New Roman" w:hAnsi="Times New Roman"/>
      <w:lang w:eastAsia="en-GB"/>
    </w:rPr>
  </w:style>
  <w:style w:type="paragraph" w:customStyle="1" w:styleId="source1">
    <w:name w:val="source1"/>
    <w:basedOn w:val="Normal"/>
    <w:rsid w:val="00D7031B"/>
    <w:pPr>
      <w:spacing w:before="120" w:after="84" w:line="240" w:lineRule="atLeast"/>
      <w:ind w:left="825"/>
    </w:pPr>
    <w:rPr>
      <w:rFonts w:ascii="Times New Roman" w:hAnsi="Times New Roman"/>
      <w:sz w:val="18"/>
      <w:szCs w:val="18"/>
      <w:lang w:eastAsia="en-GB"/>
    </w:rPr>
  </w:style>
</w:styles>
</file>

<file path=word/webSettings.xml><?xml version="1.0" encoding="utf-8"?>
<w:webSettings xmlns:r="http://schemas.openxmlformats.org/officeDocument/2006/relationships" xmlns:w="http://schemas.openxmlformats.org/wordprocessingml/2006/main">
  <w:divs>
    <w:div w:id="412435481">
      <w:bodyDiv w:val="1"/>
      <w:marLeft w:val="0"/>
      <w:marRight w:val="0"/>
      <w:marTop w:val="0"/>
      <w:marBottom w:val="0"/>
      <w:divBdr>
        <w:top w:val="none" w:sz="0" w:space="0" w:color="auto"/>
        <w:left w:val="none" w:sz="0" w:space="0" w:color="auto"/>
        <w:bottom w:val="none" w:sz="0" w:space="0" w:color="auto"/>
        <w:right w:val="none" w:sz="0" w:space="0" w:color="auto"/>
      </w:divBdr>
      <w:divsChild>
        <w:div w:id="1143696639">
          <w:marLeft w:val="120"/>
          <w:marRight w:val="120"/>
          <w:marTop w:val="0"/>
          <w:marBottom w:val="0"/>
          <w:divBdr>
            <w:top w:val="none" w:sz="0" w:space="0" w:color="auto"/>
            <w:left w:val="none" w:sz="0" w:space="0" w:color="auto"/>
            <w:bottom w:val="none" w:sz="0" w:space="0" w:color="auto"/>
            <w:right w:val="none" w:sz="0" w:space="0" w:color="auto"/>
          </w:divBdr>
          <w:divsChild>
            <w:div w:id="1752852072">
              <w:marLeft w:val="0"/>
              <w:marRight w:val="0"/>
              <w:marTop w:val="0"/>
              <w:marBottom w:val="0"/>
              <w:divBdr>
                <w:top w:val="none" w:sz="0" w:space="0" w:color="auto"/>
                <w:left w:val="none" w:sz="0" w:space="0" w:color="auto"/>
                <w:bottom w:val="none" w:sz="0" w:space="0" w:color="auto"/>
                <w:right w:val="none" w:sz="0" w:space="0" w:color="auto"/>
              </w:divBdr>
              <w:divsChild>
                <w:div w:id="548764483">
                  <w:marLeft w:val="0"/>
                  <w:marRight w:val="0"/>
                  <w:marTop w:val="72"/>
                  <w:marBottom w:val="0"/>
                  <w:divBdr>
                    <w:top w:val="none" w:sz="0" w:space="0" w:color="auto"/>
                    <w:left w:val="none" w:sz="0" w:space="0" w:color="auto"/>
                    <w:bottom w:val="none" w:sz="0" w:space="0" w:color="auto"/>
                    <w:right w:val="none" w:sz="0" w:space="0" w:color="auto"/>
                  </w:divBdr>
                  <w:divsChild>
                    <w:div w:id="823205254">
                      <w:marLeft w:val="0"/>
                      <w:marRight w:val="0"/>
                      <w:marTop w:val="0"/>
                      <w:marBottom w:val="0"/>
                      <w:divBdr>
                        <w:top w:val="none" w:sz="0" w:space="0" w:color="auto"/>
                        <w:left w:val="none" w:sz="0" w:space="0" w:color="auto"/>
                        <w:bottom w:val="none" w:sz="0" w:space="0" w:color="auto"/>
                        <w:right w:val="none" w:sz="0" w:space="0" w:color="auto"/>
                      </w:divBdr>
                      <w:divsChild>
                        <w:div w:id="154805091">
                          <w:marLeft w:val="120"/>
                          <w:marRight w:val="0"/>
                          <w:marTop w:val="0"/>
                          <w:marBottom w:val="0"/>
                          <w:divBdr>
                            <w:top w:val="none" w:sz="0" w:space="0" w:color="auto"/>
                            <w:left w:val="none" w:sz="0" w:space="0" w:color="auto"/>
                            <w:bottom w:val="none" w:sz="0" w:space="0" w:color="auto"/>
                            <w:right w:val="none" w:sz="0" w:space="0" w:color="auto"/>
                          </w:divBdr>
                          <w:divsChild>
                            <w:div w:id="1940722456">
                              <w:marLeft w:val="0"/>
                              <w:marRight w:val="0"/>
                              <w:marTop w:val="0"/>
                              <w:marBottom w:val="0"/>
                              <w:divBdr>
                                <w:top w:val="none" w:sz="0" w:space="0" w:color="auto"/>
                                <w:left w:val="none" w:sz="0" w:space="0" w:color="auto"/>
                                <w:bottom w:val="none" w:sz="0" w:space="0" w:color="auto"/>
                                <w:right w:val="none" w:sz="0" w:space="0" w:color="auto"/>
                              </w:divBdr>
                              <w:divsChild>
                                <w:div w:id="679353439">
                                  <w:marLeft w:val="-120"/>
                                  <w:marRight w:val="0"/>
                                  <w:marTop w:val="120"/>
                                  <w:marBottom w:val="336"/>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
  <w:optimizeForBrowser/>
  <w:relyOnVML/>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hyperlink" Target="mailto:Alastair.watson@liv.ac.uk" TargetMode="External"/><Relationship Id="rId9" Type="http://schemas.openxmlformats.org/officeDocument/2006/relationships/header" Target="header1.xml"/><Relationship Id="rId10" Type="http://schemas.openxmlformats.org/officeDocument/2006/relationships/fontTable" Target="fontTable.xml"/><Relationship Id="rId11"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99424AC-4914-3E4B-9850-C1AA9E45DAF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7</Pages>
  <Words>1610</Words>
  <Characters>9180</Characters>
  <Application>Microsoft Macintosh Word</Application>
  <DocSecurity>0</DocSecurity>
  <Lines>76</Lines>
  <Paragraphs>18</Paragraphs>
  <ScaleCrop>false</ScaleCrop>
  <HeadingPairs>
    <vt:vector size="2" baseType="variant">
      <vt:variant>
        <vt:lpstr>Title</vt:lpstr>
      </vt:variant>
      <vt:variant>
        <vt:i4>1</vt:i4>
      </vt:variant>
    </vt:vector>
  </HeadingPairs>
  <TitlesOfParts>
    <vt:vector size="1" baseType="lpstr">
      <vt:lpstr>The new “Connexon” to the pathogenesis of E</vt:lpstr>
    </vt:vector>
  </TitlesOfParts>
  <Company>The University of Liverpool</Company>
  <LinksUpToDate>false</LinksUpToDate>
  <CharactersWithSpaces>11273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The new “Connexon” to the pathogenesis of E</dc:title>
  <dc:creator>Alastair Watson</dc:creator>
  <cp:lastModifiedBy>Alastair Watson</cp:lastModifiedBy>
  <cp:revision>2</cp:revision>
  <cp:lastPrinted>2009-09-28T08:30:00Z</cp:lastPrinted>
  <dcterms:created xsi:type="dcterms:W3CDTF">2010-01-24T09:56:00Z</dcterms:created>
  <dcterms:modified xsi:type="dcterms:W3CDTF">2010-01-24T09:56:00Z</dcterms:modified>
</cp:coreProperties>
</file>