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D626" w14:textId="77777777" w:rsidR="00957269" w:rsidRDefault="00000000">
      <w:pPr>
        <w:jc w:val="center"/>
        <w:rPr>
          <w:b/>
          <w:bCs/>
          <w:sz w:val="36"/>
          <w:szCs w:val="36"/>
        </w:rPr>
      </w:pPr>
      <w:r>
        <w:rPr>
          <w:b/>
          <w:bCs/>
          <w:sz w:val="36"/>
          <w:szCs w:val="36"/>
        </w:rPr>
        <w:t xml:space="preserve">Female Employment in Global Supply Chains: A Multilevel Analysis of Nike's Supplier Factories </w:t>
      </w:r>
    </w:p>
    <w:p w14:paraId="57605F5F" w14:textId="77777777" w:rsidR="00957269" w:rsidRDefault="00957269">
      <w:pPr>
        <w:pBdr>
          <w:top w:val="nil"/>
          <w:left w:val="nil"/>
          <w:bottom w:val="nil"/>
          <w:right w:val="nil"/>
          <w:between w:val="nil"/>
        </w:pBdr>
        <w:rPr>
          <w:sz w:val="10"/>
          <w:szCs w:val="10"/>
        </w:rPr>
      </w:pPr>
    </w:p>
    <w:p w14:paraId="2737AB1C" w14:textId="77777777" w:rsidR="00957269" w:rsidRDefault="00957269">
      <w:pPr>
        <w:pBdr>
          <w:top w:val="nil"/>
          <w:left w:val="nil"/>
          <w:bottom w:val="nil"/>
          <w:right w:val="nil"/>
          <w:between w:val="nil"/>
        </w:pBdr>
        <w:jc w:val="center"/>
        <w:rPr>
          <w:sz w:val="8"/>
          <w:szCs w:val="8"/>
        </w:rPr>
      </w:pPr>
    </w:p>
    <w:p w14:paraId="1DAC24B8" w14:textId="77777777" w:rsidR="00957269" w:rsidRDefault="00957269">
      <w:pPr>
        <w:pBdr>
          <w:top w:val="nil"/>
          <w:left w:val="nil"/>
          <w:bottom w:val="nil"/>
          <w:right w:val="nil"/>
          <w:between w:val="nil"/>
        </w:pBdr>
        <w:jc w:val="center"/>
      </w:pPr>
    </w:p>
    <w:p w14:paraId="70096E9F" w14:textId="77777777" w:rsidR="00957269" w:rsidRDefault="00000000">
      <w:pPr>
        <w:pBdr>
          <w:top w:val="nil"/>
          <w:left w:val="nil"/>
          <w:bottom w:val="nil"/>
          <w:right w:val="nil"/>
          <w:between w:val="nil"/>
        </w:pBdr>
        <w:jc w:val="center"/>
        <w:rPr>
          <w:b/>
          <w:bCs/>
          <w:sz w:val="30"/>
          <w:szCs w:val="30"/>
        </w:rPr>
      </w:pPr>
      <w:r>
        <w:rPr>
          <w:b/>
          <w:bCs/>
          <w:sz w:val="30"/>
          <w:szCs w:val="30"/>
        </w:rPr>
        <w:t>Abstract</w:t>
      </w:r>
    </w:p>
    <w:p w14:paraId="34E5CA6A" w14:textId="77777777" w:rsidR="00957269" w:rsidRDefault="00957269">
      <w:pPr>
        <w:pBdr>
          <w:top w:val="nil"/>
          <w:left w:val="nil"/>
          <w:bottom w:val="nil"/>
          <w:right w:val="nil"/>
          <w:between w:val="nil"/>
        </w:pBdr>
        <w:jc w:val="center"/>
        <w:rPr>
          <w:b/>
          <w:bCs/>
          <w:sz w:val="11"/>
          <w:szCs w:val="11"/>
        </w:rPr>
      </w:pPr>
    </w:p>
    <w:p w14:paraId="6E9319B3" w14:textId="77777777" w:rsidR="00957269" w:rsidRDefault="00000000">
      <w:pPr>
        <w:pBdr>
          <w:top w:val="nil"/>
          <w:left w:val="nil"/>
          <w:bottom w:val="nil"/>
          <w:right w:val="nil"/>
          <w:between w:val="nil"/>
        </w:pBdr>
        <w:jc w:val="both"/>
      </w:pPr>
      <w:r>
        <w:t xml:space="preserve">Fostering gender equality is a fundamental pillar of ethical business conduct and corporate social responsibility. Yet, the structural architecture of production in global supply chains, and the institutional contexts in which factories are embedded, can create </w:t>
      </w:r>
      <w:r>
        <w:rPr>
          <w:i/>
          <w:iCs/>
        </w:rPr>
        <w:t>moral distance</w:t>
      </w:r>
      <w:r>
        <w:t xml:space="preserve"> between “lead” firms and female workers, constrain the exercise of </w:t>
      </w:r>
      <w:r>
        <w:rPr>
          <w:i/>
          <w:iCs/>
        </w:rPr>
        <w:t>moral agency</w:t>
      </w:r>
      <w:r>
        <w:t xml:space="preserve"> across network nodes, and impede </w:t>
      </w:r>
      <w:r>
        <w:rPr>
          <w:i/>
          <w:iCs/>
        </w:rPr>
        <w:t>distributive justice</w:t>
      </w:r>
      <w:r>
        <w:t xml:space="preserve"> regarding women’s access to employment. In this work, we investigate gender diversity at over 800 production units of Nike’s supply-base by leveraging factory-level data published by Nike, and uncover organizational and institutional drivers of female participation in the workforce. We apply a multilevel lens and theoretically motivate the relevance of six factors spanning three levels (i.e., factory, supplier and country) in increasing female employment. We construct a longitudinal dataset of complex structure by merging Nike’s published data with data from secondary sources. Our analysis reveals that factories producing relatively less complex products and belonging to suppliers with a strong network presence but limited geographical dispersion, employ a higher proportion of females. The same holds for factories in countries characterized by a more individualistic and long-term-oriented culture. Theoretically, this study contributes to business ethics by demonstrating how supply chains influence ethical outcomes, illustrating how factory, supplier, and country-level conditions jointly shape female labour participation. Practically, the findings identify actionable interventions to enhance ethical governance and gender diversity across the supply base.</w:t>
      </w:r>
    </w:p>
    <w:p w14:paraId="1C4DD606" w14:textId="77777777" w:rsidR="00957269" w:rsidRDefault="00957269">
      <w:pPr>
        <w:pBdr>
          <w:top w:val="nil"/>
          <w:left w:val="nil"/>
          <w:bottom w:val="nil"/>
          <w:right w:val="nil"/>
          <w:between w:val="nil"/>
        </w:pBdr>
        <w:rPr>
          <w:color w:val="0070C0"/>
        </w:rPr>
      </w:pPr>
    </w:p>
    <w:p w14:paraId="71187087" w14:textId="77777777" w:rsidR="00957269" w:rsidRDefault="00000000">
      <w:pPr>
        <w:pBdr>
          <w:top w:val="nil"/>
          <w:left w:val="nil"/>
          <w:bottom w:val="nil"/>
          <w:right w:val="nil"/>
          <w:between w:val="nil"/>
        </w:pBdr>
        <w:jc w:val="both"/>
        <w:rPr>
          <w:b/>
          <w:bCs/>
          <w:color w:val="000000"/>
        </w:rPr>
      </w:pPr>
      <w:r>
        <w:rPr>
          <w:b/>
          <w:bCs/>
          <w:color w:val="000000"/>
        </w:rPr>
        <w:t xml:space="preserve">Keywords: </w:t>
      </w:r>
      <w:r>
        <w:t xml:space="preserve">apparel and footwear, </w:t>
      </w:r>
      <w:r>
        <w:rPr>
          <w:color w:val="000000"/>
        </w:rPr>
        <w:t>CSR, distributive justi</w:t>
      </w:r>
      <w:r>
        <w:t xml:space="preserve">ce, </w:t>
      </w:r>
      <w:r>
        <w:rPr>
          <w:color w:val="000000"/>
        </w:rPr>
        <w:t>gender diversity, moral distance</w:t>
      </w:r>
      <w:r>
        <w:t>, multilevel modelling</w:t>
      </w:r>
    </w:p>
    <w:p w14:paraId="51A1EEC4" w14:textId="77777777" w:rsidR="00957269" w:rsidRDefault="00957269">
      <w:pPr>
        <w:pBdr>
          <w:top w:val="nil"/>
          <w:left w:val="nil"/>
          <w:bottom w:val="nil"/>
          <w:right w:val="nil"/>
          <w:between w:val="nil"/>
        </w:pBdr>
        <w:jc w:val="both"/>
        <w:rPr>
          <w:color w:val="000000"/>
          <w:sz w:val="40"/>
          <w:szCs w:val="40"/>
        </w:rPr>
      </w:pPr>
    </w:p>
    <w:p w14:paraId="4C51BBA1" w14:textId="77777777" w:rsidR="00957269" w:rsidRDefault="00000000">
      <w:pPr>
        <w:pBdr>
          <w:top w:val="nil"/>
          <w:left w:val="nil"/>
          <w:bottom w:val="nil"/>
          <w:right w:val="nil"/>
          <w:between w:val="nil"/>
        </w:pBdr>
        <w:jc w:val="both"/>
        <w:rPr>
          <w:b/>
          <w:bCs/>
          <w:color w:val="000000"/>
          <w:sz w:val="28"/>
          <w:szCs w:val="28"/>
        </w:rPr>
      </w:pPr>
      <w:r>
        <w:rPr>
          <w:b/>
          <w:bCs/>
          <w:color w:val="000000"/>
          <w:sz w:val="28"/>
          <w:szCs w:val="28"/>
        </w:rPr>
        <w:t>Introduction</w:t>
      </w:r>
    </w:p>
    <w:p w14:paraId="7697F4F0" w14:textId="77777777" w:rsidR="00957269" w:rsidRDefault="00957269">
      <w:pPr>
        <w:pBdr>
          <w:top w:val="nil"/>
          <w:left w:val="nil"/>
          <w:bottom w:val="nil"/>
          <w:right w:val="nil"/>
          <w:between w:val="nil"/>
        </w:pBdr>
        <w:jc w:val="both"/>
      </w:pPr>
    </w:p>
    <w:p w14:paraId="3E9C9924" w14:textId="77777777" w:rsidR="00957269" w:rsidRDefault="00000000">
      <w:pPr>
        <w:jc w:val="both"/>
      </w:pPr>
      <w:r>
        <w:t>Fostering gender diversity in global supply chains is crucial for economic development, social equality, and corporate responsibility (Brammer et al., 2012; Grosser &amp; Moon, 2005; Ruel et al., 2022; World Bank, 2012). While women’s participation in the workforce alone does not guarantee empowerment or equity, it serves as a tangible indicator of broader dynamics (Barrientos et al., 2004; Frederick et al., 2021). Female workforce participation should be viewed as a measurable entry point into broader ethical concerns in global production networks (McCarthy, 2017; Prieto-</w:t>
      </w:r>
      <w:proofErr w:type="spellStart"/>
      <w:r>
        <w:t>Carrón</w:t>
      </w:r>
      <w:proofErr w:type="spellEnd"/>
      <w:r>
        <w:t>, 2008; Soundararajan et al., 2021).</w:t>
      </w:r>
    </w:p>
    <w:p w14:paraId="18ABE0F5" w14:textId="7626A8CC" w:rsidR="00957269" w:rsidRDefault="00000000">
      <w:pPr>
        <w:ind w:firstLine="720"/>
        <w:jc w:val="both"/>
      </w:pPr>
      <w:r>
        <w:t>Women's participation in the economy brings greater economic independence, improved family welfare, and broader developmental outcomes, since women are likely to invest significantly in their families and communities, thus multiplying the positive impact of their work (World Bank, 2012). Moreover, integrating women into global production networks fosters skill diversification and innovation in traditionally male-dominated fields (Ruel et al., 2022), while increasing access to work opportunities across the globe contributes significantly towards achieving gender equality (ILO, 2023; World Bank, 2012). From an academic standpoint, the empowerment of women through their increased participation in the labour market is a key area of interest in the business ethics and corporate social responsibility (CSR) research streams (McCarthy, 2017; Prieto-</w:t>
      </w:r>
      <w:proofErr w:type="spellStart"/>
      <w:r>
        <w:t>Carrón</w:t>
      </w:r>
      <w:proofErr w:type="spellEnd"/>
      <w:r>
        <w:t>, 2008).</w:t>
      </w:r>
    </w:p>
    <w:p w14:paraId="14E1D98B" w14:textId="51D34C14" w:rsidR="00957269" w:rsidRDefault="00000000">
      <w:pPr>
        <w:ind w:firstLine="720"/>
        <w:jc w:val="both"/>
      </w:pPr>
      <w:r>
        <w:t xml:space="preserve">Against this backdrop, multinational corporations (MNCs), through their employment practices, can play a crucial role in fostering CSR in general, and promoting gender diversity in the workplace in particular (Tang &amp; Zhang, 2021). A large-scale study by Dai et al. (2021) </w:t>
      </w:r>
      <w:r>
        <w:lastRenderedPageBreak/>
        <w:t>demonstrates that customer-driven CSR initiatives positively impact supplier practices, enhancing suppliers’ social sustainability and economic performance. Large MNCs, including footwear and apparel firms like Nike, have thus prioritized sourcing from suppliers committed to social sustainability and gender equality.</w:t>
      </w:r>
    </w:p>
    <w:p w14:paraId="3763685D" w14:textId="77777777" w:rsidR="00957269" w:rsidRDefault="00000000">
      <w:pPr>
        <w:jc w:val="both"/>
      </w:pPr>
      <w:r>
        <w:tab/>
        <w:t xml:space="preserve">However, the characteristics of global production networks might impede distributive justice, understood here as the fair allocation of benefits, burdens, and opportunities across social groups (Preuss, 2001; </w:t>
      </w:r>
      <w:proofErr w:type="spellStart"/>
      <w:r>
        <w:t>Alghababsheh</w:t>
      </w:r>
      <w:proofErr w:type="spellEnd"/>
      <w:r>
        <w:t xml:space="preserve"> &amp; </w:t>
      </w:r>
      <w:proofErr w:type="spellStart"/>
      <w:r>
        <w:t>Gallear</w:t>
      </w:r>
      <w:proofErr w:type="spellEnd"/>
      <w:r>
        <w:t>, 2021). In global supply chains, distributive justice extends beyond wages and working conditions, to include the question of who gains access to employment in the first place, as well as who is given capability-development opportunities; these questions are inherently gendered in labour-intensive export industries (Barrientos, 2019; Prieto-</w:t>
      </w:r>
      <w:proofErr w:type="spellStart"/>
      <w:r>
        <w:t>Carrón</w:t>
      </w:r>
      <w:proofErr w:type="spellEnd"/>
      <w:r>
        <w:t xml:space="preserve">, 2008). While the Operations &amp; Supply Chain Management (OSCM) literature frequently treats characteristics such as product complexity and network density as neutral determinants of performance, a business ethics lens reveals them to be institutional boundaries that define the scope of a “lead” firm’s moral responsibility (Alexander, 2020; Lee et al., 2020). </w:t>
      </w:r>
    </w:p>
    <w:p w14:paraId="7BA77A78" w14:textId="3C86F8EC" w:rsidR="00957269" w:rsidRDefault="00000000">
      <w:pPr>
        <w:ind w:firstLine="720"/>
        <w:jc w:val="both"/>
      </w:pPr>
      <w:r>
        <w:t>In complex, multi-tiered networks, systemic structural features can further create moral distance, which potentially hinders the implementation of ethical standards and the protection of vulnerable worker groups (Reinecke &amp; Ansari, 2015; Soundararajan et al., 2021). Moral distance matters in this setting because it provides a lens for understanding why ethical commitments articulated by “lead” firms may be difficult to translate into consistent employment practices across supplier factories. By investigating how factors at the factory, supply</w:t>
      </w:r>
      <w:r w:rsidR="00AF137A">
        <w:t xml:space="preserve"> </w:t>
      </w:r>
      <w:r>
        <w:t>base, and country level influence female workforce participation, this study bridges OSCM and business ethics and explores how structure and culture realize or restrict ethical outcomes and social sustainability in global supply bases of “lead” firms (Doorey, 2011; Prieto-</w:t>
      </w:r>
      <w:proofErr w:type="spellStart"/>
      <w:r>
        <w:t>Carrón</w:t>
      </w:r>
      <w:proofErr w:type="spellEnd"/>
      <w:r>
        <w:t xml:space="preserve">, 2008). </w:t>
      </w:r>
      <w:r>
        <w:tab/>
      </w:r>
    </w:p>
    <w:p w14:paraId="631240C2" w14:textId="77777777" w:rsidR="00957269" w:rsidRDefault="00000000">
      <w:pPr>
        <w:ind w:firstLine="720"/>
        <w:jc w:val="both"/>
      </w:pPr>
      <w:r>
        <w:t>Female labour participation is a particularly crucial issue in the broader apparel and footwear industry (ILO, 2023), i.e., the context of this study. Even though the industry is traditionally considered female-intensive, recent evidence suggests that in several developing countries such as Bangladesh, Egypt, Sri Lanka, Pakistan and Turkey, the female share of employment in apparel production factories is below the world average, amounting to 50% or lower (Frederick et al., 2021). Bangladesh, in particular, has even experienced a reverse in the trend; according to a report by the Ethical Trade Initiative (ETI), in the 1980s, approximately 80% of the total workers involved in garment production were female, but this figure had declined to 53.65% in 2021 (ETI, 2023). Amidst this environment, notable footwear and apparel companies, such as Nike, H&amp;M, and Adidas, have implemented various initiatives to empower female factory workers (Paiva et al., 2020; Ruel et al., 2022). These efforts are crucial, not only for reversing the declining trend of female workforce participation, but also for setting industry standards that encourage other companies to follow suit.</w:t>
      </w:r>
    </w:p>
    <w:p w14:paraId="4E4B335C" w14:textId="77777777" w:rsidR="00957269" w:rsidRDefault="00000000">
      <w:pPr>
        <w:ind w:firstLine="720"/>
        <w:jc w:val="both"/>
      </w:pPr>
      <w:r>
        <w:t>Yet, the involvement of females in the apparel and footwear industries is influenced by an array of factors operating at various levels (Verick, 2018; Ortiz-Ospina et al., 2024). For example, there is significant variability between countries, due to differences in economic growth, government policies and legislation, cultural and social norms, education levels, fertility rates, and access to childcare and other supportive services (Ortiz-Ospina et al., 2024). At the company level, factors such as local economic development and supportive workplace policies can influence women’s access to jobs (Verick, 2018). However, despite two decades of CSR reporting in footwear and apparel, we still know little about which factory- and network-level factors systematically shape women’s participation in production floors. Existing OSCM research emphasizes firm policies and compliance outcomes across diverse contexts but offers limited evidence on the factors affecting workforce participation at the level of the individual production unit.</w:t>
      </w:r>
    </w:p>
    <w:p w14:paraId="35FE24F1" w14:textId="534115D8" w:rsidR="00957269" w:rsidRDefault="00000000">
      <w:pPr>
        <w:ind w:firstLine="720"/>
        <w:jc w:val="both"/>
      </w:pPr>
      <w:r>
        <w:lastRenderedPageBreak/>
        <w:t xml:space="preserve">From an OSCM perspective, factory-level female employment should be affected by the characteristics, strategies and practices of individual suppliers within the buyer’s network (Ampe-N’DA et al., 2019; </w:t>
      </w:r>
      <w:proofErr w:type="spellStart"/>
      <w:r>
        <w:t>Redini</w:t>
      </w:r>
      <w:proofErr w:type="spellEnd"/>
      <w:r>
        <w:t xml:space="preserve">, 2022). In addition, at the level of the individual garment factory, factors such as the size of the factory, the complexity of the product, the nature of the jobs available, the skills required, as well as the working conditions, can significantly impact the representation of females in the workforce (Ola, 2020). Thus, in this research we ask: </w:t>
      </w:r>
      <w:r>
        <w:rPr>
          <w:i/>
          <w:iCs/>
        </w:rPr>
        <w:t xml:space="preserve">What are the salient factors affecting female labour participation in the apparel and footwear industry? </w:t>
      </w:r>
      <w:r>
        <w:t>Consequently, the core problem addressed in this study is not simply whether women are sufficiently represented in supplier factories in terms of absolute numbers, but how the structure of a “lead” firm’s supply</w:t>
      </w:r>
      <w:r w:rsidR="00AF137A">
        <w:t xml:space="preserve"> </w:t>
      </w:r>
      <w:r>
        <w:t>base enables or constrains the fair distribution of employment and capability-development opportunities. To this end, we focus on Nike, the world’s largest athletic footwear and apparel company by revenue, reporting over $51 billion for fiscal year 2024 (Nike, 2024), and holding approximately 35% of the global athletic footwear market (</w:t>
      </w:r>
      <w:proofErr w:type="spellStart"/>
      <w:r>
        <w:t>StatInvestor</w:t>
      </w:r>
      <w:proofErr w:type="spellEnd"/>
      <w:r>
        <w:t xml:space="preserve">, 2024). Nike’s extensive global supply chain and its commitment to CSR in combination with its history of pioneering transparency and ethical practices in its supply chain, make it an ideal subject for this type of study (Doorey, 2011). We develop a theoretically informed conceptual model of factors influencing factory-level female participation in the workforce of apparel and footwear production units and derive six hypotheses. Specifically, we test whether factory-level product complexity and supplier-level prominence and geographic dispersion, are associated with the fraction of female workers employed. We also uncover the role of three national culture dimensions (Hofstede, 2001). After compiling a dataset of complex multilevel structure spanning four years (linking Nike’s data with multiple secondary data sources), we deploy appropriate multilevel modelling techniques to test the hypotheses. </w:t>
      </w:r>
    </w:p>
    <w:p w14:paraId="71DC0731" w14:textId="77777777" w:rsidR="00957269" w:rsidRDefault="00000000">
      <w:pPr>
        <w:ind w:firstLine="720"/>
        <w:jc w:val="both"/>
      </w:pPr>
      <w:r>
        <w:t xml:space="preserve">The analysis suggests that factories producing relatively more complex products (footwear or sports equipment) employ proportionately fewer females than apparel production factories. The supplier’s geographical dispersion of operations is negatively associated with female workforce participation at the factory level, while its prominence in Nike’s supply base is positively associated. Finally, factories in countries with a more individualistic and long-term-oriented culture employ relatively more females.  </w:t>
      </w:r>
    </w:p>
    <w:p w14:paraId="210CD43F" w14:textId="5218410E" w:rsidR="00957269" w:rsidRDefault="00000000">
      <w:pPr>
        <w:ind w:firstLine="720"/>
        <w:jc w:val="both"/>
      </w:pPr>
      <w:r>
        <w:t xml:space="preserve">This study </w:t>
      </w:r>
      <w:r>
        <w:rPr>
          <w:highlight w:val="white"/>
        </w:rPr>
        <w:t>contributes to the business ethics and OSCM</w:t>
      </w:r>
      <w:r>
        <w:t xml:space="preserve"> literatures by offering one of the first multilevel empirical examinations of the structural factors influencing women’s workforce participation in global apparel and footwear supply chains, linking factory-level workforce composition across countries to product features and characteristics of the supplier’s network, and enabling insight that typical studies focussing exclusively </w:t>
      </w:r>
      <w:r w:rsidR="00CE389A">
        <w:t>on</w:t>
      </w:r>
      <w:r>
        <w:t xml:space="preserve"> the firm- or country-level cannot produce. </w:t>
      </w:r>
      <w:r>
        <w:rPr>
          <w:highlight w:val="white"/>
        </w:rPr>
        <w:t>Practically, our findings suggest actionable levers, such as inclusive skills development, targeted supplier engagement, and culturally informed governance strategies for MNCs aiming to advance gender diversity in their supply bases</w:t>
      </w:r>
      <w:r>
        <w:rPr>
          <w:rFonts w:ascii="Roboto" w:eastAsia="Roboto" w:hAnsi="Roboto" w:cs="Roboto"/>
          <w:highlight w:val="white"/>
        </w:rPr>
        <w:t>.</w:t>
      </w:r>
    </w:p>
    <w:p w14:paraId="043728AB" w14:textId="77777777" w:rsidR="00957269" w:rsidRDefault="00000000">
      <w:pPr>
        <w:ind w:firstLine="720"/>
        <w:jc w:val="both"/>
      </w:pPr>
      <w:r>
        <w:t>The rest of the article is structured as follows. We start by reviewing the extant literature relevant to this study and outline the theoretical underpinnings of the research.  This is followed by the development of the hypotheses. We then discuss the methodology adopted and present the empirical findings. Finally, we discuss the theoretical and practical implications of the findings and draw conclusions.</w:t>
      </w:r>
    </w:p>
    <w:p w14:paraId="531FC8F0" w14:textId="77777777" w:rsidR="00957269" w:rsidRDefault="00957269">
      <w:pPr>
        <w:jc w:val="both"/>
      </w:pPr>
    </w:p>
    <w:p w14:paraId="056C8E76" w14:textId="77777777" w:rsidR="00957269" w:rsidRDefault="00957269">
      <w:pPr>
        <w:pBdr>
          <w:top w:val="nil"/>
          <w:left w:val="nil"/>
          <w:bottom w:val="nil"/>
          <w:right w:val="nil"/>
          <w:between w:val="nil"/>
        </w:pBdr>
        <w:jc w:val="both"/>
        <w:rPr>
          <w:color w:val="000000"/>
          <w:sz w:val="10"/>
          <w:szCs w:val="10"/>
        </w:rPr>
      </w:pPr>
    </w:p>
    <w:p w14:paraId="30A1EE3B" w14:textId="77777777" w:rsidR="00957269" w:rsidRDefault="00000000">
      <w:pPr>
        <w:jc w:val="both"/>
        <w:rPr>
          <w:b/>
          <w:bCs/>
          <w:sz w:val="28"/>
          <w:szCs w:val="28"/>
        </w:rPr>
      </w:pPr>
      <w:r>
        <w:rPr>
          <w:b/>
          <w:bCs/>
          <w:sz w:val="28"/>
          <w:szCs w:val="28"/>
        </w:rPr>
        <w:t>Literature Review</w:t>
      </w:r>
    </w:p>
    <w:p w14:paraId="4F3D0B19" w14:textId="77777777" w:rsidR="00957269" w:rsidRDefault="00957269">
      <w:pPr>
        <w:jc w:val="both"/>
      </w:pPr>
    </w:p>
    <w:p w14:paraId="73DFAABA" w14:textId="17859C39" w:rsidR="00957269" w:rsidRDefault="00000000">
      <w:pPr>
        <w:pBdr>
          <w:top w:val="nil"/>
          <w:left w:val="nil"/>
          <w:bottom w:val="nil"/>
          <w:right w:val="nil"/>
          <w:between w:val="nil"/>
        </w:pBdr>
        <w:jc w:val="both"/>
      </w:pPr>
      <w:r>
        <w:t xml:space="preserve">Large buying firms have both strategic incentives and ethical obligations to maintain socially responsible practices in their supply bases. Prior research has shown that labour abuses and other unethical practices in supplier factories can damage brands, erode legitimacy, and undermine firm performance (Frenkel &amp; Scott, 2002; </w:t>
      </w:r>
      <w:proofErr w:type="spellStart"/>
      <w:r>
        <w:t>Emmelhainz</w:t>
      </w:r>
      <w:proofErr w:type="spellEnd"/>
      <w:r>
        <w:t xml:space="preserve"> &amp; Adams, 1999; Kim et al., 2019). Accordingly, firms must do more than simply articulat</w:t>
      </w:r>
      <w:r w:rsidR="00542D48">
        <w:t>e</w:t>
      </w:r>
      <w:r>
        <w:t xml:space="preserve"> social responsibility </w:t>
      </w:r>
      <w:r>
        <w:lastRenderedPageBreak/>
        <w:t xml:space="preserve">commitments; they must ensure that such standards are effectively implemented across complex supplier networks (Grimm et al., 2016; Soundararajan &amp; Brammer, 2018). Yet, implementation depends on a level of coordination and cooperation that is often difficult to achieve, </w:t>
      </w:r>
      <w:r w:rsidR="00542D48">
        <w:t>and</w:t>
      </w:r>
      <w:r>
        <w:t xml:space="preserve"> there has been limited scholarly attention to the factors enabling or hindering such implementation (</w:t>
      </w:r>
      <w:proofErr w:type="spellStart"/>
      <w:r>
        <w:t>Alghababsheh</w:t>
      </w:r>
      <w:proofErr w:type="spellEnd"/>
      <w:r>
        <w:t xml:space="preserve"> &amp; </w:t>
      </w:r>
      <w:proofErr w:type="spellStart"/>
      <w:r>
        <w:t>Gallear</w:t>
      </w:r>
      <w:proofErr w:type="spellEnd"/>
      <w:r>
        <w:t xml:space="preserve">, 2021). This becomes particularly pronounced </w:t>
      </w:r>
      <w:r w:rsidR="00542D48">
        <w:t>if one considers the ethical</w:t>
      </w:r>
      <w:r>
        <w:t xml:space="preserve"> dimension of supply chain governance intersects with structural inequalities embedded in global production networks, such as the systematic underrepresentation and marginalization of women in production facilities (Barrientos et al., 2011; LeBaron &amp; Lister, 2015). Understanding why these inequalities persist, and what policies might address them, requires moving beyond purely operational and compliance-oriented framings of supply chain management toward a more socially grounded and human-</w:t>
      </w:r>
      <w:proofErr w:type="spellStart"/>
      <w:r>
        <w:t>centered</w:t>
      </w:r>
      <w:proofErr w:type="spellEnd"/>
      <w:r>
        <w:t xml:space="preserve"> perspective (</w:t>
      </w:r>
      <w:proofErr w:type="spellStart"/>
      <w:r>
        <w:t>Touboulic</w:t>
      </w:r>
      <w:proofErr w:type="spellEnd"/>
      <w:r>
        <w:t xml:space="preserve"> &amp; Walker, 2015; Soundararajan et al., 2021).</w:t>
      </w:r>
    </w:p>
    <w:p w14:paraId="66A589F2" w14:textId="77777777" w:rsidR="00957269" w:rsidRDefault="00000000">
      <w:pPr>
        <w:ind w:firstLine="720"/>
        <w:jc w:val="both"/>
      </w:pPr>
      <w:r>
        <w:t>Such a perspective requires a precise understanding of the normative tensions inherent in global production. Central to this inquiry is the concept of distributive justice, defined as “</w:t>
      </w:r>
      <w:r>
        <w:rPr>
          <w:i/>
          <w:iCs/>
        </w:rPr>
        <w:t>the perceived fairness of one's outcomes</w:t>
      </w:r>
      <w:r>
        <w:t>” (Deutsch 1975, p. 137). In the context of global apparel networks, distributive justice is realized when the benefits of employment, such as skill-building, higher wages, and leadership opportunities, are allocated equitably regardless of gender (Preuss, 2001). However, the pursuit of justice is often obstructed by moral distance, a phenomenon where the physical and psychological separation between lead firms and their suppliers leads to a diminution of the sense of responsibility for the ethical consequences of decisions (Bauman 1989). In complex, multi-tiered networks, this distance leads to a lack of visibility that can mask systematic gender discrimination (Reinecke and Ansari 2015).</w:t>
      </w:r>
    </w:p>
    <w:p w14:paraId="77A9E3CD" w14:textId="77777777" w:rsidR="00957269" w:rsidRDefault="00000000">
      <w:pPr>
        <w:pBdr>
          <w:top w:val="nil"/>
          <w:left w:val="nil"/>
          <w:bottom w:val="nil"/>
          <w:right w:val="nil"/>
          <w:between w:val="nil"/>
        </w:pBdr>
        <w:ind w:firstLine="720"/>
        <w:jc w:val="both"/>
      </w:pPr>
      <w:r>
        <w:t>To address this, multinational corporations must exercise moral agency, which is the capacity of an entity to “</w:t>
      </w:r>
      <w:r>
        <w:rPr>
          <w:i/>
          <w:iCs/>
        </w:rPr>
        <w:t>act intentionally and in a manner that makes it a proper subject for moral appraisal</w:t>
      </w:r>
      <w:r>
        <w:t>” (Moore 1999, p. 329). A firm’s moral agency is enacted through its ethical governance, which refers to the “</w:t>
      </w:r>
      <w:r>
        <w:rPr>
          <w:i/>
          <w:iCs/>
        </w:rPr>
        <w:t>institutional arrangements - including rules, incentives, and shared norms - that ensure corporate decision-making is consistent with moral requirements</w:t>
      </w:r>
      <w:r>
        <w:t xml:space="preserve">” (Heath, 2006, p. 535). By leveraging data transparency and supplier oversight, a firm can ‘reclaim’ its moral responsibility from the structural constraints of the supply chain, moving from passive compliance to the active promotion of social sustainability (Scherer and Palazzo 2011). </w:t>
      </w:r>
    </w:p>
    <w:p w14:paraId="4B9515F9" w14:textId="0BD37757" w:rsidR="00957269" w:rsidRDefault="00000000">
      <w:pPr>
        <w:pBdr>
          <w:top w:val="nil"/>
          <w:left w:val="nil"/>
          <w:bottom w:val="nil"/>
          <w:right w:val="nil"/>
          <w:between w:val="nil"/>
        </w:pBdr>
        <w:ind w:firstLine="720"/>
        <w:jc w:val="both"/>
      </w:pPr>
      <w:r>
        <w:t xml:space="preserve">Importantly, these concepts are not merely definitional anchors but are connected to active debates in business ethics and OSCM scholarship. One debate concerns whether moral distance is simply a consequence of geographic and organizational separation, or whether it is also produced through organizational choices such as multi-tier sourcing, limited transparency, and the drawing of responsibility boundaries around the firm (Bauman, 1989; </w:t>
      </w:r>
      <w:proofErr w:type="spellStart"/>
      <w:r>
        <w:t>Zyglidopoulos</w:t>
      </w:r>
      <w:proofErr w:type="spellEnd"/>
      <w:r>
        <w:t xml:space="preserve"> &amp; Fleming, 2008; Eriksson &amp; Svensson, 2016). A related debate </w:t>
      </w:r>
      <w:r w:rsidR="00542D48">
        <w:t>relates to</w:t>
      </w:r>
      <w:r>
        <w:t xml:space="preserve"> where moral agency resides in multi-tier supply networks, i.e., whether responsibility is confined to legally discrete firms and within contractual boundaries, or whether it is shared among multiple actors that participate in, govern, or benefit from production systems that generate social harm (Young, 2006; Schrempf-Stirling &amp; Palazzo, 2016; Marano et al., 2024). Recent research on ethical sourcing in the fashion industry similarly shows that moral agency is enacted through interactions among individual decision makers, organizational systems, and supplier relationships, rather than through formal codes alone (Tandon et al., 2025). Finally, global value chain and OSCM scholarship cautions against equating women’s labour participation with empowerment, since entry into export production may coexist with occupational seg</w:t>
      </w:r>
      <w:r w:rsidR="00542D48">
        <w:t>regation</w:t>
      </w:r>
      <w:r>
        <w:t xml:space="preserve"> and unequal access to skill formation and upgrading (Barrientos, 2019; Prieto-</w:t>
      </w:r>
      <w:proofErr w:type="spellStart"/>
      <w:r>
        <w:t>Carrón</w:t>
      </w:r>
      <w:proofErr w:type="spellEnd"/>
      <w:r>
        <w:t>, 2008; Yang et al., 2024). Female workforce participation is therefore an ethically meaningful but incomplete indicator: it captures access to employment as one dimension of distributive justice, while leaving open whether such employment enables substantive social upgrading.</w:t>
      </w:r>
    </w:p>
    <w:p w14:paraId="3178DDE1" w14:textId="77777777" w:rsidR="00957269" w:rsidRDefault="00000000">
      <w:pPr>
        <w:pBdr>
          <w:top w:val="nil"/>
          <w:left w:val="nil"/>
          <w:bottom w:val="nil"/>
          <w:right w:val="nil"/>
          <w:between w:val="nil"/>
        </w:pBdr>
        <w:ind w:firstLine="720"/>
        <w:jc w:val="both"/>
      </w:pPr>
      <w:r>
        <w:lastRenderedPageBreak/>
        <w:t>Against this backdrop, the existing literature offers several important but only partially connected insights into how ethically consequential employment outcomes are produced in global supply chains. A first body of work examines labour issues in supply chains, with particular attention to labour-rights violations, exploitation, health and safety breaches, and the governance mechanisms used by lead firms to monitor and influence supplier practices (Park-</w:t>
      </w:r>
      <w:proofErr w:type="spellStart"/>
      <w:r>
        <w:t>Poaps</w:t>
      </w:r>
      <w:proofErr w:type="spellEnd"/>
      <w:r>
        <w:t xml:space="preserve"> &amp; Rees, 2010; Lee et al., 2020; </w:t>
      </w:r>
      <w:proofErr w:type="spellStart"/>
      <w:r>
        <w:t>Pinnington</w:t>
      </w:r>
      <w:proofErr w:type="spellEnd"/>
      <w:r>
        <w:t xml:space="preserve"> et al., 2023). The footwear and apparel sector in particular, has drawn significant attention due to its dispersed, fragmented, and shifting supply network structure, encompassing multiple levels and interconnected sets of participants (Neef, 2004). Studies have shown that governance structures such as codes of conduct, third-party auditing and supplier-development programs, shape labour outcomes, but that compliance-based approaches are often insufficient on their own, particularly where distance and weak visibility limit lead firms’ knowledge of conditions beyond direct supplier relationships (</w:t>
      </w:r>
      <w:proofErr w:type="spellStart"/>
      <w:r>
        <w:t>Egels</w:t>
      </w:r>
      <w:proofErr w:type="spellEnd"/>
      <w:r>
        <w:t>-Zandén &amp; Merk, 2014; LeBaron et al., 2017; Stevenson &amp; Cole, 2018). In this context, more proactive forms of lead-firm engagement, including transparency, supplier capability-building, and stronger accountability mechanisms, have been identified as promising pathways for improvement of labour conditions (Soundararajan &amp; Brown, 2016; Oka et al., 2020). However, this literature has paid less attention to female labour participation as an outcome in its own right. As a result, we know considerably more about labour violations and compliance failures in supply chains than about the structural conditions under which women gain or lose access to employment within production units.</w:t>
      </w:r>
    </w:p>
    <w:p w14:paraId="04E4D436" w14:textId="77777777" w:rsidR="00957269" w:rsidRDefault="00000000">
      <w:pPr>
        <w:pBdr>
          <w:top w:val="nil"/>
          <w:left w:val="nil"/>
          <w:bottom w:val="nil"/>
          <w:right w:val="nil"/>
          <w:between w:val="nil"/>
        </w:pBdr>
        <w:ind w:firstLine="720"/>
        <w:jc w:val="both"/>
      </w:pPr>
      <w:r>
        <w:t>A second literature domain concerns gender diversity and women’s participation in supply chains. Gender diversity refers to the extent to which men and women are represented within a specific workplace or organizational unit (Triana, 2017). It is a compositional attribute of a workforce, often measured by the proportional representation of each gender. Existing research suggests that greater gender diversity can contribute to stronger organizational performance, enhanced innovation, and a more sustained emphasis on social sustainability (e.g., Turban et al., 2019; Ruel et al., 2022). At the same time, this literature highlights a range of barriers that constrain women’s participation, including cultural norms, unequal access to education and training, and discriminatory workplace practices (Kumar &amp; Pandey, 2021; Grosser &amp; Moon, 2005). Recent reviews in OSCM argue that gender remains an underdeveloped dimension of social sustainability research, despite growing recognition of its importance (Yang et al., 2024). Importantly, research has shown that women’s participation into export-oriented production does not automatically lead to empowerment; women are often concentrated in lower-value or lower-status segments of production, and gains in employment may coexist with persistent inequalities in skills, wages, and advancement opportunities (Barrientos, 2019). It is further suggested that such inequalities are not only social or cultural, but also structurally reproduced through governance arrangements that leave female workers insufficiently visible within lead-firm OSCM practices (LeBaron &amp; Lister, 2015; LeBaron et al., 2017). Thus, while prior literature clearly establishes that gender matters, it provides only limited evidence on how supply chain structures systematically shape the distribution of women’s employment across production sites.</w:t>
      </w:r>
    </w:p>
    <w:p w14:paraId="59ADDC6E" w14:textId="4A96092A" w:rsidR="00957269" w:rsidRDefault="00000000">
      <w:pPr>
        <w:pBdr>
          <w:top w:val="nil"/>
          <w:left w:val="nil"/>
          <w:bottom w:val="nil"/>
          <w:right w:val="nil"/>
          <w:between w:val="nil"/>
        </w:pBdr>
        <w:ind w:firstLine="720"/>
        <w:jc w:val="both"/>
        <w:rPr>
          <w:highlight w:val="yellow"/>
        </w:rPr>
      </w:pPr>
      <w:r>
        <w:t>A third relevant body of work examines business ethics in the footwear and apparel industry specifically. This industry consists of complex global supply chains where ethical concerns persist, particularly regarding social aspects (</w:t>
      </w:r>
      <w:proofErr w:type="spellStart"/>
      <w:r>
        <w:t>Bubicz</w:t>
      </w:r>
      <w:proofErr w:type="spellEnd"/>
      <w:r>
        <w:t xml:space="preserve"> et al., 2021). Notable firms like GAP, H&amp;M, Nike, and Adidas have begun to address these issues. For instance, in 2000, Phil Knight, CEO of Nike, highlighted the company's renewed commitment to improving labour practices by disclosing the factories supplying its university customers (Doorey, 2011). Nike has also introduced the </w:t>
      </w:r>
      <w:proofErr w:type="spellStart"/>
      <w:r>
        <w:t>HERproject</w:t>
      </w:r>
      <w:proofErr w:type="spellEnd"/>
      <w:r>
        <w:t xml:space="preserve">, a program aimed at enhancing female workers’ health, financial literacy, and workplace performance in its supply chain (Childs &amp; Jin, 2018). Similarly, Adidas has implemented the Workplace Standards program (Adidas, 2016), and GAP has launched the Personal Advancement &amp; Career Enhancement (P.A.C.E) program </w:t>
      </w:r>
      <w:r>
        <w:lastRenderedPageBreak/>
        <w:t>(Nanda et al., 2013), both focusing on gender equality and empowering female workers in supplier factories. Viewed from a business ethics perspective, such initiatives are important not only as firm-level CSR instruments, but as efforts to extend normative commitments beyond organizational boundaries through forms of ethical governance (Soundararajan &amp; Brown, 2016; Perry et al., 2025). At the same time, scholars have emphasized that ethical sourcing in fashion is not simply a matter of adopting codes or programmes, but a multi-level governance challenge involving suppliers, focal firms, and individual decision makers operating across fragmented production networks (Tandon et al., 2025).</w:t>
      </w:r>
      <w:r>
        <w:rPr>
          <w:highlight w:val="white"/>
        </w:rPr>
        <w:t xml:space="preserve"> This helps explain why well-publicized initiatives often remain constrained by the very structural conditions they seek to address, including geographical dispersion, fragmented supply tiers, low upstream visibility, and uneven leverage over local labour-market norms (</w:t>
      </w:r>
      <w:proofErr w:type="spellStart"/>
      <w:r>
        <w:rPr>
          <w:highlight w:val="white"/>
        </w:rPr>
        <w:t>Egels</w:t>
      </w:r>
      <w:proofErr w:type="spellEnd"/>
      <w:r>
        <w:rPr>
          <w:highlight w:val="white"/>
        </w:rPr>
        <w:t xml:space="preserve">-Zandén &amp; Merk, 2014; LeBaron &amp; Lister, 2015; LeBaron et al., 2017). More broadly, the business ethics literature suggests that meaningful progress in such settings often requires governance arrangements that go beyond firm-specific compliance, including stronger accountability mechanisms, collaborative approaches, and closer attention to how responsibility is assigned across the supply chain (Soundararajan &amp; Brown, 2016; Lee et al., 2020). </w:t>
      </w:r>
      <w:r>
        <w:t>However, while this literature has generated valuable insight into ethical sourcing, social responsibility, and governance in the apparel sector, it offers little clarity on which structural and organizational conditions systematically explain variation in female labour participation across factories embedded in the same buyer-led network.</w:t>
      </w:r>
    </w:p>
    <w:p w14:paraId="7DEE465E" w14:textId="77777777" w:rsidR="00957269" w:rsidRDefault="00000000">
      <w:pPr>
        <w:pBdr>
          <w:top w:val="nil"/>
          <w:left w:val="nil"/>
          <w:bottom w:val="nil"/>
          <w:right w:val="nil"/>
          <w:between w:val="nil"/>
        </w:pBdr>
        <w:ind w:firstLine="720"/>
        <w:jc w:val="both"/>
      </w:pPr>
      <w:r>
        <w:t>Moreover, from both a theoretical and an analytical standpoint, these three bodies of literature converge on a shared limitation: existing studies do not simultaneously examine factory-, supplier-, and country-level influences on female labour participation within a single empirical framework. Country-level studies cannot explain within-country variation across factories (Verick, 2018; Ortiz-Ospina et al., 2024). Firm-level CSR studies aggregate across production units, ignoring factory-level heterogeneity (Soundararajan &amp; Brammer, 2018). Factory-level studies typically do not examine how a factory's position within a buyer's supply base shapes its labour composition (Ola, 2020). The moral distance created by multi-tiered supply chain structures further calls for an analytical approach capable of disentangling the effects operating at different levels of the organizational hierarchy (Reinecke &amp; Ansari, 2015; Soundararajan et al., 2021). A multilevel approach is therefore not merely methodologically appropriate but theoretically necessary to understand the structural, relational, and institutional conditions that jointly shape female labour participation, and to identify where ethical governance interventions may be most effective.</w:t>
      </w:r>
    </w:p>
    <w:p w14:paraId="390E7F42" w14:textId="77777777" w:rsidR="00957269" w:rsidRDefault="00957269">
      <w:pPr>
        <w:jc w:val="both"/>
      </w:pPr>
    </w:p>
    <w:p w14:paraId="7C34CB3C" w14:textId="77777777" w:rsidR="00957269" w:rsidRDefault="00000000">
      <w:pPr>
        <w:pBdr>
          <w:top w:val="nil"/>
          <w:left w:val="nil"/>
          <w:bottom w:val="nil"/>
          <w:right w:val="nil"/>
          <w:between w:val="nil"/>
        </w:pBdr>
        <w:jc w:val="both"/>
        <w:rPr>
          <w:b/>
          <w:bCs/>
          <w:sz w:val="28"/>
          <w:szCs w:val="28"/>
        </w:rPr>
      </w:pPr>
      <w:r>
        <w:rPr>
          <w:b/>
          <w:bCs/>
          <w:sz w:val="28"/>
          <w:szCs w:val="28"/>
        </w:rPr>
        <w:t>Hypotheses Development</w:t>
      </w:r>
    </w:p>
    <w:p w14:paraId="1065A8D9" w14:textId="77777777" w:rsidR="00957269" w:rsidRDefault="00957269">
      <w:pPr>
        <w:pBdr>
          <w:top w:val="nil"/>
          <w:left w:val="nil"/>
          <w:bottom w:val="nil"/>
          <w:right w:val="nil"/>
          <w:between w:val="nil"/>
        </w:pBdr>
        <w:jc w:val="both"/>
        <w:rPr>
          <w:b/>
          <w:bCs/>
        </w:rPr>
      </w:pPr>
    </w:p>
    <w:p w14:paraId="270B3D9D" w14:textId="77777777" w:rsidR="00957269" w:rsidRDefault="00000000">
      <w:pPr>
        <w:jc w:val="both"/>
      </w:pPr>
      <w:r>
        <w:t>This work is driven by secondary data that is voluntarily publicized by Nike, which means that its theoretical scope is inevitably constrained by the available data. Thus, while the secondary data make this study possible, it also delimits the constructs and relationships that can be empirically assessed. Nevertheless, the data-driven dimensions we consider here meaningfully map onto broader theoretical constructs. In what follows, we draw from relevant literature and empirical evidence to highlight the theoretical and practical relevance of six specific factors across three levels (factory, supplier, country) that may explain female participation in the workforce of apparel and footwear production factories and construct a set of hypotheses accordingly.</w:t>
      </w:r>
    </w:p>
    <w:p w14:paraId="75476D06" w14:textId="4F0D3313" w:rsidR="00957269" w:rsidRDefault="00000000">
      <w:pPr>
        <w:ind w:firstLine="720"/>
        <w:jc w:val="both"/>
      </w:pPr>
      <w:r>
        <w:t xml:space="preserve">It is worth noting that we do not treat these factory-, supplier-, and country-level factors as neutral operational metrics. Instead, we position them as structural and institutional determinants that enable or constrain the core ethical dimensions of global production. Specifically, we argue that factory-level product complexity acts as a structural boundary to distributive justice by gating access to upskilling. At the supplier level, prominence and geographical dispersion alter the network architecture by compressing or expanding moral </w:t>
      </w:r>
      <w:r>
        <w:lastRenderedPageBreak/>
        <w:t xml:space="preserve">distance, which in turn dictates how moral agency can be shared and enacted. Finally, country-level cultural dimensions serve as institutional macro-forces that either conflict with or support the lead firm's ethical governance mechanisms. These ethical concepts </w:t>
      </w:r>
      <w:r w:rsidR="00600C8E">
        <w:t>provide</w:t>
      </w:r>
      <w:r>
        <w:t xml:space="preserve"> the underlying causal logic connecting our multi-level predictors to the proportion of female workers </w:t>
      </w:r>
      <w:r w:rsidR="00600C8E">
        <w:t xml:space="preserve">employed </w:t>
      </w:r>
      <w:r>
        <w:t>on the shop floor.</w:t>
      </w:r>
    </w:p>
    <w:p w14:paraId="502E79D6" w14:textId="77777777" w:rsidR="00957269" w:rsidRDefault="00957269">
      <w:pPr>
        <w:spacing w:line="257" w:lineRule="auto"/>
        <w:jc w:val="both"/>
        <w:rPr>
          <w:sz w:val="20"/>
          <w:szCs w:val="20"/>
          <w:highlight w:val="white"/>
        </w:rPr>
      </w:pPr>
    </w:p>
    <w:p w14:paraId="2204EDEC" w14:textId="77777777" w:rsidR="00957269" w:rsidRDefault="00000000">
      <w:pPr>
        <w:spacing w:line="257" w:lineRule="auto"/>
        <w:jc w:val="both"/>
        <w:rPr>
          <w:b/>
          <w:bCs/>
          <w:highlight w:val="white"/>
        </w:rPr>
      </w:pPr>
      <w:r>
        <w:rPr>
          <w:b/>
          <w:bCs/>
          <w:highlight w:val="white"/>
        </w:rPr>
        <w:t>Factory-level</w:t>
      </w:r>
    </w:p>
    <w:p w14:paraId="32282EC8" w14:textId="77777777" w:rsidR="00957269" w:rsidRDefault="00957269">
      <w:pPr>
        <w:pBdr>
          <w:top w:val="nil"/>
          <w:left w:val="nil"/>
          <w:bottom w:val="nil"/>
          <w:right w:val="nil"/>
          <w:between w:val="nil"/>
        </w:pBdr>
        <w:jc w:val="both"/>
        <w:rPr>
          <w:sz w:val="20"/>
          <w:szCs w:val="20"/>
          <w:highlight w:val="white"/>
        </w:rPr>
      </w:pPr>
    </w:p>
    <w:p w14:paraId="4A978366" w14:textId="77777777" w:rsidR="00957269" w:rsidRDefault="00000000">
      <w:pPr>
        <w:pBdr>
          <w:top w:val="nil"/>
          <w:left w:val="nil"/>
          <w:bottom w:val="nil"/>
          <w:right w:val="nil"/>
          <w:between w:val="nil"/>
        </w:pBdr>
        <w:jc w:val="both"/>
        <w:rPr>
          <w:highlight w:val="white"/>
        </w:rPr>
      </w:pPr>
      <w:r>
        <w:rPr>
          <w:i/>
          <w:iCs/>
          <w:highlight w:val="white"/>
        </w:rPr>
        <w:t xml:space="preserve">Product complexity. </w:t>
      </w:r>
      <w:r>
        <w:rPr>
          <w:highlight w:val="white"/>
        </w:rPr>
        <w:t>Product complexity, referring to the number of items encompassed in a finished product and the number of distinct manufacturing processes required to produce it (Vickery et al., 2016), has a role to play in determining the gender composition of the workforce of factories supplying large apparel and footwear firms.</w:t>
      </w:r>
      <w:r>
        <w:rPr>
          <w:b/>
          <w:bCs/>
          <w:highlight w:val="white"/>
        </w:rPr>
        <w:t xml:space="preserve"> </w:t>
      </w:r>
      <w:r>
        <w:rPr>
          <w:highlight w:val="white"/>
        </w:rPr>
        <w:t>Empirical observations suggest that factories producing lower complexity products, such as apparel, which typically involves fewer, less interconnected processes and steps (i.e., primarily sewing, assembly and decoration of fabrics), tend to exhibit a relatively stronger representation of female workers in the production line (Barrientos et al., 2004; Svarer et al., 2020). Conversely, the production of more complex products, like footwear and sports equipment, entails a multi-stage assembly line that integrates, in a precise manner, a greater number of different materials and processes. For example, footwear manufacturing involves an extensive range of designs and selections of cushioning, soles, uppers, laces, and various reinforcements, requiring processes such as cutting, fitting, dressing, finishing, and assembling (Castillo-Casta</w:t>
      </w:r>
      <w:r>
        <w:t>ñeda et al., 202</w:t>
      </w:r>
      <w:r>
        <w:rPr>
          <w:highlight w:val="white"/>
        </w:rPr>
        <w:t xml:space="preserve">1). For sports equipment, such as baseball gloves or tennis rackets, the assembly incorporates leather or synthetic materials for the grip, strings, and specialized frames designed for durability and performance. </w:t>
      </w:r>
    </w:p>
    <w:p w14:paraId="3198CA9B" w14:textId="77777777" w:rsidR="00957269" w:rsidRDefault="00000000">
      <w:pPr>
        <w:pBdr>
          <w:top w:val="nil"/>
          <w:left w:val="nil"/>
          <w:bottom w:val="nil"/>
          <w:right w:val="nil"/>
          <w:between w:val="nil"/>
        </w:pBdr>
        <w:ind w:firstLine="720"/>
        <w:jc w:val="both"/>
        <w:rPr>
          <w:highlight w:val="white"/>
        </w:rPr>
      </w:pPr>
      <w:r>
        <w:rPr>
          <w:highlight w:val="white"/>
        </w:rPr>
        <w:t xml:space="preserve">This higher degree of complexity in footwear and sports equipment manufacturing requires more sophisticated machinery and a broader range of specialised skills. As a result, entry barriers are higher, particularly where women face fewer opportunities to acquire technical training and relevant experience, as is often the case in developing countries where much apparel and footwear manufacturing is located (McGivney, 1993; </w:t>
      </w:r>
      <w:proofErr w:type="spellStart"/>
      <w:r>
        <w:rPr>
          <w:highlight w:val="white"/>
        </w:rPr>
        <w:t>Roudi</w:t>
      </w:r>
      <w:proofErr w:type="spellEnd"/>
      <w:r>
        <w:rPr>
          <w:highlight w:val="white"/>
        </w:rPr>
        <w:t xml:space="preserve">-Fahimi &amp; Moghadam, 2003; Radović-Marković &amp; </w:t>
      </w:r>
      <w:proofErr w:type="spellStart"/>
      <w:r>
        <w:rPr>
          <w:highlight w:val="white"/>
        </w:rPr>
        <w:t>Achakpa</w:t>
      </w:r>
      <w:proofErr w:type="spellEnd"/>
      <w:r>
        <w:rPr>
          <w:highlight w:val="white"/>
        </w:rPr>
        <w:t>, 2018). From a distributive justice perspective, the higher entry barriers in footwear and sports equipment manufacturing do not merely sort tasks; they systematically restrict women from accessing high-value capability development. The issue is not simply that women are concentrated in lower-skill roles, but that access to more valuable skill-development and employment opportunities is unevenly distributed (Deutsch, 1975; Preuss, 2001). Therefore, product complexity directly shapes the fair allocation of employment opportunities. Thus, we hypothesize that product complexity is inversely related to the participation of female workers in the factory:</w:t>
      </w:r>
    </w:p>
    <w:p w14:paraId="4DA15B06" w14:textId="77777777" w:rsidR="00957269" w:rsidRDefault="00957269">
      <w:pPr>
        <w:pBdr>
          <w:top w:val="nil"/>
          <w:left w:val="nil"/>
          <w:bottom w:val="nil"/>
          <w:right w:val="nil"/>
          <w:between w:val="nil"/>
        </w:pBdr>
        <w:ind w:firstLine="720"/>
        <w:jc w:val="both"/>
        <w:rPr>
          <w:sz w:val="20"/>
          <w:szCs w:val="20"/>
        </w:rPr>
      </w:pPr>
    </w:p>
    <w:p w14:paraId="422DD04B" w14:textId="77777777" w:rsidR="00957269" w:rsidRDefault="00000000">
      <w:pPr>
        <w:pBdr>
          <w:top w:val="nil"/>
          <w:left w:val="nil"/>
          <w:bottom w:val="nil"/>
          <w:right w:val="nil"/>
          <w:between w:val="nil"/>
        </w:pBdr>
        <w:ind w:left="720"/>
        <w:jc w:val="both"/>
        <w:rPr>
          <w:highlight w:val="white"/>
        </w:rPr>
      </w:pPr>
      <w:r>
        <w:rPr>
          <w:b/>
          <w:bCs/>
        </w:rPr>
        <w:t>Hypothesis 1:</w:t>
      </w:r>
      <w:r>
        <w:rPr>
          <w:highlight w:val="white"/>
        </w:rPr>
        <w:t xml:space="preserve"> </w:t>
      </w:r>
      <w:r>
        <w:t>Factories</w:t>
      </w:r>
      <w:r>
        <w:rPr>
          <w:highlight w:val="white"/>
        </w:rPr>
        <w:t xml:space="preserve"> of less complex products (i.e., apparel) will exhibit a higher female participation in their workforce than factories of more complex products (i.e., footwear and sports equipment).</w:t>
      </w:r>
    </w:p>
    <w:p w14:paraId="729CA249" w14:textId="77777777" w:rsidR="00957269" w:rsidRDefault="00957269">
      <w:pPr>
        <w:pBdr>
          <w:top w:val="nil"/>
          <w:left w:val="nil"/>
          <w:bottom w:val="nil"/>
          <w:right w:val="nil"/>
          <w:between w:val="nil"/>
        </w:pBdr>
        <w:spacing w:after="160" w:line="256" w:lineRule="auto"/>
        <w:jc w:val="both"/>
        <w:rPr>
          <w:sz w:val="11"/>
          <w:szCs w:val="11"/>
          <w:highlight w:val="white"/>
        </w:rPr>
      </w:pPr>
    </w:p>
    <w:p w14:paraId="7E0AD0F0" w14:textId="77777777" w:rsidR="00957269" w:rsidRDefault="00000000">
      <w:pPr>
        <w:pBdr>
          <w:top w:val="nil"/>
          <w:left w:val="nil"/>
          <w:bottom w:val="nil"/>
          <w:right w:val="nil"/>
          <w:between w:val="nil"/>
        </w:pBdr>
        <w:jc w:val="both"/>
        <w:rPr>
          <w:b/>
          <w:bCs/>
          <w:highlight w:val="white"/>
        </w:rPr>
      </w:pPr>
      <w:r>
        <w:rPr>
          <w:b/>
          <w:bCs/>
          <w:highlight w:val="white"/>
        </w:rPr>
        <w:t>Supplier-level</w:t>
      </w:r>
    </w:p>
    <w:p w14:paraId="7FFE824B" w14:textId="77777777" w:rsidR="00957269" w:rsidRDefault="00957269">
      <w:pPr>
        <w:pBdr>
          <w:top w:val="nil"/>
          <w:left w:val="nil"/>
          <w:bottom w:val="nil"/>
          <w:right w:val="nil"/>
          <w:between w:val="nil"/>
        </w:pBdr>
        <w:jc w:val="both"/>
        <w:rPr>
          <w:highlight w:val="white"/>
        </w:rPr>
      </w:pPr>
    </w:p>
    <w:p w14:paraId="61D961DE" w14:textId="3E45A3B3" w:rsidR="00957269" w:rsidRDefault="00000000">
      <w:pPr>
        <w:pBdr>
          <w:top w:val="nil"/>
          <w:left w:val="nil"/>
          <w:bottom w:val="nil"/>
          <w:right w:val="nil"/>
          <w:between w:val="nil"/>
        </w:pBdr>
        <w:jc w:val="both"/>
        <w:rPr>
          <w:b/>
          <w:bCs/>
          <w:i/>
          <w:iCs/>
          <w:highlight w:val="white"/>
        </w:rPr>
      </w:pPr>
      <w:r>
        <w:rPr>
          <w:highlight w:val="white"/>
        </w:rPr>
        <w:t>The supply</w:t>
      </w:r>
      <w:r w:rsidR="00D17086">
        <w:rPr>
          <w:highlight w:val="white"/>
        </w:rPr>
        <w:t xml:space="preserve"> </w:t>
      </w:r>
      <w:r>
        <w:rPr>
          <w:highlight w:val="white"/>
        </w:rPr>
        <w:t xml:space="preserve">base is defined as </w:t>
      </w:r>
      <w:r>
        <w:rPr>
          <w:i/>
          <w:iCs/>
          <w:highlight w:val="white"/>
        </w:rPr>
        <w:t>“the portion of the supply network that includes only those suppliers that are actively managed through contracts and the purchase of parts, materials and services”</w:t>
      </w:r>
      <w:r>
        <w:t xml:space="preserve"> (Choi and Krause, 2006: p. 639). W</w:t>
      </w:r>
      <w:r>
        <w:rPr>
          <w:highlight w:val="white"/>
        </w:rPr>
        <w:t>ithin this base, supplier characteristics can vary significantly. In the context of the apparel and footwear industry, we motivate the relevance of, and generate hypotheses about, two supplier-level characteristics linked to the extent of implementation of socially sustainable practices</w:t>
      </w:r>
      <w:r w:rsidR="00D17086">
        <w:rPr>
          <w:highlight w:val="white"/>
        </w:rPr>
        <w:t>.</w:t>
      </w:r>
    </w:p>
    <w:p w14:paraId="6B8C6DC5" w14:textId="77777777" w:rsidR="00957269" w:rsidRDefault="00000000">
      <w:pPr>
        <w:pBdr>
          <w:top w:val="nil"/>
          <w:left w:val="nil"/>
          <w:bottom w:val="nil"/>
          <w:right w:val="nil"/>
          <w:between w:val="nil"/>
        </w:pBdr>
        <w:ind w:firstLine="720"/>
        <w:jc w:val="both"/>
        <w:rPr>
          <w:color w:val="000000"/>
          <w:highlight w:val="white"/>
        </w:rPr>
      </w:pPr>
      <w:r>
        <w:rPr>
          <w:i/>
          <w:iCs/>
        </w:rPr>
        <w:t>Supplier prominence.</w:t>
      </w:r>
      <w:r>
        <w:t xml:space="preserve"> </w:t>
      </w:r>
      <w:r>
        <w:rPr>
          <w:color w:val="000000"/>
        </w:rPr>
        <w:t>Prominent suppliers have a strong presence in the buyer’s supply</w:t>
      </w:r>
      <w:r>
        <w:t>-</w:t>
      </w:r>
      <w:r>
        <w:rPr>
          <w:color w:val="000000"/>
        </w:rPr>
        <w:t xml:space="preserve">base, often owning multiple factories and supplying significant volumes. Buyers find </w:t>
      </w:r>
      <w:r>
        <w:rPr>
          <w:color w:val="000000"/>
        </w:rPr>
        <w:lastRenderedPageBreak/>
        <w:t>themselves more reliant on these prominent suppliers, than on those with a weaker presence (</w:t>
      </w:r>
      <w:proofErr w:type="spellStart"/>
      <w:r>
        <w:rPr>
          <w:color w:val="000000"/>
        </w:rPr>
        <w:t>Caniëls</w:t>
      </w:r>
      <w:proofErr w:type="spellEnd"/>
      <w:r>
        <w:rPr>
          <w:color w:val="000000"/>
        </w:rPr>
        <w:t xml:space="preserve"> </w:t>
      </w:r>
      <w:r>
        <w:t>&amp;</w:t>
      </w:r>
      <w:r>
        <w:rPr>
          <w:color w:val="000000"/>
        </w:rPr>
        <w:t xml:space="preserve"> Gelderman, 2005; 2007)</w:t>
      </w:r>
      <w:r>
        <w:t>. Generally,</w:t>
      </w:r>
      <w:r>
        <w:rPr>
          <w:color w:val="000000"/>
        </w:rPr>
        <w:t xml:space="preserve"> supplier power might hinder the buyer’s ability to achieve sustainability-related goals</w:t>
      </w:r>
      <w:r>
        <w:rPr>
          <w:color w:val="000000"/>
          <w:highlight w:val="white"/>
        </w:rPr>
        <w:t xml:space="preserve"> (Lee et al., 2014).</w:t>
      </w:r>
      <w:r>
        <w:rPr>
          <w:color w:val="000000"/>
        </w:rPr>
        <w:t xml:space="preserve"> Yet, in the apparel sector, no first-tier supplier is likely to </w:t>
      </w:r>
      <w:r>
        <w:t xml:space="preserve">possess </w:t>
      </w:r>
      <w:r>
        <w:rPr>
          <w:color w:val="000000"/>
        </w:rPr>
        <w:t>the power to dictate terms in their relationship with giants such as Nike, Adidas or H&amp;M (</w:t>
      </w:r>
      <w:r>
        <w:t>Childs &amp; Jin, 2018; Cerchia &amp; Piccolo, 2019; Hsieh et al., 2019</w:t>
      </w:r>
      <w:r>
        <w:rPr>
          <w:color w:val="000000"/>
        </w:rPr>
        <w:t>). N</w:t>
      </w:r>
      <w:r>
        <w:t>evertheless, t</w:t>
      </w:r>
      <w:r>
        <w:rPr>
          <w:color w:val="000000"/>
        </w:rPr>
        <w:t xml:space="preserve">he dynamic between Nike and a prominent supplier </w:t>
      </w:r>
      <w:r>
        <w:t>will likely</w:t>
      </w:r>
      <w:r>
        <w:rPr>
          <w:color w:val="000000"/>
        </w:rPr>
        <w:t xml:space="preserve"> exhibit a more equitable distribution of power. Furthermore, prominent suppliers, despite their power, often depend significantly on Nike for their revenues, underscoring mutual reliance that could incentivize suppliers to commit to the relationsh</w:t>
      </w:r>
      <w:r>
        <w:rPr>
          <w:color w:val="000000"/>
          <w:highlight w:val="white"/>
        </w:rPr>
        <w:t xml:space="preserve">ip (Mohr </w:t>
      </w:r>
      <w:r>
        <w:rPr>
          <w:highlight w:val="white"/>
        </w:rPr>
        <w:t>&amp;</w:t>
      </w:r>
      <w:r>
        <w:rPr>
          <w:color w:val="000000"/>
          <w:highlight w:val="white"/>
        </w:rPr>
        <w:t xml:space="preserve"> </w:t>
      </w:r>
      <w:proofErr w:type="spellStart"/>
      <w:r>
        <w:rPr>
          <w:color w:val="000000"/>
          <w:highlight w:val="white"/>
        </w:rPr>
        <w:t>Spekman</w:t>
      </w:r>
      <w:proofErr w:type="spellEnd"/>
      <w:r>
        <w:rPr>
          <w:color w:val="000000"/>
          <w:highlight w:val="white"/>
        </w:rPr>
        <w:t xml:space="preserve">, 1994; </w:t>
      </w:r>
      <w:proofErr w:type="spellStart"/>
      <w:r>
        <w:rPr>
          <w:color w:val="000000"/>
          <w:highlight w:val="white"/>
        </w:rPr>
        <w:t>Thye</w:t>
      </w:r>
      <w:proofErr w:type="spellEnd"/>
      <w:r>
        <w:rPr>
          <w:color w:val="000000"/>
          <w:highlight w:val="white"/>
        </w:rPr>
        <w:t xml:space="preserve"> et al., 2011), and to satisfy the demands of the buyer (Elking et al., 2017) including </w:t>
      </w:r>
      <w:r>
        <w:rPr>
          <w:highlight w:val="white"/>
        </w:rPr>
        <w:t xml:space="preserve">the achievement of </w:t>
      </w:r>
      <w:r>
        <w:rPr>
          <w:color w:val="000000"/>
          <w:highlight w:val="white"/>
        </w:rPr>
        <w:t xml:space="preserve">ambitious social sustainability goals. </w:t>
      </w:r>
    </w:p>
    <w:p w14:paraId="055BFC88" w14:textId="687A3949" w:rsidR="00957269" w:rsidRDefault="00000000">
      <w:pPr>
        <w:pBdr>
          <w:top w:val="nil"/>
          <w:left w:val="nil"/>
          <w:bottom w:val="nil"/>
          <w:right w:val="nil"/>
          <w:between w:val="nil"/>
        </w:pBdr>
        <w:ind w:firstLine="720"/>
        <w:jc w:val="both"/>
      </w:pPr>
      <w:r>
        <w:t>From the buyer’s standpoint, in an apparel and footwear industry dominated by globally recognizable brands, the potential financial and reputational damage arising from suppliers’ ethical lapses is substantial. Examples abound: poor labour practices at the factories of Boohoo’s Leicester suppliers almost brought the company to its knees (The Guardian, 2020); Zara was heavily fined for the slave-like conditions found in a subcontractor’s factories in Brazil (</w:t>
      </w:r>
      <w:proofErr w:type="spellStart"/>
      <w:r>
        <w:t>Munerati</w:t>
      </w:r>
      <w:proofErr w:type="spellEnd"/>
      <w:r>
        <w:t>, 2018); Nike itself is facing strong calls by investors and rights groups to compensate workers in its suppliers’ factories in Thailand and Cambodia (Masters, 2023). It is reasonable to assume that the more prominent a supplier's role within the buyer's network, the greater the potential risk of reputational and financial harm due to the supplier’s unethical conduct. From an ethical perspective, high supplier prominence reduces the moral distance between the lead firm and the supplier’s production units (Bauman 1989; Reinecke and Ansari 2015). This heightened visibility enables a more transparent distribution of moral agency, allowing the firm to move beyond passive contractual boundaries and leverage its ethical governance to directly improve female representation on the shop floor. As such, we hypothesise that:</w:t>
      </w:r>
    </w:p>
    <w:p w14:paraId="34F3987E" w14:textId="77777777" w:rsidR="00957269" w:rsidRDefault="00957269">
      <w:pPr>
        <w:pBdr>
          <w:top w:val="nil"/>
          <w:left w:val="nil"/>
          <w:bottom w:val="nil"/>
          <w:right w:val="nil"/>
          <w:between w:val="nil"/>
        </w:pBdr>
        <w:ind w:firstLine="720"/>
        <w:jc w:val="both"/>
        <w:rPr>
          <w:sz w:val="20"/>
          <w:szCs w:val="20"/>
        </w:rPr>
      </w:pPr>
    </w:p>
    <w:p w14:paraId="002DDE43" w14:textId="77777777" w:rsidR="00957269" w:rsidRDefault="00000000">
      <w:pPr>
        <w:ind w:firstLine="720"/>
        <w:jc w:val="both"/>
      </w:pPr>
      <w:r>
        <w:rPr>
          <w:b/>
          <w:bCs/>
        </w:rPr>
        <w:t>Hypothesis 2:</w:t>
      </w:r>
      <w:r>
        <w:rPr>
          <w:i/>
          <w:iCs/>
        </w:rPr>
        <w:t xml:space="preserve"> </w:t>
      </w:r>
      <w:r>
        <w:t xml:space="preserve">Supplier prominence is positively associated with female participation in a factory’s workforce; suppliers of high importance employ proportionately more females, on average, in their factories. </w:t>
      </w:r>
    </w:p>
    <w:p w14:paraId="7AB46490" w14:textId="77777777" w:rsidR="00957269" w:rsidRDefault="00957269">
      <w:pPr>
        <w:ind w:firstLine="720"/>
        <w:jc w:val="both"/>
        <w:rPr>
          <w:sz w:val="20"/>
          <w:szCs w:val="20"/>
        </w:rPr>
      </w:pPr>
    </w:p>
    <w:p w14:paraId="7582D94E" w14:textId="0BBB5C84" w:rsidR="00957269" w:rsidRDefault="00000000">
      <w:pPr>
        <w:ind w:firstLine="720"/>
        <w:jc w:val="both"/>
      </w:pPr>
      <w:r>
        <w:rPr>
          <w:i/>
          <w:iCs/>
        </w:rPr>
        <w:t xml:space="preserve">Geographical dispersion. </w:t>
      </w:r>
      <w:r>
        <w:t>Several suppliers of large apparel firms are multinational enterprises that operate factories across the globe. As such, geographical dispersion becomes immediately relevant. The more geographically dispersed a supply base, the more differentiated it will be (Choi and Krause, 2006). Despite the advantages that this might confer to the focal firm, such as access to local knowledge and markets, flexibility and cheaper inputs (</w:t>
      </w:r>
      <w:r>
        <w:rPr>
          <w:highlight w:val="white"/>
        </w:rPr>
        <w:t>Hendricks et al., 2009; Tang and Tomlin, 2008;</w:t>
      </w:r>
      <w:r>
        <w:t xml:space="preserve"> </w:t>
      </w:r>
      <w:r>
        <w:rPr>
          <w:highlight w:val="white"/>
        </w:rPr>
        <w:t>Zhou, 2007</w:t>
      </w:r>
      <w:r>
        <w:t xml:space="preserve">), the variance in norms, </w:t>
      </w:r>
      <w:r>
        <w:rPr>
          <w:highlight w:val="white"/>
        </w:rPr>
        <w:t xml:space="preserve">cultures, languages and regulations across the geographically dispersed sites can complicate management (Choi and Krause, 2006) and impede coordination and monitoring (Connelly et al., 2011; Stock et al., 2000). Extant research indicates that a widely spread supply base may hinder supply chain agility (e.g., </w:t>
      </w:r>
      <w:proofErr w:type="spellStart"/>
      <w:r>
        <w:rPr>
          <w:highlight w:val="white"/>
        </w:rPr>
        <w:t>Delbufalo</w:t>
      </w:r>
      <w:proofErr w:type="spellEnd"/>
      <w:r>
        <w:rPr>
          <w:highlight w:val="white"/>
        </w:rPr>
        <w:t>, 2022) and exacerbate the impact of disruptions (e.g., Bode and Wagner, 2015). A</w:t>
      </w:r>
      <w:r>
        <w:t xml:space="preserve"> geographically dispersed supply base can also impede a focal firm’s ability to financially benefit from supplier innovations</w:t>
      </w:r>
      <w:r>
        <w:rPr>
          <w:highlight w:val="white"/>
        </w:rPr>
        <w:t xml:space="preserve"> (Dong et al., 2020) and negatively affect firm value (Hendricks et al., 2009). Relevant to this work, the geographical dispersion of the supply base of fashion companies is perceived to</w:t>
      </w:r>
      <w:r>
        <w:t xml:space="preserve"> have reduced both the agility and the resilience of fashion supply chains (</w:t>
      </w:r>
      <w:proofErr w:type="spellStart"/>
      <w:r>
        <w:t>Delbufalo</w:t>
      </w:r>
      <w:proofErr w:type="spellEnd"/>
      <w:r>
        <w:t>, 2022); the reduction in procurement and production costs is outweighed by the increased logistics and coordination costs, and the high probability of disruptions.</w:t>
      </w:r>
    </w:p>
    <w:p w14:paraId="37D76A44" w14:textId="77777777" w:rsidR="00957269" w:rsidRDefault="00000000">
      <w:pPr>
        <w:pBdr>
          <w:top w:val="nil"/>
          <w:left w:val="nil"/>
          <w:bottom w:val="nil"/>
          <w:right w:val="nil"/>
          <w:between w:val="nil"/>
        </w:pBdr>
        <w:ind w:firstLine="720"/>
        <w:jc w:val="both"/>
        <w:rPr>
          <w:color w:val="000000"/>
          <w:highlight w:val="white"/>
        </w:rPr>
      </w:pPr>
      <w:r>
        <w:rPr>
          <w:color w:val="000000"/>
        </w:rPr>
        <w:t>The lack of monitoring can lead to opportunistic behaviours by suppliers</w:t>
      </w:r>
      <w:r>
        <w:rPr>
          <w:color w:val="000000"/>
          <w:highlight w:val="white"/>
        </w:rPr>
        <w:t xml:space="preserve"> (</w:t>
      </w:r>
      <w:proofErr w:type="spellStart"/>
      <w:r>
        <w:rPr>
          <w:color w:val="000000"/>
          <w:highlight w:val="white"/>
        </w:rPr>
        <w:t>Obloj</w:t>
      </w:r>
      <w:proofErr w:type="spellEnd"/>
      <w:r>
        <w:rPr>
          <w:color w:val="000000"/>
          <w:highlight w:val="white"/>
        </w:rPr>
        <w:t xml:space="preserve"> and Zemsky, 2015), like, for example, not striving to achieve set sustainability goals. T</w:t>
      </w:r>
      <w:r>
        <w:rPr>
          <w:color w:val="000000"/>
        </w:rPr>
        <w:t xml:space="preserve">he more geographically dispersed the supply base, the less able the firm will be to detect such </w:t>
      </w:r>
      <w:r>
        <w:rPr>
          <w:color w:val="000000"/>
        </w:rPr>
        <w:lastRenderedPageBreak/>
        <w:t xml:space="preserve">opportunistic behaviour </w:t>
      </w:r>
      <w:r>
        <w:rPr>
          <w:color w:val="000000"/>
          <w:highlight w:val="white"/>
        </w:rPr>
        <w:t>(Rindfleisch &amp; Heide, 1997). The differing institutional environments (e.g., regulatory and social pressures) across countries can influence organizational culture (Sousa and Bradley, 2008), making some suppliers less likely to adopt socially responsible practices (</w:t>
      </w:r>
      <w:proofErr w:type="spellStart"/>
      <w:r>
        <w:rPr>
          <w:color w:val="000000"/>
          <w:highlight w:val="white"/>
        </w:rPr>
        <w:t>Damert</w:t>
      </w:r>
      <w:proofErr w:type="spellEnd"/>
      <w:r>
        <w:rPr>
          <w:color w:val="000000"/>
          <w:highlight w:val="white"/>
        </w:rPr>
        <w:t xml:space="preserve"> and Baumgartner, 2018).  </w:t>
      </w:r>
    </w:p>
    <w:p w14:paraId="5E147FF4" w14:textId="37F3E0FA" w:rsidR="00957269" w:rsidRDefault="00000000">
      <w:pPr>
        <w:pBdr>
          <w:top w:val="nil"/>
          <w:left w:val="nil"/>
          <w:bottom w:val="nil"/>
          <w:right w:val="nil"/>
          <w:between w:val="nil"/>
        </w:pBdr>
        <w:ind w:firstLine="720"/>
        <w:jc w:val="both"/>
        <w:rPr>
          <w:color w:val="000000"/>
        </w:rPr>
      </w:pPr>
      <w:r>
        <w:rPr>
          <w:color w:val="000000"/>
        </w:rPr>
        <w:t xml:space="preserve">Moreover, </w:t>
      </w:r>
      <w:r>
        <w:t xml:space="preserve">the </w:t>
      </w:r>
      <w:r>
        <w:rPr>
          <w:color w:val="000000"/>
        </w:rPr>
        <w:t>geographical dispersion of f</w:t>
      </w:r>
      <w:r>
        <w:t>irm</w:t>
      </w:r>
      <w:r>
        <w:rPr>
          <w:color w:val="000000"/>
        </w:rPr>
        <w:t>s</w:t>
      </w:r>
      <w:r>
        <w:t>’ internal networks of units</w:t>
      </w:r>
      <w:r>
        <w:rPr>
          <w:color w:val="000000"/>
        </w:rPr>
        <w:t xml:space="preserve"> has been found to be detrimental to financial performance, particularly of buying firms that are physically distant from their suppliers (Chedid et al., 2021), as is generally the case for the supply base of large American apparel manufacturers with </w:t>
      </w:r>
      <w:r>
        <w:t>suppliers producing</w:t>
      </w:r>
      <w:r>
        <w:rPr>
          <w:color w:val="000000"/>
        </w:rPr>
        <w:t xml:space="preserve"> mainly in Southeast Asia. It follows that in a certain buyer’s supply base, a supplier with production facilities scattered across many countries may struggle to enforce and monitor standards consistently.</w:t>
      </w:r>
      <w:r>
        <w:t xml:space="preserve"> </w:t>
      </w:r>
      <w:r>
        <w:rPr>
          <w:color w:val="000000"/>
        </w:rPr>
        <w:t xml:space="preserve">So, even if the supplier, at the corporate level, has accepted the social sustainability targets of buyers such as Nike, cultural differences, imperfect information on day-to-day practices of distant factories, and a lack of resources to strictly monitor subsidiary/factory operations, might compromise the social sustainability performance of the supplier. </w:t>
      </w:r>
      <w:r>
        <w:t>Additionally, for the lead</w:t>
      </w:r>
      <w:r w:rsidR="00D17086">
        <w:t xml:space="preserve"> </w:t>
      </w:r>
      <w:r>
        <w:t xml:space="preserve">firm, the </w:t>
      </w:r>
      <w:r w:rsidR="00D17086">
        <w:t>geographical dispersion</w:t>
      </w:r>
      <w:r>
        <w:t xml:space="preserve"> of a supplier’s operations structurally expands moral distance (Bauman, 1989). This physical and psychological separation fractures network visibility, attenuating the lead firm’s capacity to deploy cohesive ethical governance and limiting the shared execution of moral agency needed to protect vulnerable worker groups.</w:t>
      </w:r>
      <w:r>
        <w:rPr>
          <w:color w:val="000000"/>
        </w:rPr>
        <w:t xml:space="preserve"> These points suggest that:</w:t>
      </w:r>
    </w:p>
    <w:p w14:paraId="537D97E5" w14:textId="77777777" w:rsidR="00957269" w:rsidRDefault="00957269">
      <w:pPr>
        <w:pBdr>
          <w:top w:val="nil"/>
          <w:left w:val="nil"/>
          <w:bottom w:val="nil"/>
          <w:right w:val="nil"/>
          <w:between w:val="nil"/>
        </w:pBdr>
        <w:ind w:firstLine="720"/>
        <w:jc w:val="both"/>
        <w:rPr>
          <w:sz w:val="20"/>
          <w:szCs w:val="20"/>
        </w:rPr>
      </w:pPr>
    </w:p>
    <w:p w14:paraId="14390762" w14:textId="77777777" w:rsidR="00957269" w:rsidRDefault="00000000">
      <w:pPr>
        <w:pBdr>
          <w:top w:val="nil"/>
          <w:left w:val="nil"/>
          <w:bottom w:val="nil"/>
          <w:right w:val="nil"/>
          <w:between w:val="nil"/>
        </w:pBdr>
        <w:ind w:firstLine="720"/>
        <w:jc w:val="both"/>
        <w:rPr>
          <w:color w:val="000000"/>
        </w:rPr>
      </w:pPr>
      <w:r>
        <w:rPr>
          <w:b/>
          <w:bCs/>
          <w:color w:val="000000"/>
        </w:rPr>
        <w:t>Hypothesis 3:</w:t>
      </w:r>
      <w:r>
        <w:rPr>
          <w:i/>
          <w:iCs/>
          <w:color w:val="000000"/>
        </w:rPr>
        <w:t xml:space="preserve"> </w:t>
      </w:r>
      <w:r>
        <w:rPr>
          <w:color w:val="000000"/>
        </w:rPr>
        <w:t>Geographical dispersion of the supplier’s operations is negatively associated with female participation in a factory’s workforce; suppliers with higher geographical dispersion of factories employ proportionately fewer females.</w:t>
      </w:r>
    </w:p>
    <w:p w14:paraId="6ADCF03F" w14:textId="77777777" w:rsidR="00957269" w:rsidRDefault="00957269">
      <w:pPr>
        <w:pBdr>
          <w:top w:val="nil"/>
          <w:left w:val="nil"/>
          <w:bottom w:val="nil"/>
          <w:right w:val="nil"/>
          <w:between w:val="nil"/>
        </w:pBdr>
        <w:ind w:firstLine="720"/>
        <w:jc w:val="both"/>
      </w:pPr>
    </w:p>
    <w:p w14:paraId="38F9A330" w14:textId="77777777" w:rsidR="00957269" w:rsidRDefault="00957269">
      <w:pPr>
        <w:pBdr>
          <w:top w:val="nil"/>
          <w:left w:val="nil"/>
          <w:bottom w:val="nil"/>
          <w:right w:val="nil"/>
          <w:between w:val="nil"/>
        </w:pBdr>
        <w:jc w:val="both"/>
        <w:rPr>
          <w:b/>
          <w:bCs/>
          <w:color w:val="000000"/>
          <w:sz w:val="20"/>
          <w:szCs w:val="20"/>
        </w:rPr>
      </w:pPr>
    </w:p>
    <w:p w14:paraId="5BF63D7B" w14:textId="77777777" w:rsidR="00957269" w:rsidRDefault="00000000">
      <w:pPr>
        <w:jc w:val="both"/>
        <w:rPr>
          <w:b/>
          <w:bCs/>
        </w:rPr>
      </w:pPr>
      <w:r>
        <w:rPr>
          <w:b/>
          <w:bCs/>
        </w:rPr>
        <w:t>Country-level cultural dimensions</w:t>
      </w:r>
    </w:p>
    <w:p w14:paraId="10A177BF" w14:textId="77777777" w:rsidR="00957269" w:rsidRDefault="00957269">
      <w:pPr>
        <w:jc w:val="both"/>
        <w:rPr>
          <w:i/>
          <w:iCs/>
        </w:rPr>
      </w:pPr>
    </w:p>
    <w:p w14:paraId="1D7B889F" w14:textId="77777777" w:rsidR="00957269" w:rsidRDefault="00000000">
      <w:pPr>
        <w:jc w:val="both"/>
      </w:pPr>
      <w:r>
        <w:rPr>
          <w:i/>
          <w:iCs/>
        </w:rPr>
        <w:t xml:space="preserve">Individualism-Collectivism (IDV). </w:t>
      </w:r>
      <w:r>
        <w:t>The Individualism-Collectivism (IDV) cultural dimension gauges the degree of interconnectedness among individuals within a society, with individualistic societies prioritizing personal identity over collective identity, and collectivist societies emphasizing strong group bonds and loyalty (Hofstede et al., 2010). Extant research suggests that more individualistic cultures exhibit a higher participation of females in their labour market, because collectivist cultures tend to uphold traditional gender roles, hindering women's pursuit of career opportunities (Santos &amp; Grossmann, 2017;</w:t>
      </w:r>
      <w:r>
        <w:rPr>
          <w:rFonts w:ascii="Arial" w:eastAsia="Arial" w:hAnsi="Arial" w:cs="Arial"/>
          <w:color w:val="222222"/>
          <w:sz w:val="20"/>
          <w:szCs w:val="20"/>
          <w:highlight w:val="white"/>
        </w:rPr>
        <w:t xml:space="preserve"> </w:t>
      </w:r>
      <w:proofErr w:type="spellStart"/>
      <w:r>
        <w:t>Sidani</w:t>
      </w:r>
      <w:proofErr w:type="spellEnd"/>
      <w:r>
        <w:t>, 2013).</w:t>
      </w:r>
    </w:p>
    <w:p w14:paraId="2734F203" w14:textId="77777777" w:rsidR="00957269" w:rsidRDefault="00000000">
      <w:pPr>
        <w:pBdr>
          <w:top w:val="nil"/>
          <w:left w:val="nil"/>
          <w:bottom w:val="nil"/>
          <w:right w:val="nil"/>
          <w:between w:val="nil"/>
        </w:pBdr>
        <w:ind w:firstLine="720"/>
        <w:jc w:val="both"/>
      </w:pPr>
      <w:r>
        <w:t>In collectivist societies, individual goals are discouraged, potentially deterring women from seeking work, and forcing them instead to prioritize family cohesion (</w:t>
      </w:r>
      <w:proofErr w:type="spellStart"/>
      <w:r>
        <w:t>Sidani</w:t>
      </w:r>
      <w:proofErr w:type="spellEnd"/>
      <w:r>
        <w:t xml:space="preserve">, 2013). Conversely, individualistic cultures promote personal autonomy and gender equality, engendering environments where women are encouraged to pursue careers (Carrasco et al., 2015). In individualistic countries, women's goals and choices are considered more legitimate, leading to greater gender equality in various spheres (Davis and Williamson, 2019), and even stronger female representation in leadership positions (Terjesen et al., 2009; </w:t>
      </w:r>
      <w:proofErr w:type="spellStart"/>
      <w:r>
        <w:t>Grosvold</w:t>
      </w:r>
      <w:proofErr w:type="spellEnd"/>
      <w:r>
        <w:t>, 2011). This is because women, as much as men, are encouraged to continue advancing their education and skill development (</w:t>
      </w:r>
      <w:r>
        <w:rPr>
          <w:color w:val="222222"/>
          <w:highlight w:val="white"/>
        </w:rPr>
        <w:t>Gupta &amp; Sulai</w:t>
      </w:r>
      <w:r>
        <w:rPr>
          <w:color w:val="222222"/>
        </w:rPr>
        <w:t>man</w:t>
      </w:r>
      <w:r>
        <w:t>, 2015). However, there are also studies that challenge this intuition. For example, Carrasco et al. (2015) failed to find a direct link between individualism and the proportion of women on corporate boards.</w:t>
      </w:r>
    </w:p>
    <w:p w14:paraId="3535240C" w14:textId="77777777" w:rsidR="00957269" w:rsidRDefault="00000000">
      <w:pPr>
        <w:pBdr>
          <w:top w:val="nil"/>
          <w:left w:val="nil"/>
          <w:bottom w:val="nil"/>
          <w:right w:val="nil"/>
          <w:between w:val="nil"/>
        </w:pBdr>
        <w:ind w:firstLine="720"/>
        <w:jc w:val="both"/>
        <w:rPr>
          <w:b/>
          <w:bCs/>
        </w:rPr>
      </w:pPr>
      <w:r>
        <w:t xml:space="preserve">Nevertheless, when it comes to garment manufacturing, and given the fact that the jobs on the shopfloor of apparel factories generally require low-level skills, we would expect that, on average, factories in more individualistic countries will be relatively more diverse </w:t>
      </w:r>
      <w:r>
        <w:rPr>
          <w:highlight w:val="white"/>
        </w:rPr>
        <w:t>(Malaquias et al., 2022).</w:t>
      </w:r>
      <w:r>
        <w:t xml:space="preserve"> In more collectivist societies that value the ‘traditional’ gender roles and group cohesion, women's economic empowerment is impeded. As an institutional force, an individualistic culture aligns with the meritocratic principles of distributive justice, where </w:t>
      </w:r>
      <w:r>
        <w:lastRenderedPageBreak/>
        <w:t>employment opportunities are allocated based on individual agency rather than traditional gendered social roles. Thus, we hypothesize that:</w:t>
      </w:r>
    </w:p>
    <w:p w14:paraId="52B4BAB9" w14:textId="77777777" w:rsidR="00957269" w:rsidRDefault="00957269">
      <w:pPr>
        <w:ind w:firstLine="720"/>
        <w:jc w:val="both"/>
        <w:rPr>
          <w:b/>
          <w:bCs/>
          <w:sz w:val="20"/>
          <w:szCs w:val="20"/>
        </w:rPr>
      </w:pPr>
    </w:p>
    <w:p w14:paraId="7A6C274A" w14:textId="77777777" w:rsidR="00957269" w:rsidRDefault="00000000">
      <w:pPr>
        <w:ind w:firstLine="720"/>
        <w:jc w:val="both"/>
      </w:pPr>
      <w:r>
        <w:rPr>
          <w:b/>
          <w:bCs/>
        </w:rPr>
        <w:t xml:space="preserve">Hypothesis 4: </w:t>
      </w:r>
      <w:r>
        <w:t>Factories in countries with a more individualistic culture will exhibit relatively higher female workforce participation.</w:t>
      </w:r>
    </w:p>
    <w:p w14:paraId="222C4B27" w14:textId="77777777" w:rsidR="00957269" w:rsidRDefault="00957269">
      <w:pPr>
        <w:pBdr>
          <w:top w:val="nil"/>
          <w:left w:val="nil"/>
          <w:bottom w:val="nil"/>
          <w:right w:val="nil"/>
          <w:between w:val="nil"/>
        </w:pBdr>
        <w:jc w:val="both"/>
        <w:rPr>
          <w:i/>
          <w:iCs/>
          <w:sz w:val="18"/>
          <w:szCs w:val="18"/>
        </w:rPr>
      </w:pPr>
    </w:p>
    <w:p w14:paraId="184BE805" w14:textId="77777777" w:rsidR="00957269" w:rsidRDefault="00000000">
      <w:pPr>
        <w:pBdr>
          <w:top w:val="nil"/>
          <w:left w:val="nil"/>
          <w:bottom w:val="nil"/>
          <w:right w:val="nil"/>
          <w:between w:val="nil"/>
        </w:pBdr>
        <w:jc w:val="both"/>
      </w:pPr>
      <w:r>
        <w:rPr>
          <w:i/>
          <w:iCs/>
        </w:rPr>
        <w:t xml:space="preserve">Motivation towards achievement and success (MAS). </w:t>
      </w:r>
      <w:r>
        <w:t>The Motivation Towards Achievement and Success (MAS) dimension, formerly known as masculinity-femininity, suggests that high MAS countries exhibit societal inclinations towards traits like assertiveness and material rewards for success. At the same time, low MAS cultures prioritize cooperation and quality of life (Hofstede, 2001). Women in high MAS societies exhibit some assertiveness but to a lesser extent than men, reflecting a disparity in values (Hofstede, 2001).</w:t>
      </w:r>
    </w:p>
    <w:p w14:paraId="3310BAEB" w14:textId="4965D63B" w:rsidR="00957269" w:rsidRDefault="00000000">
      <w:pPr>
        <w:pBdr>
          <w:top w:val="nil"/>
          <w:left w:val="nil"/>
          <w:bottom w:val="nil"/>
          <w:right w:val="nil"/>
          <w:between w:val="nil"/>
        </w:pBdr>
        <w:ind w:firstLine="720"/>
        <w:jc w:val="both"/>
      </w:pPr>
      <w:r>
        <w:t>High MAS cultures exhibit lower female participation in the labour market due to persistent gender stereotypes favouring men, hindering women's career advancement (Sealy et al., 2009; Konrad et al., 2000; Oakley, 2000). In high MAS cultures, where toughness is valued, gender role separation poses challenges to achieving gender equality (Hrivíková, 2020). Women in such cultures face greater barriers to accessing leadership positions (Toh &amp; Leonardelli, 2012) and participating in corporate boards (Carrasco et al., 2015). Moreover, the entrepreneurial behaviour fostered in high MAS cultures might create a hostile environment for women entrepreneurs, especially in male-dominated sectors like manufacturing (</w:t>
      </w:r>
      <w:proofErr w:type="spellStart"/>
      <w:r>
        <w:t>Bogatyreva</w:t>
      </w:r>
      <w:proofErr w:type="spellEnd"/>
      <w:r>
        <w:t xml:space="preserve"> et al., 2019; Pines et al., 2010). As a result, there seems to be a negative </w:t>
      </w:r>
      <w:r w:rsidR="00C9281F">
        <w:t>association</w:t>
      </w:r>
      <w:r>
        <w:t xml:space="preserve"> between MAS and women's participation in the workforce, which can be reflected in factories producing garments. From a business ethics standpoint, high MAS serves as an institutional force that can undermine a firm’s ethical governance; by reinforcing rigid gender role separation, these cultures often conflict with the values of distributive justice, complicating the enforcement of equitable labour standards. Therefore, we hypothesize that:</w:t>
      </w:r>
    </w:p>
    <w:p w14:paraId="23DF9E91" w14:textId="77777777" w:rsidR="00957269" w:rsidRDefault="00957269">
      <w:pPr>
        <w:pBdr>
          <w:top w:val="nil"/>
          <w:left w:val="nil"/>
          <w:bottom w:val="nil"/>
          <w:right w:val="nil"/>
          <w:between w:val="nil"/>
        </w:pBdr>
        <w:ind w:firstLine="720"/>
        <w:jc w:val="both"/>
        <w:rPr>
          <w:sz w:val="20"/>
          <w:szCs w:val="20"/>
        </w:rPr>
      </w:pPr>
    </w:p>
    <w:p w14:paraId="54D2E84E" w14:textId="77BDBF98" w:rsidR="00957269" w:rsidRDefault="00000000">
      <w:pPr>
        <w:ind w:firstLine="720"/>
        <w:jc w:val="both"/>
        <w:rPr>
          <w:i/>
          <w:iCs/>
        </w:rPr>
      </w:pPr>
      <w:r>
        <w:rPr>
          <w:b/>
          <w:bCs/>
        </w:rPr>
        <w:t>Hypothesis 5:</w:t>
      </w:r>
      <w:r>
        <w:rPr>
          <w:b/>
          <w:bCs/>
          <w:i/>
          <w:iCs/>
        </w:rPr>
        <w:t xml:space="preserve"> </w:t>
      </w:r>
      <w:r>
        <w:t>Factories in countries with high</w:t>
      </w:r>
      <w:r w:rsidR="00BA1E19">
        <w:t>er</w:t>
      </w:r>
      <w:r>
        <w:t xml:space="preserve"> motivation towards achievement and success will exhibit relatively lower female workforce participation.</w:t>
      </w:r>
    </w:p>
    <w:p w14:paraId="3A26EB0D" w14:textId="77777777" w:rsidR="00957269" w:rsidRDefault="00957269">
      <w:pPr>
        <w:pBdr>
          <w:top w:val="nil"/>
          <w:left w:val="nil"/>
          <w:bottom w:val="nil"/>
          <w:right w:val="nil"/>
          <w:between w:val="nil"/>
        </w:pBdr>
        <w:ind w:firstLine="720"/>
        <w:jc w:val="both"/>
        <w:rPr>
          <w:sz w:val="20"/>
          <w:szCs w:val="20"/>
        </w:rPr>
      </w:pPr>
    </w:p>
    <w:p w14:paraId="02142F16" w14:textId="77777777" w:rsidR="00957269" w:rsidRDefault="00000000">
      <w:pPr>
        <w:pBdr>
          <w:top w:val="nil"/>
          <w:left w:val="nil"/>
          <w:bottom w:val="nil"/>
          <w:right w:val="nil"/>
          <w:between w:val="nil"/>
        </w:pBdr>
        <w:ind w:firstLine="720"/>
        <w:jc w:val="both"/>
      </w:pPr>
      <w:r>
        <w:rPr>
          <w:i/>
          <w:iCs/>
        </w:rPr>
        <w:t xml:space="preserve">Long-term orientation (LTO). </w:t>
      </w:r>
      <w:r>
        <w:t>The Long-Term vs. Short-Term Orientation (LTO) cultural dimension, as outlined by Hofstede (2001), refers to societal perceptions about the past, present, and future actions and challenges. A lower LTO score signifies a focus on tradition and steadfastness, while a higher score suggests that adaptation and flexibility are prioritized.</w:t>
      </w:r>
    </w:p>
    <w:p w14:paraId="5B5F1EE8" w14:textId="1B82618A" w:rsidR="00957269" w:rsidRDefault="00000000">
      <w:pPr>
        <w:pBdr>
          <w:top w:val="nil"/>
          <w:left w:val="nil"/>
          <w:bottom w:val="nil"/>
          <w:right w:val="nil"/>
          <w:between w:val="nil"/>
        </w:pBdr>
        <w:ind w:firstLine="720"/>
        <w:jc w:val="both"/>
      </w:pPr>
      <w:r>
        <w:t>LTO is associated with virtues like self-command and patience, crucial for securing future prosperity through education, health, and innovation (House et al., 2004). It encourages future-oriented behaviours like planning, investing, and delaying gratification (</w:t>
      </w:r>
      <w:proofErr w:type="spellStart"/>
      <w:r>
        <w:t>Graafland</w:t>
      </w:r>
      <w:proofErr w:type="spellEnd"/>
      <w:r>
        <w:t xml:space="preserve">, 2020). Galor and </w:t>
      </w:r>
      <w:proofErr w:type="spellStart"/>
      <w:r>
        <w:t>Ozak</w:t>
      </w:r>
      <w:proofErr w:type="spellEnd"/>
      <w:r>
        <w:t xml:space="preserve"> (2016) link LTO to economic benefits such as higher savings and technological development. </w:t>
      </w:r>
      <w:r w:rsidR="00BA1E19">
        <w:t>LTO</w:t>
      </w:r>
      <w:r>
        <w:t xml:space="preserve"> also fosters psychological health and education through delayed gratification, leading to increased civic participation and economic empowerment, particularly for women (Figlio et al., 2019). In </w:t>
      </w:r>
      <w:r w:rsidR="00BA1E19">
        <w:t xml:space="preserve">high </w:t>
      </w:r>
      <w:r>
        <w:t>LTO societies, families value education, encouraging women's career aspirations and boosting female labour participation.</w:t>
      </w:r>
    </w:p>
    <w:p w14:paraId="6B3181CC" w14:textId="77777777" w:rsidR="00957269" w:rsidRDefault="00000000">
      <w:pPr>
        <w:pBdr>
          <w:top w:val="nil"/>
          <w:left w:val="nil"/>
          <w:bottom w:val="nil"/>
          <w:right w:val="nil"/>
          <w:between w:val="nil"/>
        </w:pBdr>
        <w:ind w:firstLine="720"/>
        <w:jc w:val="both"/>
      </w:pPr>
      <w:r>
        <w:t>Firms with a long-term outlook recognize that fostering a diverse workforce not only aligns with societal values but also enhances their resilience and performance over time (</w:t>
      </w:r>
      <w:proofErr w:type="spellStart"/>
      <w:r>
        <w:t>Alshukri</w:t>
      </w:r>
      <w:proofErr w:type="spellEnd"/>
      <w:r>
        <w:t xml:space="preserve"> et al., 2024). In garment manufacturing, where consumer preferences are influenced by cultural shifts and inclusivity, firms that prioritize workforce diversity can better respond to customer needs (Gazzola et al., 2020). Moreover, a diverse workforce brings varied perspectives, creativity, and innovation to the table, facilitating the development of products that resonate with a broader range of consumers (Jones et al., 2020; </w:t>
      </w:r>
      <w:proofErr w:type="spellStart"/>
      <w:r>
        <w:t>Hundschell</w:t>
      </w:r>
      <w:proofErr w:type="spellEnd"/>
      <w:r>
        <w:t xml:space="preserve"> et al., 2022). Embracing diversity is an investment in social sustainability that strengthens the firm's reputation, builds brand loyalty, and can support future profitability. In this regard, LTO functions as a supportive institutional force that aligns local norms with the long-term goals of </w:t>
      </w:r>
      <w:r>
        <w:lastRenderedPageBreak/>
        <w:t>distributive justice. By prioritizing sustainable social development and future-oriented human capital over immediate outcomes, high LTO societies provide a more receptive environment for the firm’s ethical governance efforts. We thus hypothesize:</w:t>
      </w:r>
    </w:p>
    <w:p w14:paraId="654D65F2" w14:textId="77777777" w:rsidR="00957269" w:rsidRDefault="00957269">
      <w:pPr>
        <w:pBdr>
          <w:top w:val="nil"/>
          <w:left w:val="nil"/>
          <w:bottom w:val="nil"/>
          <w:right w:val="nil"/>
          <w:between w:val="nil"/>
        </w:pBdr>
        <w:ind w:firstLine="720"/>
        <w:jc w:val="both"/>
        <w:rPr>
          <w:sz w:val="20"/>
          <w:szCs w:val="20"/>
        </w:rPr>
      </w:pPr>
    </w:p>
    <w:p w14:paraId="654CD20C" w14:textId="2178273F" w:rsidR="00957269" w:rsidRDefault="00000000">
      <w:pPr>
        <w:ind w:firstLine="720"/>
        <w:jc w:val="both"/>
      </w:pPr>
      <w:r>
        <w:rPr>
          <w:b/>
          <w:bCs/>
        </w:rPr>
        <w:t xml:space="preserve">Hypothesis 6: </w:t>
      </w:r>
      <w:r>
        <w:t xml:space="preserve">Factories in countries with </w:t>
      </w:r>
      <w:r w:rsidR="00BA1E19">
        <w:t xml:space="preserve">a culture that is more long-term oriented </w:t>
      </w:r>
      <w:r>
        <w:t>will exhibit relatively higher female workforce participation.</w:t>
      </w:r>
    </w:p>
    <w:p w14:paraId="4F230E18" w14:textId="77777777" w:rsidR="00957269" w:rsidRDefault="00957269">
      <w:pPr>
        <w:ind w:firstLine="720"/>
        <w:jc w:val="both"/>
        <w:rPr>
          <w:sz w:val="20"/>
          <w:szCs w:val="20"/>
        </w:rPr>
      </w:pPr>
    </w:p>
    <w:p w14:paraId="0EE0929A" w14:textId="77777777" w:rsidR="00957269" w:rsidRDefault="00000000">
      <w:pPr>
        <w:spacing w:after="160" w:line="256" w:lineRule="auto"/>
        <w:ind w:firstLine="720"/>
        <w:jc w:val="both"/>
      </w:pPr>
      <w:r>
        <w:t>Figure 1 summarises the hypotheses into a multilevel conceptual model. This also includes a set of control variables, split by the level they pertain to, which are introduced in the next section.</w:t>
      </w:r>
    </w:p>
    <w:p w14:paraId="5864D64A" w14:textId="77777777" w:rsidR="00957269" w:rsidRDefault="00957269">
      <w:pPr>
        <w:ind w:firstLine="720"/>
        <w:jc w:val="both"/>
      </w:pPr>
    </w:p>
    <w:p w14:paraId="2F7DC580" w14:textId="77777777" w:rsidR="00957269" w:rsidRDefault="00000000">
      <w:pPr>
        <w:ind w:firstLine="720"/>
        <w:jc w:val="center"/>
      </w:pPr>
      <w:r>
        <w:rPr>
          <w:noProof/>
        </w:rPr>
        <w:drawing>
          <wp:inline distT="114300" distB="114300" distL="114300" distR="114300" wp14:anchorId="4100BB5A" wp14:editId="54203A25">
            <wp:extent cx="5760410" cy="3225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60410" cy="3225800"/>
                    </a:xfrm>
                    <a:prstGeom prst="rect">
                      <a:avLst/>
                    </a:prstGeom>
                    <a:ln/>
                  </pic:spPr>
                </pic:pic>
              </a:graphicData>
            </a:graphic>
          </wp:inline>
        </w:drawing>
      </w:r>
    </w:p>
    <w:p w14:paraId="070E9991" w14:textId="77777777" w:rsidR="00957269" w:rsidRDefault="00957269">
      <w:pPr>
        <w:pBdr>
          <w:top w:val="nil"/>
          <w:left w:val="nil"/>
          <w:bottom w:val="nil"/>
          <w:right w:val="nil"/>
          <w:between w:val="nil"/>
        </w:pBdr>
        <w:jc w:val="center"/>
        <w:rPr>
          <w:b/>
          <w:bCs/>
        </w:rPr>
      </w:pPr>
    </w:p>
    <w:p w14:paraId="56260FE3" w14:textId="77777777" w:rsidR="00957269" w:rsidRDefault="00000000">
      <w:pPr>
        <w:pBdr>
          <w:top w:val="nil"/>
          <w:left w:val="nil"/>
          <w:bottom w:val="nil"/>
          <w:right w:val="nil"/>
          <w:between w:val="nil"/>
        </w:pBdr>
        <w:jc w:val="center"/>
        <w:rPr>
          <w:sz w:val="22"/>
          <w:szCs w:val="22"/>
        </w:rPr>
      </w:pPr>
      <w:r>
        <w:rPr>
          <w:b/>
          <w:bCs/>
          <w:sz w:val="22"/>
          <w:szCs w:val="22"/>
        </w:rPr>
        <w:t xml:space="preserve">Fig.1 </w:t>
      </w:r>
      <w:r>
        <w:rPr>
          <w:sz w:val="22"/>
          <w:szCs w:val="22"/>
        </w:rPr>
        <w:t>Conceptual model</w:t>
      </w:r>
    </w:p>
    <w:p w14:paraId="0D3C6ADC" w14:textId="77777777" w:rsidR="00957269" w:rsidRDefault="00957269">
      <w:pPr>
        <w:pBdr>
          <w:top w:val="nil"/>
          <w:left w:val="nil"/>
          <w:bottom w:val="nil"/>
          <w:right w:val="nil"/>
          <w:between w:val="nil"/>
        </w:pBdr>
        <w:jc w:val="both"/>
        <w:rPr>
          <w:b/>
          <w:bCs/>
        </w:rPr>
      </w:pPr>
    </w:p>
    <w:p w14:paraId="61DC22E8" w14:textId="77777777" w:rsidR="00957269" w:rsidRDefault="00000000">
      <w:pPr>
        <w:pBdr>
          <w:top w:val="nil"/>
          <w:left w:val="nil"/>
          <w:bottom w:val="nil"/>
          <w:right w:val="nil"/>
          <w:between w:val="nil"/>
        </w:pBdr>
        <w:jc w:val="both"/>
        <w:rPr>
          <w:b/>
          <w:bCs/>
          <w:sz w:val="28"/>
          <w:szCs w:val="28"/>
        </w:rPr>
      </w:pPr>
      <w:r>
        <w:rPr>
          <w:b/>
          <w:bCs/>
          <w:color w:val="000000"/>
          <w:sz w:val="28"/>
          <w:szCs w:val="28"/>
        </w:rPr>
        <w:t>Methodology</w:t>
      </w:r>
    </w:p>
    <w:p w14:paraId="553405D5" w14:textId="77777777" w:rsidR="00957269" w:rsidRDefault="00957269">
      <w:pPr>
        <w:pBdr>
          <w:top w:val="nil"/>
          <w:left w:val="nil"/>
          <w:bottom w:val="nil"/>
          <w:right w:val="nil"/>
          <w:between w:val="nil"/>
        </w:pBdr>
        <w:jc w:val="both"/>
      </w:pPr>
    </w:p>
    <w:p w14:paraId="47D09744" w14:textId="77777777" w:rsidR="00957269" w:rsidRDefault="00000000">
      <w:pPr>
        <w:pBdr>
          <w:top w:val="nil"/>
          <w:left w:val="nil"/>
          <w:bottom w:val="nil"/>
          <w:right w:val="nil"/>
          <w:between w:val="nil"/>
        </w:pBdr>
        <w:jc w:val="both"/>
        <w:rPr>
          <w:b/>
          <w:bCs/>
        </w:rPr>
      </w:pPr>
      <w:r>
        <w:rPr>
          <w:b/>
          <w:bCs/>
        </w:rPr>
        <w:t>Data collection, sample, and dataset structure</w:t>
      </w:r>
    </w:p>
    <w:p w14:paraId="2847F235" w14:textId="77777777" w:rsidR="00957269" w:rsidRDefault="00957269">
      <w:pPr>
        <w:pBdr>
          <w:top w:val="nil"/>
          <w:left w:val="nil"/>
          <w:bottom w:val="nil"/>
          <w:right w:val="nil"/>
          <w:between w:val="nil"/>
        </w:pBdr>
        <w:jc w:val="both"/>
      </w:pPr>
    </w:p>
    <w:p w14:paraId="6B23A14F" w14:textId="77777777" w:rsidR="00957269" w:rsidRDefault="00000000">
      <w:pPr>
        <w:pBdr>
          <w:top w:val="nil"/>
          <w:left w:val="nil"/>
          <w:bottom w:val="nil"/>
          <w:right w:val="nil"/>
          <w:between w:val="nil"/>
        </w:pBdr>
        <w:jc w:val="both"/>
      </w:pPr>
      <w:r>
        <w:t>As the world’s leading apparel and footwear brand, representing approximately 35% of the global athletic footwear market (</w:t>
      </w:r>
      <w:proofErr w:type="spellStart"/>
      <w:r>
        <w:t>StatInvestor</w:t>
      </w:r>
      <w:proofErr w:type="spellEnd"/>
      <w:r>
        <w:t>, 2024), Nike maintains a vast and diverse global supplier base. While the company has recently faced criticism and activism from organizations like the Fair Labour Association and Global Labour Justice over issues such as alleged wage theft for female supply chain workers, it has also publicly committed to advancing opportunities for women in its workforce (McDonald, 2021). Nike’s targets include achieving 50% representation of women in its global corporate workforce and 45% in leadership positions by the end of 2025 (Thomas, 2021). As such, a</w:t>
      </w:r>
      <w:r>
        <w:rPr>
          <w:color w:val="000000"/>
        </w:rPr>
        <w:t xml:space="preserve"> key piece of information published by Nike is the </w:t>
      </w:r>
      <w:r>
        <w:rPr>
          <w:i/>
          <w:iCs/>
        </w:rPr>
        <w:t>proportion</w:t>
      </w:r>
      <w:r>
        <w:rPr>
          <w:i/>
          <w:iCs/>
          <w:color w:val="000000"/>
        </w:rPr>
        <w:t xml:space="preserve"> of females</w:t>
      </w:r>
      <w:r>
        <w:rPr>
          <w:color w:val="000000"/>
        </w:rPr>
        <w:t xml:space="preserve"> employed at each supplier factory. This acts as the dependent variable in this study</w:t>
      </w:r>
      <w:r>
        <w:t>. Nike’s supply chain data, published at monthly intervals on their website (</w:t>
      </w:r>
      <w:hyperlink r:id="rId9">
        <w:r w:rsidR="00957269">
          <w:rPr>
            <w:i/>
            <w:iCs/>
            <w:color w:val="1155CC"/>
          </w:rPr>
          <w:t>https://manufacturingmap.nikeinc.com/</w:t>
        </w:r>
      </w:hyperlink>
      <w:r>
        <w:t>), also includes the location of each factory and the name of the supplier/group that owns it.</w:t>
      </w:r>
    </w:p>
    <w:p w14:paraId="50F04D88" w14:textId="77777777" w:rsidR="00957269" w:rsidRDefault="00000000">
      <w:pPr>
        <w:pBdr>
          <w:top w:val="nil"/>
          <w:left w:val="nil"/>
          <w:bottom w:val="nil"/>
          <w:right w:val="nil"/>
          <w:between w:val="nil"/>
        </w:pBdr>
        <w:ind w:firstLine="720"/>
        <w:jc w:val="both"/>
      </w:pPr>
      <w:r>
        <w:t xml:space="preserve">Despite the </w:t>
      </w:r>
      <w:r>
        <w:rPr>
          <w:color w:val="000000"/>
        </w:rPr>
        <w:t xml:space="preserve">monthly </w:t>
      </w:r>
      <w:r>
        <w:t>frequency of the data</w:t>
      </w:r>
      <w:r>
        <w:rPr>
          <w:color w:val="000000"/>
        </w:rPr>
        <w:t>, there is little variation month-</w:t>
      </w:r>
      <w:r>
        <w:t>on</w:t>
      </w:r>
      <w:r>
        <w:rPr>
          <w:color w:val="000000"/>
        </w:rPr>
        <w:t xml:space="preserve">-month. We thus started from the most recent datapoint at the time of </w:t>
      </w:r>
      <w:r>
        <w:t>data collection</w:t>
      </w:r>
      <w:r>
        <w:rPr>
          <w:color w:val="000000"/>
        </w:rPr>
        <w:t xml:space="preserve"> (August 2023) and </w:t>
      </w:r>
      <w:r>
        <w:rPr>
          <w:color w:val="000000"/>
        </w:rPr>
        <w:lastRenderedPageBreak/>
        <w:t>merged the data from the same month of previous years since Nike started this reporting (August 2022, 2021, 2020). As such, o</w:t>
      </w:r>
      <w:r>
        <w:t xml:space="preserve">ur dataset, characterised by annual frequency, extends over four </w:t>
      </w:r>
      <w:r>
        <w:rPr>
          <w:color w:val="000000"/>
        </w:rPr>
        <w:t>years.</w:t>
      </w:r>
      <w:r>
        <w:t xml:space="preserve"> The final dataset contains 807 unique factories. For 367 (45.48%) of them, we have data on the dependent variable for all four years, while 166 factories (20.57%) are observed for three years. The remaining 274 (33.95%) are observed in just one or two years over the timeframe. Figure 2 presents schematically the structure of the dataset. </w:t>
      </w:r>
    </w:p>
    <w:p w14:paraId="2DDB41BC" w14:textId="77777777" w:rsidR="00957269" w:rsidRDefault="00957269">
      <w:pPr>
        <w:ind w:firstLine="720"/>
        <w:jc w:val="both"/>
      </w:pPr>
    </w:p>
    <w:p w14:paraId="4F758F47" w14:textId="77777777" w:rsidR="00957269" w:rsidRDefault="00957269">
      <w:pPr>
        <w:jc w:val="both"/>
      </w:pPr>
    </w:p>
    <w:p w14:paraId="6C0689A8" w14:textId="77777777" w:rsidR="00957269" w:rsidRDefault="00000000">
      <w:pPr>
        <w:jc w:val="center"/>
      </w:pPr>
      <w:r>
        <w:rPr>
          <w:noProof/>
        </w:rPr>
        <w:drawing>
          <wp:inline distT="114300" distB="114300" distL="114300" distR="114300" wp14:anchorId="73637E19" wp14:editId="4AE96B0F">
            <wp:extent cx="5760410" cy="19939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5760410" cy="1993900"/>
                    </a:xfrm>
                    <a:prstGeom prst="rect">
                      <a:avLst/>
                    </a:prstGeom>
                    <a:ln/>
                  </pic:spPr>
                </pic:pic>
              </a:graphicData>
            </a:graphic>
          </wp:inline>
        </w:drawing>
      </w:r>
    </w:p>
    <w:p w14:paraId="51DBDD54" w14:textId="77777777" w:rsidR="00957269" w:rsidRDefault="00957269">
      <w:pPr>
        <w:jc w:val="center"/>
        <w:rPr>
          <w:i/>
          <w:iCs/>
          <w:sz w:val="22"/>
          <w:szCs w:val="22"/>
        </w:rPr>
      </w:pPr>
    </w:p>
    <w:p w14:paraId="7AC6BD8C" w14:textId="77777777" w:rsidR="00957269" w:rsidRDefault="00000000">
      <w:pPr>
        <w:jc w:val="center"/>
        <w:rPr>
          <w:sz w:val="22"/>
          <w:szCs w:val="22"/>
        </w:rPr>
      </w:pPr>
      <w:r>
        <w:rPr>
          <w:b/>
          <w:bCs/>
          <w:sz w:val="22"/>
          <w:szCs w:val="22"/>
        </w:rPr>
        <w:t xml:space="preserve">Fig.2 </w:t>
      </w:r>
      <w:r>
        <w:rPr>
          <w:sz w:val="22"/>
          <w:szCs w:val="22"/>
        </w:rPr>
        <w:t>Dataset structure</w:t>
      </w:r>
    </w:p>
    <w:p w14:paraId="3562A27D" w14:textId="77777777" w:rsidR="00957269" w:rsidRDefault="00957269">
      <w:pPr>
        <w:jc w:val="center"/>
        <w:rPr>
          <w:sz w:val="22"/>
          <w:szCs w:val="22"/>
        </w:rPr>
      </w:pPr>
    </w:p>
    <w:p w14:paraId="24006E5A" w14:textId="6FA9321E" w:rsidR="00957269" w:rsidRDefault="00000000">
      <w:pPr>
        <w:pBdr>
          <w:top w:val="nil"/>
          <w:left w:val="nil"/>
          <w:bottom w:val="nil"/>
          <w:right w:val="nil"/>
          <w:between w:val="nil"/>
        </w:pBdr>
        <w:ind w:firstLine="720"/>
        <w:jc w:val="both"/>
        <w:rPr>
          <w:highlight w:val="white"/>
        </w:rPr>
      </w:pPr>
      <w:r>
        <w:rPr>
          <w:highlight w:val="white"/>
        </w:rPr>
        <w:t xml:space="preserve">It is reasonable to expect that observations of the same factory will be correlated with one another; two measurement ‘occasions’ (in different years) of the fraction of female employees of the same factory will be more ‘similar’ to one another than two measurements of different factories. Moreover, the 807 factories are owned by a total of 367 unique suppliers and span 42 countries. Two factories owned by a given supplier might be more alike than two factories belonging to different suppliers, since the former are likely to be following the same practices and policies enforced by the parent company. This then suggests that the values of the fraction of female workforce at the factories of a given supplier will be correlated. Last but not least, two factories located in the same country will be subject to the same laws and regulations affecting management decisions about recruitment and selection, and as such, they will be following more similar operating practices when compared to two factories located in different countries. These three different sources of within-unit correlation across levels (i.e., factory, supplier and country), also referred to as ‘clustering’, should be formally accounted for in the analysis. Ignoring this clustering can lead to incorrect standard errors, biased coefficients, and unreliable inference overall. A multilevel modelling framework, which is increasingly employed to investigate issues in business ethics (e.g., </w:t>
      </w:r>
      <w:proofErr w:type="spellStart"/>
      <w:r>
        <w:rPr>
          <w:highlight w:val="white"/>
        </w:rPr>
        <w:t>Prikshat</w:t>
      </w:r>
      <w:proofErr w:type="spellEnd"/>
      <w:r>
        <w:rPr>
          <w:highlight w:val="white"/>
        </w:rPr>
        <w:t xml:space="preserve"> et al., 2024; Tourigny et al., 2019), can address this issue, and, moreover, allow for the estimation of between-unit variance.</w:t>
      </w:r>
    </w:p>
    <w:p w14:paraId="3F963D79" w14:textId="77777777" w:rsidR="00957269" w:rsidRDefault="00000000">
      <w:pPr>
        <w:pBdr>
          <w:top w:val="nil"/>
          <w:left w:val="nil"/>
          <w:bottom w:val="nil"/>
          <w:right w:val="nil"/>
          <w:between w:val="nil"/>
        </w:pBdr>
        <w:ind w:firstLine="720"/>
        <w:jc w:val="both"/>
        <w:rPr>
          <w:color w:val="000000"/>
          <w:sz w:val="22"/>
          <w:szCs w:val="22"/>
        </w:rPr>
      </w:pPr>
      <w:r>
        <w:t>A complication of our dataset is that not all factories of any given supplier are in the same country, nor are all factories in a given country owned by the same supplier;</w:t>
      </w:r>
      <w:r>
        <w:rPr>
          <w:color w:val="000000"/>
        </w:rPr>
        <w:t xml:space="preserve"> </w:t>
      </w:r>
      <w:r>
        <w:t>rather</w:t>
      </w:r>
      <w:r>
        <w:rPr>
          <w:color w:val="000000"/>
        </w:rPr>
        <w:t>, suppliers own</w:t>
      </w:r>
      <w:r>
        <w:t xml:space="preserve"> factories in different countries, while countries can ‘host’ multiple factories that are owned by different suppliers. Specifically, 83 suppliers (22.62%) own factories in more than one country, while 28 countries (66.66%) host factories of more than one supplier. This means that the data is not strictly hierarchical; in multilevel modelling parlance, suppliers and countries are ‘crossed’ with one another. This means that factories are ‘cross-classified’ (Leckie, 2013a). Specifically, they are nested within the ‘cells’ formed by the supplier-by-country combinations. We take this two-way cross-classified nature of the data into account. Ignoring it (and, instead, naively fitting a hierarchical model) could lead to misleading conclusions about the relative importance of different sources of influence on the proportion of females employed at the factory level, and to biassed standard errors of the coefficients of the </w:t>
      </w:r>
      <w:r>
        <w:lastRenderedPageBreak/>
        <w:t>independent variables of interest, particularly those pertaining to higher levels (</w:t>
      </w:r>
      <w:proofErr w:type="spellStart"/>
      <w:r>
        <w:t>Moerbeek</w:t>
      </w:r>
      <w:proofErr w:type="spellEnd"/>
      <w:r>
        <w:t xml:space="preserve">, 2004; van </w:t>
      </w:r>
      <w:proofErr w:type="spellStart"/>
      <w:r>
        <w:t>Landeghem</w:t>
      </w:r>
      <w:proofErr w:type="spellEnd"/>
      <w:r>
        <w:t xml:space="preserve"> et al., 2005), i.e., supplier and country. </w:t>
      </w:r>
    </w:p>
    <w:p w14:paraId="01C12F71" w14:textId="77777777" w:rsidR="00957269" w:rsidRDefault="00957269">
      <w:pPr>
        <w:pBdr>
          <w:top w:val="nil"/>
          <w:left w:val="nil"/>
          <w:bottom w:val="nil"/>
          <w:right w:val="nil"/>
          <w:between w:val="nil"/>
        </w:pBdr>
        <w:jc w:val="both"/>
        <w:rPr>
          <w:color w:val="000000"/>
        </w:rPr>
      </w:pPr>
    </w:p>
    <w:p w14:paraId="6B45A56A" w14:textId="77777777" w:rsidR="00957269" w:rsidRDefault="00957269">
      <w:pPr>
        <w:pBdr>
          <w:top w:val="nil"/>
          <w:left w:val="nil"/>
          <w:bottom w:val="nil"/>
          <w:right w:val="nil"/>
          <w:between w:val="nil"/>
        </w:pBdr>
        <w:jc w:val="both"/>
      </w:pPr>
    </w:p>
    <w:p w14:paraId="69E7C985" w14:textId="77777777" w:rsidR="00957269" w:rsidRDefault="00000000">
      <w:pPr>
        <w:pBdr>
          <w:top w:val="nil"/>
          <w:left w:val="nil"/>
          <w:bottom w:val="nil"/>
          <w:right w:val="nil"/>
          <w:between w:val="nil"/>
        </w:pBdr>
        <w:jc w:val="both"/>
        <w:rPr>
          <w:b/>
          <w:bCs/>
        </w:rPr>
      </w:pPr>
      <w:r>
        <w:rPr>
          <w:b/>
          <w:bCs/>
        </w:rPr>
        <w:t>Variables</w:t>
      </w:r>
    </w:p>
    <w:p w14:paraId="7C2AE761" w14:textId="77777777" w:rsidR="00957269" w:rsidRDefault="00957269">
      <w:pPr>
        <w:pBdr>
          <w:top w:val="nil"/>
          <w:left w:val="nil"/>
          <w:bottom w:val="nil"/>
          <w:right w:val="nil"/>
          <w:between w:val="nil"/>
        </w:pBdr>
        <w:jc w:val="both"/>
        <w:rPr>
          <w:b/>
          <w:bCs/>
        </w:rPr>
      </w:pPr>
    </w:p>
    <w:p w14:paraId="14FB5BF1" w14:textId="77777777" w:rsidR="00957269" w:rsidRDefault="00000000">
      <w:pPr>
        <w:pBdr>
          <w:top w:val="nil"/>
          <w:left w:val="nil"/>
          <w:bottom w:val="nil"/>
          <w:right w:val="nil"/>
          <w:between w:val="nil"/>
        </w:pBdr>
        <w:jc w:val="both"/>
        <w:rPr>
          <w:highlight w:val="white"/>
        </w:rPr>
      </w:pPr>
      <w:r>
        <w:t xml:space="preserve">There are six independent variables of interest, each corresponding to a hypothesis. Their operationalization is summarised in Table 1. We constructed a binary indicator to capture </w:t>
      </w:r>
      <w:r>
        <w:rPr>
          <w:i/>
          <w:iCs/>
        </w:rPr>
        <w:t>product complexity</w:t>
      </w:r>
      <w:r>
        <w:t>;</w:t>
      </w:r>
      <w:r>
        <w:rPr>
          <w:i/>
          <w:iCs/>
        </w:rPr>
        <w:t xml:space="preserve"> </w:t>
      </w:r>
      <w:r>
        <w:t>factories of footwear or sports equipment (i.e., ‘more complex’ products) were coded as ‘1’, while factories of apparel (i.e., ‘less complex’ products) were coded as ‘0’. Supplier</w:t>
      </w:r>
      <w:r>
        <w:rPr>
          <w:i/>
          <w:iCs/>
        </w:rPr>
        <w:t xml:space="preserve"> prominence</w:t>
      </w:r>
      <w:r>
        <w:t xml:space="preserve"> and</w:t>
      </w:r>
      <w:r>
        <w:rPr>
          <w:i/>
          <w:iCs/>
        </w:rPr>
        <w:t xml:space="preserve"> geographical dispersion</w:t>
      </w:r>
      <w:r>
        <w:t xml:space="preserve"> were operationalized by counting the number of factories a supplier operates in Nike’s network, and the number of countries in which a supplier operates factories, respectively. Both supplier-level variables can vary year-on-year. At the country level, we used the scores proposed by</w:t>
      </w:r>
      <w:r>
        <w:rPr>
          <w:highlight w:val="white"/>
        </w:rPr>
        <w:t xml:space="preserve"> Hofstede (2001) for the three cultural dimensions of interest: </w:t>
      </w:r>
      <w:r>
        <w:rPr>
          <w:i/>
          <w:iCs/>
          <w:highlight w:val="white"/>
        </w:rPr>
        <w:t xml:space="preserve">individualism </w:t>
      </w:r>
      <w:r>
        <w:rPr>
          <w:highlight w:val="white"/>
        </w:rPr>
        <w:t xml:space="preserve">(IDV), </w:t>
      </w:r>
      <w:r>
        <w:rPr>
          <w:i/>
          <w:iCs/>
          <w:highlight w:val="white"/>
        </w:rPr>
        <w:t xml:space="preserve">motivation towards achievement and success </w:t>
      </w:r>
      <w:r>
        <w:rPr>
          <w:highlight w:val="white"/>
        </w:rPr>
        <w:t xml:space="preserve">(MAS), and </w:t>
      </w:r>
      <w:r>
        <w:rPr>
          <w:i/>
          <w:iCs/>
          <w:highlight w:val="white"/>
        </w:rPr>
        <w:t xml:space="preserve">long-term orientation </w:t>
      </w:r>
      <w:r>
        <w:rPr>
          <w:highlight w:val="white"/>
        </w:rPr>
        <w:t>(LTO). These can range from 1 to 100 and were sourced from Hofstede’s website.</w:t>
      </w:r>
    </w:p>
    <w:p w14:paraId="0A02EF04" w14:textId="77777777" w:rsidR="00957269" w:rsidRDefault="00000000">
      <w:pPr>
        <w:pBdr>
          <w:top w:val="nil"/>
          <w:left w:val="nil"/>
          <w:bottom w:val="nil"/>
          <w:right w:val="nil"/>
          <w:between w:val="nil"/>
        </w:pBdr>
        <w:ind w:firstLine="720"/>
        <w:jc w:val="both"/>
        <w:rPr>
          <w:color w:val="000000"/>
        </w:rPr>
      </w:pPr>
      <w:r>
        <w:rPr>
          <w:highlight w:val="white"/>
        </w:rPr>
        <w:t xml:space="preserve">A number of possible confounders were included in the models as additional covariates. At the factory level, we controlled for </w:t>
      </w:r>
      <w:r>
        <w:rPr>
          <w:i/>
          <w:iCs/>
          <w:highlight w:val="white"/>
        </w:rPr>
        <w:t xml:space="preserve">size </w:t>
      </w:r>
      <w:r>
        <w:rPr>
          <w:highlight w:val="white"/>
        </w:rPr>
        <w:t xml:space="preserve">(number of total workers) and </w:t>
      </w:r>
      <w:r>
        <w:rPr>
          <w:i/>
          <w:iCs/>
          <w:highlight w:val="white"/>
        </w:rPr>
        <w:t>labour intensity</w:t>
      </w:r>
      <w:r>
        <w:rPr>
          <w:highlight w:val="white"/>
        </w:rPr>
        <w:t xml:space="preserve"> (fraction of ‘line’ over total workers). Relatively more complex products involve multiple production stages and processes, which suggests larger and more labour-intensive factories. At the same time, such factories might ‘afford’ to recruit more women to complete the low-skill tasks in the assembly line. As such, to isolate the effect of product complexity, the confounding influence of these two variables needed to be accounted for. The number of total and line workers of all factories is included in Nike’s published datasets. At the country level, we control for the possible confounding influence of four macroeconomic variables: </w:t>
      </w:r>
      <w:r>
        <w:rPr>
          <w:i/>
          <w:iCs/>
          <w:highlight w:val="white"/>
        </w:rPr>
        <w:t>Economic development level</w:t>
      </w:r>
      <w:r>
        <w:rPr>
          <w:highlight w:val="white"/>
        </w:rPr>
        <w:t xml:space="preserve">, </w:t>
      </w:r>
      <w:r>
        <w:rPr>
          <w:i/>
          <w:iCs/>
          <w:highlight w:val="white"/>
        </w:rPr>
        <w:t>female participation in the labour market</w:t>
      </w:r>
      <w:r>
        <w:rPr>
          <w:highlight w:val="white"/>
        </w:rPr>
        <w:t xml:space="preserve">, </w:t>
      </w:r>
      <w:r>
        <w:rPr>
          <w:i/>
          <w:iCs/>
          <w:highlight w:val="white"/>
        </w:rPr>
        <w:t>level of employment</w:t>
      </w:r>
      <w:r>
        <w:rPr>
          <w:highlight w:val="white"/>
        </w:rPr>
        <w:t xml:space="preserve"> and </w:t>
      </w:r>
      <w:r>
        <w:rPr>
          <w:i/>
          <w:iCs/>
          <w:highlight w:val="white"/>
        </w:rPr>
        <w:t>level of female education</w:t>
      </w:r>
      <w:r>
        <w:rPr>
          <w:highlight w:val="white"/>
        </w:rPr>
        <w:t xml:space="preserve">. It can reasonably be assumed that these variables are positively associated with the proportion of females employed at the factory level, while extant research has often found them to be correlated with societal cultural aspects (Lück, 2006; </w:t>
      </w:r>
      <w:proofErr w:type="spellStart"/>
      <w:r>
        <w:rPr>
          <w:highlight w:val="white"/>
        </w:rPr>
        <w:t>Maridal</w:t>
      </w:r>
      <w:proofErr w:type="spellEnd"/>
      <w:r>
        <w:rPr>
          <w:highlight w:val="white"/>
        </w:rPr>
        <w:t>, 2013; Singh, 2022). The data for the measures operationalizing these variables were sourced from World Bank and UNESCO. Finally, we conducted internet searches to determine the country of every supplier’s headquarters. We then created a categorical variable that was operationalized as a set of dummy variables, which we included in some model variants.</w:t>
      </w:r>
    </w:p>
    <w:p w14:paraId="2D98245A" w14:textId="77777777" w:rsidR="00957269" w:rsidRDefault="00957269">
      <w:pPr>
        <w:pBdr>
          <w:top w:val="nil"/>
          <w:left w:val="nil"/>
          <w:bottom w:val="nil"/>
          <w:right w:val="nil"/>
          <w:between w:val="nil"/>
        </w:pBdr>
        <w:jc w:val="both"/>
        <w:rPr>
          <w:color w:val="000000"/>
        </w:rPr>
      </w:pPr>
    </w:p>
    <w:p w14:paraId="40B75781" w14:textId="77777777" w:rsidR="00957269" w:rsidRDefault="00000000">
      <w:pPr>
        <w:pBdr>
          <w:top w:val="nil"/>
          <w:left w:val="nil"/>
          <w:bottom w:val="nil"/>
          <w:right w:val="nil"/>
          <w:between w:val="nil"/>
        </w:pBdr>
        <w:jc w:val="center"/>
        <w:rPr>
          <w:color w:val="000000"/>
          <w:sz w:val="22"/>
          <w:szCs w:val="22"/>
        </w:rPr>
      </w:pPr>
      <w:r>
        <w:rPr>
          <w:b/>
          <w:bCs/>
          <w:color w:val="000000"/>
          <w:sz w:val="22"/>
          <w:szCs w:val="22"/>
        </w:rPr>
        <w:t>Table 1</w:t>
      </w:r>
      <w:r>
        <w:rPr>
          <w:i/>
          <w:iCs/>
          <w:color w:val="000000"/>
          <w:sz w:val="22"/>
          <w:szCs w:val="22"/>
        </w:rPr>
        <w:t xml:space="preserve"> </w:t>
      </w:r>
      <w:r>
        <w:rPr>
          <w:color w:val="000000"/>
          <w:sz w:val="22"/>
          <w:szCs w:val="22"/>
        </w:rPr>
        <w:t>Variables and operationalization</w:t>
      </w:r>
    </w:p>
    <w:tbl>
      <w:tblPr>
        <w:tblStyle w:val="a"/>
        <w:tblW w:w="901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48"/>
        <w:gridCol w:w="4768"/>
      </w:tblGrid>
      <w:tr w:rsidR="00957269" w14:paraId="5A30C4C6" w14:textId="77777777">
        <w:trPr>
          <w:trHeight w:val="178"/>
        </w:trPr>
        <w:tc>
          <w:tcPr>
            <w:tcW w:w="4248" w:type="dxa"/>
            <w:tcBorders>
              <w:top w:val="single" w:sz="4" w:space="0" w:color="000000"/>
              <w:bottom w:val="single" w:sz="4" w:space="0" w:color="000000"/>
            </w:tcBorders>
          </w:tcPr>
          <w:p w14:paraId="54A4BC4A" w14:textId="77777777" w:rsidR="00957269" w:rsidRDefault="00000000">
            <w:pPr>
              <w:rPr>
                <w:b/>
                <w:bCs/>
                <w:sz w:val="21"/>
                <w:szCs w:val="21"/>
              </w:rPr>
            </w:pPr>
            <w:r>
              <w:rPr>
                <w:b/>
                <w:bCs/>
                <w:sz w:val="21"/>
                <w:szCs w:val="21"/>
              </w:rPr>
              <w:t>Variable</w:t>
            </w:r>
          </w:p>
        </w:tc>
        <w:tc>
          <w:tcPr>
            <w:tcW w:w="4768" w:type="dxa"/>
            <w:tcBorders>
              <w:top w:val="single" w:sz="4" w:space="0" w:color="000000"/>
              <w:bottom w:val="single" w:sz="4" w:space="0" w:color="000000"/>
            </w:tcBorders>
          </w:tcPr>
          <w:p w14:paraId="4ED84736" w14:textId="77777777" w:rsidR="00957269" w:rsidRDefault="00000000">
            <w:pPr>
              <w:rPr>
                <w:b/>
                <w:bCs/>
                <w:sz w:val="21"/>
                <w:szCs w:val="21"/>
              </w:rPr>
            </w:pPr>
            <w:r>
              <w:rPr>
                <w:b/>
                <w:bCs/>
                <w:sz w:val="21"/>
                <w:szCs w:val="21"/>
              </w:rPr>
              <w:t>Operationalization</w:t>
            </w:r>
          </w:p>
        </w:tc>
      </w:tr>
      <w:tr w:rsidR="00957269" w14:paraId="6AE21864" w14:textId="77777777">
        <w:trPr>
          <w:trHeight w:val="466"/>
        </w:trPr>
        <w:tc>
          <w:tcPr>
            <w:tcW w:w="9016" w:type="dxa"/>
            <w:gridSpan w:val="2"/>
            <w:tcBorders>
              <w:top w:val="single" w:sz="4" w:space="0" w:color="000000"/>
            </w:tcBorders>
          </w:tcPr>
          <w:p w14:paraId="1BF9B7D3" w14:textId="77777777" w:rsidR="00957269" w:rsidRDefault="00957269">
            <w:pPr>
              <w:rPr>
                <w:b/>
                <w:bCs/>
                <w:sz w:val="13"/>
                <w:szCs w:val="13"/>
                <w:u w:val="single"/>
              </w:rPr>
            </w:pPr>
          </w:p>
          <w:p w14:paraId="560DCF9A" w14:textId="77777777" w:rsidR="00957269" w:rsidRDefault="00000000">
            <w:pPr>
              <w:rPr>
                <w:b/>
                <w:bCs/>
                <w:sz w:val="21"/>
                <w:szCs w:val="21"/>
                <w:u w:val="single"/>
              </w:rPr>
            </w:pPr>
            <w:r>
              <w:rPr>
                <w:b/>
                <w:bCs/>
                <w:sz w:val="21"/>
                <w:szCs w:val="21"/>
                <w:u w:val="single"/>
              </w:rPr>
              <w:t>Country level</w:t>
            </w:r>
          </w:p>
        </w:tc>
      </w:tr>
      <w:tr w:rsidR="00957269" w14:paraId="168290A3" w14:textId="77777777">
        <w:trPr>
          <w:trHeight w:val="300"/>
        </w:trPr>
        <w:tc>
          <w:tcPr>
            <w:tcW w:w="4248" w:type="dxa"/>
          </w:tcPr>
          <w:p w14:paraId="7ECE9F2C" w14:textId="77777777" w:rsidR="00957269" w:rsidRDefault="00000000">
            <w:pPr>
              <w:rPr>
                <w:sz w:val="21"/>
                <w:szCs w:val="21"/>
              </w:rPr>
            </w:pPr>
            <w:r>
              <w:rPr>
                <w:i/>
                <w:iCs/>
                <w:sz w:val="21"/>
                <w:szCs w:val="21"/>
              </w:rPr>
              <w:t>Economic development level</w:t>
            </w:r>
            <w:r>
              <w:rPr>
                <w:sz w:val="21"/>
                <w:szCs w:val="21"/>
              </w:rPr>
              <w:t xml:space="preserve"> (C)</w:t>
            </w:r>
          </w:p>
        </w:tc>
        <w:tc>
          <w:tcPr>
            <w:tcW w:w="4768" w:type="dxa"/>
          </w:tcPr>
          <w:p w14:paraId="57BD5C16" w14:textId="77777777" w:rsidR="00957269" w:rsidRDefault="00000000">
            <w:pPr>
              <w:rPr>
                <w:i/>
                <w:iCs/>
                <w:sz w:val="21"/>
                <w:szCs w:val="21"/>
              </w:rPr>
            </w:pPr>
            <w:r>
              <w:rPr>
                <w:i/>
                <w:iCs/>
                <w:sz w:val="21"/>
                <w:szCs w:val="21"/>
              </w:rPr>
              <w:t>GDP per capita</w:t>
            </w:r>
          </w:p>
        </w:tc>
      </w:tr>
      <w:tr w:rsidR="00957269" w14:paraId="42727984" w14:textId="77777777">
        <w:trPr>
          <w:trHeight w:val="314"/>
        </w:trPr>
        <w:tc>
          <w:tcPr>
            <w:tcW w:w="4248" w:type="dxa"/>
          </w:tcPr>
          <w:p w14:paraId="29F36C1F" w14:textId="77777777" w:rsidR="00957269" w:rsidRDefault="00000000">
            <w:pPr>
              <w:rPr>
                <w:i/>
                <w:iCs/>
                <w:sz w:val="21"/>
                <w:szCs w:val="21"/>
              </w:rPr>
            </w:pPr>
            <w:r>
              <w:rPr>
                <w:i/>
                <w:iCs/>
                <w:sz w:val="21"/>
                <w:szCs w:val="21"/>
              </w:rPr>
              <w:t xml:space="preserve">Female participation in </w:t>
            </w:r>
            <w:proofErr w:type="spellStart"/>
            <w:r>
              <w:rPr>
                <w:i/>
                <w:iCs/>
                <w:sz w:val="21"/>
                <w:szCs w:val="21"/>
              </w:rPr>
              <w:t>labor</w:t>
            </w:r>
            <w:proofErr w:type="spellEnd"/>
            <w:r>
              <w:rPr>
                <w:i/>
                <w:iCs/>
                <w:sz w:val="21"/>
                <w:szCs w:val="21"/>
              </w:rPr>
              <w:t xml:space="preserve"> market </w:t>
            </w:r>
            <w:r>
              <w:rPr>
                <w:sz w:val="21"/>
                <w:szCs w:val="21"/>
              </w:rPr>
              <w:t>(C)</w:t>
            </w:r>
          </w:p>
        </w:tc>
        <w:tc>
          <w:tcPr>
            <w:tcW w:w="4768" w:type="dxa"/>
          </w:tcPr>
          <w:p w14:paraId="7A87AFDC" w14:textId="77777777" w:rsidR="00957269" w:rsidRDefault="00000000">
            <w:pPr>
              <w:rPr>
                <w:i/>
                <w:iCs/>
                <w:sz w:val="21"/>
                <w:szCs w:val="21"/>
              </w:rPr>
            </w:pPr>
            <w:r>
              <w:rPr>
                <w:i/>
                <w:iCs/>
                <w:sz w:val="21"/>
                <w:szCs w:val="21"/>
              </w:rPr>
              <w:t xml:space="preserve">Ratio of female-to-male </w:t>
            </w:r>
            <w:proofErr w:type="spellStart"/>
            <w:r>
              <w:rPr>
                <w:i/>
                <w:iCs/>
                <w:sz w:val="21"/>
                <w:szCs w:val="21"/>
              </w:rPr>
              <w:t>labor</w:t>
            </w:r>
            <w:proofErr w:type="spellEnd"/>
            <w:r>
              <w:rPr>
                <w:i/>
                <w:iCs/>
                <w:sz w:val="21"/>
                <w:szCs w:val="21"/>
              </w:rPr>
              <w:t xml:space="preserve"> force participation</w:t>
            </w:r>
          </w:p>
        </w:tc>
      </w:tr>
      <w:tr w:rsidR="00957269" w14:paraId="436D5393" w14:textId="77777777">
        <w:trPr>
          <w:trHeight w:val="300"/>
        </w:trPr>
        <w:tc>
          <w:tcPr>
            <w:tcW w:w="4248" w:type="dxa"/>
          </w:tcPr>
          <w:p w14:paraId="3CAC9AB0" w14:textId="77777777" w:rsidR="00957269" w:rsidRDefault="00000000">
            <w:pPr>
              <w:rPr>
                <w:i/>
                <w:iCs/>
                <w:sz w:val="21"/>
                <w:szCs w:val="21"/>
              </w:rPr>
            </w:pPr>
            <w:r>
              <w:rPr>
                <w:i/>
                <w:iCs/>
                <w:sz w:val="21"/>
                <w:szCs w:val="21"/>
              </w:rPr>
              <w:t xml:space="preserve">Level of employment </w:t>
            </w:r>
            <w:r>
              <w:rPr>
                <w:sz w:val="21"/>
                <w:szCs w:val="21"/>
              </w:rPr>
              <w:t>(C)</w:t>
            </w:r>
          </w:p>
        </w:tc>
        <w:tc>
          <w:tcPr>
            <w:tcW w:w="4768" w:type="dxa"/>
          </w:tcPr>
          <w:p w14:paraId="44B734B1" w14:textId="77777777" w:rsidR="00957269" w:rsidRDefault="00000000">
            <w:pPr>
              <w:rPr>
                <w:i/>
                <w:iCs/>
                <w:sz w:val="21"/>
                <w:szCs w:val="21"/>
              </w:rPr>
            </w:pPr>
            <w:r>
              <w:rPr>
                <w:i/>
                <w:iCs/>
                <w:sz w:val="21"/>
                <w:szCs w:val="21"/>
              </w:rPr>
              <w:t xml:space="preserve">Unemployment rate (% of total </w:t>
            </w:r>
            <w:proofErr w:type="spellStart"/>
            <w:r>
              <w:rPr>
                <w:i/>
                <w:iCs/>
                <w:sz w:val="21"/>
                <w:szCs w:val="21"/>
              </w:rPr>
              <w:t>labor</w:t>
            </w:r>
            <w:proofErr w:type="spellEnd"/>
            <w:r>
              <w:rPr>
                <w:i/>
                <w:iCs/>
                <w:sz w:val="21"/>
                <w:szCs w:val="21"/>
              </w:rPr>
              <w:t xml:space="preserve"> force)</w:t>
            </w:r>
          </w:p>
        </w:tc>
      </w:tr>
      <w:tr w:rsidR="00957269" w14:paraId="05A03A14" w14:textId="77777777">
        <w:trPr>
          <w:trHeight w:val="533"/>
        </w:trPr>
        <w:tc>
          <w:tcPr>
            <w:tcW w:w="4248" w:type="dxa"/>
          </w:tcPr>
          <w:p w14:paraId="542C101C" w14:textId="77777777" w:rsidR="00957269" w:rsidRDefault="00000000">
            <w:pPr>
              <w:rPr>
                <w:sz w:val="21"/>
                <w:szCs w:val="21"/>
              </w:rPr>
            </w:pPr>
            <w:r>
              <w:rPr>
                <w:sz w:val="21"/>
                <w:szCs w:val="21"/>
              </w:rPr>
              <w:t>Female education level (C)</w:t>
            </w:r>
          </w:p>
        </w:tc>
        <w:tc>
          <w:tcPr>
            <w:tcW w:w="4768" w:type="dxa"/>
          </w:tcPr>
          <w:p w14:paraId="3972D69E" w14:textId="77777777" w:rsidR="00957269" w:rsidRDefault="00000000">
            <w:pPr>
              <w:rPr>
                <w:sz w:val="21"/>
                <w:szCs w:val="21"/>
              </w:rPr>
            </w:pPr>
            <w:r>
              <w:rPr>
                <w:sz w:val="21"/>
                <w:szCs w:val="21"/>
              </w:rPr>
              <w:t>Gross enrolment in 2ndary education (avg. 2018-22)</w:t>
            </w:r>
          </w:p>
        </w:tc>
      </w:tr>
      <w:tr w:rsidR="00957269" w14:paraId="2A428F95" w14:textId="77777777">
        <w:tc>
          <w:tcPr>
            <w:tcW w:w="4248" w:type="dxa"/>
          </w:tcPr>
          <w:p w14:paraId="6EE0BA19" w14:textId="77777777" w:rsidR="00957269" w:rsidRDefault="00000000">
            <w:pPr>
              <w:rPr>
                <w:sz w:val="21"/>
                <w:szCs w:val="21"/>
              </w:rPr>
            </w:pPr>
            <w:r>
              <w:rPr>
                <w:sz w:val="21"/>
                <w:szCs w:val="21"/>
              </w:rPr>
              <w:t>Cultural dimensions</w:t>
            </w:r>
          </w:p>
        </w:tc>
        <w:tc>
          <w:tcPr>
            <w:tcW w:w="4768" w:type="dxa"/>
          </w:tcPr>
          <w:p w14:paraId="3E50510F" w14:textId="77777777" w:rsidR="00957269" w:rsidRDefault="00000000">
            <w:pPr>
              <w:rPr>
                <w:sz w:val="21"/>
                <w:szCs w:val="21"/>
              </w:rPr>
            </w:pPr>
            <w:r>
              <w:rPr>
                <w:sz w:val="21"/>
                <w:szCs w:val="21"/>
              </w:rPr>
              <w:t>Individualism, Motivation towards achievement and success, Long-term orientation</w:t>
            </w:r>
          </w:p>
        </w:tc>
      </w:tr>
      <w:tr w:rsidR="00957269" w14:paraId="2E85E96B" w14:textId="77777777">
        <w:trPr>
          <w:trHeight w:val="316"/>
        </w:trPr>
        <w:tc>
          <w:tcPr>
            <w:tcW w:w="9016" w:type="dxa"/>
            <w:gridSpan w:val="2"/>
          </w:tcPr>
          <w:p w14:paraId="568B0684" w14:textId="77777777" w:rsidR="00957269" w:rsidRDefault="00000000">
            <w:pPr>
              <w:rPr>
                <w:b/>
                <w:bCs/>
                <w:sz w:val="21"/>
                <w:szCs w:val="21"/>
                <w:u w:val="single"/>
              </w:rPr>
            </w:pPr>
            <w:r>
              <w:rPr>
                <w:b/>
                <w:bCs/>
                <w:sz w:val="21"/>
                <w:szCs w:val="21"/>
                <w:u w:val="single"/>
              </w:rPr>
              <w:t>Supplier level</w:t>
            </w:r>
          </w:p>
        </w:tc>
      </w:tr>
      <w:tr w:rsidR="00957269" w14:paraId="796507E8" w14:textId="77777777">
        <w:trPr>
          <w:trHeight w:val="287"/>
        </w:trPr>
        <w:tc>
          <w:tcPr>
            <w:tcW w:w="4248" w:type="dxa"/>
          </w:tcPr>
          <w:p w14:paraId="62588430" w14:textId="77777777" w:rsidR="00957269" w:rsidRDefault="00000000">
            <w:pPr>
              <w:rPr>
                <w:i/>
                <w:iCs/>
                <w:sz w:val="21"/>
                <w:szCs w:val="21"/>
              </w:rPr>
            </w:pPr>
            <w:r>
              <w:rPr>
                <w:i/>
                <w:iCs/>
                <w:sz w:val="21"/>
                <w:szCs w:val="21"/>
              </w:rPr>
              <w:t>Network prominence</w:t>
            </w:r>
          </w:p>
        </w:tc>
        <w:tc>
          <w:tcPr>
            <w:tcW w:w="4768" w:type="dxa"/>
          </w:tcPr>
          <w:p w14:paraId="78D408DD" w14:textId="77777777" w:rsidR="00957269" w:rsidRDefault="00000000">
            <w:pPr>
              <w:rPr>
                <w:i/>
                <w:iCs/>
                <w:sz w:val="21"/>
                <w:szCs w:val="21"/>
              </w:rPr>
            </w:pPr>
            <w:r>
              <w:rPr>
                <w:i/>
                <w:iCs/>
                <w:sz w:val="21"/>
                <w:szCs w:val="21"/>
              </w:rPr>
              <w:t># factories</w:t>
            </w:r>
          </w:p>
        </w:tc>
      </w:tr>
      <w:tr w:rsidR="00957269" w14:paraId="7278AB8B" w14:textId="77777777">
        <w:trPr>
          <w:trHeight w:val="310"/>
        </w:trPr>
        <w:tc>
          <w:tcPr>
            <w:tcW w:w="4248" w:type="dxa"/>
          </w:tcPr>
          <w:p w14:paraId="33ED58C7" w14:textId="77777777" w:rsidR="00957269" w:rsidRDefault="00000000">
            <w:pPr>
              <w:rPr>
                <w:i/>
                <w:iCs/>
                <w:sz w:val="21"/>
                <w:szCs w:val="21"/>
              </w:rPr>
            </w:pPr>
            <w:r>
              <w:rPr>
                <w:i/>
                <w:iCs/>
                <w:sz w:val="21"/>
                <w:szCs w:val="21"/>
              </w:rPr>
              <w:t>Geographical dispersion</w:t>
            </w:r>
          </w:p>
        </w:tc>
        <w:tc>
          <w:tcPr>
            <w:tcW w:w="4768" w:type="dxa"/>
          </w:tcPr>
          <w:p w14:paraId="337389C2" w14:textId="77777777" w:rsidR="00957269" w:rsidRDefault="00000000">
            <w:pPr>
              <w:rPr>
                <w:i/>
                <w:iCs/>
                <w:sz w:val="21"/>
                <w:szCs w:val="21"/>
              </w:rPr>
            </w:pPr>
            <w:r>
              <w:rPr>
                <w:i/>
                <w:iCs/>
                <w:sz w:val="21"/>
                <w:szCs w:val="21"/>
              </w:rPr>
              <w:t># countries with factories</w:t>
            </w:r>
          </w:p>
        </w:tc>
      </w:tr>
      <w:tr w:rsidR="00957269" w14:paraId="50E1BA70" w14:textId="77777777">
        <w:tc>
          <w:tcPr>
            <w:tcW w:w="4248" w:type="dxa"/>
          </w:tcPr>
          <w:p w14:paraId="1A59EC0F" w14:textId="77777777" w:rsidR="00957269" w:rsidRDefault="00000000">
            <w:pPr>
              <w:rPr>
                <w:sz w:val="21"/>
                <w:szCs w:val="21"/>
              </w:rPr>
            </w:pPr>
            <w:r>
              <w:rPr>
                <w:sz w:val="21"/>
                <w:szCs w:val="21"/>
              </w:rPr>
              <w:t>Country of HQs (categorical) (C)</w:t>
            </w:r>
          </w:p>
        </w:tc>
        <w:tc>
          <w:tcPr>
            <w:tcW w:w="4768" w:type="dxa"/>
          </w:tcPr>
          <w:p w14:paraId="06C1B8F8" w14:textId="77777777" w:rsidR="00957269" w:rsidRDefault="00000000">
            <w:pPr>
              <w:rPr>
                <w:sz w:val="21"/>
                <w:szCs w:val="21"/>
              </w:rPr>
            </w:pPr>
            <w:r>
              <w:rPr>
                <w:sz w:val="21"/>
                <w:szCs w:val="21"/>
              </w:rPr>
              <w:t>country dummies</w:t>
            </w:r>
          </w:p>
        </w:tc>
      </w:tr>
      <w:tr w:rsidR="00957269" w14:paraId="162634C9" w14:textId="77777777">
        <w:trPr>
          <w:trHeight w:val="560"/>
        </w:trPr>
        <w:tc>
          <w:tcPr>
            <w:tcW w:w="9016" w:type="dxa"/>
            <w:gridSpan w:val="2"/>
          </w:tcPr>
          <w:p w14:paraId="7EBA4B4D" w14:textId="77777777" w:rsidR="00957269" w:rsidRDefault="00957269">
            <w:pPr>
              <w:rPr>
                <w:b/>
                <w:bCs/>
                <w:sz w:val="21"/>
                <w:szCs w:val="21"/>
                <w:u w:val="single"/>
              </w:rPr>
            </w:pPr>
          </w:p>
          <w:p w14:paraId="4BE7C966" w14:textId="77777777" w:rsidR="00957269" w:rsidRDefault="00000000">
            <w:pPr>
              <w:rPr>
                <w:b/>
                <w:bCs/>
                <w:sz w:val="21"/>
                <w:szCs w:val="21"/>
                <w:u w:val="single"/>
              </w:rPr>
            </w:pPr>
            <w:r>
              <w:rPr>
                <w:b/>
                <w:bCs/>
                <w:sz w:val="21"/>
                <w:szCs w:val="21"/>
                <w:u w:val="single"/>
              </w:rPr>
              <w:t>Factory level</w:t>
            </w:r>
          </w:p>
        </w:tc>
      </w:tr>
      <w:tr w:rsidR="00957269" w14:paraId="691BCDF2" w14:textId="77777777">
        <w:trPr>
          <w:trHeight w:val="273"/>
        </w:trPr>
        <w:tc>
          <w:tcPr>
            <w:tcW w:w="4248" w:type="dxa"/>
          </w:tcPr>
          <w:p w14:paraId="52C3B79E" w14:textId="77777777" w:rsidR="00957269" w:rsidRDefault="00000000">
            <w:pPr>
              <w:rPr>
                <w:i/>
                <w:iCs/>
                <w:sz w:val="21"/>
                <w:szCs w:val="21"/>
              </w:rPr>
            </w:pPr>
            <w:r>
              <w:rPr>
                <w:i/>
                <w:iCs/>
                <w:sz w:val="21"/>
                <w:szCs w:val="21"/>
              </w:rPr>
              <w:t xml:space="preserve">Size </w:t>
            </w:r>
            <w:r>
              <w:rPr>
                <w:sz w:val="21"/>
                <w:szCs w:val="21"/>
              </w:rPr>
              <w:t>(C)</w:t>
            </w:r>
          </w:p>
        </w:tc>
        <w:tc>
          <w:tcPr>
            <w:tcW w:w="4768" w:type="dxa"/>
          </w:tcPr>
          <w:p w14:paraId="396815DF" w14:textId="77777777" w:rsidR="00957269" w:rsidRDefault="00000000">
            <w:pPr>
              <w:rPr>
                <w:i/>
                <w:iCs/>
                <w:sz w:val="21"/>
                <w:szCs w:val="21"/>
              </w:rPr>
            </w:pPr>
            <w:r>
              <w:rPr>
                <w:i/>
                <w:iCs/>
                <w:sz w:val="21"/>
                <w:szCs w:val="21"/>
              </w:rPr>
              <w:t># total workers (ln)</w:t>
            </w:r>
          </w:p>
        </w:tc>
      </w:tr>
      <w:tr w:rsidR="00957269" w14:paraId="3DE1182D" w14:textId="77777777">
        <w:trPr>
          <w:trHeight w:val="350"/>
        </w:trPr>
        <w:tc>
          <w:tcPr>
            <w:tcW w:w="4248" w:type="dxa"/>
          </w:tcPr>
          <w:p w14:paraId="6AB8B71F" w14:textId="77777777" w:rsidR="00957269" w:rsidRDefault="00000000">
            <w:pPr>
              <w:rPr>
                <w:i/>
                <w:iCs/>
                <w:sz w:val="21"/>
                <w:szCs w:val="21"/>
              </w:rPr>
            </w:pPr>
            <w:r>
              <w:rPr>
                <w:i/>
                <w:iCs/>
                <w:sz w:val="21"/>
                <w:szCs w:val="21"/>
              </w:rPr>
              <w:t xml:space="preserve">Labour intensity </w:t>
            </w:r>
            <w:r>
              <w:rPr>
                <w:sz w:val="21"/>
                <w:szCs w:val="21"/>
              </w:rPr>
              <w:t>(C)</w:t>
            </w:r>
          </w:p>
        </w:tc>
        <w:tc>
          <w:tcPr>
            <w:tcW w:w="4768" w:type="dxa"/>
          </w:tcPr>
          <w:p w14:paraId="4B5603EA" w14:textId="77777777" w:rsidR="00957269" w:rsidRDefault="00000000">
            <w:pPr>
              <w:jc w:val="center"/>
              <w:rPr>
                <w:rFonts w:ascii="Cambria Math" w:eastAsia="Cambria Math" w:hAnsi="Cambria Math" w:cs="Cambria Math"/>
                <w:sz w:val="21"/>
                <w:szCs w:val="21"/>
              </w:rPr>
            </w:pPr>
            <m:oMathPara>
              <m:oMath>
                <m:f>
                  <m:fPr>
                    <m:ctrlPr>
                      <w:rPr>
                        <w:rFonts w:ascii="Cambria Math" w:eastAsia="Cambria Math" w:hAnsi="Cambria Math" w:cs="Cambria Math"/>
                        <w:sz w:val="21"/>
                        <w:szCs w:val="21"/>
                      </w:rPr>
                    </m:ctrlPr>
                  </m:fPr>
                  <m:num>
                    <m:r>
                      <w:rPr>
                        <w:rFonts w:ascii="Cambria Math" w:eastAsia="Cambria Math" w:hAnsi="Cambria Math" w:cs="Cambria Math"/>
                        <w:sz w:val="21"/>
                        <w:szCs w:val="21"/>
                      </w:rPr>
                      <m:t># line workers</m:t>
                    </m:r>
                  </m:num>
                  <m:den>
                    <m:r>
                      <w:rPr>
                        <w:rFonts w:ascii="Cambria Math" w:eastAsia="Cambria Math" w:hAnsi="Cambria Math" w:cs="Cambria Math"/>
                        <w:sz w:val="21"/>
                        <w:szCs w:val="21"/>
                      </w:rPr>
                      <m:t># total workers</m:t>
                    </m:r>
                  </m:den>
                </m:f>
              </m:oMath>
            </m:oMathPara>
          </w:p>
        </w:tc>
      </w:tr>
      <w:tr w:rsidR="00957269" w14:paraId="5DB42956" w14:textId="77777777">
        <w:trPr>
          <w:trHeight w:val="383"/>
        </w:trPr>
        <w:tc>
          <w:tcPr>
            <w:tcW w:w="4248" w:type="dxa"/>
          </w:tcPr>
          <w:p w14:paraId="7F694CF6" w14:textId="77777777" w:rsidR="00957269" w:rsidRDefault="00000000">
            <w:pPr>
              <w:rPr>
                <w:sz w:val="21"/>
                <w:szCs w:val="21"/>
              </w:rPr>
            </w:pPr>
            <w:r>
              <w:rPr>
                <w:sz w:val="21"/>
                <w:szCs w:val="21"/>
              </w:rPr>
              <w:t>Product type (categorical)</w:t>
            </w:r>
          </w:p>
        </w:tc>
        <w:tc>
          <w:tcPr>
            <w:tcW w:w="4768" w:type="dxa"/>
          </w:tcPr>
          <w:p w14:paraId="05BA78AD" w14:textId="77777777" w:rsidR="00957269" w:rsidRDefault="00000000">
            <w:pPr>
              <w:pBdr>
                <w:top w:val="nil"/>
                <w:left w:val="nil"/>
                <w:bottom w:val="nil"/>
                <w:right w:val="nil"/>
                <w:between w:val="nil"/>
              </w:pBdr>
              <w:rPr>
                <w:color w:val="000000"/>
                <w:sz w:val="21"/>
                <w:szCs w:val="21"/>
              </w:rPr>
            </w:pPr>
            <w:r>
              <w:rPr>
                <w:color w:val="000000"/>
                <w:sz w:val="21"/>
                <w:szCs w:val="21"/>
              </w:rPr>
              <w:t xml:space="preserve">0 = Apparel; 1 = Equipment or Footwear </w:t>
            </w:r>
          </w:p>
        </w:tc>
      </w:tr>
      <w:tr w:rsidR="00957269" w14:paraId="73D452E8" w14:textId="77777777">
        <w:trPr>
          <w:trHeight w:val="869"/>
        </w:trPr>
        <w:tc>
          <w:tcPr>
            <w:tcW w:w="9016" w:type="dxa"/>
            <w:gridSpan w:val="2"/>
            <w:tcBorders>
              <w:top w:val="single" w:sz="4" w:space="0" w:color="000000"/>
              <w:bottom w:val="single" w:sz="4" w:space="0" w:color="000000"/>
            </w:tcBorders>
          </w:tcPr>
          <w:p w14:paraId="63A2B3B0" w14:textId="49A21C01" w:rsidR="00957269" w:rsidRDefault="00000000">
            <w:pPr>
              <w:jc w:val="both"/>
            </w:pPr>
            <w:r>
              <w:rPr>
                <w:b/>
                <w:bCs/>
              </w:rPr>
              <w:t>Notes:</w:t>
            </w:r>
            <w:r>
              <w:t xml:space="preserve"> Time-varying variables are </w:t>
            </w:r>
            <w:r>
              <w:rPr>
                <w:i/>
                <w:iCs/>
              </w:rPr>
              <w:t>italicized.</w:t>
            </w:r>
            <w:r>
              <w:t xml:space="preserve"> Control variables are marked with (C). For gross enrolment in secondary </w:t>
            </w:r>
            <w:r w:rsidR="00213537">
              <w:t>education,</w:t>
            </w:r>
            <w:r>
              <w:t xml:space="preserve"> we took each country’s average over 2018-2022 due to missing values for several countries.</w:t>
            </w:r>
          </w:p>
        </w:tc>
      </w:tr>
    </w:tbl>
    <w:p w14:paraId="337D84AB" w14:textId="77777777" w:rsidR="00957269" w:rsidRDefault="00957269">
      <w:pPr>
        <w:pBdr>
          <w:top w:val="nil"/>
          <w:left w:val="nil"/>
          <w:bottom w:val="nil"/>
          <w:right w:val="nil"/>
          <w:between w:val="nil"/>
        </w:pBdr>
        <w:jc w:val="both"/>
        <w:rPr>
          <w:b/>
          <w:bCs/>
        </w:rPr>
      </w:pPr>
    </w:p>
    <w:p w14:paraId="21EEF0FC" w14:textId="77777777" w:rsidR="00213537" w:rsidRDefault="00213537" w:rsidP="00213537">
      <w:pPr>
        <w:jc w:val="both"/>
        <w:rPr>
          <w:b/>
          <w:bCs/>
        </w:rPr>
      </w:pPr>
      <w:r>
        <w:rPr>
          <w:b/>
          <w:bCs/>
        </w:rPr>
        <w:t>Estimation framework</w:t>
      </w:r>
    </w:p>
    <w:p w14:paraId="669FAD77" w14:textId="77777777" w:rsidR="00213537" w:rsidRDefault="00213537" w:rsidP="00213537">
      <w:pPr>
        <w:jc w:val="both"/>
        <w:rPr>
          <w:b/>
          <w:bCs/>
        </w:rPr>
      </w:pPr>
    </w:p>
    <w:p w14:paraId="16CE97BB" w14:textId="77777777" w:rsidR="00213537" w:rsidRDefault="00213537" w:rsidP="00213537">
      <w:pPr>
        <w:jc w:val="both"/>
      </w:pPr>
      <w:r>
        <w:t>Given the data structure (detailed earlier) and our multi-level lens, we specify a</w:t>
      </w:r>
      <w:r w:rsidRPr="00132BBA">
        <w:t xml:space="preserve"> two-way cross-classified model with three levels. Level 1 are the measurement occasions for each factory (1-4 observations per factory between 2020-2023), while level 2 are the factories. Suppliers and countries are both level 3, and are crossed with one another, as described earlier and exhibited in Figure 2.</w:t>
      </w:r>
    </w:p>
    <w:p w14:paraId="0E9FB12F" w14:textId="77777777" w:rsidR="00213537" w:rsidRPr="00132BBA" w:rsidRDefault="00213537" w:rsidP="00213537">
      <w:pPr>
        <w:ind w:firstLine="720"/>
        <w:jc w:val="both"/>
      </w:pPr>
      <w:r w:rsidRPr="00132BBA">
        <w:t>The standard starting point of multi-level analysis is a variance components model, also known as the ‘null’ model. Here, the null model includes an intercept</w:t>
      </w:r>
      <w:r>
        <w:t>,</w:t>
      </w:r>
      <w:r w:rsidRPr="00132BBA">
        <w:t xml:space="preserve"> and country, supplier and factory random effects, as well as a factory-level residual error term. The model simply decomposes the total variance in the proportion of females employed at the factory-level over the timeframe into separate factory, supplier and country variance components. Following </w:t>
      </w:r>
      <w:proofErr w:type="spellStart"/>
      <w:r w:rsidRPr="00132BBA">
        <w:t>Rasbash</w:t>
      </w:r>
      <w:proofErr w:type="spellEnd"/>
      <w:r w:rsidRPr="00132BBA">
        <w:t xml:space="preserve"> and Browne (2001), we use ‘multiple subscript notation’ to express the model (see Leckie, 2013</w:t>
      </w:r>
      <w:r>
        <w:t>a</w:t>
      </w:r>
      <w:r w:rsidRPr="00132BBA">
        <w:t>):</w:t>
      </w:r>
    </w:p>
    <w:p w14:paraId="1F5D2028" w14:textId="77777777" w:rsidR="00213537" w:rsidRDefault="00213537" w:rsidP="00213537"/>
    <w:p w14:paraId="52A76E54" w14:textId="77777777" w:rsidR="00213537" w:rsidRPr="00A52A80" w:rsidRDefault="00213537" w:rsidP="00213537">
      <w:pPr>
        <w:jc w:val="center"/>
        <w:rPr>
          <w:rFonts w:eastAsiaTheme="minorEastAsia"/>
        </w:rPr>
      </w:pPr>
      <m:oMath>
        <m:sSub>
          <m:sSubPr>
            <m:ctrlPr>
              <w:rPr>
                <w:rFonts w:ascii="Cambria Math" w:hAnsi="Cambria Math"/>
                <w:i/>
              </w:rPr>
            </m:ctrlPr>
          </m:sSubPr>
          <m:e>
            <m:r>
              <w:rPr>
                <w:rFonts w:ascii="Cambria Math" w:hAnsi="Cambria Math"/>
              </w:rPr>
              <m:t>y</m:t>
            </m:r>
          </m:e>
          <m:sub>
            <m:r>
              <w:rPr>
                <w:rFonts w:ascii="Cambria Math" w:hAnsi="Cambria Math"/>
              </w:rPr>
              <m:t>it(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1</m:t>
                </m:r>
              </m:sub>
            </m:sSub>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2</m:t>
                </m:r>
              </m:sub>
            </m:sSub>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oMath>
      <w:r>
        <w:rPr>
          <w:rFonts w:eastAsiaTheme="minorEastAsia"/>
        </w:rPr>
        <w:t xml:space="preserve">                    (1)</w:t>
      </w:r>
    </w:p>
    <w:p w14:paraId="7C407783" w14:textId="77777777" w:rsidR="00213537" w:rsidRDefault="00213537" w:rsidP="00213537">
      <w:pPr>
        <w:rPr>
          <w:rFonts w:eastAsiaTheme="minorEastAsia"/>
        </w:rPr>
      </w:pPr>
      <w:r>
        <w:rPr>
          <w:rFonts w:eastAsiaTheme="minorEastAsia"/>
        </w:rPr>
        <w:t>With:</w:t>
      </w:r>
    </w:p>
    <w:p w14:paraId="5035C51D" w14:textId="77777777" w:rsidR="00213537" w:rsidRDefault="00213537" w:rsidP="00213537">
      <w:pPr>
        <w:rPr>
          <w:rFonts w:eastAsiaTheme="minorEastAsia"/>
        </w:rPr>
      </w:pPr>
      <w:r>
        <w:rPr>
          <w:rFonts w:eastAsiaTheme="minorEastAsia"/>
        </w:rPr>
        <w:t xml:space="preserve">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1</m:t>
                </m:r>
              </m:sub>
            </m:sSub>
          </m:sub>
        </m:sSub>
        <m:r>
          <w:rPr>
            <w:rFonts w:ascii="Cambria Math" w:hAnsi="Cambria Math"/>
          </w:rPr>
          <m:t>~N(0,</m:t>
        </m:r>
        <m:sSubSup>
          <m:sSubSupPr>
            <m:ctrlPr>
              <w:rPr>
                <w:rFonts w:ascii="Cambria Math" w:hAnsi="Cambria Math"/>
                <w:i/>
              </w:rPr>
            </m:ctrlPr>
          </m:sSubSupPr>
          <m:e>
            <m:r>
              <w:rPr>
                <w:rFonts w:ascii="Cambria Math" w:hAnsi="Cambria Math"/>
              </w:rPr>
              <m:t>σ</m:t>
            </m:r>
          </m:e>
          <m:sub>
            <m:r>
              <w:rPr>
                <w:rFonts w:ascii="Cambria Math" w:hAnsi="Cambria Math"/>
              </w:rPr>
              <m:t>u</m:t>
            </m:r>
            <m:d>
              <m:dPr>
                <m:ctrlPr>
                  <w:rPr>
                    <w:rFonts w:ascii="Cambria Math" w:hAnsi="Cambria Math"/>
                    <w:i/>
                  </w:rPr>
                </m:ctrlPr>
              </m:dPr>
              <m:e>
                <m:r>
                  <w:rPr>
                    <w:rFonts w:ascii="Cambria Math" w:hAnsi="Cambria Math"/>
                  </w:rPr>
                  <m:t>1</m:t>
                </m:r>
              </m:e>
            </m:d>
          </m:sub>
          <m:sup>
            <m:r>
              <w:rPr>
                <w:rFonts w:ascii="Cambria Math" w:hAnsi="Cambria Math"/>
              </w:rPr>
              <m:t>2</m:t>
            </m:r>
          </m:sup>
        </m:sSubSup>
        <m:r>
          <w:rPr>
            <w:rFonts w:ascii="Cambria Math" w:hAnsi="Cambria Math"/>
          </w:rPr>
          <m:t>)</m:t>
        </m:r>
      </m:oMath>
      <w:r>
        <w:rPr>
          <w:rFonts w:eastAsiaTheme="minorEastAsia"/>
        </w:rPr>
        <w:t xml:space="preserve">,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2</m:t>
                </m:r>
              </m:sub>
            </m:sSub>
          </m:sub>
        </m:sSub>
        <m:r>
          <w:rPr>
            <w:rFonts w:ascii="Cambria Math" w:hAnsi="Cambria Math"/>
          </w:rPr>
          <m:t>~N(0,</m:t>
        </m:r>
        <m:sSubSup>
          <m:sSubSupPr>
            <m:ctrlPr>
              <w:rPr>
                <w:rFonts w:ascii="Cambria Math" w:hAnsi="Cambria Math"/>
                <w:i/>
              </w:rPr>
            </m:ctrlPr>
          </m:sSubSupPr>
          <m:e>
            <m:r>
              <w:rPr>
                <w:rFonts w:ascii="Cambria Math" w:hAnsi="Cambria Math"/>
              </w:rPr>
              <m:t>σ</m:t>
            </m:r>
          </m:e>
          <m:sub>
            <m:r>
              <w:rPr>
                <w:rFonts w:ascii="Cambria Math" w:hAnsi="Cambria Math"/>
              </w:rPr>
              <m:t>u</m:t>
            </m:r>
            <m:d>
              <m:dPr>
                <m:ctrlPr>
                  <w:rPr>
                    <w:rFonts w:ascii="Cambria Math" w:hAnsi="Cambria Math"/>
                    <w:i/>
                  </w:rPr>
                </m:ctrlPr>
              </m:dPr>
              <m:e>
                <m:r>
                  <w:rPr>
                    <w:rFonts w:ascii="Cambria Math" w:hAnsi="Cambria Math"/>
                  </w:rPr>
                  <m:t>2</m:t>
                </m:r>
              </m:e>
            </m:d>
          </m:sub>
          <m:sup>
            <m:r>
              <w:rPr>
                <w:rFonts w:ascii="Cambria Math" w:hAnsi="Cambria Math"/>
              </w:rPr>
              <m:t>2</m:t>
            </m:r>
          </m:sup>
        </m:sSubSup>
        <m:r>
          <w:rPr>
            <w:rFonts w:ascii="Cambria Math" w:eastAsiaTheme="minorEastAsia" w:hAnsi="Cambria Math"/>
          </w:rPr>
          <m:t>)</m:t>
        </m:r>
      </m:oMath>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~N(0,</m:t>
        </m:r>
        <m:sSubSup>
          <m:sSubSupPr>
            <m:ctrlPr>
              <w:rPr>
                <w:rFonts w:ascii="Cambria Math" w:hAnsi="Cambria Math"/>
                <w:i/>
              </w:rPr>
            </m:ctrlPr>
          </m:sSubSupPr>
          <m:e>
            <m:r>
              <w:rPr>
                <w:rFonts w:ascii="Cambria Math" w:hAnsi="Cambria Math"/>
              </w:rPr>
              <m:t>σ</m:t>
            </m:r>
          </m:e>
          <m:sub>
            <m:r>
              <w:rPr>
                <w:rFonts w:ascii="Cambria Math" w:hAnsi="Cambria Math"/>
              </w:rPr>
              <m:t>v</m:t>
            </m:r>
          </m:sub>
          <m:sup>
            <m:r>
              <w:rPr>
                <w:rFonts w:ascii="Cambria Math" w:hAnsi="Cambria Math"/>
              </w:rPr>
              <m:t>2</m:t>
            </m:r>
          </m:sup>
        </m:sSubSup>
        <m:r>
          <w:rPr>
            <w:rFonts w:ascii="Cambria Math" w:eastAsiaTheme="minorEastAsia" w:hAnsi="Cambria Math"/>
          </w:rPr>
          <m:t>)</m:t>
        </m:r>
      </m:oMath>
      <w:r>
        <w:rPr>
          <w:rFonts w:eastAsiaTheme="minorEastAsia"/>
        </w:rPr>
        <w:t xml:space="preserve">, </w:t>
      </w:r>
      <m:oMath>
        <m:sSub>
          <m:sSubPr>
            <m:ctrlPr>
              <w:rPr>
                <w:rFonts w:ascii="Cambria Math" w:hAnsi="Cambria Math"/>
                <w:i/>
              </w:rPr>
            </m:ctrlPr>
          </m:sSubPr>
          <m:e>
            <m:r>
              <w:rPr>
                <w:rFonts w:ascii="Cambria Math" w:hAnsi="Cambria Math"/>
              </w:rPr>
              <m:t>e</m:t>
            </m:r>
          </m:e>
          <m:sub>
            <m:r>
              <w:rPr>
                <w:rFonts w:ascii="Cambria Math" w:hAnsi="Cambria Math"/>
              </w:rPr>
              <m:t>it(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r>
          <w:rPr>
            <w:rFonts w:ascii="Cambria Math" w:hAnsi="Cambria Math"/>
          </w:rPr>
          <m:t>~N(0,</m:t>
        </m:r>
        <m:sSubSup>
          <m:sSubSupPr>
            <m:ctrlPr>
              <w:rPr>
                <w:rFonts w:ascii="Cambria Math" w:hAnsi="Cambria Math"/>
                <w:i/>
              </w:rPr>
            </m:ctrlPr>
          </m:sSubSupPr>
          <m:e>
            <m:r>
              <w:rPr>
                <w:rFonts w:ascii="Cambria Math" w:hAnsi="Cambria Math"/>
              </w:rPr>
              <m:t>σ</m:t>
            </m:r>
          </m:e>
          <m:sub>
            <m:r>
              <w:rPr>
                <w:rFonts w:ascii="Cambria Math" w:hAnsi="Cambria Math"/>
              </w:rPr>
              <m:t>i</m:t>
            </m:r>
          </m:sub>
          <m:sup>
            <m:r>
              <w:rPr>
                <w:rFonts w:ascii="Cambria Math" w:hAnsi="Cambria Math"/>
              </w:rPr>
              <m:t>2</m:t>
            </m:r>
          </m:sup>
        </m:sSubSup>
        <m:r>
          <w:rPr>
            <w:rFonts w:ascii="Cambria Math" w:eastAsiaTheme="minorEastAsia" w:hAnsi="Cambria Math"/>
          </w:rPr>
          <m:t>)</m:t>
        </m:r>
      </m:oMath>
    </w:p>
    <w:p w14:paraId="39D7D25C" w14:textId="77777777" w:rsidR="00213537" w:rsidRDefault="00213537" w:rsidP="00213537"/>
    <w:p w14:paraId="27ADF1AF" w14:textId="2070404A" w:rsidR="00213537" w:rsidRDefault="00213537" w:rsidP="00213537">
      <w:pPr>
        <w:ind w:firstLine="720"/>
        <w:jc w:val="both"/>
        <w:rPr>
          <w:rFonts w:eastAsiaTheme="minorEastAsia"/>
        </w:rPr>
      </w:pPr>
      <w:r>
        <w:rPr>
          <w:rFonts w:eastAsiaTheme="minorEastAsia"/>
        </w:rPr>
        <w:t xml:space="preserve">In this notation, </w:t>
      </w:r>
      <m:oMath>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1</m:t>
            </m:r>
          </m:sub>
        </m:sSub>
        <m:r>
          <w:rPr>
            <w:rFonts w:ascii="Cambria Math" w:eastAsiaTheme="minorEastAsia" w:hAnsi="Cambria Math"/>
          </w:rPr>
          <m:t>=1,…, 42)</m:t>
        </m:r>
      </m:oMath>
      <w:r>
        <w:rPr>
          <w:rFonts w:eastAsiaTheme="minorEastAsia"/>
        </w:rPr>
        <w:t xml:space="preserve"> indexes the countries and </w:t>
      </w:r>
      <m:oMath>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2</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2</m:t>
            </m:r>
          </m:sub>
        </m:sSub>
        <m:r>
          <w:rPr>
            <w:rFonts w:ascii="Cambria Math" w:eastAsiaTheme="minorEastAsia" w:hAnsi="Cambria Math"/>
          </w:rPr>
          <m:t>=1,…, 367)</m:t>
        </m:r>
      </m:oMath>
      <w:r>
        <w:rPr>
          <w:rFonts w:eastAsiaTheme="minorEastAsia"/>
        </w:rPr>
        <w:t xml:space="preserve"> indexes the suppliers, communicating that the country and supplier are conceptually at the same level of the hierarchy, here level 3. </w:t>
      </w:r>
      <m:oMath>
        <m:sSub>
          <m:sSubPr>
            <m:ctrlPr>
              <w:rPr>
                <w:rFonts w:ascii="Cambria Math" w:hAnsi="Cambria Math"/>
                <w:i/>
              </w:rPr>
            </m:ctrlPr>
          </m:sSubPr>
          <m:e>
            <m:r>
              <w:rPr>
                <w:rFonts w:ascii="Cambria Math" w:hAnsi="Cambria Math"/>
              </w:rPr>
              <m:t>y</m:t>
            </m:r>
          </m:e>
          <m:sub>
            <m:r>
              <w:rPr>
                <w:rFonts w:ascii="Cambria Math" w:hAnsi="Cambria Math"/>
              </w:rPr>
              <m:t>it(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oMath>
      <w:r>
        <w:rPr>
          <w:rFonts w:eastAsiaTheme="minorEastAsia"/>
        </w:rPr>
        <w:t xml:space="preserve"> stands for the observed proportion of female employees of factory </w:t>
      </w:r>
      <m:oMath>
        <m:r>
          <w:rPr>
            <w:rFonts w:ascii="Cambria Math" w:eastAsiaTheme="minorEastAsia" w:hAnsi="Cambria Math"/>
          </w:rPr>
          <m:t>i</m:t>
        </m:r>
      </m:oMath>
      <w:r>
        <w:rPr>
          <w:rFonts w:eastAsiaTheme="minorEastAsia"/>
        </w:rPr>
        <w:t xml:space="preserve">, which varies by year </w:t>
      </w:r>
      <m:oMath>
        <m:r>
          <w:rPr>
            <w:rFonts w:ascii="Cambria Math" w:eastAsiaTheme="minorEastAsia" w:hAnsi="Cambria Math"/>
          </w:rPr>
          <m:t>t (t=2020,…, 2023</m:t>
        </m:r>
      </m:oMath>
      <w:r>
        <w:rPr>
          <w:rFonts w:eastAsiaTheme="minorEastAsia"/>
        </w:rPr>
        <w:t xml:space="preserve">), contained in the ‘cell’ defined by country </w:t>
      </w:r>
      <m:oMath>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1</m:t>
            </m:r>
          </m:sub>
        </m:sSub>
      </m:oMath>
      <w:r>
        <w:rPr>
          <w:rFonts w:eastAsiaTheme="minorEastAsia"/>
        </w:rPr>
        <w:t xml:space="preserve"> and supplier </w:t>
      </w:r>
      <m:oMath>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2</m:t>
            </m:r>
          </m:sub>
        </m:sSub>
      </m:oMath>
      <w:r>
        <w:rPr>
          <w:rFonts w:eastAsiaTheme="minorEastAsia"/>
        </w:rPr>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Pr>
          <w:rFonts w:eastAsiaTheme="minorEastAsia"/>
        </w:rPr>
        <w:t xml:space="preserve"> is the mean fraction of females across all observed factory-year pairs.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1</m:t>
                </m:r>
              </m:sub>
            </m:sSub>
          </m:sub>
        </m:sSub>
      </m:oMath>
      <w:r>
        <w:rPr>
          <w:rFonts w:eastAsiaTheme="minorEastAsia"/>
        </w:rPr>
        <w:t xml:space="preserve"> and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j</m:t>
                </m:r>
              </m:e>
              <m:sub>
                <m:r>
                  <w:rPr>
                    <w:rFonts w:ascii="Cambria Math" w:hAnsi="Cambria Math"/>
                  </w:rPr>
                  <m:t>2</m:t>
                </m:r>
              </m:sub>
            </m:sSub>
          </m:sub>
        </m:sSub>
      </m:oMath>
      <w:r>
        <w:rPr>
          <w:rFonts w:eastAsiaTheme="minorEastAsia"/>
        </w:rPr>
        <w:t xml:space="preserve"> are the country and supplier variance parameters (i.e., the </w:t>
      </w:r>
      <w:r>
        <w:rPr>
          <w:rFonts w:eastAsiaTheme="minorEastAsia"/>
        </w:rPr>
        <w:t>higher-level</w:t>
      </w:r>
      <w:r>
        <w:rPr>
          <w:rFonts w:eastAsiaTheme="minorEastAsia"/>
        </w:rPr>
        <w:t xml:space="preserve"> random effects), </w:t>
      </w:r>
      <m:oMath>
        <m:sSub>
          <m:sSubPr>
            <m:ctrlPr>
              <w:rPr>
                <w:rFonts w:ascii="Cambria Math" w:hAnsi="Cambria Math"/>
                <w:i/>
              </w:rPr>
            </m:ctrlPr>
          </m:sSubPr>
          <m:e>
            <m:r>
              <w:rPr>
                <w:rFonts w:ascii="Cambria Math" w:hAnsi="Cambria Math"/>
              </w:rPr>
              <m:t>v</m:t>
            </m:r>
          </m:e>
          <m:sub>
            <m:r>
              <w:rPr>
                <w:rFonts w:ascii="Cambria Math" w:hAnsi="Cambria Math"/>
              </w:rPr>
              <m:t>i(</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oMath>
      <w:r>
        <w:rPr>
          <w:rFonts w:eastAsiaTheme="minorEastAsia"/>
        </w:rPr>
        <w:t xml:space="preserve"> is the random effect of the factory that is cross-classified in the </w:t>
      </w:r>
      <m:oMath>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oMath>
      <w:r>
        <w:rPr>
          <w:rFonts w:eastAsiaTheme="minorEastAsia"/>
        </w:rPr>
        <w:t xml:space="preserve"> country-by-supplier cell, and </w:t>
      </w:r>
      <m:oMath>
        <m:sSub>
          <m:sSubPr>
            <m:ctrlPr>
              <w:rPr>
                <w:rFonts w:ascii="Cambria Math" w:hAnsi="Cambria Math"/>
                <w:i/>
              </w:rPr>
            </m:ctrlPr>
          </m:sSubPr>
          <m:e>
            <m:r>
              <w:rPr>
                <w:rFonts w:ascii="Cambria Math" w:hAnsi="Cambria Math"/>
              </w:rPr>
              <m:t>e</m:t>
            </m:r>
          </m:e>
          <m:sub>
            <m:r>
              <w:rPr>
                <w:rFonts w:ascii="Cambria Math" w:hAnsi="Cambria Math"/>
              </w:rPr>
              <m:t>it(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ub>
        </m:sSub>
      </m:oMath>
      <w:r>
        <w:rPr>
          <w:rFonts w:eastAsiaTheme="minorEastAsia"/>
        </w:rPr>
        <w:t xml:space="preserve"> is the factory level residual error.</w:t>
      </w:r>
    </w:p>
    <w:p w14:paraId="571D8D61" w14:textId="77777777" w:rsidR="00213537" w:rsidRPr="00A36404" w:rsidRDefault="00213537" w:rsidP="00213537">
      <w:pPr>
        <w:ind w:firstLine="720"/>
        <w:jc w:val="both"/>
        <w:rPr>
          <w:rFonts w:eastAsiaTheme="minorEastAsia"/>
        </w:rPr>
      </w:pPr>
      <w:r w:rsidRPr="00A36404">
        <w:rPr>
          <w:rFonts w:eastAsiaTheme="minorEastAsia"/>
        </w:rPr>
        <w:t>The standard cross-classified model assumes that the higher-level units (country and supplier) have additive effects on the response</w:t>
      </w:r>
      <w:r>
        <w:rPr>
          <w:rFonts w:eastAsiaTheme="minorEastAsia"/>
        </w:rPr>
        <w:t xml:space="preserve"> variable</w:t>
      </w:r>
      <w:r w:rsidRPr="00A36404">
        <w:rPr>
          <w:rFonts w:eastAsiaTheme="minorEastAsia"/>
        </w:rPr>
        <w:t xml:space="preserve">. That is, the ‘total effect’ on the proportion of females employed at the factory level is simply the additive sum of the country effect and the supplier effect. This implies that the effect a supplier has on its factories (through, for example, HR policies, incentives, monitoring activities) is the </w:t>
      </w:r>
      <w:r w:rsidRPr="00A36404">
        <w:rPr>
          <w:rFonts w:eastAsiaTheme="minorEastAsia"/>
          <w:i/>
          <w:iCs/>
        </w:rPr>
        <w:t>same for all</w:t>
      </w:r>
      <w:r w:rsidRPr="00A36404">
        <w:rPr>
          <w:rFonts w:eastAsiaTheme="minorEastAsia"/>
        </w:rPr>
        <w:t xml:space="preserve"> its factories, irrespective of the country the factory is located in. However, it can be reasonably assumed that supplier-level policies and activities might differ between factories, according to the country the latter is located in. This suggests that the supplier and country effects </w:t>
      </w:r>
      <w:r>
        <w:rPr>
          <w:rFonts w:eastAsiaTheme="minorEastAsia"/>
        </w:rPr>
        <w:t>‘interact’</w:t>
      </w:r>
      <w:r w:rsidRPr="00A36404">
        <w:rPr>
          <w:rFonts w:eastAsiaTheme="minorEastAsia"/>
        </w:rPr>
        <w:t xml:space="preserve"> with one another, so they no longer have an additive effect on factory-level recruitment and selection, and hence the proportion of females in their workforce. For example, </w:t>
      </w:r>
      <w:r>
        <w:rPr>
          <w:rFonts w:eastAsiaTheme="minorEastAsia"/>
        </w:rPr>
        <w:t xml:space="preserve">a </w:t>
      </w:r>
      <w:r w:rsidRPr="00A36404">
        <w:rPr>
          <w:rFonts w:eastAsiaTheme="minorEastAsia"/>
        </w:rPr>
        <w:t xml:space="preserve">positive ‘interaction effect’ </w:t>
      </w:r>
      <w:r>
        <w:rPr>
          <w:rFonts w:eastAsiaTheme="minorEastAsia"/>
        </w:rPr>
        <w:t xml:space="preserve">of this sort </w:t>
      </w:r>
      <w:r w:rsidRPr="00A36404">
        <w:rPr>
          <w:rFonts w:eastAsiaTheme="minorEastAsia"/>
        </w:rPr>
        <w:t xml:space="preserve">might arise where </w:t>
      </w:r>
      <w:r>
        <w:rPr>
          <w:rFonts w:eastAsiaTheme="minorEastAsia"/>
        </w:rPr>
        <w:t>a</w:t>
      </w:r>
      <w:r w:rsidRPr="00A36404">
        <w:rPr>
          <w:rFonts w:eastAsiaTheme="minorEastAsia"/>
        </w:rPr>
        <w:t xml:space="preserve"> country enforces or rewards strong compliance with established labour laws that foster gender equality, so the supplier is further incentivized (or </w:t>
      </w:r>
      <w:r w:rsidRPr="00A36404">
        <w:rPr>
          <w:rFonts w:eastAsiaTheme="minorEastAsia"/>
        </w:rPr>
        <w:lastRenderedPageBreak/>
        <w:t>obligated) to adhere to the increasingly strict social sustainability targets</w:t>
      </w:r>
      <w:r>
        <w:rPr>
          <w:rFonts w:eastAsiaTheme="minorEastAsia"/>
        </w:rPr>
        <w:t xml:space="preserve"> driven by Nike</w:t>
      </w:r>
      <w:r w:rsidRPr="00A36404">
        <w:rPr>
          <w:rFonts w:eastAsiaTheme="minorEastAsia"/>
        </w:rPr>
        <w:t xml:space="preserve">. On the other hand, if the country does not have the regulatory frameworks in place to promote social sustainability, the supplier might use this as an excuse to further shirk from achieving the targets set by Nike. </w:t>
      </w:r>
      <w:r>
        <w:rPr>
          <w:rFonts w:eastAsiaTheme="minorEastAsia"/>
        </w:rPr>
        <w:t>We account for these intricacies by including in</w:t>
      </w:r>
      <w:r w:rsidRPr="00A36404">
        <w:rPr>
          <w:rFonts w:eastAsiaTheme="minorEastAsia"/>
        </w:rPr>
        <w:t xml:space="preserve"> the model an additional classification that uniquely identifies each country-supplier combination that exists in the data. Then, these combinations are separately nested within suppliers and countries, while factories are nested within these combinations.</w:t>
      </w:r>
    </w:p>
    <w:p w14:paraId="23C5B508" w14:textId="081B26FE" w:rsidR="00213537" w:rsidRPr="00E22376" w:rsidRDefault="00213537" w:rsidP="00213537">
      <w:pPr>
        <w:ind w:firstLine="720"/>
        <w:jc w:val="both"/>
        <w:rPr>
          <w:rFonts w:eastAsiaTheme="minorEastAsia"/>
          <w:highlight w:val="yellow"/>
        </w:rPr>
      </w:pPr>
      <w:r>
        <w:rPr>
          <w:rFonts w:eastAsiaTheme="minorEastAsia"/>
        </w:rPr>
        <w:t>O</w:t>
      </w:r>
      <w:r w:rsidRPr="00A36404">
        <w:rPr>
          <w:rFonts w:eastAsiaTheme="minorEastAsia"/>
        </w:rPr>
        <w:t>ur primary interest lies with the effect of a set of factory-, supplier- and country-level predictors</w:t>
      </w:r>
      <w:r>
        <w:rPr>
          <w:rFonts w:eastAsiaTheme="minorEastAsia"/>
        </w:rPr>
        <w:t xml:space="preserve">, so the next step is to </w:t>
      </w:r>
      <w:r w:rsidRPr="00A36404">
        <w:rPr>
          <w:rFonts w:eastAsiaTheme="minorEastAsia"/>
        </w:rPr>
        <w:t xml:space="preserve">include </w:t>
      </w:r>
      <w:r>
        <w:rPr>
          <w:rFonts w:eastAsiaTheme="minorEastAsia"/>
        </w:rPr>
        <w:t xml:space="preserve">them </w:t>
      </w:r>
      <w:r w:rsidRPr="00A36404">
        <w:rPr>
          <w:rFonts w:eastAsiaTheme="minorEastAsia"/>
        </w:rPr>
        <w:t xml:space="preserve">in the model. Since our hypotheses postulate differences </w:t>
      </w:r>
      <w:r w:rsidRPr="00213537">
        <w:rPr>
          <w:rFonts w:eastAsiaTheme="minorEastAsia"/>
          <w:i/>
          <w:iCs/>
        </w:rPr>
        <w:t>between</w:t>
      </w:r>
      <w:r>
        <w:rPr>
          <w:rFonts w:eastAsiaTheme="minorEastAsia"/>
        </w:rPr>
        <w:t xml:space="preserve"> factories </w:t>
      </w:r>
      <w:r w:rsidRPr="00A36404">
        <w:rPr>
          <w:rFonts w:eastAsiaTheme="minorEastAsia"/>
        </w:rPr>
        <w:t xml:space="preserve">in </w:t>
      </w:r>
      <w:r>
        <w:rPr>
          <w:rFonts w:eastAsiaTheme="minorEastAsia"/>
        </w:rPr>
        <w:t xml:space="preserve">terms of </w:t>
      </w:r>
      <w:r w:rsidRPr="00A36404">
        <w:rPr>
          <w:rFonts w:eastAsiaTheme="minorEastAsia"/>
        </w:rPr>
        <w:t>the proportion of females employed</w:t>
      </w:r>
      <w:r>
        <w:rPr>
          <w:rFonts w:eastAsiaTheme="minorEastAsia"/>
        </w:rPr>
        <w:t>, due to factory-, supplier- and country-level characteristics,</w:t>
      </w:r>
      <w:r w:rsidRPr="00A36404">
        <w:rPr>
          <w:rFonts w:eastAsiaTheme="minorEastAsia"/>
        </w:rPr>
        <w:t xml:space="preserve"> it is appropriate to adopt a </w:t>
      </w:r>
      <w:r w:rsidRPr="00A36404">
        <w:rPr>
          <w:rFonts w:eastAsiaTheme="minorEastAsia"/>
          <w:i/>
          <w:iCs/>
        </w:rPr>
        <w:t>within-between</w:t>
      </w:r>
      <w:r w:rsidRPr="00A36404">
        <w:rPr>
          <w:rFonts w:eastAsiaTheme="minorEastAsia"/>
        </w:rPr>
        <w:t xml:space="preserve"> random-effects (RE) model specification (see Bell et al., 2019)</w:t>
      </w:r>
      <w:r>
        <w:rPr>
          <w:rFonts w:eastAsiaTheme="minorEastAsia"/>
        </w:rPr>
        <w:t xml:space="preserve"> to isolate the effects of interest</w:t>
      </w:r>
      <w:r w:rsidRPr="00A36404">
        <w:rPr>
          <w:rFonts w:eastAsiaTheme="minorEastAsia"/>
        </w:rPr>
        <w:t>. As such, all variables have been appropriately mean-centred</w:t>
      </w:r>
      <w:r>
        <w:rPr>
          <w:rFonts w:eastAsiaTheme="minorEastAsia"/>
        </w:rPr>
        <w:t xml:space="preserve"> </w:t>
      </w:r>
      <w:r w:rsidRPr="00A36404">
        <w:rPr>
          <w:rFonts w:eastAsiaTheme="minorEastAsia"/>
        </w:rPr>
        <w:t xml:space="preserve">(e.g., Brincks et al., 2017; </w:t>
      </w:r>
      <w:proofErr w:type="spellStart"/>
      <w:r w:rsidRPr="00A36404">
        <w:rPr>
          <w:rFonts w:eastAsiaTheme="minorEastAsia"/>
        </w:rPr>
        <w:t>Yaremych</w:t>
      </w:r>
      <w:proofErr w:type="spellEnd"/>
      <w:r w:rsidRPr="00A36404">
        <w:rPr>
          <w:rFonts w:eastAsiaTheme="minorEastAsia"/>
        </w:rPr>
        <w:t xml:space="preserve"> et al., 2023)</w:t>
      </w:r>
      <w:r>
        <w:rPr>
          <w:rFonts w:eastAsiaTheme="minorEastAsia"/>
        </w:rPr>
        <w:t xml:space="preserve">. </w:t>
      </w:r>
      <w:r w:rsidRPr="00A977FA">
        <w:rPr>
          <w:rFonts w:eastAsiaTheme="minorEastAsia"/>
        </w:rPr>
        <w:t xml:space="preserve">In equation (2), the vectors </w:t>
      </w:r>
      <m:oMath>
        <m:sSub>
          <m:sSubPr>
            <m:ctrlPr>
              <w:rPr>
                <w:rFonts w:ascii="Cambria Math" w:eastAsia="Cambria Math" w:hAnsi="Cambria Math" w:cs="Cambria Math"/>
                <w:b/>
                <w:bCs/>
                <w:i/>
              </w:rPr>
            </m:ctrlPr>
          </m:sSubPr>
          <m:e>
            <m:r>
              <m:rPr>
                <m:sty m:val="bi"/>
              </m:rPr>
              <w:rPr>
                <w:rFonts w:ascii="Cambria Math" w:eastAsia="Cambria Math" w:hAnsi="Cambria Math" w:cs="Cambria Math"/>
              </w:rPr>
              <m:t>X</m:t>
            </m:r>
          </m:e>
          <m:sub>
            <m:r>
              <m:rPr>
                <m:sty m:val="bi"/>
              </m:rPr>
              <w:rPr>
                <w:rFonts w:ascii="Cambria Math" w:eastAsia="Cambria Math" w:hAnsi="Cambria Math" w:cs="Cambria Math"/>
              </w:rPr>
              <m:t>it</m:t>
            </m:r>
          </m:sub>
        </m:sSub>
      </m:oMath>
      <w:r w:rsidRPr="00A977FA">
        <w:rPr>
          <w:rFonts w:eastAsiaTheme="minorEastAsia"/>
        </w:rPr>
        <w:t>,</w:t>
      </w:r>
      <w:r w:rsidRPr="00A977FA">
        <w:rPr>
          <w:rFonts w:eastAsiaTheme="minorEastAsia"/>
          <w:b/>
          <w:bCs/>
        </w:rPr>
        <w:t xml:space="preserve"> </w:t>
      </w:r>
      <m:oMath>
        <m:sSub>
          <m:sSubPr>
            <m:ctrlPr>
              <w:rPr>
                <w:rFonts w:ascii="Cambria Math" w:eastAsia="Cambria Math" w:hAnsi="Cambria Math" w:cs="Cambria Math"/>
                <w:b/>
                <w:bCs/>
                <w:i/>
              </w:rPr>
            </m:ctrlPr>
          </m:sSubPr>
          <m:e>
            <m:r>
              <m:rPr>
                <m:sty m:val="b"/>
              </m:rPr>
              <w:rPr>
                <w:rFonts w:ascii="Cambria Math" w:eastAsia="Cambria Math" w:hAnsi="Cambria Math" w:cs="Cambria Math"/>
              </w:rPr>
              <m:t>Ω</m:t>
            </m:r>
          </m:e>
          <m:sub>
            <m:sSub>
              <m:sSubPr>
                <m:ctrlPr>
                  <w:rPr>
                    <w:rFonts w:ascii="Cambria Math" w:eastAsia="Cambria Math" w:hAnsi="Cambria Math" w:cs="Cambria Math"/>
                    <w:b/>
                    <w:bCs/>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r>
              <m:rPr>
                <m:sty m:val="bi"/>
              </m:rPr>
              <w:rPr>
                <w:rFonts w:ascii="Cambria Math" w:eastAsia="Cambria Math" w:hAnsi="Cambria Math" w:cs="Cambria Math"/>
              </w:rPr>
              <m:t>t</m:t>
            </m:r>
          </m:sub>
        </m:sSub>
      </m:oMath>
      <w:r w:rsidRPr="00A977FA">
        <w:rPr>
          <w:rFonts w:eastAsiaTheme="minorEastAsia"/>
        </w:rPr>
        <w:t>,</w:t>
      </w:r>
      <w:r w:rsidRPr="00A977FA">
        <w:rPr>
          <w:rFonts w:eastAsiaTheme="minorEastAsia"/>
          <w:b/>
          <w:bCs/>
        </w:rPr>
        <w:t xml:space="preserve"> </w:t>
      </w:r>
      <m:oMath>
        <m:sSub>
          <m:sSubPr>
            <m:ctrlPr>
              <w:rPr>
                <w:rFonts w:ascii="Cambria Math" w:eastAsia="Cambria Math" w:hAnsi="Cambria Math" w:cs="Cambria Math"/>
                <w:b/>
                <w:bCs/>
                <w:i/>
              </w:rPr>
            </m:ctrlPr>
          </m:sSubPr>
          <m:e>
            <m:r>
              <m:rPr>
                <m:sty m:val="b"/>
              </m:rPr>
              <w:rPr>
                <w:rFonts w:ascii="Cambria Math" w:eastAsia="Cambria Math" w:hAnsi="Cambria Math" w:cs="Cambria Math"/>
              </w:rPr>
              <m:t>Ψ</m:t>
            </m:r>
          </m:e>
          <m:sub>
            <m:sSub>
              <m:sSubPr>
                <m:ctrlPr>
                  <w:rPr>
                    <w:rFonts w:ascii="Cambria Math" w:eastAsia="Cambria Math" w:hAnsi="Cambria Math" w:cs="Cambria Math"/>
                    <w:b/>
                    <w:bCs/>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r>
              <m:rPr>
                <m:sty m:val="bi"/>
              </m:rPr>
              <w:rPr>
                <w:rFonts w:ascii="Cambria Math" w:eastAsia="Cambria Math" w:hAnsi="Cambria Math" w:cs="Cambria Math"/>
              </w:rPr>
              <m:t>t</m:t>
            </m:r>
          </m:sub>
        </m:sSub>
      </m:oMath>
      <w:r w:rsidRPr="00A977FA">
        <w:rPr>
          <w:rFonts w:eastAsiaTheme="minorEastAsia"/>
        </w:rPr>
        <w:t xml:space="preserve"> stand for the </w:t>
      </w:r>
      <w:r>
        <w:rPr>
          <w:rFonts w:eastAsiaTheme="minorEastAsia"/>
        </w:rPr>
        <w:t xml:space="preserve">time-varying </w:t>
      </w:r>
      <w:r w:rsidRPr="00A977FA">
        <w:rPr>
          <w:rFonts w:eastAsiaTheme="minorEastAsia"/>
        </w:rPr>
        <w:t xml:space="preserve">factory-, country and supplier-level variables, respectively, and </w:t>
      </w:r>
      <m:oMath>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i"/>
                  </m:rPr>
                  <w:rPr>
                    <w:rFonts w:ascii="Cambria Math" w:eastAsia="Cambria Math" w:hAnsi="Cambria Math" w:cs="Cambria Math"/>
                  </w:rPr>
                  <m:t>X</m:t>
                </m:r>
              </m:e>
            </m:acc>
          </m:e>
          <m:sub>
            <m:r>
              <m:rPr>
                <m:sty m:val="bi"/>
              </m:rPr>
              <w:rPr>
                <w:rFonts w:ascii="Cambria Math" w:eastAsia="Cambria Math" w:hAnsi="Cambria Math" w:cs="Cambria Math"/>
              </w:rPr>
              <m:t>i</m:t>
            </m:r>
          </m:sub>
        </m:sSub>
      </m:oMath>
      <w:r w:rsidRPr="00A977FA">
        <w:rPr>
          <w:rFonts w:eastAsiaTheme="minorEastAsia"/>
          <w:b/>
          <w:bCs/>
        </w:rPr>
        <w:t>,</w:t>
      </w:r>
      <w:r w:rsidRPr="00A977FA">
        <w:rPr>
          <w:rFonts w:eastAsiaTheme="minorEastAsia"/>
        </w:rPr>
        <w:t xml:space="preserve"> </w:t>
      </w:r>
      <m:oMath>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Ω</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sub>
        </m:sSub>
        <m:r>
          <m:rPr>
            <m:sty m:val="bi"/>
          </m:rPr>
          <w:rPr>
            <w:rFonts w:ascii="Cambria Math" w:eastAsia="Cambria Math" w:hAnsi="Cambria Math" w:cs="Cambria Math"/>
          </w:rPr>
          <m:t>,</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Ψ</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sub>
        </m:sSub>
      </m:oMath>
      <w:r w:rsidRPr="00A977FA">
        <w:rPr>
          <w:rFonts w:eastAsiaTheme="minorEastAsia"/>
          <w:b/>
          <w:bCs/>
        </w:rPr>
        <w:t xml:space="preserve"> </w:t>
      </w:r>
      <w:r w:rsidRPr="00A977FA">
        <w:rPr>
          <w:rFonts w:eastAsiaTheme="minorEastAsia"/>
        </w:rPr>
        <w:t>are their respective means</w:t>
      </w:r>
      <w:r>
        <w:rPr>
          <w:rFonts w:eastAsiaTheme="minorEastAsia"/>
        </w:rPr>
        <w:t xml:space="preserve">. For parsimony, all time-invariant country-level variables (e.g., the cultural dimensions) can also be considered elements of </w:t>
      </w:r>
      <m:oMath>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Ω</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sub>
        </m:sSub>
      </m:oMath>
      <w:r>
        <w:rPr>
          <w:rFonts w:eastAsiaTheme="minorEastAsia"/>
          <w:b/>
          <w:bCs/>
        </w:rPr>
        <w:t xml:space="preserve">. </w:t>
      </w:r>
      <w:r w:rsidRPr="00A35F69">
        <w:rPr>
          <w:rFonts w:eastAsiaTheme="minorEastAsia"/>
        </w:rPr>
        <w:t>Factory-level</w:t>
      </w:r>
      <w:r>
        <w:rPr>
          <w:rFonts w:eastAsiaTheme="minorEastAsia"/>
          <w:b/>
          <w:bCs/>
        </w:rPr>
        <w:t xml:space="preserve"> </w:t>
      </w:r>
      <w:r w:rsidRPr="00A35F69">
        <w:rPr>
          <w:rFonts w:eastAsiaTheme="minorEastAsia"/>
          <w:i/>
          <w:iCs/>
        </w:rPr>
        <w:t>product complexity</w:t>
      </w:r>
      <w:r>
        <w:rPr>
          <w:rFonts w:eastAsiaTheme="minorEastAsia"/>
        </w:rPr>
        <w:t xml:space="preserve"> is a binary variable and does not vary over time; it is mean-centred based on its higher-level (supplier) cluster mean, i.e., the proportion of higher-complexity product factories that a given supplier own</w:t>
      </w:r>
      <w:r w:rsidR="00EF5B30">
        <w:rPr>
          <w:rFonts w:eastAsiaTheme="minorEastAsia"/>
        </w:rPr>
        <w:t>s</w:t>
      </w:r>
      <w:r>
        <w:rPr>
          <w:rFonts w:eastAsiaTheme="minorEastAsia"/>
        </w:rPr>
        <w:t xml:space="preserve">. For simplicity, allow this mean to be included in </w:t>
      </w:r>
      <m:oMath>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Ψ</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sub>
        </m:sSub>
      </m:oMath>
      <w:r>
        <w:rPr>
          <w:rFonts w:eastAsiaTheme="minorEastAsia"/>
          <w:b/>
          <w:bCs/>
        </w:rPr>
        <w:t>.</w:t>
      </w:r>
      <w:r>
        <w:rPr>
          <w:rFonts w:eastAsiaTheme="minorEastAsia"/>
        </w:rPr>
        <w:t xml:space="preserve"> Equation (1) becomes:</w:t>
      </w:r>
    </w:p>
    <w:p w14:paraId="72BEB1DF" w14:textId="77777777" w:rsidR="00213537" w:rsidRDefault="00213537" w:rsidP="00213537">
      <w:pPr>
        <w:ind w:firstLine="720"/>
        <w:jc w:val="both"/>
        <w:rPr>
          <w:rFonts w:eastAsiaTheme="minorEastAsia"/>
        </w:rPr>
      </w:pPr>
    </w:p>
    <w:p w14:paraId="18BA9A2C" w14:textId="77777777" w:rsidR="00213537" w:rsidRPr="00A36404" w:rsidRDefault="00213537" w:rsidP="00213537">
      <w:pPr>
        <w:jc w:val="both"/>
        <w:rPr>
          <w:rFonts w:eastAsiaTheme="minorEastAsia"/>
        </w:rPr>
      </w:pPr>
      <m:oMath>
        <m:sSub>
          <m:sSubPr>
            <m:ctrlPr>
              <w:rPr>
                <w:rFonts w:ascii="Cambria Math" w:eastAsia="Cambria Math" w:hAnsi="Cambria Math" w:cs="Cambria Math"/>
              </w:rPr>
            </m:ctrlPr>
          </m:sSubPr>
          <m:e>
            <m:r>
              <w:rPr>
                <w:rFonts w:ascii="Cambria Math" w:eastAsia="Cambria Math" w:hAnsi="Cambria Math" w:cs="Cambria Math"/>
              </w:rPr>
              <m:t>y</m:t>
            </m:r>
          </m:e>
          <m:sub>
            <m:r>
              <w:rPr>
                <w:rFonts w:ascii="Cambria Math" w:eastAsia="Cambria Math" w:hAnsi="Cambria Math" w:cs="Cambria Math"/>
              </w:rPr>
              <m:t>it</m:t>
            </m:r>
            <m:d>
              <m:dPr>
                <m:ctrlPr>
                  <w:rPr>
                    <w:rFonts w:ascii="Cambria Math" w:eastAsia="Cambria Math" w:hAnsi="Cambria Math" w:cs="Cambria Math"/>
                    <w:i/>
                  </w:rPr>
                </m:ctrlPr>
              </m:dPr>
              <m:e>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e>
            </m:d>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β</m:t>
            </m:r>
          </m:e>
          <m:sub>
            <m:r>
              <w:rPr>
                <w:rFonts w:ascii="Cambria Math" w:eastAsia="Cambria Math" w:hAnsi="Cambria Math" w:cs="Cambria Math"/>
              </w:rPr>
              <m:t>0</m:t>
            </m:r>
          </m:sub>
        </m:sSub>
        <m:r>
          <w:rPr>
            <w:rFonts w:ascii="Cambria Math" w:eastAsia="Cambria Math" w:hAnsi="Cambria Math" w:cs="Cambria Math"/>
          </w:rPr>
          <m:t>+</m:t>
        </m:r>
        <m:r>
          <m:rPr>
            <m:sty m:val="bi"/>
          </m:rPr>
          <w:rPr>
            <w:rFonts w:ascii="Cambria Math" w:eastAsia="Cambria Math" w:hAnsi="Cambria Math" w:cs="Cambria Math"/>
          </w:rPr>
          <m:t>γ</m:t>
        </m:r>
        <m:d>
          <m:dPr>
            <m:ctrlPr>
              <w:rPr>
                <w:rFonts w:ascii="Cambria Math" w:eastAsia="Cambria Math" w:hAnsi="Cambria Math" w:cs="Cambria Math"/>
                <w:i/>
              </w:rPr>
            </m:ctrlPr>
          </m:dPr>
          <m:e>
            <m:sSub>
              <m:sSubPr>
                <m:ctrlPr>
                  <w:rPr>
                    <w:rFonts w:ascii="Cambria Math" w:eastAsia="Cambria Math" w:hAnsi="Cambria Math" w:cs="Cambria Math"/>
                    <w:b/>
                    <w:bCs/>
                    <w:i/>
                  </w:rPr>
                </m:ctrlPr>
              </m:sSubPr>
              <m:e>
                <m:r>
                  <m:rPr>
                    <m:sty m:val="bi"/>
                  </m:rPr>
                  <w:rPr>
                    <w:rFonts w:ascii="Cambria Math" w:eastAsia="Cambria Math" w:hAnsi="Cambria Math" w:cs="Cambria Math"/>
                  </w:rPr>
                  <m:t>X</m:t>
                </m:r>
              </m:e>
              <m:sub>
                <m:r>
                  <m:rPr>
                    <m:sty m:val="bi"/>
                  </m:rPr>
                  <w:rPr>
                    <w:rFonts w:ascii="Cambria Math" w:eastAsia="Cambria Math" w:hAnsi="Cambria Math" w:cs="Cambria Math"/>
                  </w:rPr>
                  <m:t>it</m:t>
                </m:r>
              </m:sub>
            </m:sSub>
            <m:r>
              <w:rPr>
                <w:rFonts w:ascii="Cambria Math" w:eastAsia="Cambria Math" w:hAnsi="Cambria Math" w:cs="Cambria Math"/>
              </w:rPr>
              <m:t>-</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i"/>
                      </m:rPr>
                      <w:rPr>
                        <w:rFonts w:ascii="Cambria Math" w:eastAsia="Cambria Math" w:hAnsi="Cambria Math" w:cs="Cambria Math"/>
                      </w:rPr>
                      <m:t>X</m:t>
                    </m:r>
                  </m:e>
                </m:acc>
              </m:e>
              <m:sub>
                <m:r>
                  <m:rPr>
                    <m:sty m:val="bi"/>
                  </m:rPr>
                  <w:rPr>
                    <w:rFonts w:ascii="Cambria Math" w:eastAsia="Cambria Math" w:hAnsi="Cambria Math" w:cs="Cambria Math"/>
                  </w:rPr>
                  <m:t>i</m:t>
                </m:r>
              </m:sub>
            </m:sSub>
          </m:e>
        </m:d>
        <m:r>
          <w:rPr>
            <w:rFonts w:ascii="Cambria Math" w:eastAsia="Cambria Math" w:hAnsi="Cambria Math" w:cs="Cambria Math"/>
          </w:rPr>
          <m:t>+</m:t>
        </m:r>
        <m:r>
          <m:rPr>
            <m:sty m:val="bi"/>
          </m:rPr>
          <w:rPr>
            <w:rFonts w:ascii="Cambria Math" w:eastAsia="Cambria Math" w:hAnsi="Cambria Math" w:cs="Cambria Math"/>
          </w:rPr>
          <m:t>μ</m:t>
        </m:r>
        <m:d>
          <m:dPr>
            <m:ctrlPr>
              <w:rPr>
                <w:rFonts w:ascii="Cambria Math" w:eastAsia="Cambria Math" w:hAnsi="Cambria Math" w:cs="Cambria Math"/>
                <w:i/>
              </w:rPr>
            </m:ctrlPr>
          </m:dPr>
          <m:e>
            <m:sSub>
              <m:sSubPr>
                <m:ctrlPr>
                  <w:rPr>
                    <w:rFonts w:ascii="Cambria Math" w:eastAsia="Cambria Math" w:hAnsi="Cambria Math" w:cs="Cambria Math"/>
                    <w:b/>
                    <w:bCs/>
                    <w:i/>
                  </w:rPr>
                </m:ctrlPr>
              </m:sSubPr>
              <m:e>
                <m:r>
                  <m:rPr>
                    <m:sty m:val="b"/>
                  </m:rPr>
                  <w:rPr>
                    <w:rFonts w:ascii="Cambria Math" w:eastAsia="Cambria Math" w:hAnsi="Cambria Math" w:cs="Cambria Math"/>
                  </w:rPr>
                  <m:t>Ω</m:t>
                </m:r>
              </m:e>
              <m:sub>
                <m:sSub>
                  <m:sSubPr>
                    <m:ctrlPr>
                      <w:rPr>
                        <w:rFonts w:ascii="Cambria Math" w:eastAsia="Cambria Math" w:hAnsi="Cambria Math" w:cs="Cambria Math"/>
                        <w:b/>
                        <w:bCs/>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r>
                  <m:rPr>
                    <m:sty m:val="bi"/>
                  </m:rPr>
                  <w:rPr>
                    <w:rFonts w:ascii="Cambria Math" w:eastAsia="Cambria Math" w:hAnsi="Cambria Math" w:cs="Cambria Math"/>
                  </w:rPr>
                  <m:t>t</m:t>
                </m:r>
              </m:sub>
            </m:sSub>
            <m:r>
              <w:rPr>
                <w:rFonts w:ascii="Cambria Math" w:eastAsia="Cambria Math" w:hAnsi="Cambria Math" w:cs="Cambria Math"/>
              </w:rPr>
              <m:t>-</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Ω</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sub>
            </m:sSub>
          </m:e>
        </m:d>
        <m:r>
          <w:rPr>
            <w:rFonts w:ascii="Cambria Math" w:eastAsia="Cambria Math" w:hAnsi="Cambria Math" w:cs="Cambria Math"/>
          </w:rPr>
          <m:t>+</m:t>
        </m:r>
        <w:bookmarkStart w:id="0" w:name="_Hlk174537745"/>
        <m:r>
          <m:rPr>
            <m:sty m:val="bi"/>
          </m:rPr>
          <w:rPr>
            <w:rFonts w:ascii="Cambria Math" w:eastAsia="Cambria Math" w:hAnsi="Cambria Math" w:cs="Cambria Math"/>
          </w:rPr>
          <m:t>ζ</m:t>
        </m:r>
        <w:bookmarkEnd w:id="0"/>
        <m:d>
          <m:dPr>
            <m:ctrlPr>
              <w:rPr>
                <w:rFonts w:ascii="Cambria Math" w:eastAsia="Cambria Math" w:hAnsi="Cambria Math" w:cs="Cambria Math"/>
                <w:i/>
              </w:rPr>
            </m:ctrlPr>
          </m:dPr>
          <m:e>
            <m:sSub>
              <m:sSubPr>
                <m:ctrlPr>
                  <w:rPr>
                    <w:rFonts w:ascii="Cambria Math" w:eastAsia="Cambria Math" w:hAnsi="Cambria Math" w:cs="Cambria Math"/>
                    <w:b/>
                    <w:bCs/>
                    <w:i/>
                  </w:rPr>
                </m:ctrlPr>
              </m:sSubPr>
              <m:e>
                <m:r>
                  <m:rPr>
                    <m:sty m:val="b"/>
                  </m:rPr>
                  <w:rPr>
                    <w:rFonts w:ascii="Cambria Math" w:eastAsia="Cambria Math" w:hAnsi="Cambria Math" w:cs="Cambria Math"/>
                  </w:rPr>
                  <m:t>Ψ</m:t>
                </m:r>
              </m:e>
              <m:sub>
                <m:sSub>
                  <m:sSubPr>
                    <m:ctrlPr>
                      <w:rPr>
                        <w:rFonts w:ascii="Cambria Math" w:eastAsia="Cambria Math" w:hAnsi="Cambria Math" w:cs="Cambria Math"/>
                        <w:b/>
                        <w:bCs/>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r>
                  <m:rPr>
                    <m:sty m:val="bi"/>
                  </m:rPr>
                  <w:rPr>
                    <w:rFonts w:ascii="Cambria Math" w:eastAsia="Cambria Math" w:hAnsi="Cambria Math" w:cs="Cambria Math"/>
                  </w:rPr>
                  <m:t>t</m:t>
                </m:r>
              </m:sub>
            </m:sSub>
            <m:r>
              <w:rPr>
                <w:rFonts w:ascii="Cambria Math" w:eastAsia="Cambria Math" w:hAnsi="Cambria Math" w:cs="Cambria Math"/>
              </w:rPr>
              <m:t>-</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Ψ</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sub>
            </m:sSub>
          </m:e>
        </m:d>
        <m:r>
          <w:rPr>
            <w:rFonts w:ascii="Cambria Math" w:eastAsia="Cambria Math" w:hAnsi="Cambria Math" w:cs="Cambria Math"/>
          </w:rPr>
          <m:t>+</m:t>
        </m:r>
        <m:sSub>
          <m:sSubPr>
            <m:ctrlPr>
              <w:rPr>
                <w:rFonts w:ascii="Cambria Math" w:eastAsia="Cambria Math" w:hAnsi="Cambria Math" w:cs="Cambria Math"/>
                <w:b/>
                <w:bCs/>
              </w:rPr>
            </m:ctrlPr>
          </m:sSubPr>
          <m:e>
            <m:r>
              <m:rPr>
                <m:sty m:val="bi"/>
              </m:rPr>
              <w:rPr>
                <w:rFonts w:ascii="Cambria Math" w:eastAsia="Cambria Math" w:hAnsi="Cambria Math" w:cs="Cambria Math"/>
              </w:rPr>
              <m:t>η</m:t>
            </m:r>
            <m:acc>
              <m:accPr>
                <m:chr m:val="̅"/>
                <m:ctrlPr>
                  <w:rPr>
                    <w:rFonts w:ascii="Cambria Math" w:eastAsia="Cambria Math" w:hAnsi="Cambria Math" w:cs="Cambria Math"/>
                    <w:b/>
                    <w:bCs/>
                  </w:rPr>
                </m:ctrlPr>
              </m:accPr>
              <m:e>
                <m:r>
                  <m:rPr>
                    <m:sty m:val="bi"/>
                  </m:rPr>
                  <w:rPr>
                    <w:rFonts w:ascii="Cambria Math" w:eastAsia="Cambria Math" w:hAnsi="Cambria Math" w:cs="Cambria Math"/>
                  </w:rPr>
                  <m:t>X</m:t>
                </m:r>
              </m:e>
            </m:acc>
          </m:e>
          <m:sub>
            <m:r>
              <m:rPr>
                <m:sty m:val="bi"/>
              </m:rPr>
              <w:rPr>
                <w:rFonts w:ascii="Cambria Math" w:eastAsia="Cambria Math" w:hAnsi="Cambria Math" w:cs="Cambria Math"/>
              </w:rPr>
              <m:t>i</m:t>
            </m:r>
          </m:sub>
        </m:sSub>
        <m:r>
          <w:rPr>
            <w:rFonts w:ascii="Cambria Math" w:eastAsia="Cambria Math" w:hAnsi="Cambria Math" w:cs="Cambria Math"/>
          </w:rPr>
          <m:t>+</m:t>
        </m:r>
        <m:r>
          <m:rPr>
            <m:sty m:val="bi"/>
          </m:rPr>
          <w:rPr>
            <w:rFonts w:ascii="Cambria Math" w:eastAsia="Cambria Math" w:hAnsi="Cambria Math" w:cs="Cambria Math"/>
          </w:rPr>
          <m:t>λ</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Ω</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1</m:t>
                </m:r>
              </m:sub>
            </m:sSub>
          </m:sub>
        </m:sSub>
        <m:r>
          <m:rPr>
            <m:sty m:val="bi"/>
          </m:rPr>
          <w:rPr>
            <w:rFonts w:ascii="Cambria Math" w:eastAsia="Cambria Math" w:hAnsi="Cambria Math" w:cs="Cambria Math"/>
          </w:rPr>
          <m:t>+ξ</m:t>
        </m:r>
        <m:sSub>
          <m:sSubPr>
            <m:ctrlPr>
              <w:rPr>
                <w:rFonts w:ascii="Cambria Math" w:eastAsia="Cambria Math" w:hAnsi="Cambria Math" w:cs="Cambria Math"/>
                <w:b/>
                <w:bCs/>
              </w:rPr>
            </m:ctrlPr>
          </m:sSubPr>
          <m:e>
            <m:acc>
              <m:accPr>
                <m:chr m:val="̅"/>
                <m:ctrlPr>
                  <w:rPr>
                    <w:rFonts w:ascii="Cambria Math" w:eastAsia="Cambria Math" w:hAnsi="Cambria Math" w:cs="Cambria Math"/>
                    <w:b/>
                    <w:bCs/>
                  </w:rPr>
                </m:ctrlPr>
              </m:accPr>
              <m:e>
                <m:r>
                  <m:rPr>
                    <m:sty m:val="b"/>
                  </m:rPr>
                  <w:rPr>
                    <w:rFonts w:ascii="Cambria Math" w:eastAsia="Cambria Math" w:hAnsi="Cambria Math" w:cs="Cambria Math"/>
                  </w:rPr>
                  <m:t>Ψ</m:t>
                </m:r>
              </m:e>
            </m:acc>
          </m:e>
          <m:sub>
            <m:sSub>
              <m:sSubPr>
                <m:ctrlPr>
                  <w:rPr>
                    <w:rFonts w:ascii="Cambria Math" w:eastAsia="Cambria Math" w:hAnsi="Cambria Math" w:cs="Cambria Math"/>
                    <w:b/>
                    <w:i/>
                  </w:rPr>
                </m:ctrlPr>
              </m:sSubPr>
              <m:e>
                <m:r>
                  <m:rPr>
                    <m:sty m:val="bi"/>
                  </m:rPr>
                  <w:rPr>
                    <w:rFonts w:ascii="Cambria Math" w:eastAsia="Cambria Math" w:hAnsi="Cambria Math" w:cs="Cambria Math"/>
                  </w:rPr>
                  <m:t>j</m:t>
                </m:r>
              </m:e>
              <m:sub>
                <m:r>
                  <m:rPr>
                    <m:sty m:val="bi"/>
                  </m:rPr>
                  <w:rPr>
                    <w:rFonts w:ascii="Cambria Math" w:eastAsia="Cambria Math" w:hAnsi="Cambria Math" w:cs="Cambria Math"/>
                  </w:rPr>
                  <m:t>2</m:t>
                </m:r>
              </m:sub>
            </m:sSub>
          </m:sub>
        </m:sSub>
        <m:r>
          <w:rPr>
            <w:rFonts w:ascii="Cambria Math" w:eastAsia="Cambria Math" w:hAnsi="Cambria Math" w:cs="Cambria Math"/>
          </w:rPr>
          <m:t>+</m:t>
        </m:r>
        <m:nary>
          <m:naryPr>
            <m:chr m:val="∑"/>
            <m:limLoc m:val="subSup"/>
            <m:ctrlPr>
              <w:rPr>
                <w:rFonts w:ascii="Cambria Math" w:eastAsia="Cambria Math" w:hAnsi="Cambria Math" w:cs="Cambria Math"/>
                <w:i/>
              </w:rPr>
            </m:ctrlPr>
          </m:naryPr>
          <m:sub>
            <m:r>
              <w:rPr>
                <w:rFonts w:ascii="Cambria Math" w:eastAsia="Cambria Math" w:hAnsi="Cambria Math" w:cs="Cambria Math"/>
              </w:rPr>
              <m:t>t=2021</m:t>
            </m:r>
          </m:sub>
          <m:sup>
            <m:r>
              <w:rPr>
                <w:rFonts w:ascii="Cambria Math" w:eastAsia="Cambria Math" w:hAnsi="Cambria Math" w:cs="Cambria Math"/>
              </w:rPr>
              <m:t>2023</m:t>
            </m:r>
          </m:sup>
          <m:e>
            <m:sSub>
              <m:sSubPr>
                <m:ctrlPr>
                  <w:rPr>
                    <w:rFonts w:ascii="Cambria Math" w:eastAsia="Cambria Math" w:hAnsi="Cambria Math" w:cs="Cambria Math"/>
                    <w:i/>
                  </w:rPr>
                </m:ctrlPr>
              </m:sSubPr>
              <m:e>
                <m:r>
                  <w:rPr>
                    <w:rFonts w:ascii="Cambria Math" w:eastAsia="Cambria Math" w:hAnsi="Cambria Math" w:cs="Cambria Math"/>
                  </w:rPr>
                  <m:t>δ</m:t>
                </m:r>
              </m:e>
              <m:sub>
                <m:r>
                  <w:rPr>
                    <w:rFonts w:ascii="Cambria Math" w:eastAsia="Cambria Math" w:hAnsi="Cambria Math" w:cs="Cambria Math"/>
                  </w:rPr>
                  <m:t>t</m:t>
                </m:r>
              </m:sub>
            </m:sSub>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t</m:t>
                </m:r>
              </m:sub>
            </m:sSub>
          </m:e>
        </m:nary>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u</m:t>
            </m:r>
          </m:e>
          <m: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u</m:t>
            </m:r>
          </m:e>
          <m: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u</m:t>
            </m:r>
          </m:e>
          <m: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r>
              <w:rPr>
                <w:rFonts w:ascii="Cambria Math" w:eastAsia="Cambria Math" w:hAnsi="Cambria Math" w:cs="Cambria Math"/>
              </w:rPr>
              <m:t>)</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e</m:t>
            </m:r>
          </m:e>
          <m:sub>
            <m:r>
              <w:rPr>
                <w:rFonts w:ascii="Cambria Math" w:eastAsia="Cambria Math" w:hAnsi="Cambria Math" w:cs="Cambria Math"/>
              </w:rPr>
              <m:t>it(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r>
              <w:rPr>
                <w:rFonts w:ascii="Cambria Math" w:eastAsia="Cambria Math" w:hAnsi="Cambria Math" w:cs="Cambria Math"/>
              </w:rPr>
              <m:t>)</m:t>
            </m:r>
          </m:sub>
        </m:sSub>
      </m:oMath>
      <w:r>
        <w:rPr>
          <w:rFonts w:eastAsiaTheme="minorEastAsia"/>
        </w:rPr>
        <w:t xml:space="preserve">                                (2)</w:t>
      </w:r>
    </w:p>
    <w:p w14:paraId="49B93BA9" w14:textId="77777777" w:rsidR="00213537" w:rsidRDefault="00213537" w:rsidP="00213537">
      <w:pPr>
        <w:jc w:val="both"/>
      </w:pPr>
    </w:p>
    <w:p w14:paraId="6232ACA4" w14:textId="77777777" w:rsidR="00213537" w:rsidRDefault="00213537" w:rsidP="00213537">
      <w:pPr>
        <w:ind w:firstLine="720"/>
        <w:jc w:val="both"/>
        <w:rPr>
          <w:rFonts w:eastAsiaTheme="minorEastAsia"/>
        </w:rPr>
      </w:pPr>
      <w:r w:rsidRPr="00E22376">
        <w:t xml:space="preserve">The vectors of coefficients </w:t>
      </w:r>
      <m:oMath>
        <m:r>
          <m:rPr>
            <m:sty m:val="b"/>
          </m:rPr>
          <w:rPr>
            <w:rFonts w:ascii="Cambria Math" w:eastAsia="Cambria Math" w:hAnsi="Cambria Math" w:cs="Cambria Math"/>
          </w:rPr>
          <m:t>γ</m:t>
        </m:r>
      </m:oMath>
      <w:r w:rsidRPr="00E22376">
        <w:rPr>
          <w:iCs/>
        </w:rPr>
        <w:t xml:space="preserve"> , </w:t>
      </w:r>
      <m:oMath>
        <m:r>
          <m:rPr>
            <m:sty m:val="b"/>
          </m:rPr>
          <w:rPr>
            <w:rFonts w:ascii="Cambria Math" w:eastAsia="Cambria Math" w:hAnsi="Cambria Math" w:cs="Cambria Math"/>
          </w:rPr>
          <m:t>μ</m:t>
        </m:r>
      </m:oMath>
      <w:r w:rsidRPr="00E22376">
        <w:rPr>
          <w:iCs/>
        </w:rPr>
        <w:t xml:space="preserve"> , </w:t>
      </w:r>
      <w:r w:rsidRPr="00E22376">
        <w:rPr>
          <w:b/>
          <w:bCs/>
          <w:iCs/>
        </w:rPr>
        <w:t>ζ</w:t>
      </w:r>
      <w:r w:rsidRPr="00E22376">
        <w:rPr>
          <w:i/>
          <w:iCs/>
        </w:rPr>
        <w:t xml:space="preserve"> </w:t>
      </w:r>
      <w:r>
        <w:t xml:space="preserve">represent </w:t>
      </w:r>
      <w:r w:rsidRPr="00E22376">
        <w:rPr>
          <w:i/>
          <w:iCs/>
        </w:rPr>
        <w:t>within-cluster</w:t>
      </w:r>
      <w:r w:rsidRPr="00E22376">
        <w:t xml:space="preserve"> effect</w:t>
      </w:r>
      <w:r>
        <w:t>s</w:t>
      </w:r>
      <w:r w:rsidRPr="00E22376">
        <w:t xml:space="preserve">. The </w:t>
      </w:r>
      <w:r w:rsidRPr="00E22376">
        <w:rPr>
          <w:i/>
          <w:iCs/>
        </w:rPr>
        <w:t>between-cluster</w:t>
      </w:r>
      <w:r w:rsidRPr="00E22376">
        <w:t xml:space="preserve"> effect</w:t>
      </w:r>
      <w:r>
        <w:t>s are</w:t>
      </w:r>
      <w:r w:rsidRPr="00E22376">
        <w:t xml:space="preserve"> represented by </w:t>
      </w:r>
      <w:r>
        <w:t xml:space="preserve">the vectors </w:t>
      </w:r>
      <m:oMath>
        <m:r>
          <m:rPr>
            <m:sty m:val="b"/>
          </m:rPr>
          <w:rPr>
            <w:rFonts w:ascii="Cambria Math" w:hAnsi="Cambria Math"/>
          </w:rPr>
          <m:t>η,</m:t>
        </m:r>
        <m:r>
          <m:rPr>
            <m:sty m:val="b"/>
          </m:rPr>
          <w:rPr>
            <w:rFonts w:ascii="Cambria Math" w:eastAsia="Cambria Math" w:hAnsi="Cambria Math" w:cs="Cambria Math"/>
          </w:rPr>
          <m:t>λ,ξ</m:t>
        </m:r>
      </m:oMath>
      <w:r w:rsidRPr="00E22376">
        <w:t xml:space="preserve">. The ‘fixed’ part of the model also includes a set of binary indicators </w:t>
      </w:r>
      <m:oMath>
        <m:sSub>
          <m:sSubPr>
            <m:ctrlPr>
              <w:rPr>
                <w:rFonts w:ascii="Cambria Math" w:eastAsia="Cambria Math" w:hAnsi="Cambria Math" w:cs="Cambria Math"/>
                <w:i/>
              </w:rPr>
            </m:ctrlPr>
          </m:sSubPr>
          <m:e>
            <m:r>
              <w:rPr>
                <w:rFonts w:ascii="Cambria Math" w:eastAsia="Cambria Math" w:hAnsi="Cambria Math" w:cs="Cambria Math"/>
              </w:rPr>
              <m:t>D</m:t>
            </m:r>
          </m:e>
          <m:sub>
            <m:r>
              <w:rPr>
                <w:rFonts w:ascii="Cambria Math" w:eastAsia="Cambria Math" w:hAnsi="Cambria Math" w:cs="Cambria Math"/>
              </w:rPr>
              <m:t>t</m:t>
            </m:r>
          </m:sub>
        </m:sSub>
      </m:oMath>
      <w:r w:rsidRPr="00E22376">
        <w:rPr>
          <w:rFonts w:eastAsiaTheme="minorEastAsia"/>
        </w:rPr>
        <w:t xml:space="preserve"> </w:t>
      </w:r>
      <w:r w:rsidRPr="00E22376">
        <w:t xml:space="preserve">for the years 2021 – 2023 (with 2020 acting as the reference year) and their coefficients </w:t>
      </w:r>
      <m:oMath>
        <m:sSub>
          <m:sSubPr>
            <m:ctrlPr>
              <w:rPr>
                <w:rFonts w:ascii="Cambria Math" w:eastAsia="Cambria Math" w:hAnsi="Cambria Math" w:cs="Cambria Math"/>
                <w:i/>
              </w:rPr>
            </m:ctrlPr>
          </m:sSubPr>
          <m:e>
            <m:r>
              <w:rPr>
                <w:rFonts w:ascii="Cambria Math" w:eastAsia="Cambria Math" w:hAnsi="Cambria Math" w:cs="Cambria Math"/>
              </w:rPr>
              <m:t>δ</m:t>
            </m:r>
          </m:e>
          <m:sub>
            <m:r>
              <w:rPr>
                <w:rFonts w:ascii="Cambria Math" w:eastAsia="Cambria Math" w:hAnsi="Cambria Math" w:cs="Cambria Math"/>
              </w:rPr>
              <m:t>t</m:t>
            </m:r>
          </m:sub>
        </m:sSub>
      </m:oMath>
      <w:r w:rsidRPr="00E22376">
        <w:rPr>
          <w:rFonts w:eastAsiaTheme="minorEastAsia"/>
        </w:rPr>
        <w:t xml:space="preserve">, intended to capture any year-specific influences on the response variable. It is worth noting that our sample spans the years of the COVID19 pandemic, hence the coefficients of these binary indicators might capture any worldwide, systemic changes in the recruitment practices of suppliers (e.g., large-scale layoffs with the first lockdown, followed by extensive post-pandemic rehiring) that might have altered the mix of males and females in the workforce. Finally, the random part of the model includes an additional term, </w:t>
      </w:r>
      <m:oMath>
        <m:sSub>
          <m:sSubPr>
            <m:ctrlPr>
              <w:rPr>
                <w:rFonts w:ascii="Cambria Math" w:eastAsia="Cambria Math" w:hAnsi="Cambria Math" w:cs="Cambria Math"/>
              </w:rPr>
            </m:ctrlPr>
          </m:sSubPr>
          <m:e>
            <m:r>
              <w:rPr>
                <w:rFonts w:ascii="Cambria Math" w:eastAsia="Cambria Math" w:hAnsi="Cambria Math" w:cs="Cambria Math"/>
              </w:rPr>
              <m:t>u</m:t>
            </m:r>
          </m:e>
          <m: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sub>
        </m:sSub>
      </m:oMath>
      <w:r w:rsidRPr="00E22376">
        <w:rPr>
          <w:rFonts w:eastAsiaTheme="minorEastAsia"/>
        </w:rPr>
        <w:t xml:space="preserve">, which stands for the random supplier-country </w:t>
      </w:r>
      <w:r>
        <w:rPr>
          <w:rFonts w:eastAsiaTheme="minorEastAsia"/>
        </w:rPr>
        <w:t>combinatorial</w:t>
      </w:r>
      <w:r w:rsidRPr="00E22376">
        <w:rPr>
          <w:rFonts w:eastAsiaTheme="minorEastAsia"/>
        </w:rPr>
        <w:t xml:space="preserve"> effect</w:t>
      </w:r>
      <w:r>
        <w:rPr>
          <w:rFonts w:eastAsiaTheme="minorEastAsia"/>
        </w:rPr>
        <w:t xml:space="preserve"> discussed earlier</w:t>
      </w:r>
      <w:r w:rsidRPr="00E22376">
        <w:rPr>
          <w:rFonts w:eastAsiaTheme="minorEastAsia"/>
        </w:rPr>
        <w:t>.</w:t>
      </w:r>
      <w:r>
        <w:rPr>
          <w:rFonts w:eastAsiaTheme="minorEastAsia"/>
        </w:rPr>
        <w:t xml:space="preserve"> </w:t>
      </w:r>
    </w:p>
    <w:p w14:paraId="1DE17BD2" w14:textId="1A342A3D" w:rsidR="00957269" w:rsidRDefault="00213537" w:rsidP="00213537">
      <w:pPr>
        <w:ind w:firstLine="720"/>
        <w:jc w:val="both"/>
      </w:pPr>
      <w:r w:rsidRPr="007A6419">
        <w:t xml:space="preserve">All models are estimated using maximum likelihood through the </w:t>
      </w:r>
      <w:proofErr w:type="spellStart"/>
      <w:r w:rsidRPr="007A6419">
        <w:rPr>
          <w:i/>
          <w:iCs/>
        </w:rPr>
        <w:t>xtmixed</w:t>
      </w:r>
      <w:proofErr w:type="spellEnd"/>
      <w:r w:rsidRPr="007A6419">
        <w:t xml:space="preserve"> routine of Stata (version 18). Even though this routine is primarily used to fit multi</w:t>
      </w:r>
      <w:r>
        <w:t>-</w:t>
      </w:r>
      <w:r w:rsidRPr="007A6419">
        <w:t xml:space="preserve">level models to hierarchical data, it is possible to fit cross-classified models after formulating them as constrained hierarchical ones (see Leckie, 2013b; </w:t>
      </w:r>
      <w:proofErr w:type="spellStart"/>
      <w:r w:rsidRPr="007A6419">
        <w:t>Rasbash</w:t>
      </w:r>
      <w:proofErr w:type="spellEnd"/>
      <w:r w:rsidRPr="007A6419">
        <w:t xml:space="preserve"> and Goldstein, 1994). In this case, the model is formulated as a constrained 4-level model, whereby occasions (</w:t>
      </w:r>
      <w:r>
        <w:t>L</w:t>
      </w:r>
      <w:r w:rsidRPr="007A6419">
        <w:t>evel 1) are nested within factories (</w:t>
      </w:r>
      <w:r>
        <w:t>L</w:t>
      </w:r>
      <w:r w:rsidRPr="007A6419">
        <w:t>evel 2), which are nested within suppliers (</w:t>
      </w:r>
      <w:r>
        <w:t>L</w:t>
      </w:r>
      <w:r w:rsidRPr="007A6419">
        <w:t>evel 3). The latter are nested within a single artificial supercluster of countries (</w:t>
      </w:r>
      <w:r>
        <w:t>L</w:t>
      </w:r>
      <w:r w:rsidRPr="007A6419">
        <w:t xml:space="preserve">evel 4) that could be conceptualised as being </w:t>
      </w:r>
      <w:r>
        <w:t>the globe</w:t>
      </w:r>
      <w:r w:rsidRPr="007A6419">
        <w:t xml:space="preserve"> (containing all possible countries of origin of potential Nike suppliers).</w:t>
      </w:r>
    </w:p>
    <w:p w14:paraId="6E57EB9F" w14:textId="77777777" w:rsidR="00957269" w:rsidRDefault="00957269">
      <w:pPr>
        <w:ind w:firstLine="720"/>
        <w:jc w:val="both"/>
      </w:pPr>
    </w:p>
    <w:p w14:paraId="3DF725C7" w14:textId="77777777" w:rsidR="00957269" w:rsidRDefault="00957269">
      <w:pPr>
        <w:jc w:val="both"/>
      </w:pPr>
      <w:bookmarkStart w:id="1" w:name="_heading=h.doo967kfx2ue" w:colFirst="0" w:colLast="0"/>
      <w:bookmarkEnd w:id="1"/>
    </w:p>
    <w:p w14:paraId="4D71163D" w14:textId="77777777" w:rsidR="00957269" w:rsidRDefault="00000000">
      <w:pPr>
        <w:pBdr>
          <w:top w:val="nil"/>
          <w:left w:val="nil"/>
          <w:bottom w:val="nil"/>
          <w:right w:val="nil"/>
          <w:between w:val="nil"/>
        </w:pBdr>
        <w:jc w:val="both"/>
        <w:rPr>
          <w:b/>
          <w:bCs/>
          <w:sz w:val="28"/>
          <w:szCs w:val="28"/>
        </w:rPr>
      </w:pPr>
      <w:r>
        <w:rPr>
          <w:b/>
          <w:bCs/>
          <w:sz w:val="28"/>
          <w:szCs w:val="28"/>
        </w:rPr>
        <w:t>Results</w:t>
      </w:r>
    </w:p>
    <w:p w14:paraId="066EFEED" w14:textId="77777777" w:rsidR="00957269" w:rsidRDefault="00957269">
      <w:pPr>
        <w:pBdr>
          <w:top w:val="nil"/>
          <w:left w:val="nil"/>
          <w:bottom w:val="nil"/>
          <w:right w:val="nil"/>
          <w:between w:val="nil"/>
        </w:pBdr>
        <w:jc w:val="both"/>
        <w:rPr>
          <w:b/>
          <w:bCs/>
          <w:sz w:val="28"/>
          <w:szCs w:val="28"/>
        </w:rPr>
      </w:pPr>
    </w:p>
    <w:p w14:paraId="6B3678A0" w14:textId="77777777" w:rsidR="00957269" w:rsidRDefault="00000000">
      <w:pPr>
        <w:pBdr>
          <w:top w:val="nil"/>
          <w:left w:val="nil"/>
          <w:bottom w:val="nil"/>
          <w:right w:val="nil"/>
          <w:between w:val="nil"/>
        </w:pBdr>
        <w:jc w:val="both"/>
      </w:pPr>
      <w:r>
        <w:t>Table 2 reports the results of the R</w:t>
      </w:r>
      <w:r>
        <w:rPr>
          <w:color w:val="000000"/>
        </w:rPr>
        <w:t>andom-effects (RE) variance component models.</w:t>
      </w:r>
      <w:r>
        <w:t xml:space="preserve"> A likelihood ratio (LR) test suggests that Model (2), which includes the country-by-supplier combinations as an additional classification, is preferred to the ‘additive’ Model (1). </w:t>
      </w:r>
      <w:r>
        <w:rPr>
          <w:color w:val="000000"/>
        </w:rPr>
        <w:t>It su</w:t>
      </w:r>
      <w:r>
        <w:t xml:space="preserve">ggests </w:t>
      </w:r>
      <w:r>
        <w:lastRenderedPageBreak/>
        <w:t>that a fraction of the total variation in the outcome (6.76%) is because of these supplier-by-country ‘interaction effects’, as discussed in the Methodology section. When it comes to the relative importance of the different levels, the Variance Partition Coefficients (VPCs) suggest that, c</w:t>
      </w:r>
      <w:r>
        <w:rPr>
          <w:color w:val="000000"/>
        </w:rPr>
        <w:t>omparatively speaking, most of the variation (</w:t>
      </w:r>
      <w:r>
        <w:t>43.59%</w:t>
      </w:r>
      <w:r>
        <w:rPr>
          <w:color w:val="000000"/>
        </w:rPr>
        <w:t xml:space="preserve">) lies </w:t>
      </w:r>
      <w:r>
        <w:rPr>
          <w:i/>
          <w:iCs/>
          <w:color w:val="000000"/>
        </w:rPr>
        <w:t>between</w:t>
      </w:r>
      <w:r>
        <w:rPr>
          <w:color w:val="000000"/>
        </w:rPr>
        <w:t xml:space="preserve"> suppliers, i.e., due to supplier characteristics, strategies, </w:t>
      </w:r>
      <w:r>
        <w:t>culture, HR</w:t>
      </w:r>
      <w:r>
        <w:rPr>
          <w:color w:val="000000"/>
        </w:rPr>
        <w:t xml:space="preserve"> policies, etc. Factory-level effects come next, with approximately 25% of the variati</w:t>
      </w:r>
      <w:r>
        <w:t xml:space="preserve">on owing to factors pertinent to this level. Relatively </w:t>
      </w:r>
      <w:r>
        <w:rPr>
          <w:color w:val="000000"/>
        </w:rPr>
        <w:t>l</w:t>
      </w:r>
      <w:r>
        <w:t>ess</w:t>
      </w:r>
      <w:r>
        <w:rPr>
          <w:color w:val="000000"/>
        </w:rPr>
        <w:t xml:space="preserve"> variation (10.5%) reside</w:t>
      </w:r>
      <w:r>
        <w:t>s</w:t>
      </w:r>
      <w:r>
        <w:rPr>
          <w:color w:val="000000"/>
        </w:rPr>
        <w:t xml:space="preserve"> within-factory between-occasions (i.e., over time for each factory) and between countries</w:t>
      </w:r>
      <w:r>
        <w:t xml:space="preserve"> (14%). </w:t>
      </w:r>
    </w:p>
    <w:p w14:paraId="23BE8A9D" w14:textId="77777777" w:rsidR="00957269" w:rsidRDefault="00957269">
      <w:pPr>
        <w:pBdr>
          <w:top w:val="nil"/>
          <w:left w:val="nil"/>
          <w:bottom w:val="nil"/>
          <w:right w:val="nil"/>
          <w:between w:val="nil"/>
        </w:pBdr>
        <w:jc w:val="both"/>
      </w:pPr>
    </w:p>
    <w:p w14:paraId="5FD85F82" w14:textId="77777777" w:rsidR="00957269" w:rsidRDefault="00000000">
      <w:pPr>
        <w:pBdr>
          <w:top w:val="nil"/>
          <w:left w:val="nil"/>
          <w:bottom w:val="nil"/>
          <w:right w:val="nil"/>
          <w:between w:val="nil"/>
        </w:pBdr>
        <w:tabs>
          <w:tab w:val="left" w:pos="4040"/>
        </w:tabs>
        <w:jc w:val="center"/>
        <w:rPr>
          <w:color w:val="000000"/>
        </w:rPr>
      </w:pPr>
      <w:r>
        <w:rPr>
          <w:b/>
          <w:bCs/>
          <w:color w:val="000000"/>
        </w:rPr>
        <w:t>Table 2</w:t>
      </w:r>
      <w:r>
        <w:rPr>
          <w:color w:val="000000"/>
        </w:rPr>
        <w:t xml:space="preserve"> Variance component model results</w:t>
      </w:r>
    </w:p>
    <w:tbl>
      <w:tblPr>
        <w:tblStyle w:val="a0"/>
        <w:tblW w:w="796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842"/>
        <w:gridCol w:w="2658"/>
        <w:gridCol w:w="2469"/>
      </w:tblGrid>
      <w:tr w:rsidR="00957269" w14:paraId="10323169" w14:textId="77777777">
        <w:trPr>
          <w:trHeight w:val="270"/>
          <w:jc w:val="center"/>
        </w:trPr>
        <w:tc>
          <w:tcPr>
            <w:tcW w:w="2842" w:type="dxa"/>
            <w:tcBorders>
              <w:top w:val="single" w:sz="4" w:space="0" w:color="000000"/>
              <w:bottom w:val="single" w:sz="4" w:space="0" w:color="000000"/>
            </w:tcBorders>
          </w:tcPr>
          <w:p w14:paraId="0AD4DA18" w14:textId="77777777" w:rsidR="00957269" w:rsidRDefault="00957269">
            <w:pPr>
              <w:rPr>
                <w:sz w:val="21"/>
                <w:szCs w:val="21"/>
              </w:rPr>
            </w:pPr>
          </w:p>
        </w:tc>
        <w:tc>
          <w:tcPr>
            <w:tcW w:w="2658" w:type="dxa"/>
            <w:tcBorders>
              <w:top w:val="single" w:sz="4" w:space="0" w:color="000000"/>
              <w:bottom w:val="single" w:sz="4" w:space="0" w:color="000000"/>
            </w:tcBorders>
          </w:tcPr>
          <w:p w14:paraId="22BF725C" w14:textId="77777777" w:rsidR="00957269" w:rsidRDefault="00000000">
            <w:pPr>
              <w:rPr>
                <w:b/>
                <w:bCs/>
                <w:sz w:val="21"/>
                <w:szCs w:val="21"/>
              </w:rPr>
            </w:pPr>
            <w:r>
              <w:rPr>
                <w:b/>
                <w:bCs/>
                <w:sz w:val="21"/>
                <w:szCs w:val="21"/>
              </w:rPr>
              <w:t>Model (1)</w:t>
            </w:r>
          </w:p>
        </w:tc>
        <w:tc>
          <w:tcPr>
            <w:tcW w:w="2469" w:type="dxa"/>
            <w:tcBorders>
              <w:top w:val="single" w:sz="4" w:space="0" w:color="000000"/>
              <w:bottom w:val="single" w:sz="4" w:space="0" w:color="000000"/>
            </w:tcBorders>
          </w:tcPr>
          <w:p w14:paraId="2592EA45" w14:textId="77777777" w:rsidR="00957269" w:rsidRDefault="00000000">
            <w:pPr>
              <w:rPr>
                <w:b/>
                <w:bCs/>
                <w:sz w:val="21"/>
                <w:szCs w:val="21"/>
              </w:rPr>
            </w:pPr>
            <w:r>
              <w:rPr>
                <w:b/>
                <w:bCs/>
                <w:sz w:val="21"/>
                <w:szCs w:val="21"/>
              </w:rPr>
              <w:t>Model (2)</w:t>
            </w:r>
          </w:p>
        </w:tc>
      </w:tr>
      <w:tr w:rsidR="00957269" w14:paraId="183D429A" w14:textId="77777777">
        <w:trPr>
          <w:trHeight w:val="130"/>
          <w:jc w:val="center"/>
        </w:trPr>
        <w:tc>
          <w:tcPr>
            <w:tcW w:w="2842" w:type="dxa"/>
            <w:tcBorders>
              <w:top w:val="single" w:sz="4" w:space="0" w:color="000000"/>
            </w:tcBorders>
          </w:tcPr>
          <w:p w14:paraId="709E4289" w14:textId="77777777" w:rsidR="00957269" w:rsidRDefault="00000000">
            <w:pPr>
              <w:rPr>
                <w:b/>
                <w:bCs/>
                <w:i/>
                <w:iCs/>
                <w:sz w:val="21"/>
                <w:szCs w:val="21"/>
              </w:rPr>
            </w:pPr>
            <w:r>
              <w:rPr>
                <w:b/>
                <w:bCs/>
                <w:i/>
                <w:iCs/>
                <w:sz w:val="21"/>
                <w:szCs w:val="21"/>
              </w:rPr>
              <w:t>Parameter</w:t>
            </w:r>
          </w:p>
        </w:tc>
        <w:tc>
          <w:tcPr>
            <w:tcW w:w="2658" w:type="dxa"/>
            <w:tcBorders>
              <w:top w:val="single" w:sz="4" w:space="0" w:color="000000"/>
            </w:tcBorders>
          </w:tcPr>
          <w:p w14:paraId="026B8739" w14:textId="77777777" w:rsidR="00957269" w:rsidRDefault="00957269">
            <w:pPr>
              <w:rPr>
                <w:sz w:val="21"/>
                <w:szCs w:val="21"/>
              </w:rPr>
            </w:pPr>
          </w:p>
        </w:tc>
        <w:tc>
          <w:tcPr>
            <w:tcW w:w="2469" w:type="dxa"/>
            <w:tcBorders>
              <w:top w:val="single" w:sz="4" w:space="0" w:color="000000"/>
            </w:tcBorders>
          </w:tcPr>
          <w:p w14:paraId="722F3626" w14:textId="77777777" w:rsidR="00957269" w:rsidRDefault="00957269">
            <w:pPr>
              <w:rPr>
                <w:sz w:val="21"/>
                <w:szCs w:val="21"/>
              </w:rPr>
            </w:pPr>
          </w:p>
        </w:tc>
      </w:tr>
      <w:tr w:rsidR="00957269" w14:paraId="7776E53F" w14:textId="77777777">
        <w:trPr>
          <w:trHeight w:val="532"/>
          <w:jc w:val="center"/>
        </w:trPr>
        <w:tc>
          <w:tcPr>
            <w:tcW w:w="2842" w:type="dxa"/>
          </w:tcPr>
          <w:p w14:paraId="0130BCA1" w14:textId="77777777" w:rsidR="00957269" w:rsidRDefault="00000000">
            <w:pPr>
              <w:rPr>
                <w:sz w:val="21"/>
                <w:szCs w:val="21"/>
              </w:rPr>
            </w:pPr>
            <w:r>
              <w:rPr>
                <w:sz w:val="21"/>
                <w:szCs w:val="21"/>
              </w:rPr>
              <w:t>Intercept</w:t>
            </w:r>
          </w:p>
        </w:tc>
        <w:tc>
          <w:tcPr>
            <w:tcW w:w="2658" w:type="dxa"/>
          </w:tcPr>
          <w:p w14:paraId="45C1262F" w14:textId="77777777" w:rsidR="00957269" w:rsidRDefault="00000000">
            <w:pPr>
              <w:rPr>
                <w:sz w:val="21"/>
                <w:szCs w:val="21"/>
              </w:rPr>
            </w:pPr>
            <w:r>
              <w:rPr>
                <w:sz w:val="21"/>
                <w:szCs w:val="21"/>
              </w:rPr>
              <w:t>.5460***</w:t>
            </w:r>
          </w:p>
          <w:p w14:paraId="1DE2ADAC" w14:textId="77777777" w:rsidR="00957269" w:rsidRDefault="00000000">
            <w:pPr>
              <w:rPr>
                <w:sz w:val="21"/>
                <w:szCs w:val="21"/>
              </w:rPr>
            </w:pPr>
            <w:r>
              <w:rPr>
                <w:sz w:val="21"/>
                <w:szCs w:val="21"/>
              </w:rPr>
              <w:t>(.0263)</w:t>
            </w:r>
          </w:p>
        </w:tc>
        <w:tc>
          <w:tcPr>
            <w:tcW w:w="2469" w:type="dxa"/>
          </w:tcPr>
          <w:p w14:paraId="1C2D6133" w14:textId="77777777" w:rsidR="00957269" w:rsidRDefault="00000000">
            <w:pPr>
              <w:rPr>
                <w:sz w:val="21"/>
                <w:szCs w:val="21"/>
              </w:rPr>
            </w:pPr>
            <w:r>
              <w:rPr>
                <w:sz w:val="21"/>
                <w:szCs w:val="21"/>
              </w:rPr>
              <w:t>.5439***</w:t>
            </w:r>
          </w:p>
          <w:p w14:paraId="13F6A078" w14:textId="77777777" w:rsidR="00957269" w:rsidRDefault="00000000">
            <w:pPr>
              <w:rPr>
                <w:sz w:val="21"/>
                <w:szCs w:val="21"/>
              </w:rPr>
            </w:pPr>
            <w:r>
              <w:rPr>
                <w:sz w:val="21"/>
                <w:szCs w:val="21"/>
              </w:rPr>
              <w:t>(.0242)</w:t>
            </w:r>
          </w:p>
        </w:tc>
      </w:tr>
      <w:tr w:rsidR="00957269" w14:paraId="32D5DBCB" w14:textId="77777777">
        <w:trPr>
          <w:trHeight w:val="270"/>
          <w:jc w:val="center"/>
        </w:trPr>
        <w:tc>
          <w:tcPr>
            <w:tcW w:w="7969" w:type="dxa"/>
            <w:gridSpan w:val="3"/>
          </w:tcPr>
          <w:p w14:paraId="274590EF" w14:textId="77777777" w:rsidR="00957269" w:rsidRDefault="00000000">
            <w:pPr>
              <w:jc w:val="center"/>
              <w:rPr>
                <w:sz w:val="21"/>
                <w:szCs w:val="21"/>
                <w:u w:val="single"/>
              </w:rPr>
            </w:pPr>
            <w:r>
              <w:rPr>
                <w:i/>
                <w:iCs/>
                <w:sz w:val="21"/>
                <w:szCs w:val="21"/>
                <w:u w:val="single"/>
              </w:rPr>
              <w:t>Variances</w:t>
            </w:r>
          </w:p>
        </w:tc>
      </w:tr>
      <w:tr w:rsidR="00957269" w14:paraId="1B4F6337" w14:textId="77777777">
        <w:trPr>
          <w:trHeight w:val="542"/>
          <w:jc w:val="center"/>
        </w:trPr>
        <w:tc>
          <w:tcPr>
            <w:tcW w:w="2842" w:type="dxa"/>
          </w:tcPr>
          <w:p w14:paraId="515DD2B6" w14:textId="77777777" w:rsidR="00957269" w:rsidRDefault="00000000">
            <w:pPr>
              <w:rPr>
                <w:sz w:val="21"/>
                <w:szCs w:val="21"/>
              </w:rPr>
            </w:pPr>
            <w:r>
              <w:rPr>
                <w:sz w:val="21"/>
                <w:szCs w:val="21"/>
              </w:rPr>
              <w:t xml:space="preserve">Country </w:t>
            </w:r>
          </w:p>
        </w:tc>
        <w:tc>
          <w:tcPr>
            <w:tcW w:w="2658" w:type="dxa"/>
          </w:tcPr>
          <w:p w14:paraId="17697366" w14:textId="77777777" w:rsidR="00957269" w:rsidRDefault="00000000">
            <w:pPr>
              <w:rPr>
                <w:sz w:val="21"/>
                <w:szCs w:val="21"/>
              </w:rPr>
            </w:pPr>
            <w:r>
              <w:rPr>
                <w:sz w:val="21"/>
                <w:szCs w:val="21"/>
              </w:rPr>
              <w:t>.0142</w:t>
            </w:r>
          </w:p>
          <w:p w14:paraId="437CDD61" w14:textId="77777777" w:rsidR="00957269" w:rsidRDefault="00000000">
            <w:pPr>
              <w:rPr>
                <w:sz w:val="21"/>
                <w:szCs w:val="21"/>
              </w:rPr>
            </w:pPr>
            <w:r>
              <w:rPr>
                <w:sz w:val="21"/>
                <w:szCs w:val="21"/>
              </w:rPr>
              <w:t>(.0054)</w:t>
            </w:r>
          </w:p>
        </w:tc>
        <w:tc>
          <w:tcPr>
            <w:tcW w:w="2469" w:type="dxa"/>
          </w:tcPr>
          <w:p w14:paraId="2845BD76" w14:textId="77777777" w:rsidR="00957269" w:rsidRDefault="00000000">
            <w:pPr>
              <w:rPr>
                <w:sz w:val="21"/>
                <w:szCs w:val="21"/>
              </w:rPr>
            </w:pPr>
            <w:r>
              <w:rPr>
                <w:sz w:val="21"/>
                <w:szCs w:val="21"/>
              </w:rPr>
              <w:t>.0103</w:t>
            </w:r>
          </w:p>
          <w:p w14:paraId="16822EF0" w14:textId="77777777" w:rsidR="00957269" w:rsidRDefault="00000000">
            <w:pPr>
              <w:rPr>
                <w:sz w:val="21"/>
                <w:szCs w:val="21"/>
              </w:rPr>
            </w:pPr>
            <w:r>
              <w:rPr>
                <w:sz w:val="21"/>
                <w:szCs w:val="21"/>
              </w:rPr>
              <w:t>(.0046)</w:t>
            </w:r>
          </w:p>
        </w:tc>
      </w:tr>
      <w:tr w:rsidR="00957269" w14:paraId="3AC0D1C0" w14:textId="77777777">
        <w:trPr>
          <w:trHeight w:val="446"/>
          <w:jc w:val="center"/>
        </w:trPr>
        <w:tc>
          <w:tcPr>
            <w:tcW w:w="2842" w:type="dxa"/>
          </w:tcPr>
          <w:p w14:paraId="4F9DE708" w14:textId="77777777" w:rsidR="00957269" w:rsidRDefault="00000000">
            <w:pPr>
              <w:rPr>
                <w:sz w:val="21"/>
                <w:szCs w:val="21"/>
              </w:rPr>
            </w:pPr>
            <w:r>
              <w:rPr>
                <w:sz w:val="21"/>
                <w:szCs w:val="21"/>
              </w:rPr>
              <w:t>Supplier</w:t>
            </w:r>
          </w:p>
        </w:tc>
        <w:tc>
          <w:tcPr>
            <w:tcW w:w="2658" w:type="dxa"/>
          </w:tcPr>
          <w:p w14:paraId="77B504A1" w14:textId="77777777" w:rsidR="00957269" w:rsidRDefault="00000000">
            <w:pPr>
              <w:rPr>
                <w:sz w:val="21"/>
                <w:szCs w:val="21"/>
              </w:rPr>
            </w:pPr>
            <w:r>
              <w:rPr>
                <w:sz w:val="21"/>
                <w:szCs w:val="21"/>
              </w:rPr>
              <w:t>.0342</w:t>
            </w:r>
          </w:p>
          <w:p w14:paraId="767F95D0" w14:textId="77777777" w:rsidR="00957269" w:rsidRDefault="00000000">
            <w:pPr>
              <w:rPr>
                <w:sz w:val="21"/>
                <w:szCs w:val="21"/>
              </w:rPr>
            </w:pPr>
            <w:r>
              <w:rPr>
                <w:sz w:val="21"/>
                <w:szCs w:val="21"/>
              </w:rPr>
              <w:t>(.0039)</w:t>
            </w:r>
          </w:p>
        </w:tc>
        <w:tc>
          <w:tcPr>
            <w:tcW w:w="2469" w:type="dxa"/>
          </w:tcPr>
          <w:p w14:paraId="17A33A2F" w14:textId="77777777" w:rsidR="00957269" w:rsidRDefault="00000000">
            <w:pPr>
              <w:rPr>
                <w:sz w:val="21"/>
                <w:szCs w:val="21"/>
              </w:rPr>
            </w:pPr>
            <w:r>
              <w:rPr>
                <w:sz w:val="21"/>
                <w:szCs w:val="21"/>
              </w:rPr>
              <w:t>.0321</w:t>
            </w:r>
          </w:p>
          <w:p w14:paraId="6BFBED05" w14:textId="77777777" w:rsidR="00957269" w:rsidRDefault="00000000">
            <w:pPr>
              <w:rPr>
                <w:sz w:val="21"/>
                <w:szCs w:val="21"/>
              </w:rPr>
            </w:pPr>
            <w:r>
              <w:rPr>
                <w:sz w:val="21"/>
                <w:szCs w:val="21"/>
              </w:rPr>
              <w:t>(.004)</w:t>
            </w:r>
          </w:p>
        </w:tc>
      </w:tr>
      <w:tr w:rsidR="00957269" w14:paraId="462CDF72" w14:textId="77777777">
        <w:trPr>
          <w:trHeight w:val="356"/>
          <w:jc w:val="center"/>
        </w:trPr>
        <w:tc>
          <w:tcPr>
            <w:tcW w:w="2842" w:type="dxa"/>
          </w:tcPr>
          <w:p w14:paraId="123B9330" w14:textId="77777777" w:rsidR="00957269" w:rsidRDefault="00000000">
            <w:pPr>
              <w:rPr>
                <w:sz w:val="21"/>
                <w:szCs w:val="21"/>
              </w:rPr>
            </w:pPr>
            <w:r>
              <w:rPr>
                <w:sz w:val="21"/>
                <w:szCs w:val="21"/>
              </w:rPr>
              <w:t>Country X Supplier</w:t>
            </w:r>
          </w:p>
        </w:tc>
        <w:tc>
          <w:tcPr>
            <w:tcW w:w="2658" w:type="dxa"/>
          </w:tcPr>
          <w:p w14:paraId="128A4326" w14:textId="77777777" w:rsidR="00957269" w:rsidRDefault="00957269">
            <w:pPr>
              <w:rPr>
                <w:sz w:val="21"/>
                <w:szCs w:val="21"/>
              </w:rPr>
            </w:pPr>
          </w:p>
        </w:tc>
        <w:tc>
          <w:tcPr>
            <w:tcW w:w="2469" w:type="dxa"/>
          </w:tcPr>
          <w:p w14:paraId="5D3ED0CF" w14:textId="77777777" w:rsidR="00957269" w:rsidRDefault="00000000">
            <w:pPr>
              <w:rPr>
                <w:sz w:val="21"/>
                <w:szCs w:val="21"/>
              </w:rPr>
            </w:pPr>
            <w:r>
              <w:rPr>
                <w:sz w:val="21"/>
                <w:szCs w:val="21"/>
              </w:rPr>
              <w:t>.0049</w:t>
            </w:r>
          </w:p>
          <w:p w14:paraId="4DDD8464" w14:textId="77777777" w:rsidR="00957269" w:rsidRDefault="00000000">
            <w:pPr>
              <w:rPr>
                <w:sz w:val="21"/>
                <w:szCs w:val="21"/>
              </w:rPr>
            </w:pPr>
            <w:r>
              <w:rPr>
                <w:sz w:val="21"/>
                <w:szCs w:val="21"/>
              </w:rPr>
              <w:t>(.0019)</w:t>
            </w:r>
          </w:p>
        </w:tc>
      </w:tr>
      <w:tr w:rsidR="00957269" w14:paraId="41D1EDD0" w14:textId="77777777">
        <w:trPr>
          <w:trHeight w:val="542"/>
          <w:jc w:val="center"/>
        </w:trPr>
        <w:tc>
          <w:tcPr>
            <w:tcW w:w="2842" w:type="dxa"/>
          </w:tcPr>
          <w:p w14:paraId="42850091" w14:textId="77777777" w:rsidR="00957269" w:rsidRDefault="00000000">
            <w:pPr>
              <w:rPr>
                <w:sz w:val="21"/>
                <w:szCs w:val="21"/>
              </w:rPr>
            </w:pPr>
            <w:r>
              <w:rPr>
                <w:sz w:val="21"/>
                <w:szCs w:val="21"/>
              </w:rPr>
              <w:t>Factory</w:t>
            </w:r>
          </w:p>
        </w:tc>
        <w:tc>
          <w:tcPr>
            <w:tcW w:w="2658" w:type="dxa"/>
          </w:tcPr>
          <w:p w14:paraId="03738097" w14:textId="77777777" w:rsidR="00957269" w:rsidRDefault="00000000">
            <w:pPr>
              <w:rPr>
                <w:sz w:val="21"/>
                <w:szCs w:val="21"/>
              </w:rPr>
            </w:pPr>
            <w:r>
              <w:rPr>
                <w:sz w:val="21"/>
                <w:szCs w:val="21"/>
              </w:rPr>
              <w:t>.0210</w:t>
            </w:r>
          </w:p>
          <w:p w14:paraId="0118C008" w14:textId="77777777" w:rsidR="00957269" w:rsidRDefault="00000000">
            <w:pPr>
              <w:rPr>
                <w:sz w:val="21"/>
                <w:szCs w:val="21"/>
              </w:rPr>
            </w:pPr>
            <w:r>
              <w:rPr>
                <w:sz w:val="21"/>
                <w:szCs w:val="21"/>
              </w:rPr>
              <w:t>(.0016)</w:t>
            </w:r>
          </w:p>
        </w:tc>
        <w:tc>
          <w:tcPr>
            <w:tcW w:w="2469" w:type="dxa"/>
          </w:tcPr>
          <w:p w14:paraId="2D8B9599" w14:textId="77777777" w:rsidR="00957269" w:rsidRDefault="00000000">
            <w:pPr>
              <w:rPr>
                <w:sz w:val="21"/>
                <w:szCs w:val="21"/>
              </w:rPr>
            </w:pPr>
            <w:r>
              <w:rPr>
                <w:sz w:val="21"/>
                <w:szCs w:val="21"/>
              </w:rPr>
              <w:t>.0184</w:t>
            </w:r>
          </w:p>
          <w:p w14:paraId="5EF6EC3E" w14:textId="77777777" w:rsidR="00957269" w:rsidRDefault="00000000">
            <w:pPr>
              <w:rPr>
                <w:sz w:val="21"/>
                <w:szCs w:val="21"/>
              </w:rPr>
            </w:pPr>
            <w:r>
              <w:rPr>
                <w:sz w:val="21"/>
                <w:szCs w:val="21"/>
              </w:rPr>
              <w:t>(.0016)</w:t>
            </w:r>
          </w:p>
        </w:tc>
      </w:tr>
      <w:tr w:rsidR="00957269" w14:paraId="19BB324A" w14:textId="77777777">
        <w:trPr>
          <w:trHeight w:val="542"/>
          <w:jc w:val="center"/>
        </w:trPr>
        <w:tc>
          <w:tcPr>
            <w:tcW w:w="2842" w:type="dxa"/>
            <w:tcBorders>
              <w:bottom w:val="single" w:sz="4" w:space="0" w:color="000000"/>
            </w:tcBorders>
          </w:tcPr>
          <w:p w14:paraId="2D9D1A48" w14:textId="77777777" w:rsidR="00957269" w:rsidRDefault="00000000">
            <w:pPr>
              <w:rPr>
                <w:sz w:val="21"/>
                <w:szCs w:val="21"/>
              </w:rPr>
            </w:pPr>
            <w:r>
              <w:rPr>
                <w:sz w:val="21"/>
                <w:szCs w:val="21"/>
              </w:rPr>
              <w:t>‘Occasion’</w:t>
            </w:r>
          </w:p>
        </w:tc>
        <w:tc>
          <w:tcPr>
            <w:tcW w:w="2658" w:type="dxa"/>
            <w:tcBorders>
              <w:bottom w:val="single" w:sz="4" w:space="0" w:color="000000"/>
            </w:tcBorders>
          </w:tcPr>
          <w:p w14:paraId="7F060E33" w14:textId="77777777" w:rsidR="00957269" w:rsidRDefault="00000000">
            <w:pPr>
              <w:rPr>
                <w:sz w:val="21"/>
                <w:szCs w:val="21"/>
              </w:rPr>
            </w:pPr>
            <w:r>
              <w:rPr>
                <w:sz w:val="21"/>
                <w:szCs w:val="21"/>
              </w:rPr>
              <w:t>.0077</w:t>
            </w:r>
          </w:p>
          <w:p w14:paraId="265BB6C3" w14:textId="77777777" w:rsidR="00957269" w:rsidRDefault="00000000">
            <w:pPr>
              <w:rPr>
                <w:sz w:val="21"/>
                <w:szCs w:val="21"/>
              </w:rPr>
            </w:pPr>
            <w:r>
              <w:rPr>
                <w:sz w:val="21"/>
                <w:szCs w:val="21"/>
              </w:rPr>
              <w:t>(.0002)</w:t>
            </w:r>
          </w:p>
        </w:tc>
        <w:tc>
          <w:tcPr>
            <w:tcW w:w="2469" w:type="dxa"/>
            <w:tcBorders>
              <w:bottom w:val="single" w:sz="4" w:space="0" w:color="000000"/>
            </w:tcBorders>
          </w:tcPr>
          <w:p w14:paraId="277F109D" w14:textId="77777777" w:rsidR="00957269" w:rsidRDefault="00000000">
            <w:pPr>
              <w:rPr>
                <w:sz w:val="21"/>
                <w:szCs w:val="21"/>
              </w:rPr>
            </w:pPr>
            <w:r>
              <w:rPr>
                <w:sz w:val="21"/>
                <w:szCs w:val="21"/>
              </w:rPr>
              <w:t>.0077</w:t>
            </w:r>
          </w:p>
          <w:p w14:paraId="50AD0C3C" w14:textId="77777777" w:rsidR="00957269" w:rsidRDefault="00000000">
            <w:pPr>
              <w:rPr>
                <w:sz w:val="21"/>
                <w:szCs w:val="21"/>
              </w:rPr>
            </w:pPr>
            <w:r>
              <w:rPr>
                <w:sz w:val="21"/>
                <w:szCs w:val="21"/>
              </w:rPr>
              <w:t>(.0002)</w:t>
            </w:r>
          </w:p>
        </w:tc>
      </w:tr>
      <w:tr w:rsidR="00957269" w14:paraId="0A80E722" w14:textId="77777777">
        <w:trPr>
          <w:trHeight w:val="270"/>
          <w:jc w:val="center"/>
        </w:trPr>
        <w:tc>
          <w:tcPr>
            <w:tcW w:w="2842" w:type="dxa"/>
            <w:tcBorders>
              <w:top w:val="single" w:sz="4" w:space="0" w:color="000000"/>
            </w:tcBorders>
          </w:tcPr>
          <w:p w14:paraId="3D850837" w14:textId="77777777" w:rsidR="00957269" w:rsidRDefault="00000000">
            <w:pPr>
              <w:rPr>
                <w:sz w:val="21"/>
                <w:szCs w:val="21"/>
              </w:rPr>
            </w:pPr>
            <w:r>
              <w:rPr>
                <w:sz w:val="21"/>
                <w:szCs w:val="21"/>
              </w:rPr>
              <w:t>Observations</w:t>
            </w:r>
          </w:p>
        </w:tc>
        <w:tc>
          <w:tcPr>
            <w:tcW w:w="2658" w:type="dxa"/>
            <w:tcBorders>
              <w:top w:val="single" w:sz="4" w:space="0" w:color="000000"/>
            </w:tcBorders>
          </w:tcPr>
          <w:p w14:paraId="3398FCD3" w14:textId="77777777" w:rsidR="00957269" w:rsidRDefault="00000000">
            <w:pPr>
              <w:rPr>
                <w:sz w:val="21"/>
                <w:szCs w:val="21"/>
              </w:rPr>
            </w:pPr>
            <w:r>
              <w:rPr>
                <w:sz w:val="21"/>
                <w:szCs w:val="21"/>
              </w:rPr>
              <w:t>2360</w:t>
            </w:r>
          </w:p>
        </w:tc>
        <w:tc>
          <w:tcPr>
            <w:tcW w:w="2469" w:type="dxa"/>
            <w:tcBorders>
              <w:top w:val="single" w:sz="4" w:space="0" w:color="000000"/>
            </w:tcBorders>
          </w:tcPr>
          <w:p w14:paraId="0F27F223" w14:textId="77777777" w:rsidR="00957269" w:rsidRDefault="00000000">
            <w:pPr>
              <w:rPr>
                <w:sz w:val="21"/>
                <w:szCs w:val="21"/>
              </w:rPr>
            </w:pPr>
            <w:r>
              <w:rPr>
                <w:sz w:val="21"/>
                <w:szCs w:val="21"/>
              </w:rPr>
              <w:t>2360</w:t>
            </w:r>
          </w:p>
        </w:tc>
      </w:tr>
      <w:tr w:rsidR="00957269" w14:paraId="0A7A9D94" w14:textId="77777777">
        <w:trPr>
          <w:trHeight w:val="140"/>
          <w:jc w:val="center"/>
        </w:trPr>
        <w:tc>
          <w:tcPr>
            <w:tcW w:w="2842" w:type="dxa"/>
          </w:tcPr>
          <w:p w14:paraId="0E2FC298" w14:textId="77777777" w:rsidR="00957269" w:rsidRDefault="00000000">
            <w:pPr>
              <w:rPr>
                <w:sz w:val="21"/>
                <w:szCs w:val="21"/>
              </w:rPr>
            </w:pPr>
            <w:r>
              <w:rPr>
                <w:sz w:val="21"/>
                <w:szCs w:val="21"/>
              </w:rPr>
              <w:t>Log-likelihood</w:t>
            </w:r>
          </w:p>
        </w:tc>
        <w:tc>
          <w:tcPr>
            <w:tcW w:w="2658" w:type="dxa"/>
          </w:tcPr>
          <w:p w14:paraId="59490062" w14:textId="77777777" w:rsidR="00957269" w:rsidRDefault="00000000">
            <w:pPr>
              <w:rPr>
                <w:sz w:val="21"/>
                <w:szCs w:val="21"/>
              </w:rPr>
            </w:pPr>
            <w:r>
              <w:rPr>
                <w:sz w:val="21"/>
                <w:szCs w:val="21"/>
              </w:rPr>
              <w:t>1291.29</w:t>
            </w:r>
          </w:p>
        </w:tc>
        <w:tc>
          <w:tcPr>
            <w:tcW w:w="2469" w:type="dxa"/>
          </w:tcPr>
          <w:p w14:paraId="60A08E29" w14:textId="77777777" w:rsidR="00957269" w:rsidRDefault="00000000">
            <w:pPr>
              <w:rPr>
                <w:sz w:val="21"/>
                <w:szCs w:val="21"/>
              </w:rPr>
            </w:pPr>
            <w:r>
              <w:rPr>
                <w:sz w:val="21"/>
                <w:szCs w:val="21"/>
              </w:rPr>
              <w:t>1297.23</w:t>
            </w:r>
          </w:p>
        </w:tc>
      </w:tr>
      <w:tr w:rsidR="00957269" w14:paraId="23E2A5BA" w14:textId="77777777">
        <w:trPr>
          <w:trHeight w:val="275"/>
          <w:jc w:val="center"/>
        </w:trPr>
        <w:tc>
          <w:tcPr>
            <w:tcW w:w="2842" w:type="dxa"/>
            <w:tcBorders>
              <w:bottom w:val="single" w:sz="4" w:space="0" w:color="000000"/>
            </w:tcBorders>
          </w:tcPr>
          <w:p w14:paraId="1CFBF2B6" w14:textId="77777777" w:rsidR="00957269" w:rsidRDefault="00000000">
            <w:pPr>
              <w:rPr>
                <w:sz w:val="21"/>
                <w:szCs w:val="21"/>
              </w:rPr>
            </w:pPr>
            <w:r>
              <w:rPr>
                <w:sz w:val="21"/>
                <w:szCs w:val="21"/>
              </w:rPr>
              <w:t>LR test statistic</w:t>
            </w:r>
          </w:p>
        </w:tc>
        <w:tc>
          <w:tcPr>
            <w:tcW w:w="2658" w:type="dxa"/>
            <w:tcBorders>
              <w:bottom w:val="single" w:sz="4" w:space="0" w:color="000000"/>
            </w:tcBorders>
          </w:tcPr>
          <w:p w14:paraId="089AEF96" w14:textId="77777777" w:rsidR="00957269" w:rsidRDefault="00000000">
            <w:pPr>
              <w:rPr>
                <w:sz w:val="21"/>
                <w:szCs w:val="21"/>
              </w:rPr>
            </w:pPr>
            <w:r>
              <w:rPr>
                <w:sz w:val="21"/>
                <w:szCs w:val="21"/>
              </w:rPr>
              <w:t xml:space="preserve">     .</w:t>
            </w:r>
          </w:p>
        </w:tc>
        <w:tc>
          <w:tcPr>
            <w:tcW w:w="2469" w:type="dxa"/>
            <w:tcBorders>
              <w:bottom w:val="single" w:sz="4" w:space="0" w:color="000000"/>
            </w:tcBorders>
          </w:tcPr>
          <w:p w14:paraId="3AE5FB33" w14:textId="77777777" w:rsidR="00957269" w:rsidRDefault="00000000">
            <w:pPr>
              <w:rPr>
                <w:i/>
                <w:iCs/>
                <w:sz w:val="21"/>
                <w:szCs w:val="21"/>
              </w:rPr>
            </w:pPr>
            <w:r>
              <w:rPr>
                <w:sz w:val="21"/>
                <w:szCs w:val="21"/>
              </w:rPr>
              <w:t>11.88*** vs. (1)</w:t>
            </w:r>
          </w:p>
        </w:tc>
      </w:tr>
      <w:tr w:rsidR="00957269" w14:paraId="1BE0E0D5" w14:textId="77777777">
        <w:trPr>
          <w:trHeight w:val="355"/>
          <w:jc w:val="center"/>
        </w:trPr>
        <w:tc>
          <w:tcPr>
            <w:tcW w:w="7969" w:type="dxa"/>
            <w:gridSpan w:val="3"/>
            <w:tcBorders>
              <w:top w:val="single" w:sz="4" w:space="0" w:color="000000"/>
            </w:tcBorders>
          </w:tcPr>
          <w:p w14:paraId="48FC8E03" w14:textId="77777777" w:rsidR="00957269" w:rsidRDefault="00000000">
            <w:pPr>
              <w:jc w:val="center"/>
              <w:rPr>
                <w:sz w:val="21"/>
                <w:szCs w:val="21"/>
              </w:rPr>
            </w:pPr>
            <w:r>
              <w:rPr>
                <w:i/>
                <w:iCs/>
                <w:sz w:val="21"/>
                <w:szCs w:val="21"/>
                <w:u w:val="single"/>
              </w:rPr>
              <w:t>Variance Partition Coefficients (VPCs) (i.e., % of variance by level)</w:t>
            </w:r>
          </w:p>
        </w:tc>
      </w:tr>
      <w:tr w:rsidR="00957269" w14:paraId="4963C6AC" w14:textId="77777777">
        <w:trPr>
          <w:trHeight w:val="270"/>
          <w:jc w:val="center"/>
        </w:trPr>
        <w:tc>
          <w:tcPr>
            <w:tcW w:w="2842" w:type="dxa"/>
          </w:tcPr>
          <w:p w14:paraId="1D1E19C2" w14:textId="77777777" w:rsidR="00957269" w:rsidRDefault="00000000">
            <w:pPr>
              <w:rPr>
                <w:sz w:val="21"/>
                <w:szCs w:val="21"/>
              </w:rPr>
            </w:pPr>
            <w:r>
              <w:rPr>
                <w:sz w:val="21"/>
                <w:szCs w:val="21"/>
              </w:rPr>
              <w:t>Country</w:t>
            </w:r>
          </w:p>
        </w:tc>
        <w:tc>
          <w:tcPr>
            <w:tcW w:w="2658" w:type="dxa"/>
          </w:tcPr>
          <w:p w14:paraId="26CEDACE" w14:textId="77777777" w:rsidR="00957269" w:rsidRDefault="00000000">
            <w:pPr>
              <w:rPr>
                <w:sz w:val="21"/>
                <w:szCs w:val="21"/>
              </w:rPr>
            </w:pPr>
            <w:r>
              <w:rPr>
                <w:sz w:val="21"/>
                <w:szCs w:val="21"/>
              </w:rPr>
              <w:t>18.46%</w:t>
            </w:r>
          </w:p>
        </w:tc>
        <w:tc>
          <w:tcPr>
            <w:tcW w:w="2469" w:type="dxa"/>
          </w:tcPr>
          <w:p w14:paraId="68ACD492" w14:textId="77777777" w:rsidR="00957269" w:rsidRDefault="00000000">
            <w:pPr>
              <w:rPr>
                <w:sz w:val="21"/>
                <w:szCs w:val="21"/>
              </w:rPr>
            </w:pPr>
            <w:r>
              <w:rPr>
                <w:sz w:val="21"/>
                <w:szCs w:val="21"/>
              </w:rPr>
              <w:t>14.03%</w:t>
            </w:r>
          </w:p>
        </w:tc>
      </w:tr>
      <w:tr w:rsidR="00957269" w14:paraId="428729C4" w14:textId="77777777">
        <w:trPr>
          <w:trHeight w:val="70"/>
          <w:jc w:val="center"/>
        </w:trPr>
        <w:tc>
          <w:tcPr>
            <w:tcW w:w="2842" w:type="dxa"/>
          </w:tcPr>
          <w:p w14:paraId="13C981F7" w14:textId="77777777" w:rsidR="00957269" w:rsidRDefault="00000000">
            <w:pPr>
              <w:rPr>
                <w:sz w:val="21"/>
                <w:szCs w:val="21"/>
              </w:rPr>
            </w:pPr>
            <w:r>
              <w:rPr>
                <w:sz w:val="21"/>
                <w:szCs w:val="21"/>
              </w:rPr>
              <w:t>Supplier</w:t>
            </w:r>
          </w:p>
        </w:tc>
        <w:tc>
          <w:tcPr>
            <w:tcW w:w="2658" w:type="dxa"/>
          </w:tcPr>
          <w:p w14:paraId="348B8D2A" w14:textId="77777777" w:rsidR="00957269" w:rsidRDefault="00000000">
            <w:pPr>
              <w:rPr>
                <w:sz w:val="21"/>
                <w:szCs w:val="21"/>
              </w:rPr>
            </w:pPr>
            <w:r>
              <w:rPr>
                <w:sz w:val="21"/>
                <w:szCs w:val="21"/>
              </w:rPr>
              <w:t>44.32%</w:t>
            </w:r>
          </w:p>
        </w:tc>
        <w:tc>
          <w:tcPr>
            <w:tcW w:w="2469" w:type="dxa"/>
          </w:tcPr>
          <w:p w14:paraId="68B35315" w14:textId="77777777" w:rsidR="00957269" w:rsidRDefault="00000000">
            <w:pPr>
              <w:rPr>
                <w:sz w:val="21"/>
                <w:szCs w:val="21"/>
              </w:rPr>
            </w:pPr>
            <w:r>
              <w:rPr>
                <w:sz w:val="21"/>
                <w:szCs w:val="21"/>
              </w:rPr>
              <w:t>43.59%</w:t>
            </w:r>
          </w:p>
        </w:tc>
      </w:tr>
      <w:tr w:rsidR="00957269" w14:paraId="3FCA02E7" w14:textId="77777777">
        <w:trPr>
          <w:trHeight w:val="270"/>
          <w:jc w:val="center"/>
        </w:trPr>
        <w:tc>
          <w:tcPr>
            <w:tcW w:w="2842" w:type="dxa"/>
          </w:tcPr>
          <w:p w14:paraId="565A1593" w14:textId="77777777" w:rsidR="00957269" w:rsidRDefault="00000000">
            <w:pPr>
              <w:rPr>
                <w:sz w:val="21"/>
                <w:szCs w:val="21"/>
              </w:rPr>
            </w:pPr>
            <w:r>
              <w:rPr>
                <w:sz w:val="21"/>
                <w:szCs w:val="21"/>
              </w:rPr>
              <w:t>Country-X-Supplier</w:t>
            </w:r>
          </w:p>
        </w:tc>
        <w:tc>
          <w:tcPr>
            <w:tcW w:w="2658" w:type="dxa"/>
          </w:tcPr>
          <w:p w14:paraId="58FA8C48" w14:textId="77777777" w:rsidR="00957269" w:rsidRDefault="00957269">
            <w:pPr>
              <w:rPr>
                <w:sz w:val="21"/>
                <w:szCs w:val="21"/>
              </w:rPr>
            </w:pPr>
          </w:p>
        </w:tc>
        <w:tc>
          <w:tcPr>
            <w:tcW w:w="2469" w:type="dxa"/>
          </w:tcPr>
          <w:p w14:paraId="1EE484DE" w14:textId="77777777" w:rsidR="00957269" w:rsidRDefault="00000000">
            <w:pPr>
              <w:rPr>
                <w:sz w:val="21"/>
                <w:szCs w:val="21"/>
              </w:rPr>
            </w:pPr>
            <w:r>
              <w:rPr>
                <w:sz w:val="21"/>
                <w:szCs w:val="21"/>
              </w:rPr>
              <w:t>6.76%</w:t>
            </w:r>
          </w:p>
        </w:tc>
      </w:tr>
      <w:tr w:rsidR="00957269" w14:paraId="652EB4FF" w14:textId="77777777">
        <w:trPr>
          <w:trHeight w:val="260"/>
          <w:jc w:val="center"/>
        </w:trPr>
        <w:tc>
          <w:tcPr>
            <w:tcW w:w="2842" w:type="dxa"/>
          </w:tcPr>
          <w:p w14:paraId="43DE31FB" w14:textId="77777777" w:rsidR="00957269" w:rsidRDefault="00000000">
            <w:pPr>
              <w:rPr>
                <w:sz w:val="21"/>
                <w:szCs w:val="21"/>
              </w:rPr>
            </w:pPr>
            <w:r>
              <w:rPr>
                <w:sz w:val="21"/>
                <w:szCs w:val="21"/>
              </w:rPr>
              <w:t>Factory</w:t>
            </w:r>
          </w:p>
        </w:tc>
        <w:tc>
          <w:tcPr>
            <w:tcW w:w="2658" w:type="dxa"/>
          </w:tcPr>
          <w:p w14:paraId="3E3050C3" w14:textId="77777777" w:rsidR="00957269" w:rsidRDefault="00000000">
            <w:pPr>
              <w:rPr>
                <w:sz w:val="21"/>
                <w:szCs w:val="21"/>
              </w:rPr>
            </w:pPr>
            <w:r>
              <w:rPr>
                <w:sz w:val="21"/>
                <w:szCs w:val="21"/>
              </w:rPr>
              <w:t>27.16%</w:t>
            </w:r>
          </w:p>
        </w:tc>
        <w:tc>
          <w:tcPr>
            <w:tcW w:w="2469" w:type="dxa"/>
          </w:tcPr>
          <w:p w14:paraId="5E9715DD" w14:textId="77777777" w:rsidR="00957269" w:rsidRDefault="00000000">
            <w:pPr>
              <w:rPr>
                <w:sz w:val="21"/>
                <w:szCs w:val="21"/>
              </w:rPr>
            </w:pPr>
            <w:r>
              <w:rPr>
                <w:sz w:val="21"/>
                <w:szCs w:val="21"/>
              </w:rPr>
              <w:t>25.05%</w:t>
            </w:r>
          </w:p>
        </w:tc>
      </w:tr>
      <w:tr w:rsidR="00957269" w14:paraId="50B42717" w14:textId="77777777">
        <w:trPr>
          <w:trHeight w:val="401"/>
          <w:jc w:val="center"/>
        </w:trPr>
        <w:tc>
          <w:tcPr>
            <w:tcW w:w="2842" w:type="dxa"/>
            <w:tcBorders>
              <w:bottom w:val="single" w:sz="4" w:space="0" w:color="000000"/>
            </w:tcBorders>
          </w:tcPr>
          <w:p w14:paraId="4BE28230" w14:textId="77777777" w:rsidR="00957269" w:rsidRDefault="00000000">
            <w:pPr>
              <w:rPr>
                <w:sz w:val="21"/>
                <w:szCs w:val="21"/>
              </w:rPr>
            </w:pPr>
            <w:r>
              <w:rPr>
                <w:sz w:val="21"/>
                <w:szCs w:val="21"/>
              </w:rPr>
              <w:t>‘Occasion’</w:t>
            </w:r>
          </w:p>
        </w:tc>
        <w:tc>
          <w:tcPr>
            <w:tcW w:w="2658" w:type="dxa"/>
            <w:tcBorders>
              <w:bottom w:val="single" w:sz="4" w:space="0" w:color="000000"/>
            </w:tcBorders>
          </w:tcPr>
          <w:p w14:paraId="4BA94653" w14:textId="77777777" w:rsidR="00957269" w:rsidRDefault="00000000">
            <w:pPr>
              <w:rPr>
                <w:sz w:val="21"/>
                <w:szCs w:val="21"/>
              </w:rPr>
            </w:pPr>
            <w:r>
              <w:rPr>
                <w:sz w:val="21"/>
                <w:szCs w:val="21"/>
              </w:rPr>
              <w:t>10.04%</w:t>
            </w:r>
          </w:p>
        </w:tc>
        <w:tc>
          <w:tcPr>
            <w:tcW w:w="2469" w:type="dxa"/>
            <w:tcBorders>
              <w:bottom w:val="single" w:sz="4" w:space="0" w:color="000000"/>
            </w:tcBorders>
          </w:tcPr>
          <w:p w14:paraId="37FBC4A8" w14:textId="77777777" w:rsidR="00957269" w:rsidRDefault="00000000">
            <w:pPr>
              <w:rPr>
                <w:sz w:val="21"/>
                <w:szCs w:val="21"/>
              </w:rPr>
            </w:pPr>
            <w:r>
              <w:rPr>
                <w:sz w:val="21"/>
                <w:szCs w:val="21"/>
              </w:rPr>
              <w:t>10.54%</w:t>
            </w:r>
          </w:p>
        </w:tc>
      </w:tr>
      <w:tr w:rsidR="00957269" w14:paraId="64A9FE57" w14:textId="77777777">
        <w:trPr>
          <w:trHeight w:val="270"/>
          <w:jc w:val="center"/>
        </w:trPr>
        <w:tc>
          <w:tcPr>
            <w:tcW w:w="7969" w:type="dxa"/>
            <w:gridSpan w:val="3"/>
            <w:tcBorders>
              <w:top w:val="single" w:sz="4" w:space="0" w:color="000000"/>
              <w:bottom w:val="single" w:sz="4" w:space="0" w:color="000000"/>
            </w:tcBorders>
          </w:tcPr>
          <w:p w14:paraId="2A4C70D4" w14:textId="77777777" w:rsidR="00957269" w:rsidRDefault="00000000">
            <w:pPr>
              <w:jc w:val="both"/>
              <w:rPr>
                <w:sz w:val="21"/>
                <w:szCs w:val="21"/>
              </w:rPr>
            </w:pPr>
            <w:r>
              <w:rPr>
                <w:b/>
                <w:bCs/>
                <w:sz w:val="21"/>
                <w:szCs w:val="21"/>
              </w:rPr>
              <w:t>Notes</w:t>
            </w:r>
            <w:r>
              <w:rPr>
                <w:sz w:val="21"/>
                <w:szCs w:val="21"/>
              </w:rPr>
              <w:t>:</w:t>
            </w:r>
          </w:p>
          <w:p w14:paraId="519135D4" w14:textId="77777777" w:rsidR="00957269" w:rsidRDefault="00000000">
            <w:pPr>
              <w:jc w:val="both"/>
              <w:rPr>
                <w:sz w:val="21"/>
                <w:szCs w:val="21"/>
              </w:rPr>
            </w:pPr>
            <w:r>
              <w:rPr>
                <w:sz w:val="21"/>
                <w:szCs w:val="21"/>
              </w:rPr>
              <w:t xml:space="preserve">Model (2), the preferred model according to the likelihood ratio test, accounts for unobserved cross-level ‘interaction effects’, </w:t>
            </w:r>
            <w:r>
              <w:rPr>
                <w:i/>
                <w:iCs/>
                <w:sz w:val="21"/>
                <w:szCs w:val="21"/>
              </w:rPr>
              <w:t>i.e.</w:t>
            </w:r>
            <w:r>
              <w:rPr>
                <w:sz w:val="21"/>
                <w:szCs w:val="21"/>
              </w:rPr>
              <w:t>, that the supplier-level effects (</w:t>
            </w:r>
            <w:r>
              <w:rPr>
                <w:i/>
                <w:iCs/>
                <w:sz w:val="21"/>
                <w:szCs w:val="21"/>
              </w:rPr>
              <w:t>e.g.</w:t>
            </w:r>
            <w:r>
              <w:rPr>
                <w:sz w:val="21"/>
                <w:szCs w:val="21"/>
              </w:rPr>
              <w:t xml:space="preserve">, due to HR policies) on their factories’ female workforce participation can vary according to which country a factory is located. </w:t>
            </w:r>
          </w:p>
          <w:p w14:paraId="4ACAE46D" w14:textId="77777777" w:rsidR="00957269" w:rsidRDefault="00000000">
            <w:pPr>
              <w:jc w:val="both"/>
              <w:rPr>
                <w:sz w:val="21"/>
                <w:szCs w:val="21"/>
              </w:rPr>
            </w:pPr>
            <w:r>
              <w:rPr>
                <w:sz w:val="21"/>
                <w:szCs w:val="21"/>
              </w:rPr>
              <w:t>* p &lt; 0.10, ** p &lt; 0.05, *** p &lt; 0.01</w:t>
            </w:r>
          </w:p>
        </w:tc>
      </w:tr>
    </w:tbl>
    <w:p w14:paraId="688F3A27" w14:textId="77777777" w:rsidR="00957269" w:rsidRDefault="00957269">
      <w:pPr>
        <w:pBdr>
          <w:top w:val="nil"/>
          <w:left w:val="nil"/>
          <w:bottom w:val="nil"/>
          <w:right w:val="nil"/>
          <w:between w:val="nil"/>
        </w:pBdr>
        <w:jc w:val="both"/>
      </w:pPr>
    </w:p>
    <w:p w14:paraId="59B6CF3F" w14:textId="32C548A1" w:rsidR="00957269" w:rsidRDefault="00000000">
      <w:pPr>
        <w:pBdr>
          <w:top w:val="nil"/>
          <w:left w:val="nil"/>
          <w:bottom w:val="nil"/>
          <w:right w:val="nil"/>
          <w:between w:val="nil"/>
        </w:pBdr>
        <w:ind w:firstLine="720"/>
        <w:jc w:val="both"/>
        <w:rPr>
          <w:highlight w:val="yellow"/>
        </w:rPr>
      </w:pPr>
      <w:r>
        <w:t>B</w:t>
      </w:r>
      <w:r>
        <w:rPr>
          <w:color w:val="000000"/>
        </w:rPr>
        <w:t>uilding on (the preferred</w:t>
      </w:r>
      <w:r>
        <w:t xml:space="preserve">) </w:t>
      </w:r>
      <w:r>
        <w:rPr>
          <w:color w:val="000000"/>
        </w:rPr>
        <w:t>Model (2)</w:t>
      </w:r>
      <w:r>
        <w:t>, in the next stage we added the</w:t>
      </w:r>
      <w:r>
        <w:rPr>
          <w:color w:val="000000"/>
        </w:rPr>
        <w:t xml:space="preserve"> factory- and supplier-level variables in a stepwise manner. </w:t>
      </w:r>
      <w:r>
        <w:t xml:space="preserve">For factory </w:t>
      </w:r>
      <w:r>
        <w:rPr>
          <w:i/>
          <w:iCs/>
        </w:rPr>
        <w:t>size</w:t>
      </w:r>
      <w:r>
        <w:t>, we took the natural logarithmic transformation of the number of total workers due to the extreme right skew of the original variable. We also included the quadratic term of the transformed variable as it provided a better model fit. The results are presented in Table 3.</w:t>
      </w:r>
    </w:p>
    <w:p w14:paraId="55397F00" w14:textId="77777777" w:rsidR="00957269" w:rsidRDefault="00957269"/>
    <w:p w14:paraId="19C9F80C" w14:textId="77777777" w:rsidR="00957269" w:rsidRDefault="00000000">
      <w:pPr>
        <w:jc w:val="center"/>
      </w:pPr>
      <w:r>
        <w:rPr>
          <w:b/>
          <w:bCs/>
        </w:rPr>
        <w:t>Table 3</w:t>
      </w:r>
      <w:r>
        <w:t xml:space="preserve"> Results from the RE models including factory- and supplier-level variables</w:t>
      </w:r>
    </w:p>
    <w:tbl>
      <w:tblPr>
        <w:tblStyle w:val="a1"/>
        <w:tblW w:w="901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5"/>
        <w:gridCol w:w="1980"/>
        <w:gridCol w:w="2126"/>
        <w:gridCol w:w="2075"/>
      </w:tblGrid>
      <w:tr w:rsidR="00957269" w14:paraId="58E37BCC" w14:textId="77777777">
        <w:tc>
          <w:tcPr>
            <w:tcW w:w="2835" w:type="dxa"/>
            <w:tcBorders>
              <w:top w:val="single" w:sz="4" w:space="0" w:color="000000"/>
              <w:bottom w:val="single" w:sz="4" w:space="0" w:color="000000"/>
            </w:tcBorders>
          </w:tcPr>
          <w:p w14:paraId="743D9E0D" w14:textId="77777777" w:rsidR="00957269" w:rsidRDefault="00957269">
            <w:pPr>
              <w:jc w:val="center"/>
              <w:rPr>
                <w:b/>
                <w:bCs/>
                <w:sz w:val="21"/>
                <w:szCs w:val="21"/>
              </w:rPr>
            </w:pPr>
          </w:p>
        </w:tc>
        <w:tc>
          <w:tcPr>
            <w:tcW w:w="1980" w:type="dxa"/>
            <w:tcBorders>
              <w:top w:val="single" w:sz="4" w:space="0" w:color="000000"/>
              <w:bottom w:val="single" w:sz="4" w:space="0" w:color="000000"/>
            </w:tcBorders>
          </w:tcPr>
          <w:p w14:paraId="7AE553AD" w14:textId="77777777" w:rsidR="00957269" w:rsidRDefault="00000000">
            <w:pPr>
              <w:jc w:val="center"/>
              <w:rPr>
                <w:b/>
                <w:bCs/>
                <w:sz w:val="21"/>
                <w:szCs w:val="21"/>
              </w:rPr>
            </w:pPr>
            <w:r>
              <w:rPr>
                <w:b/>
                <w:bCs/>
                <w:sz w:val="21"/>
                <w:szCs w:val="21"/>
              </w:rPr>
              <w:t>Model (3)</w:t>
            </w:r>
          </w:p>
        </w:tc>
        <w:tc>
          <w:tcPr>
            <w:tcW w:w="2126" w:type="dxa"/>
            <w:tcBorders>
              <w:top w:val="single" w:sz="4" w:space="0" w:color="000000"/>
              <w:bottom w:val="single" w:sz="4" w:space="0" w:color="000000"/>
            </w:tcBorders>
          </w:tcPr>
          <w:p w14:paraId="4AC816E6" w14:textId="77777777" w:rsidR="00957269" w:rsidRDefault="00000000">
            <w:pPr>
              <w:jc w:val="center"/>
              <w:rPr>
                <w:b/>
                <w:bCs/>
                <w:sz w:val="21"/>
                <w:szCs w:val="21"/>
              </w:rPr>
            </w:pPr>
            <w:r>
              <w:rPr>
                <w:b/>
                <w:bCs/>
                <w:sz w:val="21"/>
                <w:szCs w:val="21"/>
              </w:rPr>
              <w:t>Model (4)</w:t>
            </w:r>
          </w:p>
        </w:tc>
        <w:tc>
          <w:tcPr>
            <w:tcW w:w="2075" w:type="dxa"/>
            <w:tcBorders>
              <w:top w:val="single" w:sz="4" w:space="0" w:color="000000"/>
              <w:bottom w:val="single" w:sz="4" w:space="0" w:color="000000"/>
            </w:tcBorders>
          </w:tcPr>
          <w:p w14:paraId="7923438D" w14:textId="77777777" w:rsidR="00957269" w:rsidRDefault="00000000">
            <w:pPr>
              <w:jc w:val="center"/>
              <w:rPr>
                <w:b/>
                <w:bCs/>
                <w:sz w:val="21"/>
                <w:szCs w:val="21"/>
              </w:rPr>
            </w:pPr>
            <w:r>
              <w:rPr>
                <w:b/>
                <w:bCs/>
                <w:sz w:val="21"/>
                <w:szCs w:val="21"/>
              </w:rPr>
              <w:t>Model (5)</w:t>
            </w:r>
          </w:p>
        </w:tc>
      </w:tr>
      <w:tr w:rsidR="00957269" w14:paraId="75752093" w14:textId="77777777">
        <w:tc>
          <w:tcPr>
            <w:tcW w:w="2835" w:type="dxa"/>
            <w:tcBorders>
              <w:top w:val="single" w:sz="4" w:space="0" w:color="000000"/>
              <w:bottom w:val="single" w:sz="4" w:space="0" w:color="000000"/>
            </w:tcBorders>
          </w:tcPr>
          <w:p w14:paraId="2A111974" w14:textId="77777777" w:rsidR="00957269" w:rsidRDefault="00000000">
            <w:pPr>
              <w:jc w:val="center"/>
              <w:rPr>
                <w:b/>
                <w:bCs/>
                <w:sz w:val="21"/>
                <w:szCs w:val="21"/>
              </w:rPr>
            </w:pPr>
            <w:r>
              <w:rPr>
                <w:b/>
                <w:bCs/>
                <w:sz w:val="21"/>
                <w:szCs w:val="21"/>
              </w:rPr>
              <w:t>VARIABLES</w:t>
            </w:r>
          </w:p>
        </w:tc>
        <w:tc>
          <w:tcPr>
            <w:tcW w:w="1980" w:type="dxa"/>
            <w:tcBorders>
              <w:top w:val="single" w:sz="4" w:space="0" w:color="000000"/>
            </w:tcBorders>
          </w:tcPr>
          <w:p w14:paraId="6D0A3089" w14:textId="77777777" w:rsidR="00957269" w:rsidRDefault="00957269">
            <w:pPr>
              <w:jc w:val="center"/>
              <w:rPr>
                <w:b/>
                <w:bCs/>
                <w:sz w:val="21"/>
                <w:szCs w:val="21"/>
              </w:rPr>
            </w:pPr>
          </w:p>
        </w:tc>
        <w:tc>
          <w:tcPr>
            <w:tcW w:w="2126" w:type="dxa"/>
            <w:tcBorders>
              <w:top w:val="single" w:sz="4" w:space="0" w:color="000000"/>
            </w:tcBorders>
          </w:tcPr>
          <w:p w14:paraId="3AF4D6DB" w14:textId="77777777" w:rsidR="00957269" w:rsidRDefault="00957269">
            <w:pPr>
              <w:jc w:val="center"/>
              <w:rPr>
                <w:b/>
                <w:bCs/>
                <w:sz w:val="21"/>
                <w:szCs w:val="21"/>
              </w:rPr>
            </w:pPr>
          </w:p>
        </w:tc>
        <w:tc>
          <w:tcPr>
            <w:tcW w:w="2075" w:type="dxa"/>
            <w:tcBorders>
              <w:top w:val="single" w:sz="4" w:space="0" w:color="000000"/>
            </w:tcBorders>
          </w:tcPr>
          <w:p w14:paraId="5DE3565D" w14:textId="77777777" w:rsidR="00957269" w:rsidRDefault="00957269">
            <w:pPr>
              <w:jc w:val="center"/>
              <w:rPr>
                <w:b/>
                <w:bCs/>
                <w:sz w:val="21"/>
                <w:szCs w:val="21"/>
              </w:rPr>
            </w:pPr>
          </w:p>
        </w:tc>
      </w:tr>
      <w:tr w:rsidR="00957269" w14:paraId="0B5EDC2E" w14:textId="77777777">
        <w:tc>
          <w:tcPr>
            <w:tcW w:w="2835" w:type="dxa"/>
            <w:tcBorders>
              <w:top w:val="single" w:sz="4" w:space="0" w:color="000000"/>
            </w:tcBorders>
          </w:tcPr>
          <w:p w14:paraId="296F8BBC" w14:textId="77777777" w:rsidR="00957269" w:rsidRDefault="00000000">
            <w:pPr>
              <w:rPr>
                <w:i/>
                <w:iCs/>
                <w:sz w:val="21"/>
                <w:szCs w:val="21"/>
                <w:u w:val="single"/>
              </w:rPr>
            </w:pPr>
            <w:r>
              <w:rPr>
                <w:i/>
                <w:iCs/>
                <w:sz w:val="21"/>
                <w:szCs w:val="21"/>
                <w:u w:val="single"/>
              </w:rPr>
              <w:t>Time effects (base: 2020)</w:t>
            </w:r>
          </w:p>
        </w:tc>
        <w:tc>
          <w:tcPr>
            <w:tcW w:w="1980" w:type="dxa"/>
          </w:tcPr>
          <w:p w14:paraId="3750672A" w14:textId="77777777" w:rsidR="00957269" w:rsidRDefault="00957269">
            <w:pPr>
              <w:jc w:val="center"/>
              <w:rPr>
                <w:b/>
                <w:bCs/>
                <w:sz w:val="21"/>
                <w:szCs w:val="21"/>
              </w:rPr>
            </w:pPr>
          </w:p>
        </w:tc>
        <w:tc>
          <w:tcPr>
            <w:tcW w:w="2126" w:type="dxa"/>
          </w:tcPr>
          <w:p w14:paraId="2292951F" w14:textId="77777777" w:rsidR="00957269" w:rsidRDefault="00957269">
            <w:pPr>
              <w:jc w:val="center"/>
              <w:rPr>
                <w:b/>
                <w:bCs/>
                <w:sz w:val="21"/>
                <w:szCs w:val="21"/>
              </w:rPr>
            </w:pPr>
          </w:p>
        </w:tc>
        <w:tc>
          <w:tcPr>
            <w:tcW w:w="2075" w:type="dxa"/>
          </w:tcPr>
          <w:p w14:paraId="6C6F7816" w14:textId="77777777" w:rsidR="00957269" w:rsidRDefault="00957269">
            <w:pPr>
              <w:jc w:val="center"/>
              <w:rPr>
                <w:b/>
                <w:bCs/>
                <w:sz w:val="21"/>
                <w:szCs w:val="21"/>
              </w:rPr>
            </w:pPr>
          </w:p>
        </w:tc>
      </w:tr>
      <w:tr w:rsidR="00957269" w14:paraId="607142DF" w14:textId="77777777">
        <w:tc>
          <w:tcPr>
            <w:tcW w:w="2835" w:type="dxa"/>
          </w:tcPr>
          <w:p w14:paraId="513191AC" w14:textId="77777777" w:rsidR="00957269" w:rsidRDefault="00000000">
            <w:pPr>
              <w:rPr>
                <w:sz w:val="21"/>
                <w:szCs w:val="21"/>
              </w:rPr>
            </w:pPr>
            <w:r>
              <w:rPr>
                <w:sz w:val="21"/>
                <w:szCs w:val="21"/>
              </w:rPr>
              <w:t>2021</w:t>
            </w:r>
          </w:p>
        </w:tc>
        <w:tc>
          <w:tcPr>
            <w:tcW w:w="1980" w:type="dxa"/>
          </w:tcPr>
          <w:p w14:paraId="75AE5FD4" w14:textId="77777777" w:rsidR="00957269" w:rsidRDefault="00000000">
            <w:pPr>
              <w:jc w:val="center"/>
              <w:rPr>
                <w:sz w:val="21"/>
                <w:szCs w:val="21"/>
              </w:rPr>
            </w:pPr>
            <w:r>
              <w:rPr>
                <w:sz w:val="21"/>
                <w:szCs w:val="21"/>
              </w:rPr>
              <w:t>.01013*</w:t>
            </w:r>
          </w:p>
          <w:p w14:paraId="3D9F3AE2" w14:textId="77777777" w:rsidR="00957269" w:rsidRDefault="00000000">
            <w:pPr>
              <w:jc w:val="center"/>
              <w:rPr>
                <w:b/>
                <w:bCs/>
                <w:sz w:val="21"/>
                <w:szCs w:val="21"/>
              </w:rPr>
            </w:pPr>
            <w:r>
              <w:rPr>
                <w:sz w:val="21"/>
                <w:szCs w:val="21"/>
              </w:rPr>
              <w:lastRenderedPageBreak/>
              <w:t>(.0057)</w:t>
            </w:r>
          </w:p>
        </w:tc>
        <w:tc>
          <w:tcPr>
            <w:tcW w:w="2126" w:type="dxa"/>
          </w:tcPr>
          <w:p w14:paraId="20A2B51D" w14:textId="77777777" w:rsidR="00957269" w:rsidRDefault="00000000">
            <w:pPr>
              <w:jc w:val="center"/>
              <w:rPr>
                <w:sz w:val="21"/>
                <w:szCs w:val="21"/>
              </w:rPr>
            </w:pPr>
            <w:r>
              <w:rPr>
                <w:sz w:val="21"/>
                <w:szCs w:val="21"/>
              </w:rPr>
              <w:lastRenderedPageBreak/>
              <w:t>.01091*</w:t>
            </w:r>
          </w:p>
          <w:p w14:paraId="1D0AD82D" w14:textId="77777777" w:rsidR="00957269" w:rsidRDefault="00000000">
            <w:pPr>
              <w:jc w:val="center"/>
              <w:rPr>
                <w:sz w:val="21"/>
                <w:szCs w:val="21"/>
              </w:rPr>
            </w:pPr>
            <w:r>
              <w:rPr>
                <w:sz w:val="21"/>
                <w:szCs w:val="21"/>
              </w:rPr>
              <w:lastRenderedPageBreak/>
              <w:t>(.0057)</w:t>
            </w:r>
          </w:p>
        </w:tc>
        <w:tc>
          <w:tcPr>
            <w:tcW w:w="2075" w:type="dxa"/>
          </w:tcPr>
          <w:p w14:paraId="44140A7E" w14:textId="77777777" w:rsidR="00957269" w:rsidRDefault="00000000">
            <w:pPr>
              <w:jc w:val="center"/>
              <w:rPr>
                <w:sz w:val="21"/>
                <w:szCs w:val="21"/>
              </w:rPr>
            </w:pPr>
            <w:r>
              <w:rPr>
                <w:sz w:val="21"/>
                <w:szCs w:val="21"/>
              </w:rPr>
              <w:lastRenderedPageBreak/>
              <w:t>.01099*</w:t>
            </w:r>
          </w:p>
          <w:p w14:paraId="4FE35CF0" w14:textId="77777777" w:rsidR="00957269" w:rsidRDefault="00000000">
            <w:pPr>
              <w:jc w:val="center"/>
              <w:rPr>
                <w:sz w:val="21"/>
                <w:szCs w:val="21"/>
              </w:rPr>
            </w:pPr>
            <w:r>
              <w:rPr>
                <w:sz w:val="21"/>
                <w:szCs w:val="21"/>
              </w:rPr>
              <w:lastRenderedPageBreak/>
              <w:t>(.0057)</w:t>
            </w:r>
          </w:p>
        </w:tc>
      </w:tr>
      <w:tr w:rsidR="00957269" w14:paraId="6C842C55" w14:textId="77777777">
        <w:tc>
          <w:tcPr>
            <w:tcW w:w="2835" w:type="dxa"/>
          </w:tcPr>
          <w:p w14:paraId="741F3D20" w14:textId="77777777" w:rsidR="00957269" w:rsidRDefault="00000000">
            <w:pPr>
              <w:rPr>
                <w:sz w:val="21"/>
                <w:szCs w:val="21"/>
              </w:rPr>
            </w:pPr>
            <w:r>
              <w:rPr>
                <w:sz w:val="21"/>
                <w:szCs w:val="21"/>
              </w:rPr>
              <w:lastRenderedPageBreak/>
              <w:t>2022</w:t>
            </w:r>
          </w:p>
        </w:tc>
        <w:tc>
          <w:tcPr>
            <w:tcW w:w="1980" w:type="dxa"/>
          </w:tcPr>
          <w:p w14:paraId="6D78E5D7" w14:textId="77777777" w:rsidR="00957269" w:rsidRDefault="00000000">
            <w:pPr>
              <w:jc w:val="center"/>
              <w:rPr>
                <w:sz w:val="21"/>
                <w:szCs w:val="21"/>
              </w:rPr>
            </w:pPr>
            <w:r>
              <w:rPr>
                <w:sz w:val="21"/>
                <w:szCs w:val="21"/>
              </w:rPr>
              <w:t>.02266***</w:t>
            </w:r>
          </w:p>
          <w:p w14:paraId="521654A0" w14:textId="77777777" w:rsidR="00957269" w:rsidRDefault="00000000">
            <w:pPr>
              <w:jc w:val="center"/>
              <w:rPr>
                <w:b/>
                <w:bCs/>
                <w:sz w:val="21"/>
                <w:szCs w:val="21"/>
              </w:rPr>
            </w:pPr>
            <w:r>
              <w:rPr>
                <w:sz w:val="21"/>
                <w:szCs w:val="21"/>
              </w:rPr>
              <w:t>(.0057)</w:t>
            </w:r>
          </w:p>
        </w:tc>
        <w:tc>
          <w:tcPr>
            <w:tcW w:w="2126" w:type="dxa"/>
          </w:tcPr>
          <w:p w14:paraId="3DB97124" w14:textId="77777777" w:rsidR="00957269" w:rsidRDefault="00000000">
            <w:pPr>
              <w:jc w:val="center"/>
              <w:rPr>
                <w:sz w:val="21"/>
                <w:szCs w:val="21"/>
              </w:rPr>
            </w:pPr>
            <w:r>
              <w:rPr>
                <w:sz w:val="21"/>
                <w:szCs w:val="21"/>
              </w:rPr>
              <w:t>.02391***</w:t>
            </w:r>
          </w:p>
          <w:p w14:paraId="0E3644F4" w14:textId="77777777" w:rsidR="00957269" w:rsidRDefault="00000000">
            <w:pPr>
              <w:jc w:val="center"/>
              <w:rPr>
                <w:sz w:val="21"/>
                <w:szCs w:val="21"/>
              </w:rPr>
            </w:pPr>
            <w:r>
              <w:rPr>
                <w:sz w:val="21"/>
                <w:szCs w:val="21"/>
              </w:rPr>
              <w:t>(.0058)</w:t>
            </w:r>
          </w:p>
        </w:tc>
        <w:tc>
          <w:tcPr>
            <w:tcW w:w="2075" w:type="dxa"/>
          </w:tcPr>
          <w:p w14:paraId="52FFF412" w14:textId="77777777" w:rsidR="00957269" w:rsidRDefault="00000000">
            <w:pPr>
              <w:jc w:val="center"/>
              <w:rPr>
                <w:sz w:val="21"/>
                <w:szCs w:val="21"/>
              </w:rPr>
            </w:pPr>
            <w:r>
              <w:rPr>
                <w:sz w:val="21"/>
                <w:szCs w:val="21"/>
              </w:rPr>
              <w:t>.02381***</w:t>
            </w:r>
          </w:p>
          <w:p w14:paraId="40432F8E" w14:textId="77777777" w:rsidR="00957269" w:rsidRDefault="00000000">
            <w:pPr>
              <w:jc w:val="center"/>
              <w:rPr>
                <w:sz w:val="21"/>
                <w:szCs w:val="21"/>
              </w:rPr>
            </w:pPr>
            <w:r>
              <w:rPr>
                <w:sz w:val="21"/>
                <w:szCs w:val="21"/>
              </w:rPr>
              <w:t>(.0058)</w:t>
            </w:r>
          </w:p>
        </w:tc>
      </w:tr>
      <w:tr w:rsidR="00957269" w14:paraId="5549431E" w14:textId="77777777">
        <w:tc>
          <w:tcPr>
            <w:tcW w:w="2835" w:type="dxa"/>
          </w:tcPr>
          <w:p w14:paraId="25A5993D" w14:textId="77777777" w:rsidR="00957269" w:rsidRDefault="00000000">
            <w:pPr>
              <w:rPr>
                <w:sz w:val="21"/>
                <w:szCs w:val="21"/>
              </w:rPr>
            </w:pPr>
            <w:r>
              <w:rPr>
                <w:sz w:val="21"/>
                <w:szCs w:val="21"/>
              </w:rPr>
              <w:t>2023</w:t>
            </w:r>
          </w:p>
        </w:tc>
        <w:tc>
          <w:tcPr>
            <w:tcW w:w="1980" w:type="dxa"/>
          </w:tcPr>
          <w:p w14:paraId="5CF4836A" w14:textId="77777777" w:rsidR="00957269" w:rsidRDefault="00000000">
            <w:pPr>
              <w:jc w:val="center"/>
              <w:rPr>
                <w:sz w:val="21"/>
                <w:szCs w:val="21"/>
              </w:rPr>
            </w:pPr>
            <w:r>
              <w:rPr>
                <w:sz w:val="21"/>
                <w:szCs w:val="21"/>
              </w:rPr>
              <w:t>.01487**</w:t>
            </w:r>
          </w:p>
          <w:p w14:paraId="2B625393" w14:textId="77777777" w:rsidR="00957269" w:rsidRDefault="00000000">
            <w:pPr>
              <w:jc w:val="center"/>
              <w:rPr>
                <w:b/>
                <w:bCs/>
                <w:sz w:val="21"/>
                <w:szCs w:val="21"/>
              </w:rPr>
            </w:pPr>
            <w:r>
              <w:rPr>
                <w:sz w:val="21"/>
                <w:szCs w:val="21"/>
              </w:rPr>
              <w:t>(.0058)</w:t>
            </w:r>
          </w:p>
        </w:tc>
        <w:tc>
          <w:tcPr>
            <w:tcW w:w="2126" w:type="dxa"/>
          </w:tcPr>
          <w:p w14:paraId="762CEE9D" w14:textId="77777777" w:rsidR="00957269" w:rsidRDefault="00000000">
            <w:pPr>
              <w:jc w:val="center"/>
              <w:rPr>
                <w:sz w:val="21"/>
                <w:szCs w:val="21"/>
              </w:rPr>
            </w:pPr>
            <w:r>
              <w:rPr>
                <w:sz w:val="21"/>
                <w:szCs w:val="21"/>
              </w:rPr>
              <w:t>.01602***</w:t>
            </w:r>
          </w:p>
          <w:p w14:paraId="34CAF06D" w14:textId="77777777" w:rsidR="00957269" w:rsidRDefault="00000000">
            <w:pPr>
              <w:jc w:val="center"/>
              <w:rPr>
                <w:sz w:val="21"/>
                <w:szCs w:val="21"/>
              </w:rPr>
            </w:pPr>
            <w:r>
              <w:rPr>
                <w:sz w:val="21"/>
                <w:szCs w:val="21"/>
              </w:rPr>
              <w:t>(.0059)</w:t>
            </w:r>
          </w:p>
        </w:tc>
        <w:tc>
          <w:tcPr>
            <w:tcW w:w="2075" w:type="dxa"/>
          </w:tcPr>
          <w:p w14:paraId="687654F2" w14:textId="77777777" w:rsidR="00957269" w:rsidRDefault="00000000">
            <w:pPr>
              <w:jc w:val="center"/>
              <w:rPr>
                <w:sz w:val="21"/>
                <w:szCs w:val="21"/>
              </w:rPr>
            </w:pPr>
            <w:r>
              <w:rPr>
                <w:sz w:val="21"/>
                <w:szCs w:val="21"/>
              </w:rPr>
              <w:t>.01596***</w:t>
            </w:r>
          </w:p>
          <w:p w14:paraId="1EA5AF78" w14:textId="77777777" w:rsidR="00957269" w:rsidRDefault="00000000">
            <w:pPr>
              <w:jc w:val="center"/>
              <w:rPr>
                <w:sz w:val="21"/>
                <w:szCs w:val="21"/>
              </w:rPr>
            </w:pPr>
            <w:r>
              <w:rPr>
                <w:sz w:val="21"/>
                <w:szCs w:val="21"/>
              </w:rPr>
              <w:t>(.0059)</w:t>
            </w:r>
          </w:p>
        </w:tc>
      </w:tr>
      <w:tr w:rsidR="00957269" w14:paraId="7CCD6A3F" w14:textId="77777777">
        <w:tc>
          <w:tcPr>
            <w:tcW w:w="2835" w:type="dxa"/>
          </w:tcPr>
          <w:p w14:paraId="76A0BC66" w14:textId="77777777" w:rsidR="00957269" w:rsidRDefault="00000000">
            <w:pPr>
              <w:rPr>
                <w:i/>
                <w:iCs/>
                <w:sz w:val="21"/>
                <w:szCs w:val="21"/>
                <w:u w:val="single"/>
              </w:rPr>
            </w:pPr>
            <w:r>
              <w:rPr>
                <w:i/>
                <w:iCs/>
                <w:sz w:val="21"/>
                <w:szCs w:val="21"/>
                <w:u w:val="single"/>
              </w:rPr>
              <w:t>Factory-level</w:t>
            </w:r>
          </w:p>
        </w:tc>
        <w:tc>
          <w:tcPr>
            <w:tcW w:w="1980" w:type="dxa"/>
          </w:tcPr>
          <w:p w14:paraId="0F68817B" w14:textId="77777777" w:rsidR="00957269" w:rsidRDefault="00957269">
            <w:pPr>
              <w:jc w:val="center"/>
              <w:rPr>
                <w:b/>
                <w:bCs/>
                <w:sz w:val="21"/>
                <w:szCs w:val="21"/>
              </w:rPr>
            </w:pPr>
          </w:p>
        </w:tc>
        <w:tc>
          <w:tcPr>
            <w:tcW w:w="2126" w:type="dxa"/>
          </w:tcPr>
          <w:p w14:paraId="373BF8DE" w14:textId="77777777" w:rsidR="00957269" w:rsidRDefault="00957269">
            <w:pPr>
              <w:jc w:val="center"/>
              <w:rPr>
                <w:b/>
                <w:bCs/>
                <w:sz w:val="21"/>
                <w:szCs w:val="21"/>
              </w:rPr>
            </w:pPr>
          </w:p>
        </w:tc>
        <w:tc>
          <w:tcPr>
            <w:tcW w:w="2075" w:type="dxa"/>
          </w:tcPr>
          <w:p w14:paraId="12C7246F" w14:textId="77777777" w:rsidR="00957269" w:rsidRDefault="00957269">
            <w:pPr>
              <w:jc w:val="center"/>
              <w:rPr>
                <w:b/>
                <w:bCs/>
                <w:sz w:val="21"/>
                <w:szCs w:val="21"/>
              </w:rPr>
            </w:pPr>
          </w:p>
        </w:tc>
      </w:tr>
      <w:tr w:rsidR="00957269" w14:paraId="6C98933B" w14:textId="77777777">
        <w:tc>
          <w:tcPr>
            <w:tcW w:w="2835" w:type="dxa"/>
          </w:tcPr>
          <w:p w14:paraId="6F71EE5E" w14:textId="77777777" w:rsidR="00957269" w:rsidRDefault="00000000">
            <w:pPr>
              <w:rPr>
                <w:sz w:val="21"/>
                <w:szCs w:val="21"/>
              </w:rPr>
            </w:pPr>
            <w:r>
              <w:rPr>
                <w:i/>
                <w:iCs/>
                <w:sz w:val="21"/>
                <w:szCs w:val="21"/>
              </w:rPr>
              <w:t>ln</w:t>
            </w:r>
            <w:r>
              <w:rPr>
                <w:sz w:val="21"/>
                <w:szCs w:val="21"/>
              </w:rPr>
              <w:t>(№ of workers) (W)</w:t>
            </w:r>
          </w:p>
        </w:tc>
        <w:tc>
          <w:tcPr>
            <w:tcW w:w="1980" w:type="dxa"/>
          </w:tcPr>
          <w:p w14:paraId="00D2732E" w14:textId="77777777" w:rsidR="00957269" w:rsidRDefault="00000000">
            <w:pPr>
              <w:jc w:val="center"/>
              <w:rPr>
                <w:sz w:val="21"/>
                <w:szCs w:val="21"/>
              </w:rPr>
            </w:pPr>
            <w:r>
              <w:rPr>
                <w:sz w:val="21"/>
                <w:szCs w:val="21"/>
              </w:rPr>
              <w:t>.11912***</w:t>
            </w:r>
          </w:p>
          <w:p w14:paraId="249955E6" w14:textId="77777777" w:rsidR="00957269" w:rsidRDefault="00000000">
            <w:pPr>
              <w:jc w:val="center"/>
              <w:rPr>
                <w:sz w:val="21"/>
                <w:szCs w:val="21"/>
              </w:rPr>
            </w:pPr>
            <w:r>
              <w:rPr>
                <w:sz w:val="21"/>
                <w:szCs w:val="21"/>
              </w:rPr>
              <w:t>(.0173)</w:t>
            </w:r>
          </w:p>
        </w:tc>
        <w:tc>
          <w:tcPr>
            <w:tcW w:w="2126" w:type="dxa"/>
          </w:tcPr>
          <w:p w14:paraId="29811626" w14:textId="77777777" w:rsidR="00957269" w:rsidRDefault="00000000">
            <w:pPr>
              <w:jc w:val="center"/>
              <w:rPr>
                <w:sz w:val="21"/>
                <w:szCs w:val="21"/>
              </w:rPr>
            </w:pPr>
            <w:r>
              <w:rPr>
                <w:sz w:val="21"/>
                <w:szCs w:val="21"/>
              </w:rPr>
              <w:t>.11867***</w:t>
            </w:r>
          </w:p>
          <w:p w14:paraId="583B7A9F" w14:textId="77777777" w:rsidR="00957269" w:rsidRDefault="00000000">
            <w:pPr>
              <w:jc w:val="center"/>
              <w:rPr>
                <w:sz w:val="21"/>
                <w:szCs w:val="21"/>
              </w:rPr>
            </w:pPr>
            <w:r>
              <w:rPr>
                <w:sz w:val="21"/>
                <w:szCs w:val="21"/>
              </w:rPr>
              <w:t>(.0173)</w:t>
            </w:r>
          </w:p>
        </w:tc>
        <w:tc>
          <w:tcPr>
            <w:tcW w:w="2075" w:type="dxa"/>
          </w:tcPr>
          <w:p w14:paraId="7CDBFA8A" w14:textId="77777777" w:rsidR="00957269" w:rsidRDefault="00000000">
            <w:pPr>
              <w:jc w:val="center"/>
              <w:rPr>
                <w:sz w:val="21"/>
                <w:szCs w:val="21"/>
              </w:rPr>
            </w:pPr>
            <w:r>
              <w:rPr>
                <w:sz w:val="21"/>
                <w:szCs w:val="21"/>
              </w:rPr>
              <w:t>.11873***</w:t>
            </w:r>
          </w:p>
          <w:p w14:paraId="1E278150" w14:textId="77777777" w:rsidR="00957269" w:rsidRDefault="00000000">
            <w:pPr>
              <w:jc w:val="center"/>
              <w:rPr>
                <w:sz w:val="21"/>
                <w:szCs w:val="21"/>
              </w:rPr>
            </w:pPr>
            <w:r>
              <w:rPr>
                <w:sz w:val="21"/>
                <w:szCs w:val="21"/>
              </w:rPr>
              <w:t>(.0173)</w:t>
            </w:r>
          </w:p>
        </w:tc>
      </w:tr>
      <w:tr w:rsidR="00957269" w14:paraId="0E1FF129" w14:textId="77777777">
        <w:tc>
          <w:tcPr>
            <w:tcW w:w="2835" w:type="dxa"/>
          </w:tcPr>
          <w:p w14:paraId="34552EFA"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(W)</w:t>
            </w:r>
          </w:p>
        </w:tc>
        <w:tc>
          <w:tcPr>
            <w:tcW w:w="1980" w:type="dxa"/>
          </w:tcPr>
          <w:p w14:paraId="42F80011" w14:textId="77777777" w:rsidR="00957269" w:rsidRDefault="00000000">
            <w:pPr>
              <w:jc w:val="center"/>
              <w:rPr>
                <w:sz w:val="21"/>
                <w:szCs w:val="21"/>
              </w:rPr>
            </w:pPr>
            <w:r>
              <w:rPr>
                <w:sz w:val="21"/>
                <w:szCs w:val="21"/>
              </w:rPr>
              <w:t>-.00886***</w:t>
            </w:r>
          </w:p>
          <w:p w14:paraId="3F275E73" w14:textId="77777777" w:rsidR="00957269" w:rsidRDefault="00000000">
            <w:pPr>
              <w:jc w:val="center"/>
              <w:rPr>
                <w:sz w:val="21"/>
                <w:szCs w:val="21"/>
              </w:rPr>
            </w:pPr>
            <w:r>
              <w:rPr>
                <w:sz w:val="21"/>
                <w:szCs w:val="21"/>
              </w:rPr>
              <w:t>(.0015)</w:t>
            </w:r>
          </w:p>
        </w:tc>
        <w:tc>
          <w:tcPr>
            <w:tcW w:w="2126" w:type="dxa"/>
          </w:tcPr>
          <w:p w14:paraId="645F262F" w14:textId="77777777" w:rsidR="00957269" w:rsidRDefault="00000000">
            <w:pPr>
              <w:jc w:val="center"/>
              <w:rPr>
                <w:sz w:val="21"/>
                <w:szCs w:val="21"/>
              </w:rPr>
            </w:pPr>
            <w:r>
              <w:rPr>
                <w:sz w:val="21"/>
                <w:szCs w:val="21"/>
              </w:rPr>
              <w:t>-.00882***</w:t>
            </w:r>
          </w:p>
          <w:p w14:paraId="3148D30F" w14:textId="77777777" w:rsidR="00957269" w:rsidRDefault="00000000">
            <w:pPr>
              <w:jc w:val="center"/>
              <w:rPr>
                <w:sz w:val="21"/>
                <w:szCs w:val="21"/>
              </w:rPr>
            </w:pPr>
            <w:r>
              <w:rPr>
                <w:sz w:val="21"/>
                <w:szCs w:val="21"/>
              </w:rPr>
              <w:t xml:space="preserve">(.0015)  </w:t>
            </w:r>
          </w:p>
        </w:tc>
        <w:tc>
          <w:tcPr>
            <w:tcW w:w="2075" w:type="dxa"/>
          </w:tcPr>
          <w:p w14:paraId="51D5B533" w14:textId="77777777" w:rsidR="00957269" w:rsidRDefault="00000000">
            <w:pPr>
              <w:jc w:val="center"/>
              <w:rPr>
                <w:sz w:val="21"/>
                <w:szCs w:val="21"/>
              </w:rPr>
            </w:pPr>
            <w:r>
              <w:rPr>
                <w:sz w:val="21"/>
                <w:szCs w:val="21"/>
              </w:rPr>
              <w:t>-.00883***</w:t>
            </w:r>
          </w:p>
          <w:p w14:paraId="0E953BB3" w14:textId="77777777" w:rsidR="00957269" w:rsidRDefault="00000000">
            <w:pPr>
              <w:jc w:val="center"/>
              <w:rPr>
                <w:sz w:val="21"/>
                <w:szCs w:val="21"/>
              </w:rPr>
            </w:pPr>
            <w:r>
              <w:rPr>
                <w:sz w:val="21"/>
                <w:szCs w:val="21"/>
              </w:rPr>
              <w:t>(.0015)</w:t>
            </w:r>
          </w:p>
        </w:tc>
      </w:tr>
      <w:tr w:rsidR="00957269" w14:paraId="037C3544" w14:textId="77777777">
        <w:tc>
          <w:tcPr>
            <w:tcW w:w="2835" w:type="dxa"/>
          </w:tcPr>
          <w:p w14:paraId="7A736F08" w14:textId="77777777" w:rsidR="00957269" w:rsidRDefault="00000000">
            <w:pPr>
              <w:rPr>
                <w:sz w:val="21"/>
                <w:szCs w:val="21"/>
              </w:rPr>
            </w:pPr>
            <w:r>
              <w:rPr>
                <w:sz w:val="21"/>
                <w:szCs w:val="21"/>
              </w:rPr>
              <w:t>Fraction of line workers (W)</w:t>
            </w:r>
          </w:p>
        </w:tc>
        <w:tc>
          <w:tcPr>
            <w:tcW w:w="1980" w:type="dxa"/>
          </w:tcPr>
          <w:p w14:paraId="39778E80" w14:textId="77777777" w:rsidR="00957269" w:rsidRDefault="00000000">
            <w:pPr>
              <w:jc w:val="center"/>
              <w:rPr>
                <w:sz w:val="21"/>
                <w:szCs w:val="21"/>
              </w:rPr>
            </w:pPr>
            <w:r>
              <w:rPr>
                <w:sz w:val="21"/>
                <w:szCs w:val="21"/>
              </w:rPr>
              <w:t>-.04211*</w:t>
            </w:r>
          </w:p>
          <w:p w14:paraId="3AA2A36F" w14:textId="77777777" w:rsidR="00957269" w:rsidRDefault="00000000">
            <w:pPr>
              <w:jc w:val="center"/>
              <w:rPr>
                <w:sz w:val="21"/>
                <w:szCs w:val="21"/>
              </w:rPr>
            </w:pPr>
            <w:r>
              <w:rPr>
                <w:sz w:val="21"/>
                <w:szCs w:val="21"/>
              </w:rPr>
              <w:t>(.0230)</w:t>
            </w:r>
          </w:p>
        </w:tc>
        <w:tc>
          <w:tcPr>
            <w:tcW w:w="2126" w:type="dxa"/>
          </w:tcPr>
          <w:p w14:paraId="0C64B87D" w14:textId="77777777" w:rsidR="00957269" w:rsidRDefault="00000000">
            <w:pPr>
              <w:jc w:val="center"/>
              <w:rPr>
                <w:sz w:val="21"/>
                <w:szCs w:val="21"/>
              </w:rPr>
            </w:pPr>
            <w:r>
              <w:rPr>
                <w:sz w:val="21"/>
                <w:szCs w:val="21"/>
              </w:rPr>
              <w:t>-.04172*</w:t>
            </w:r>
          </w:p>
          <w:p w14:paraId="0F063AC0" w14:textId="77777777" w:rsidR="00957269" w:rsidRDefault="00000000">
            <w:pPr>
              <w:jc w:val="center"/>
              <w:rPr>
                <w:sz w:val="21"/>
                <w:szCs w:val="21"/>
              </w:rPr>
            </w:pPr>
            <w:r>
              <w:rPr>
                <w:sz w:val="21"/>
                <w:szCs w:val="21"/>
              </w:rPr>
              <w:t>(.0230)</w:t>
            </w:r>
          </w:p>
        </w:tc>
        <w:tc>
          <w:tcPr>
            <w:tcW w:w="2075" w:type="dxa"/>
          </w:tcPr>
          <w:p w14:paraId="7D089916" w14:textId="77777777" w:rsidR="00957269" w:rsidRDefault="00000000">
            <w:pPr>
              <w:jc w:val="center"/>
              <w:rPr>
                <w:sz w:val="21"/>
                <w:szCs w:val="21"/>
              </w:rPr>
            </w:pPr>
            <w:r>
              <w:rPr>
                <w:sz w:val="21"/>
                <w:szCs w:val="21"/>
              </w:rPr>
              <w:t>-.04170*</w:t>
            </w:r>
          </w:p>
          <w:p w14:paraId="4DE5C9D1" w14:textId="77777777" w:rsidR="00957269" w:rsidRDefault="00000000">
            <w:pPr>
              <w:jc w:val="center"/>
              <w:rPr>
                <w:sz w:val="21"/>
                <w:szCs w:val="21"/>
              </w:rPr>
            </w:pPr>
            <w:r>
              <w:rPr>
                <w:sz w:val="21"/>
                <w:szCs w:val="21"/>
              </w:rPr>
              <w:t>(.0230)</w:t>
            </w:r>
          </w:p>
        </w:tc>
      </w:tr>
      <w:tr w:rsidR="00957269" w14:paraId="6B1FF660" w14:textId="77777777">
        <w:tc>
          <w:tcPr>
            <w:tcW w:w="2835" w:type="dxa"/>
          </w:tcPr>
          <w:p w14:paraId="55A670E7" w14:textId="77777777" w:rsidR="00957269" w:rsidRDefault="00000000">
            <w:pPr>
              <w:rPr>
                <w:sz w:val="21"/>
                <w:szCs w:val="21"/>
              </w:rPr>
            </w:pPr>
            <w:r>
              <w:rPr>
                <w:i/>
                <w:iCs/>
                <w:sz w:val="21"/>
                <w:szCs w:val="21"/>
              </w:rPr>
              <w:t>ln</w:t>
            </w:r>
            <w:r>
              <w:rPr>
                <w:sz w:val="21"/>
                <w:szCs w:val="21"/>
              </w:rPr>
              <w:t>(№ of workers) (B)</w:t>
            </w:r>
          </w:p>
        </w:tc>
        <w:tc>
          <w:tcPr>
            <w:tcW w:w="1980" w:type="dxa"/>
          </w:tcPr>
          <w:p w14:paraId="6D463398" w14:textId="77777777" w:rsidR="00957269" w:rsidRDefault="00000000">
            <w:pPr>
              <w:jc w:val="center"/>
              <w:rPr>
                <w:sz w:val="21"/>
                <w:szCs w:val="21"/>
              </w:rPr>
            </w:pPr>
            <w:r>
              <w:rPr>
                <w:sz w:val="21"/>
                <w:szCs w:val="21"/>
              </w:rPr>
              <w:t>.10740***</w:t>
            </w:r>
          </w:p>
          <w:p w14:paraId="39363AB7" w14:textId="77777777" w:rsidR="00957269" w:rsidRDefault="00000000">
            <w:pPr>
              <w:jc w:val="center"/>
              <w:rPr>
                <w:sz w:val="21"/>
                <w:szCs w:val="21"/>
              </w:rPr>
            </w:pPr>
            <w:r>
              <w:rPr>
                <w:sz w:val="21"/>
                <w:szCs w:val="21"/>
              </w:rPr>
              <w:t>(.0187)</w:t>
            </w:r>
          </w:p>
        </w:tc>
        <w:tc>
          <w:tcPr>
            <w:tcW w:w="2126" w:type="dxa"/>
          </w:tcPr>
          <w:p w14:paraId="707758EB" w14:textId="77777777" w:rsidR="00957269" w:rsidRDefault="00000000">
            <w:pPr>
              <w:jc w:val="center"/>
              <w:rPr>
                <w:sz w:val="21"/>
                <w:szCs w:val="21"/>
              </w:rPr>
            </w:pPr>
            <w:r>
              <w:rPr>
                <w:sz w:val="21"/>
                <w:szCs w:val="21"/>
              </w:rPr>
              <w:t>.11141***</w:t>
            </w:r>
          </w:p>
          <w:p w14:paraId="2D9B126E" w14:textId="77777777" w:rsidR="00957269" w:rsidRDefault="00000000">
            <w:pPr>
              <w:jc w:val="center"/>
              <w:rPr>
                <w:sz w:val="21"/>
                <w:szCs w:val="21"/>
              </w:rPr>
            </w:pPr>
            <w:r>
              <w:rPr>
                <w:sz w:val="21"/>
                <w:szCs w:val="21"/>
              </w:rPr>
              <w:t>(.0184)</w:t>
            </w:r>
          </w:p>
        </w:tc>
        <w:tc>
          <w:tcPr>
            <w:tcW w:w="2075" w:type="dxa"/>
          </w:tcPr>
          <w:p w14:paraId="311EBE88" w14:textId="77777777" w:rsidR="00957269" w:rsidRDefault="00000000">
            <w:pPr>
              <w:jc w:val="center"/>
              <w:rPr>
                <w:sz w:val="21"/>
                <w:szCs w:val="21"/>
              </w:rPr>
            </w:pPr>
            <w:r>
              <w:rPr>
                <w:sz w:val="21"/>
                <w:szCs w:val="21"/>
              </w:rPr>
              <w:t>.10834***</w:t>
            </w:r>
          </w:p>
          <w:p w14:paraId="03804692" w14:textId="77777777" w:rsidR="00957269" w:rsidRDefault="00000000">
            <w:pPr>
              <w:jc w:val="center"/>
              <w:rPr>
                <w:sz w:val="21"/>
                <w:szCs w:val="21"/>
              </w:rPr>
            </w:pPr>
            <w:r>
              <w:rPr>
                <w:sz w:val="21"/>
                <w:szCs w:val="21"/>
              </w:rPr>
              <w:t>(.019)</w:t>
            </w:r>
          </w:p>
        </w:tc>
      </w:tr>
      <w:tr w:rsidR="00957269" w14:paraId="40692E10" w14:textId="77777777">
        <w:tc>
          <w:tcPr>
            <w:tcW w:w="2835" w:type="dxa"/>
          </w:tcPr>
          <w:p w14:paraId="443BA893"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(B)</w:t>
            </w:r>
          </w:p>
        </w:tc>
        <w:tc>
          <w:tcPr>
            <w:tcW w:w="1980" w:type="dxa"/>
          </w:tcPr>
          <w:p w14:paraId="3FBEF83A" w14:textId="77777777" w:rsidR="00957269" w:rsidRDefault="00000000">
            <w:pPr>
              <w:jc w:val="center"/>
              <w:rPr>
                <w:sz w:val="21"/>
                <w:szCs w:val="21"/>
              </w:rPr>
            </w:pPr>
            <w:r>
              <w:rPr>
                <w:sz w:val="21"/>
                <w:szCs w:val="21"/>
              </w:rPr>
              <w:t>-.00650***</w:t>
            </w:r>
          </w:p>
          <w:p w14:paraId="1C45A755" w14:textId="77777777" w:rsidR="00957269" w:rsidRDefault="00000000">
            <w:pPr>
              <w:jc w:val="center"/>
              <w:rPr>
                <w:sz w:val="21"/>
                <w:szCs w:val="21"/>
              </w:rPr>
            </w:pPr>
            <w:r>
              <w:rPr>
                <w:sz w:val="21"/>
                <w:szCs w:val="21"/>
              </w:rPr>
              <w:t>(.0016)</w:t>
            </w:r>
          </w:p>
        </w:tc>
        <w:tc>
          <w:tcPr>
            <w:tcW w:w="2126" w:type="dxa"/>
          </w:tcPr>
          <w:p w14:paraId="37312EB0" w14:textId="77777777" w:rsidR="00957269" w:rsidRDefault="00000000">
            <w:pPr>
              <w:jc w:val="center"/>
              <w:rPr>
                <w:sz w:val="21"/>
                <w:szCs w:val="21"/>
              </w:rPr>
            </w:pPr>
            <w:r>
              <w:rPr>
                <w:sz w:val="21"/>
                <w:szCs w:val="21"/>
              </w:rPr>
              <w:t>-.00692***</w:t>
            </w:r>
          </w:p>
          <w:p w14:paraId="74D8E25D" w14:textId="77777777" w:rsidR="00957269" w:rsidRDefault="00000000">
            <w:pPr>
              <w:jc w:val="center"/>
              <w:rPr>
                <w:sz w:val="21"/>
                <w:szCs w:val="21"/>
              </w:rPr>
            </w:pPr>
            <w:r>
              <w:rPr>
                <w:sz w:val="21"/>
                <w:szCs w:val="21"/>
              </w:rPr>
              <w:t>(.0015)</w:t>
            </w:r>
          </w:p>
        </w:tc>
        <w:tc>
          <w:tcPr>
            <w:tcW w:w="2075" w:type="dxa"/>
          </w:tcPr>
          <w:p w14:paraId="3F70EE1D" w14:textId="77777777" w:rsidR="00957269" w:rsidRDefault="00000000">
            <w:pPr>
              <w:jc w:val="center"/>
              <w:rPr>
                <w:sz w:val="21"/>
                <w:szCs w:val="21"/>
              </w:rPr>
            </w:pPr>
            <w:r>
              <w:rPr>
                <w:sz w:val="21"/>
                <w:szCs w:val="21"/>
              </w:rPr>
              <w:t>-.00662***</w:t>
            </w:r>
          </w:p>
          <w:p w14:paraId="6A6BB0C4" w14:textId="77777777" w:rsidR="00957269" w:rsidRDefault="00000000">
            <w:pPr>
              <w:jc w:val="center"/>
              <w:rPr>
                <w:sz w:val="21"/>
                <w:szCs w:val="21"/>
              </w:rPr>
            </w:pPr>
            <w:r>
              <w:rPr>
                <w:sz w:val="21"/>
                <w:szCs w:val="21"/>
              </w:rPr>
              <w:t>(.0016)</w:t>
            </w:r>
          </w:p>
        </w:tc>
      </w:tr>
      <w:tr w:rsidR="00957269" w14:paraId="19D10B18" w14:textId="77777777">
        <w:tc>
          <w:tcPr>
            <w:tcW w:w="2835" w:type="dxa"/>
          </w:tcPr>
          <w:p w14:paraId="1E18F401" w14:textId="77777777" w:rsidR="00957269" w:rsidRDefault="00000000">
            <w:pPr>
              <w:rPr>
                <w:sz w:val="21"/>
                <w:szCs w:val="21"/>
              </w:rPr>
            </w:pPr>
            <w:r>
              <w:rPr>
                <w:sz w:val="21"/>
                <w:szCs w:val="21"/>
              </w:rPr>
              <w:t>Fraction of line workers (B)</w:t>
            </w:r>
          </w:p>
        </w:tc>
        <w:tc>
          <w:tcPr>
            <w:tcW w:w="1980" w:type="dxa"/>
          </w:tcPr>
          <w:p w14:paraId="3E559C2F" w14:textId="77777777" w:rsidR="00957269" w:rsidRDefault="00000000">
            <w:pPr>
              <w:jc w:val="center"/>
              <w:rPr>
                <w:sz w:val="21"/>
                <w:szCs w:val="21"/>
              </w:rPr>
            </w:pPr>
            <w:r>
              <w:rPr>
                <w:sz w:val="21"/>
                <w:szCs w:val="21"/>
              </w:rPr>
              <w:t>.33341***</w:t>
            </w:r>
          </w:p>
          <w:p w14:paraId="75559E66" w14:textId="77777777" w:rsidR="00957269" w:rsidRDefault="00000000">
            <w:pPr>
              <w:jc w:val="center"/>
              <w:rPr>
                <w:sz w:val="21"/>
                <w:szCs w:val="21"/>
              </w:rPr>
            </w:pPr>
            <w:r>
              <w:rPr>
                <w:sz w:val="21"/>
                <w:szCs w:val="21"/>
              </w:rPr>
              <w:t>(.0447)</w:t>
            </w:r>
          </w:p>
        </w:tc>
        <w:tc>
          <w:tcPr>
            <w:tcW w:w="2126" w:type="dxa"/>
          </w:tcPr>
          <w:p w14:paraId="70AA9B66" w14:textId="77777777" w:rsidR="00957269" w:rsidRDefault="00000000">
            <w:pPr>
              <w:jc w:val="center"/>
              <w:rPr>
                <w:sz w:val="21"/>
                <w:szCs w:val="21"/>
              </w:rPr>
            </w:pPr>
            <w:r>
              <w:rPr>
                <w:sz w:val="21"/>
                <w:szCs w:val="21"/>
              </w:rPr>
              <w:t>.33151***</w:t>
            </w:r>
          </w:p>
          <w:p w14:paraId="5C188B11" w14:textId="77777777" w:rsidR="00957269" w:rsidRDefault="00000000">
            <w:pPr>
              <w:jc w:val="center"/>
              <w:rPr>
                <w:sz w:val="21"/>
                <w:szCs w:val="21"/>
              </w:rPr>
            </w:pPr>
            <w:r>
              <w:rPr>
                <w:sz w:val="21"/>
                <w:szCs w:val="21"/>
              </w:rPr>
              <w:t>(.0444)</w:t>
            </w:r>
          </w:p>
        </w:tc>
        <w:tc>
          <w:tcPr>
            <w:tcW w:w="2075" w:type="dxa"/>
          </w:tcPr>
          <w:p w14:paraId="349C047C" w14:textId="77777777" w:rsidR="00957269" w:rsidRDefault="00000000">
            <w:pPr>
              <w:jc w:val="center"/>
              <w:rPr>
                <w:sz w:val="21"/>
                <w:szCs w:val="21"/>
              </w:rPr>
            </w:pPr>
            <w:r>
              <w:rPr>
                <w:sz w:val="21"/>
                <w:szCs w:val="21"/>
              </w:rPr>
              <w:t>.33990***</w:t>
            </w:r>
          </w:p>
          <w:p w14:paraId="6064E5CE" w14:textId="77777777" w:rsidR="00957269" w:rsidRDefault="00000000">
            <w:pPr>
              <w:jc w:val="center"/>
              <w:rPr>
                <w:sz w:val="21"/>
                <w:szCs w:val="21"/>
              </w:rPr>
            </w:pPr>
            <w:r>
              <w:rPr>
                <w:sz w:val="21"/>
                <w:szCs w:val="21"/>
              </w:rPr>
              <w:t>(.0442)</w:t>
            </w:r>
          </w:p>
        </w:tc>
      </w:tr>
      <w:tr w:rsidR="00957269" w14:paraId="5676AE69" w14:textId="77777777">
        <w:tc>
          <w:tcPr>
            <w:tcW w:w="2835" w:type="dxa"/>
          </w:tcPr>
          <w:p w14:paraId="1280906F" w14:textId="77777777" w:rsidR="00957269" w:rsidRDefault="00000000">
            <w:pPr>
              <w:rPr>
                <w:i/>
                <w:iCs/>
                <w:sz w:val="21"/>
                <w:szCs w:val="21"/>
                <w:u w:val="single"/>
              </w:rPr>
            </w:pPr>
            <w:r>
              <w:rPr>
                <w:i/>
                <w:iCs/>
                <w:sz w:val="21"/>
                <w:szCs w:val="21"/>
                <w:u w:val="single"/>
              </w:rPr>
              <w:t>Supplier-level</w:t>
            </w:r>
          </w:p>
        </w:tc>
        <w:tc>
          <w:tcPr>
            <w:tcW w:w="1980" w:type="dxa"/>
          </w:tcPr>
          <w:p w14:paraId="6931B0D0" w14:textId="77777777" w:rsidR="00957269" w:rsidRDefault="00957269">
            <w:pPr>
              <w:jc w:val="center"/>
              <w:rPr>
                <w:sz w:val="21"/>
                <w:szCs w:val="21"/>
                <w:highlight w:val="yellow"/>
              </w:rPr>
            </w:pPr>
          </w:p>
        </w:tc>
        <w:tc>
          <w:tcPr>
            <w:tcW w:w="2126" w:type="dxa"/>
          </w:tcPr>
          <w:p w14:paraId="32590822" w14:textId="77777777" w:rsidR="00957269" w:rsidRDefault="00957269">
            <w:pPr>
              <w:jc w:val="center"/>
              <w:rPr>
                <w:sz w:val="21"/>
                <w:szCs w:val="21"/>
              </w:rPr>
            </w:pPr>
          </w:p>
        </w:tc>
        <w:tc>
          <w:tcPr>
            <w:tcW w:w="2075" w:type="dxa"/>
          </w:tcPr>
          <w:p w14:paraId="1C99E1C3" w14:textId="77777777" w:rsidR="00957269" w:rsidRDefault="00957269">
            <w:pPr>
              <w:jc w:val="center"/>
              <w:rPr>
                <w:sz w:val="21"/>
                <w:szCs w:val="21"/>
              </w:rPr>
            </w:pPr>
          </w:p>
        </w:tc>
      </w:tr>
      <w:tr w:rsidR="00824892" w14:paraId="5CDDE18E" w14:textId="77777777">
        <w:tc>
          <w:tcPr>
            <w:tcW w:w="2835" w:type="dxa"/>
          </w:tcPr>
          <w:p w14:paraId="2EA34BCD" w14:textId="1AA94D65" w:rsidR="00824892" w:rsidRDefault="00824892" w:rsidP="00824892">
            <w:pPr>
              <w:rPr>
                <w:sz w:val="21"/>
                <w:szCs w:val="21"/>
              </w:rPr>
            </w:pPr>
            <w:r>
              <w:rPr>
                <w:sz w:val="21"/>
                <w:szCs w:val="21"/>
              </w:rPr>
              <w:t>Product Complexity (W)</w:t>
            </w:r>
          </w:p>
        </w:tc>
        <w:tc>
          <w:tcPr>
            <w:tcW w:w="1980" w:type="dxa"/>
          </w:tcPr>
          <w:p w14:paraId="6C0AD9F4" w14:textId="77777777" w:rsidR="00824892" w:rsidRDefault="00824892" w:rsidP="00824892">
            <w:pPr>
              <w:jc w:val="center"/>
              <w:rPr>
                <w:sz w:val="21"/>
                <w:szCs w:val="21"/>
              </w:rPr>
            </w:pPr>
            <w:r>
              <w:rPr>
                <w:sz w:val="21"/>
                <w:szCs w:val="21"/>
              </w:rPr>
              <w:t>-.03743</w:t>
            </w:r>
          </w:p>
          <w:p w14:paraId="499FD116" w14:textId="775863AB" w:rsidR="00824892" w:rsidRDefault="00824892" w:rsidP="00824892">
            <w:pPr>
              <w:jc w:val="center"/>
              <w:rPr>
                <w:sz w:val="21"/>
                <w:szCs w:val="21"/>
                <w:highlight w:val="yellow"/>
              </w:rPr>
            </w:pPr>
            <w:r>
              <w:rPr>
                <w:sz w:val="21"/>
                <w:szCs w:val="21"/>
              </w:rPr>
              <w:t>(.0331)</w:t>
            </w:r>
          </w:p>
        </w:tc>
        <w:tc>
          <w:tcPr>
            <w:tcW w:w="2126" w:type="dxa"/>
          </w:tcPr>
          <w:p w14:paraId="14F4850B" w14:textId="77777777" w:rsidR="00824892" w:rsidRDefault="00824892" w:rsidP="00824892">
            <w:pPr>
              <w:jc w:val="center"/>
              <w:rPr>
                <w:sz w:val="21"/>
                <w:szCs w:val="21"/>
              </w:rPr>
            </w:pPr>
            <w:r>
              <w:rPr>
                <w:sz w:val="21"/>
                <w:szCs w:val="21"/>
              </w:rPr>
              <w:t>-.04156</w:t>
            </w:r>
          </w:p>
          <w:p w14:paraId="13251C20" w14:textId="03A0BC75" w:rsidR="00824892" w:rsidRDefault="00824892" w:rsidP="00824892">
            <w:pPr>
              <w:jc w:val="center"/>
              <w:rPr>
                <w:sz w:val="21"/>
                <w:szCs w:val="21"/>
              </w:rPr>
            </w:pPr>
            <w:r>
              <w:rPr>
                <w:sz w:val="21"/>
                <w:szCs w:val="21"/>
              </w:rPr>
              <w:t>(.0333)</w:t>
            </w:r>
          </w:p>
        </w:tc>
        <w:tc>
          <w:tcPr>
            <w:tcW w:w="2075" w:type="dxa"/>
          </w:tcPr>
          <w:p w14:paraId="486A9697" w14:textId="77777777" w:rsidR="00824892" w:rsidRDefault="00824892" w:rsidP="00824892">
            <w:pPr>
              <w:jc w:val="center"/>
              <w:rPr>
                <w:sz w:val="21"/>
                <w:szCs w:val="21"/>
              </w:rPr>
            </w:pPr>
            <w:r>
              <w:rPr>
                <w:sz w:val="21"/>
                <w:szCs w:val="21"/>
              </w:rPr>
              <w:t>-.03503</w:t>
            </w:r>
          </w:p>
          <w:p w14:paraId="11B4B704" w14:textId="3C2000A3" w:rsidR="00824892" w:rsidRDefault="00824892" w:rsidP="00824892">
            <w:pPr>
              <w:jc w:val="center"/>
              <w:rPr>
                <w:sz w:val="21"/>
                <w:szCs w:val="21"/>
              </w:rPr>
            </w:pPr>
            <w:r>
              <w:rPr>
                <w:sz w:val="21"/>
                <w:szCs w:val="21"/>
              </w:rPr>
              <w:t>(.0333)</w:t>
            </w:r>
          </w:p>
        </w:tc>
      </w:tr>
      <w:tr w:rsidR="00824892" w14:paraId="0FDC68DD" w14:textId="77777777">
        <w:tc>
          <w:tcPr>
            <w:tcW w:w="2835" w:type="dxa"/>
          </w:tcPr>
          <w:p w14:paraId="220DD14E" w14:textId="77777777" w:rsidR="00824892" w:rsidRDefault="00824892" w:rsidP="00824892">
            <w:pPr>
              <w:rPr>
                <w:sz w:val="21"/>
                <w:szCs w:val="21"/>
              </w:rPr>
            </w:pPr>
            <w:r>
              <w:rPr>
                <w:sz w:val="21"/>
                <w:szCs w:val="21"/>
              </w:rPr>
              <w:t>Prominence (W)</w:t>
            </w:r>
          </w:p>
        </w:tc>
        <w:tc>
          <w:tcPr>
            <w:tcW w:w="1980" w:type="dxa"/>
          </w:tcPr>
          <w:p w14:paraId="07236B0A" w14:textId="77777777" w:rsidR="00824892" w:rsidRDefault="00824892" w:rsidP="00824892">
            <w:pPr>
              <w:jc w:val="center"/>
              <w:rPr>
                <w:sz w:val="21"/>
                <w:szCs w:val="21"/>
                <w:highlight w:val="yellow"/>
              </w:rPr>
            </w:pPr>
          </w:p>
        </w:tc>
        <w:tc>
          <w:tcPr>
            <w:tcW w:w="2126" w:type="dxa"/>
          </w:tcPr>
          <w:p w14:paraId="74CE1FF8" w14:textId="77777777" w:rsidR="00824892" w:rsidRDefault="00824892" w:rsidP="00824892">
            <w:pPr>
              <w:jc w:val="center"/>
              <w:rPr>
                <w:sz w:val="21"/>
                <w:szCs w:val="21"/>
              </w:rPr>
            </w:pPr>
            <w:r>
              <w:rPr>
                <w:sz w:val="21"/>
                <w:szCs w:val="21"/>
              </w:rPr>
              <w:t>-.00205</w:t>
            </w:r>
          </w:p>
          <w:p w14:paraId="22AD55EC" w14:textId="77777777" w:rsidR="00824892" w:rsidRDefault="00824892" w:rsidP="00824892">
            <w:pPr>
              <w:jc w:val="center"/>
              <w:rPr>
                <w:sz w:val="21"/>
                <w:szCs w:val="21"/>
              </w:rPr>
            </w:pPr>
            <w:r>
              <w:rPr>
                <w:sz w:val="21"/>
                <w:szCs w:val="21"/>
              </w:rPr>
              <w:t>(.0031)</w:t>
            </w:r>
          </w:p>
        </w:tc>
        <w:tc>
          <w:tcPr>
            <w:tcW w:w="2075" w:type="dxa"/>
          </w:tcPr>
          <w:p w14:paraId="6EC5F6B4" w14:textId="77777777" w:rsidR="00824892" w:rsidRDefault="00824892" w:rsidP="00824892">
            <w:pPr>
              <w:jc w:val="center"/>
              <w:rPr>
                <w:sz w:val="21"/>
                <w:szCs w:val="21"/>
              </w:rPr>
            </w:pPr>
            <w:r>
              <w:rPr>
                <w:sz w:val="21"/>
                <w:szCs w:val="21"/>
              </w:rPr>
              <w:t>-.00212</w:t>
            </w:r>
          </w:p>
          <w:p w14:paraId="3B964B88" w14:textId="77777777" w:rsidR="00824892" w:rsidRDefault="00824892" w:rsidP="00824892">
            <w:pPr>
              <w:jc w:val="center"/>
              <w:rPr>
                <w:sz w:val="21"/>
                <w:szCs w:val="21"/>
              </w:rPr>
            </w:pPr>
            <w:r>
              <w:rPr>
                <w:sz w:val="21"/>
                <w:szCs w:val="21"/>
              </w:rPr>
              <w:t>(.0031)</w:t>
            </w:r>
          </w:p>
        </w:tc>
      </w:tr>
      <w:tr w:rsidR="00824892" w14:paraId="610AEF7D" w14:textId="77777777">
        <w:tc>
          <w:tcPr>
            <w:tcW w:w="2835" w:type="dxa"/>
          </w:tcPr>
          <w:p w14:paraId="15AFB291" w14:textId="77777777" w:rsidR="00824892" w:rsidRDefault="00824892" w:rsidP="00824892">
            <w:pPr>
              <w:rPr>
                <w:sz w:val="21"/>
                <w:szCs w:val="21"/>
              </w:rPr>
            </w:pPr>
            <w:r>
              <w:rPr>
                <w:sz w:val="21"/>
                <w:szCs w:val="21"/>
              </w:rPr>
              <w:t>Geo. Disp. (W)</w:t>
            </w:r>
          </w:p>
        </w:tc>
        <w:tc>
          <w:tcPr>
            <w:tcW w:w="1980" w:type="dxa"/>
          </w:tcPr>
          <w:p w14:paraId="106214B5" w14:textId="77777777" w:rsidR="00824892" w:rsidRDefault="00824892" w:rsidP="00824892">
            <w:pPr>
              <w:jc w:val="center"/>
              <w:rPr>
                <w:sz w:val="21"/>
                <w:szCs w:val="21"/>
                <w:highlight w:val="yellow"/>
              </w:rPr>
            </w:pPr>
          </w:p>
        </w:tc>
        <w:tc>
          <w:tcPr>
            <w:tcW w:w="2126" w:type="dxa"/>
          </w:tcPr>
          <w:p w14:paraId="1DC127CB" w14:textId="77777777" w:rsidR="00824892" w:rsidRDefault="00824892" w:rsidP="00824892">
            <w:pPr>
              <w:jc w:val="center"/>
              <w:rPr>
                <w:sz w:val="21"/>
                <w:szCs w:val="21"/>
              </w:rPr>
            </w:pPr>
            <w:r>
              <w:rPr>
                <w:sz w:val="21"/>
                <w:szCs w:val="21"/>
              </w:rPr>
              <w:t>-.00295</w:t>
            </w:r>
          </w:p>
          <w:p w14:paraId="16204787" w14:textId="77777777" w:rsidR="00824892" w:rsidRDefault="00824892" w:rsidP="00824892">
            <w:pPr>
              <w:jc w:val="center"/>
              <w:rPr>
                <w:sz w:val="21"/>
                <w:szCs w:val="21"/>
              </w:rPr>
            </w:pPr>
            <w:r>
              <w:rPr>
                <w:sz w:val="21"/>
                <w:szCs w:val="21"/>
              </w:rPr>
              <w:t>(.0095)</w:t>
            </w:r>
          </w:p>
        </w:tc>
        <w:tc>
          <w:tcPr>
            <w:tcW w:w="2075" w:type="dxa"/>
          </w:tcPr>
          <w:p w14:paraId="6F64C308" w14:textId="77777777" w:rsidR="00824892" w:rsidRDefault="00824892" w:rsidP="00824892">
            <w:pPr>
              <w:jc w:val="center"/>
              <w:rPr>
                <w:sz w:val="21"/>
                <w:szCs w:val="21"/>
              </w:rPr>
            </w:pPr>
            <w:r>
              <w:rPr>
                <w:sz w:val="21"/>
                <w:szCs w:val="21"/>
              </w:rPr>
              <w:t>-.00281</w:t>
            </w:r>
          </w:p>
          <w:p w14:paraId="079B0491" w14:textId="77777777" w:rsidR="00824892" w:rsidRDefault="00824892" w:rsidP="00824892">
            <w:pPr>
              <w:jc w:val="center"/>
              <w:rPr>
                <w:sz w:val="21"/>
                <w:szCs w:val="21"/>
              </w:rPr>
            </w:pPr>
            <w:r>
              <w:rPr>
                <w:sz w:val="21"/>
                <w:szCs w:val="21"/>
              </w:rPr>
              <w:t>(.0095)</w:t>
            </w:r>
          </w:p>
        </w:tc>
      </w:tr>
      <w:tr w:rsidR="00824892" w14:paraId="247B6E7B" w14:textId="77777777">
        <w:tc>
          <w:tcPr>
            <w:tcW w:w="2835" w:type="dxa"/>
          </w:tcPr>
          <w:p w14:paraId="3FE23658" w14:textId="7906D43E" w:rsidR="00824892" w:rsidRDefault="00824892" w:rsidP="00824892">
            <w:pPr>
              <w:rPr>
                <w:sz w:val="21"/>
                <w:szCs w:val="21"/>
              </w:rPr>
            </w:pPr>
            <w:r>
              <w:rPr>
                <w:b/>
                <w:bCs/>
                <w:sz w:val="21"/>
                <w:szCs w:val="21"/>
              </w:rPr>
              <w:t>Product Complexity (B)</w:t>
            </w:r>
          </w:p>
        </w:tc>
        <w:tc>
          <w:tcPr>
            <w:tcW w:w="1980" w:type="dxa"/>
          </w:tcPr>
          <w:p w14:paraId="160937BA" w14:textId="77777777" w:rsidR="00824892" w:rsidRDefault="00824892" w:rsidP="00824892">
            <w:pPr>
              <w:jc w:val="center"/>
              <w:rPr>
                <w:sz w:val="21"/>
                <w:szCs w:val="21"/>
              </w:rPr>
            </w:pPr>
            <w:r>
              <w:rPr>
                <w:sz w:val="21"/>
                <w:szCs w:val="21"/>
              </w:rPr>
              <w:t>-.11377***</w:t>
            </w:r>
          </w:p>
          <w:p w14:paraId="644BA34F" w14:textId="7AAB8EF1" w:rsidR="00824892" w:rsidRDefault="00824892" w:rsidP="00824892">
            <w:pPr>
              <w:jc w:val="center"/>
              <w:rPr>
                <w:sz w:val="21"/>
                <w:szCs w:val="21"/>
                <w:highlight w:val="yellow"/>
              </w:rPr>
            </w:pPr>
            <w:r>
              <w:rPr>
                <w:sz w:val="21"/>
                <w:szCs w:val="21"/>
              </w:rPr>
              <w:t>(.0217)</w:t>
            </w:r>
          </w:p>
        </w:tc>
        <w:tc>
          <w:tcPr>
            <w:tcW w:w="2126" w:type="dxa"/>
          </w:tcPr>
          <w:p w14:paraId="2297B27B" w14:textId="77777777" w:rsidR="00824892" w:rsidRDefault="00824892" w:rsidP="00824892">
            <w:pPr>
              <w:jc w:val="center"/>
              <w:rPr>
                <w:sz w:val="21"/>
                <w:szCs w:val="21"/>
              </w:rPr>
            </w:pPr>
            <w:r>
              <w:rPr>
                <w:sz w:val="21"/>
                <w:szCs w:val="21"/>
              </w:rPr>
              <w:t>-.10638***</w:t>
            </w:r>
          </w:p>
          <w:p w14:paraId="44C509A1" w14:textId="30A6E723" w:rsidR="00824892" w:rsidRDefault="00824892" w:rsidP="00824892">
            <w:pPr>
              <w:jc w:val="center"/>
              <w:rPr>
                <w:sz w:val="21"/>
                <w:szCs w:val="21"/>
              </w:rPr>
            </w:pPr>
            <w:r>
              <w:rPr>
                <w:sz w:val="21"/>
                <w:szCs w:val="21"/>
              </w:rPr>
              <w:t>(.0211)</w:t>
            </w:r>
          </w:p>
        </w:tc>
        <w:tc>
          <w:tcPr>
            <w:tcW w:w="2075" w:type="dxa"/>
          </w:tcPr>
          <w:p w14:paraId="0DFDE403" w14:textId="77777777" w:rsidR="00824892" w:rsidRDefault="00824892" w:rsidP="00824892">
            <w:pPr>
              <w:jc w:val="center"/>
              <w:rPr>
                <w:sz w:val="21"/>
                <w:szCs w:val="21"/>
              </w:rPr>
            </w:pPr>
            <w:r>
              <w:rPr>
                <w:sz w:val="21"/>
                <w:szCs w:val="21"/>
              </w:rPr>
              <w:t>-.10027***</w:t>
            </w:r>
          </w:p>
          <w:p w14:paraId="560F4FF6" w14:textId="602106B4" w:rsidR="00824892" w:rsidRDefault="00824892" w:rsidP="00824892">
            <w:pPr>
              <w:jc w:val="center"/>
              <w:rPr>
                <w:sz w:val="21"/>
                <w:szCs w:val="21"/>
              </w:rPr>
            </w:pPr>
            <w:r>
              <w:rPr>
                <w:sz w:val="21"/>
                <w:szCs w:val="21"/>
              </w:rPr>
              <w:t>(.0215)</w:t>
            </w:r>
          </w:p>
        </w:tc>
      </w:tr>
      <w:tr w:rsidR="00824892" w14:paraId="35A5D74A" w14:textId="77777777">
        <w:tc>
          <w:tcPr>
            <w:tcW w:w="2835" w:type="dxa"/>
          </w:tcPr>
          <w:p w14:paraId="7B926CD1" w14:textId="77777777" w:rsidR="00824892" w:rsidRDefault="00824892" w:rsidP="00824892">
            <w:pPr>
              <w:rPr>
                <w:b/>
                <w:bCs/>
                <w:sz w:val="21"/>
                <w:szCs w:val="21"/>
              </w:rPr>
            </w:pPr>
            <w:r>
              <w:rPr>
                <w:b/>
                <w:bCs/>
                <w:sz w:val="21"/>
                <w:szCs w:val="21"/>
              </w:rPr>
              <w:t>Prominence (B)</w:t>
            </w:r>
          </w:p>
        </w:tc>
        <w:tc>
          <w:tcPr>
            <w:tcW w:w="1980" w:type="dxa"/>
          </w:tcPr>
          <w:p w14:paraId="3B658909" w14:textId="77777777" w:rsidR="00824892" w:rsidRDefault="00824892" w:rsidP="00824892">
            <w:pPr>
              <w:jc w:val="center"/>
              <w:rPr>
                <w:sz w:val="21"/>
                <w:szCs w:val="21"/>
                <w:highlight w:val="yellow"/>
              </w:rPr>
            </w:pPr>
          </w:p>
        </w:tc>
        <w:tc>
          <w:tcPr>
            <w:tcW w:w="2126" w:type="dxa"/>
          </w:tcPr>
          <w:p w14:paraId="4146E288" w14:textId="77777777" w:rsidR="00824892" w:rsidRDefault="00824892" w:rsidP="00824892">
            <w:pPr>
              <w:jc w:val="center"/>
              <w:rPr>
                <w:sz w:val="21"/>
                <w:szCs w:val="21"/>
              </w:rPr>
            </w:pPr>
            <w:r>
              <w:rPr>
                <w:sz w:val="21"/>
                <w:szCs w:val="21"/>
              </w:rPr>
              <w:t>.02047***</w:t>
            </w:r>
          </w:p>
          <w:p w14:paraId="576D4117" w14:textId="77777777" w:rsidR="00824892" w:rsidRDefault="00824892" w:rsidP="00824892">
            <w:pPr>
              <w:jc w:val="center"/>
              <w:rPr>
                <w:sz w:val="21"/>
                <w:szCs w:val="21"/>
              </w:rPr>
            </w:pPr>
            <w:r>
              <w:rPr>
                <w:sz w:val="21"/>
                <w:szCs w:val="21"/>
              </w:rPr>
              <w:t>(.0048)</w:t>
            </w:r>
          </w:p>
        </w:tc>
        <w:tc>
          <w:tcPr>
            <w:tcW w:w="2075" w:type="dxa"/>
          </w:tcPr>
          <w:p w14:paraId="1566E65A" w14:textId="77777777" w:rsidR="00824892" w:rsidRDefault="00824892" w:rsidP="00824892">
            <w:pPr>
              <w:jc w:val="center"/>
              <w:rPr>
                <w:sz w:val="21"/>
                <w:szCs w:val="21"/>
              </w:rPr>
            </w:pPr>
            <w:r>
              <w:rPr>
                <w:sz w:val="21"/>
                <w:szCs w:val="21"/>
              </w:rPr>
              <w:t>.02197***</w:t>
            </w:r>
          </w:p>
          <w:p w14:paraId="279FB9C1" w14:textId="77777777" w:rsidR="00824892" w:rsidRDefault="00824892" w:rsidP="00824892">
            <w:pPr>
              <w:jc w:val="center"/>
              <w:rPr>
                <w:sz w:val="21"/>
                <w:szCs w:val="21"/>
              </w:rPr>
            </w:pPr>
            <w:r>
              <w:rPr>
                <w:sz w:val="21"/>
                <w:szCs w:val="21"/>
              </w:rPr>
              <w:t>(.0050)</w:t>
            </w:r>
          </w:p>
        </w:tc>
      </w:tr>
      <w:tr w:rsidR="00824892" w14:paraId="75D98805" w14:textId="77777777">
        <w:tc>
          <w:tcPr>
            <w:tcW w:w="2835" w:type="dxa"/>
            <w:tcBorders>
              <w:bottom w:val="single" w:sz="4" w:space="0" w:color="000000"/>
            </w:tcBorders>
          </w:tcPr>
          <w:p w14:paraId="3640F1DF" w14:textId="77777777" w:rsidR="00824892" w:rsidRDefault="00824892" w:rsidP="00824892">
            <w:pPr>
              <w:rPr>
                <w:b/>
                <w:bCs/>
                <w:sz w:val="21"/>
                <w:szCs w:val="21"/>
              </w:rPr>
            </w:pPr>
            <w:r>
              <w:rPr>
                <w:b/>
                <w:bCs/>
                <w:sz w:val="21"/>
                <w:szCs w:val="21"/>
              </w:rPr>
              <w:t>Geo. Disp. (B)</w:t>
            </w:r>
          </w:p>
        </w:tc>
        <w:tc>
          <w:tcPr>
            <w:tcW w:w="1980" w:type="dxa"/>
            <w:tcBorders>
              <w:bottom w:val="single" w:sz="4" w:space="0" w:color="000000"/>
            </w:tcBorders>
          </w:tcPr>
          <w:p w14:paraId="748BD67E" w14:textId="77777777" w:rsidR="00824892" w:rsidRDefault="00824892" w:rsidP="00824892">
            <w:pPr>
              <w:jc w:val="center"/>
              <w:rPr>
                <w:sz w:val="21"/>
                <w:szCs w:val="21"/>
                <w:highlight w:val="yellow"/>
              </w:rPr>
            </w:pPr>
          </w:p>
        </w:tc>
        <w:tc>
          <w:tcPr>
            <w:tcW w:w="2126" w:type="dxa"/>
            <w:tcBorders>
              <w:bottom w:val="single" w:sz="4" w:space="0" w:color="000000"/>
            </w:tcBorders>
          </w:tcPr>
          <w:p w14:paraId="33B0A1DA" w14:textId="77777777" w:rsidR="00824892" w:rsidRDefault="00824892" w:rsidP="00824892">
            <w:pPr>
              <w:jc w:val="center"/>
              <w:rPr>
                <w:sz w:val="21"/>
                <w:szCs w:val="21"/>
              </w:rPr>
            </w:pPr>
            <w:r>
              <w:rPr>
                <w:sz w:val="21"/>
                <w:szCs w:val="21"/>
              </w:rPr>
              <w:t>-.06076***</w:t>
            </w:r>
          </w:p>
          <w:p w14:paraId="1A3DE843" w14:textId="77777777" w:rsidR="00824892" w:rsidRDefault="00824892" w:rsidP="00824892">
            <w:pPr>
              <w:jc w:val="center"/>
              <w:rPr>
                <w:sz w:val="21"/>
                <w:szCs w:val="21"/>
              </w:rPr>
            </w:pPr>
            <w:r>
              <w:rPr>
                <w:sz w:val="21"/>
                <w:szCs w:val="21"/>
              </w:rPr>
              <w:t>(.0141)</w:t>
            </w:r>
          </w:p>
        </w:tc>
        <w:tc>
          <w:tcPr>
            <w:tcW w:w="2075" w:type="dxa"/>
            <w:tcBorders>
              <w:bottom w:val="single" w:sz="4" w:space="0" w:color="000000"/>
            </w:tcBorders>
          </w:tcPr>
          <w:p w14:paraId="5404116E" w14:textId="77777777" w:rsidR="00824892" w:rsidRDefault="00824892" w:rsidP="00824892">
            <w:pPr>
              <w:jc w:val="center"/>
              <w:rPr>
                <w:sz w:val="21"/>
                <w:szCs w:val="21"/>
              </w:rPr>
            </w:pPr>
            <w:r>
              <w:rPr>
                <w:sz w:val="21"/>
                <w:szCs w:val="21"/>
              </w:rPr>
              <w:t>-.07363***</w:t>
            </w:r>
          </w:p>
          <w:p w14:paraId="3B1D808E" w14:textId="77777777" w:rsidR="00824892" w:rsidRDefault="00824892" w:rsidP="00824892">
            <w:pPr>
              <w:jc w:val="center"/>
              <w:rPr>
                <w:sz w:val="21"/>
                <w:szCs w:val="21"/>
              </w:rPr>
            </w:pPr>
            <w:r>
              <w:rPr>
                <w:sz w:val="21"/>
                <w:szCs w:val="21"/>
              </w:rPr>
              <w:t>(.0153)</w:t>
            </w:r>
          </w:p>
        </w:tc>
      </w:tr>
      <w:tr w:rsidR="00824892" w14:paraId="535A29E9" w14:textId="77777777">
        <w:tc>
          <w:tcPr>
            <w:tcW w:w="2835" w:type="dxa"/>
            <w:tcBorders>
              <w:top w:val="single" w:sz="4" w:space="0" w:color="000000"/>
              <w:bottom w:val="single" w:sz="4" w:space="0" w:color="000000"/>
            </w:tcBorders>
          </w:tcPr>
          <w:p w14:paraId="3544301D" w14:textId="77777777" w:rsidR="00824892" w:rsidRDefault="00824892" w:rsidP="00824892">
            <w:pPr>
              <w:rPr>
                <w:sz w:val="21"/>
                <w:szCs w:val="21"/>
              </w:rPr>
            </w:pPr>
            <w:r>
              <w:rPr>
                <w:sz w:val="21"/>
                <w:szCs w:val="21"/>
              </w:rPr>
              <w:t>(Supplier) country dummies</w:t>
            </w:r>
          </w:p>
        </w:tc>
        <w:tc>
          <w:tcPr>
            <w:tcW w:w="1980" w:type="dxa"/>
            <w:tcBorders>
              <w:top w:val="single" w:sz="4" w:space="0" w:color="000000"/>
              <w:bottom w:val="single" w:sz="4" w:space="0" w:color="000000"/>
            </w:tcBorders>
          </w:tcPr>
          <w:p w14:paraId="13F68B99" w14:textId="77777777" w:rsidR="00824892" w:rsidRDefault="00824892" w:rsidP="00824892">
            <w:pPr>
              <w:jc w:val="center"/>
              <w:rPr>
                <w:sz w:val="21"/>
                <w:szCs w:val="21"/>
              </w:rPr>
            </w:pPr>
            <w:r>
              <w:rPr>
                <w:sz w:val="21"/>
                <w:szCs w:val="21"/>
              </w:rPr>
              <w:t>No</w:t>
            </w:r>
          </w:p>
        </w:tc>
        <w:tc>
          <w:tcPr>
            <w:tcW w:w="2126" w:type="dxa"/>
            <w:tcBorders>
              <w:top w:val="single" w:sz="4" w:space="0" w:color="000000"/>
              <w:bottom w:val="single" w:sz="4" w:space="0" w:color="000000"/>
            </w:tcBorders>
          </w:tcPr>
          <w:p w14:paraId="745635DC" w14:textId="77777777" w:rsidR="00824892" w:rsidRDefault="00824892" w:rsidP="00824892">
            <w:pPr>
              <w:jc w:val="center"/>
              <w:rPr>
                <w:sz w:val="21"/>
                <w:szCs w:val="21"/>
              </w:rPr>
            </w:pPr>
            <w:r>
              <w:rPr>
                <w:sz w:val="21"/>
                <w:szCs w:val="21"/>
              </w:rPr>
              <w:t>No</w:t>
            </w:r>
          </w:p>
        </w:tc>
        <w:tc>
          <w:tcPr>
            <w:tcW w:w="2075" w:type="dxa"/>
            <w:tcBorders>
              <w:top w:val="single" w:sz="4" w:space="0" w:color="000000"/>
              <w:bottom w:val="single" w:sz="4" w:space="0" w:color="000000"/>
            </w:tcBorders>
          </w:tcPr>
          <w:p w14:paraId="2A5D2B7D" w14:textId="77777777" w:rsidR="00824892" w:rsidRDefault="00824892" w:rsidP="00824892">
            <w:pPr>
              <w:jc w:val="center"/>
              <w:rPr>
                <w:sz w:val="21"/>
                <w:szCs w:val="21"/>
              </w:rPr>
            </w:pPr>
            <w:r>
              <w:rPr>
                <w:sz w:val="21"/>
                <w:szCs w:val="21"/>
              </w:rPr>
              <w:t>Yes</w:t>
            </w:r>
          </w:p>
        </w:tc>
      </w:tr>
      <w:tr w:rsidR="00824892" w14:paraId="029D432B" w14:textId="77777777">
        <w:tc>
          <w:tcPr>
            <w:tcW w:w="2835" w:type="dxa"/>
            <w:tcBorders>
              <w:top w:val="single" w:sz="4" w:space="0" w:color="000000"/>
            </w:tcBorders>
          </w:tcPr>
          <w:p w14:paraId="45069EC5" w14:textId="77777777" w:rsidR="00824892" w:rsidRDefault="00824892" w:rsidP="00824892">
            <w:pPr>
              <w:rPr>
                <w:i/>
                <w:iCs/>
                <w:sz w:val="21"/>
                <w:szCs w:val="21"/>
              </w:rPr>
            </w:pPr>
            <w:r>
              <w:rPr>
                <w:i/>
                <w:iCs/>
                <w:sz w:val="21"/>
                <w:szCs w:val="21"/>
              </w:rPr>
              <w:t>N</w:t>
            </w:r>
          </w:p>
        </w:tc>
        <w:tc>
          <w:tcPr>
            <w:tcW w:w="1980" w:type="dxa"/>
            <w:tcBorders>
              <w:top w:val="single" w:sz="4" w:space="0" w:color="000000"/>
            </w:tcBorders>
          </w:tcPr>
          <w:p w14:paraId="2A05BE37" w14:textId="77777777" w:rsidR="00824892" w:rsidRDefault="00824892" w:rsidP="00824892">
            <w:pPr>
              <w:jc w:val="center"/>
              <w:rPr>
                <w:sz w:val="21"/>
                <w:szCs w:val="21"/>
              </w:rPr>
            </w:pPr>
            <w:r>
              <w:rPr>
                <w:sz w:val="21"/>
                <w:szCs w:val="21"/>
              </w:rPr>
              <w:t>2353</w:t>
            </w:r>
          </w:p>
        </w:tc>
        <w:tc>
          <w:tcPr>
            <w:tcW w:w="2126" w:type="dxa"/>
            <w:tcBorders>
              <w:top w:val="single" w:sz="4" w:space="0" w:color="000000"/>
            </w:tcBorders>
          </w:tcPr>
          <w:p w14:paraId="395F04DE" w14:textId="77777777" w:rsidR="00824892" w:rsidRDefault="00824892" w:rsidP="00824892">
            <w:pPr>
              <w:jc w:val="center"/>
              <w:rPr>
                <w:sz w:val="21"/>
                <w:szCs w:val="21"/>
              </w:rPr>
            </w:pPr>
            <w:r>
              <w:rPr>
                <w:sz w:val="21"/>
                <w:szCs w:val="21"/>
              </w:rPr>
              <w:t>2353</w:t>
            </w:r>
          </w:p>
        </w:tc>
        <w:tc>
          <w:tcPr>
            <w:tcW w:w="2075" w:type="dxa"/>
            <w:tcBorders>
              <w:top w:val="single" w:sz="4" w:space="0" w:color="000000"/>
            </w:tcBorders>
          </w:tcPr>
          <w:p w14:paraId="0D4A9E08" w14:textId="77777777" w:rsidR="00824892" w:rsidRDefault="00824892" w:rsidP="00824892">
            <w:pPr>
              <w:jc w:val="center"/>
              <w:rPr>
                <w:sz w:val="21"/>
                <w:szCs w:val="21"/>
              </w:rPr>
            </w:pPr>
            <w:r>
              <w:rPr>
                <w:sz w:val="21"/>
                <w:szCs w:val="21"/>
              </w:rPr>
              <w:t>2353</w:t>
            </w:r>
          </w:p>
        </w:tc>
      </w:tr>
      <w:tr w:rsidR="00824892" w14:paraId="0EFE7AAD" w14:textId="77777777">
        <w:tc>
          <w:tcPr>
            <w:tcW w:w="2835" w:type="dxa"/>
          </w:tcPr>
          <w:p w14:paraId="66268D2E" w14:textId="77777777" w:rsidR="00824892" w:rsidRDefault="00824892" w:rsidP="00824892">
            <w:pPr>
              <w:rPr>
                <w:sz w:val="21"/>
                <w:szCs w:val="21"/>
              </w:rPr>
            </w:pPr>
            <w:r>
              <w:rPr>
                <w:sz w:val="21"/>
                <w:szCs w:val="21"/>
              </w:rPr>
              <w:t>Log-likelihood</w:t>
            </w:r>
          </w:p>
        </w:tc>
        <w:tc>
          <w:tcPr>
            <w:tcW w:w="1980" w:type="dxa"/>
          </w:tcPr>
          <w:p w14:paraId="7002FF44" w14:textId="77777777" w:rsidR="00824892" w:rsidRDefault="00824892" w:rsidP="00824892">
            <w:pPr>
              <w:jc w:val="center"/>
              <w:rPr>
                <w:sz w:val="21"/>
                <w:szCs w:val="21"/>
              </w:rPr>
            </w:pPr>
            <w:r>
              <w:rPr>
                <w:sz w:val="21"/>
                <w:szCs w:val="21"/>
              </w:rPr>
              <w:t>1400.42</w:t>
            </w:r>
          </w:p>
        </w:tc>
        <w:tc>
          <w:tcPr>
            <w:tcW w:w="2126" w:type="dxa"/>
          </w:tcPr>
          <w:p w14:paraId="3E07D794" w14:textId="77777777" w:rsidR="00824892" w:rsidRDefault="00824892" w:rsidP="00824892">
            <w:pPr>
              <w:jc w:val="center"/>
              <w:rPr>
                <w:sz w:val="21"/>
                <w:szCs w:val="21"/>
              </w:rPr>
            </w:pPr>
            <w:r>
              <w:rPr>
                <w:sz w:val="21"/>
                <w:szCs w:val="21"/>
              </w:rPr>
              <w:t>1407.94</w:t>
            </w:r>
          </w:p>
        </w:tc>
        <w:tc>
          <w:tcPr>
            <w:tcW w:w="2075" w:type="dxa"/>
          </w:tcPr>
          <w:p w14:paraId="4DE6169E" w14:textId="77777777" w:rsidR="00824892" w:rsidRDefault="00824892" w:rsidP="00824892">
            <w:pPr>
              <w:jc w:val="center"/>
              <w:rPr>
                <w:sz w:val="21"/>
                <w:szCs w:val="21"/>
              </w:rPr>
            </w:pPr>
            <w:r>
              <w:rPr>
                <w:sz w:val="21"/>
                <w:szCs w:val="21"/>
              </w:rPr>
              <w:t>1432.57</w:t>
            </w:r>
          </w:p>
        </w:tc>
      </w:tr>
      <w:tr w:rsidR="00824892" w14:paraId="54F940AB" w14:textId="77777777">
        <w:tc>
          <w:tcPr>
            <w:tcW w:w="2835" w:type="dxa"/>
            <w:tcBorders>
              <w:bottom w:val="single" w:sz="4" w:space="0" w:color="000000"/>
            </w:tcBorders>
          </w:tcPr>
          <w:p w14:paraId="53B4F911" w14:textId="77777777" w:rsidR="00824892" w:rsidRDefault="00824892" w:rsidP="00824892">
            <w:pPr>
              <w:rPr>
                <w:sz w:val="21"/>
                <w:szCs w:val="21"/>
              </w:rPr>
            </w:pPr>
            <w:r>
              <w:rPr>
                <w:sz w:val="21"/>
                <w:szCs w:val="21"/>
              </w:rPr>
              <w:t>LR test</w:t>
            </w:r>
          </w:p>
        </w:tc>
        <w:tc>
          <w:tcPr>
            <w:tcW w:w="1980" w:type="dxa"/>
            <w:tcBorders>
              <w:bottom w:val="single" w:sz="4" w:space="0" w:color="000000"/>
            </w:tcBorders>
          </w:tcPr>
          <w:p w14:paraId="60C3E02F" w14:textId="77777777" w:rsidR="00824892" w:rsidRDefault="00824892" w:rsidP="00824892">
            <w:pPr>
              <w:jc w:val="center"/>
              <w:rPr>
                <w:sz w:val="21"/>
                <w:szCs w:val="21"/>
              </w:rPr>
            </w:pPr>
            <w:r>
              <w:rPr>
                <w:sz w:val="21"/>
                <w:szCs w:val="21"/>
              </w:rPr>
              <w:t>.</w:t>
            </w:r>
          </w:p>
        </w:tc>
        <w:tc>
          <w:tcPr>
            <w:tcW w:w="2126" w:type="dxa"/>
            <w:tcBorders>
              <w:bottom w:val="single" w:sz="4" w:space="0" w:color="000000"/>
            </w:tcBorders>
          </w:tcPr>
          <w:p w14:paraId="557C5133" w14:textId="77777777" w:rsidR="00824892" w:rsidRDefault="00824892" w:rsidP="00824892">
            <w:pPr>
              <w:jc w:val="center"/>
              <w:rPr>
                <w:sz w:val="21"/>
                <w:szCs w:val="21"/>
              </w:rPr>
            </w:pPr>
            <w:r>
              <w:rPr>
                <w:sz w:val="21"/>
                <w:szCs w:val="21"/>
              </w:rPr>
              <w:t>21.27*** vs. (3)</w:t>
            </w:r>
          </w:p>
        </w:tc>
        <w:tc>
          <w:tcPr>
            <w:tcW w:w="2075" w:type="dxa"/>
            <w:tcBorders>
              <w:bottom w:val="single" w:sz="4" w:space="0" w:color="000000"/>
            </w:tcBorders>
          </w:tcPr>
          <w:p w14:paraId="1D440179" w14:textId="77777777" w:rsidR="00824892" w:rsidRDefault="00824892" w:rsidP="00824892">
            <w:pPr>
              <w:jc w:val="center"/>
              <w:rPr>
                <w:sz w:val="21"/>
                <w:szCs w:val="21"/>
              </w:rPr>
            </w:pPr>
            <w:r>
              <w:rPr>
                <w:sz w:val="21"/>
                <w:szCs w:val="21"/>
              </w:rPr>
              <w:t>43.03 vs. (4)</w:t>
            </w:r>
          </w:p>
        </w:tc>
      </w:tr>
      <w:tr w:rsidR="00824892" w14:paraId="1BD3DC4D" w14:textId="77777777">
        <w:tc>
          <w:tcPr>
            <w:tcW w:w="9016" w:type="dxa"/>
            <w:gridSpan w:val="4"/>
            <w:tcBorders>
              <w:top w:val="single" w:sz="4" w:space="0" w:color="000000"/>
              <w:bottom w:val="single" w:sz="4" w:space="0" w:color="000000"/>
            </w:tcBorders>
          </w:tcPr>
          <w:p w14:paraId="7932C56C" w14:textId="77777777" w:rsidR="00824892" w:rsidRDefault="00824892" w:rsidP="00824892">
            <w:pPr>
              <w:jc w:val="both"/>
              <w:rPr>
                <w:b/>
                <w:bCs/>
                <w:sz w:val="21"/>
                <w:szCs w:val="21"/>
              </w:rPr>
            </w:pPr>
            <w:r>
              <w:rPr>
                <w:b/>
                <w:bCs/>
                <w:sz w:val="21"/>
                <w:szCs w:val="21"/>
              </w:rPr>
              <w:t xml:space="preserve">Notes: </w:t>
            </w:r>
          </w:p>
          <w:p w14:paraId="2BCCB041" w14:textId="77777777" w:rsidR="00824892" w:rsidRDefault="00824892" w:rsidP="00824892">
            <w:pPr>
              <w:jc w:val="both"/>
              <w:rPr>
                <w:sz w:val="21"/>
                <w:szCs w:val="21"/>
              </w:rPr>
            </w:pPr>
            <w:r>
              <w:rPr>
                <w:sz w:val="21"/>
                <w:szCs w:val="21"/>
              </w:rPr>
              <w:t xml:space="preserve">(W) denotes the within-cluster effect and (B) the between-cluster effect of the respective variable. The terms involved in the hypotheses are </w:t>
            </w:r>
            <w:r>
              <w:rPr>
                <w:b/>
                <w:bCs/>
                <w:sz w:val="21"/>
                <w:szCs w:val="21"/>
              </w:rPr>
              <w:t>bolded</w:t>
            </w:r>
            <w:r>
              <w:rPr>
                <w:sz w:val="21"/>
                <w:szCs w:val="21"/>
              </w:rPr>
              <w:t>.</w:t>
            </w:r>
          </w:p>
          <w:p w14:paraId="6692765E" w14:textId="77777777" w:rsidR="00824892" w:rsidRDefault="00824892" w:rsidP="00824892">
            <w:pPr>
              <w:jc w:val="both"/>
              <w:rPr>
                <w:sz w:val="21"/>
                <w:szCs w:val="21"/>
              </w:rPr>
            </w:pPr>
            <w:r>
              <w:rPr>
                <w:sz w:val="21"/>
                <w:szCs w:val="21"/>
              </w:rPr>
              <w:t>* p &lt; 0.10, ** p &lt; 0.05, *** p &lt; 0.01</w:t>
            </w:r>
          </w:p>
        </w:tc>
      </w:tr>
    </w:tbl>
    <w:p w14:paraId="29B73BE2" w14:textId="77777777" w:rsidR="00957269" w:rsidRDefault="00957269">
      <w:pPr>
        <w:pBdr>
          <w:top w:val="nil"/>
          <w:left w:val="nil"/>
          <w:bottom w:val="nil"/>
          <w:right w:val="nil"/>
          <w:between w:val="nil"/>
        </w:pBdr>
        <w:rPr>
          <w:i/>
          <w:iCs/>
          <w:sz w:val="22"/>
          <w:szCs w:val="22"/>
        </w:rPr>
      </w:pPr>
    </w:p>
    <w:p w14:paraId="758112A2" w14:textId="5580130A" w:rsidR="00957269" w:rsidRDefault="00000000">
      <w:pPr>
        <w:pBdr>
          <w:top w:val="nil"/>
          <w:left w:val="nil"/>
          <w:bottom w:val="nil"/>
          <w:right w:val="nil"/>
          <w:between w:val="nil"/>
        </w:pBdr>
        <w:jc w:val="both"/>
      </w:pPr>
      <w:r>
        <w:rPr>
          <w:b/>
          <w:bCs/>
        </w:rPr>
        <w:tab/>
      </w:r>
      <w:r>
        <w:t>Model (3) includes the factory-level variables</w:t>
      </w:r>
      <w:r w:rsidR="00824892">
        <w:rPr>
          <w:rStyle w:val="FootnoteReference"/>
        </w:rPr>
        <w:footnoteReference w:id="1"/>
      </w:r>
      <w:r>
        <w:t xml:space="preserve">, while in Model (4), the supplier-level variables are added. Model (5) adds a set of dummies corresponding to the country of origin (or HQs) of the </w:t>
      </w:r>
      <w:r>
        <w:rPr>
          <w:i/>
          <w:iCs/>
        </w:rPr>
        <w:t>supplier</w:t>
      </w:r>
      <w:r>
        <w:t>. However, the likelihood ratio test marginally fails to reject the null hypothesis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d>
          <m:dPr>
            <m:ctrlPr>
              <w:rPr>
                <w:rFonts w:ascii="Cambria Math" w:eastAsia="Cambria Math" w:hAnsi="Cambria Math" w:cs="Cambria Math"/>
              </w:rPr>
            </m:ctrlPr>
          </m:dPr>
          <m:e>
            <m:r>
              <w:rPr>
                <w:rFonts w:ascii="Cambria Math" w:eastAsia="Cambria Math" w:hAnsi="Cambria Math" w:cs="Cambria Math"/>
              </w:rPr>
              <m:t>33</m:t>
            </m:r>
          </m:e>
        </m:d>
        <m:r>
          <w:rPr>
            <w:rFonts w:ascii="Cambria Math" w:eastAsia="Cambria Math" w:hAnsi="Cambria Math" w:cs="Cambria Math"/>
          </w:rPr>
          <m:t>=43.03,p</m:t>
        </m:r>
      </m:oMath>
      <w:r>
        <w:t>-value = 0.11), suggesting that there is no sufficient statistical evidence that the additional variables (i.e., the set of country dummies) jointly explain variation in the dependent variable. The results are virtually identical, but in what follows, we interpret the coefficients of the more parsimonious Model (4).</w:t>
      </w:r>
    </w:p>
    <w:p w14:paraId="73B4C044" w14:textId="206A6104" w:rsidR="00957269" w:rsidRDefault="00000000">
      <w:pPr>
        <w:pBdr>
          <w:top w:val="nil"/>
          <w:left w:val="nil"/>
          <w:bottom w:val="nil"/>
          <w:right w:val="nil"/>
          <w:between w:val="nil"/>
        </w:pBdr>
        <w:jc w:val="both"/>
      </w:pPr>
      <w:r>
        <w:tab/>
        <w:t xml:space="preserve">It is worth </w:t>
      </w:r>
      <w:r w:rsidR="00676C52">
        <w:t>restating</w:t>
      </w:r>
      <w:r>
        <w:t xml:space="preserve"> that our hypotheses are concerned with between-cluster effects. Nevertheless, we detail the interpretation of the coefficients of the model using the control variable </w:t>
      </w:r>
      <w:r>
        <w:rPr>
          <w:i/>
          <w:iCs/>
        </w:rPr>
        <w:t xml:space="preserve">fraction of line workers </w:t>
      </w:r>
      <w:r>
        <w:t xml:space="preserve">(i.e., labour intensity) that varies year-on-year for each factory (i.e., within-cluster) as an example. The coefficient of the mean-centred term (denoted with </w:t>
      </w:r>
      <w:r>
        <w:lastRenderedPageBreak/>
        <w:t xml:space="preserve">(W)) is negative and statistically significant at the 10% level in all Models, suggesting that, on average, as labour intensity of a given factory increases over time, the fraction of female workers decreases, </w:t>
      </w:r>
      <w:r>
        <w:rPr>
          <w:i/>
          <w:iCs/>
        </w:rPr>
        <w:t>ceteris paribus</w:t>
      </w:r>
      <w:r>
        <w:rPr>
          <w:i/>
          <w:iCs/>
          <w:vertAlign w:val="superscript"/>
        </w:rPr>
        <w:footnoteReference w:id="2"/>
      </w:r>
      <w:r>
        <w:t xml:space="preserve">. On the other hand, the coefficient of its cluster mean (i.e., the factory-specific average of </w:t>
      </w:r>
      <w:r>
        <w:rPr>
          <w:i/>
          <w:iCs/>
        </w:rPr>
        <w:t>fraction of line workers</w:t>
      </w:r>
      <w:r>
        <w:t xml:space="preserve"> over 2019-2023) is positive and strongly statistically significant, suggesting that factories of higher labour intensity employ more females, holding all other variables fixed</w:t>
      </w:r>
      <w:r>
        <w:rPr>
          <w:i/>
          <w:iCs/>
          <w:vertAlign w:val="superscript"/>
        </w:rPr>
        <w:footnoteReference w:id="3"/>
      </w:r>
      <w:r>
        <w:t xml:space="preserve">. Similar interpretations apply for the coefficients of the </w:t>
      </w:r>
      <w:r>
        <w:rPr>
          <w:i/>
          <w:iCs/>
        </w:rPr>
        <w:t>number of workers</w:t>
      </w:r>
      <w:r>
        <w:t xml:space="preserve"> and its quadratic term. The more people the factory is recruiting, proportionately more of these new recruits will be females (albeit at a decreasing rate), while larger factories also tend to employ more females, in percentage terms, than smaller ones, </w:t>
      </w:r>
      <w:r>
        <w:rPr>
          <w:i/>
          <w:iCs/>
        </w:rPr>
        <w:t>ceteris paribus</w:t>
      </w:r>
      <w:r>
        <w:t>.</w:t>
      </w:r>
    </w:p>
    <w:p w14:paraId="7840F4CC" w14:textId="77777777" w:rsidR="00957269" w:rsidRDefault="00000000">
      <w:pPr>
        <w:ind w:firstLine="720"/>
        <w:jc w:val="both"/>
        <w:rPr>
          <w:highlight w:val="white"/>
        </w:rPr>
      </w:pPr>
      <w:r>
        <w:rPr>
          <w:highlight w:val="white"/>
        </w:rPr>
        <w:t xml:space="preserve">The coefficients of the means of supplier </w:t>
      </w:r>
      <w:r>
        <w:rPr>
          <w:i/>
          <w:iCs/>
          <w:highlight w:val="white"/>
        </w:rPr>
        <w:t>prominence</w:t>
      </w:r>
      <w:r>
        <w:rPr>
          <w:highlight w:val="white"/>
        </w:rPr>
        <w:t xml:space="preserve"> and </w:t>
      </w:r>
      <w:r>
        <w:rPr>
          <w:i/>
          <w:iCs/>
          <w:highlight w:val="white"/>
        </w:rPr>
        <w:t>geographical dispersion</w:t>
      </w:r>
      <w:r>
        <w:rPr>
          <w:highlight w:val="white"/>
        </w:rPr>
        <w:t xml:space="preserve"> are strongly statistically significant and of the expected sign, providing support for H2 and H3; more prominent suppliers (i.e., those owning a larger number of factories) tend to employ more females in their factories, while more geographically dispersed suppliers (i.e., those operating factories in a larger number of countries) tend to employ fewer females. Specifically, when comparing two suppliers where the first one owns one more factory than the second, Model (4) suggests that, on average, the first one will employ approximately 2 percentage points more females. On the other hand, a supplier operating factories in one more country than another supplier, is expected to employ 6 percentage points fewer females in its factories, on average. The analysis also offers strong support for H1, since the between-factory effect of product complexity is negative and statistically significant. The precise interpretation of the respective coefficient of Model (4) is the following (see </w:t>
      </w:r>
      <w:proofErr w:type="spellStart"/>
      <w:r>
        <w:rPr>
          <w:highlight w:val="white"/>
        </w:rPr>
        <w:t>Yaremych</w:t>
      </w:r>
      <w:proofErr w:type="spellEnd"/>
      <w:r>
        <w:rPr>
          <w:highlight w:val="white"/>
        </w:rPr>
        <w:t xml:space="preserve"> et al., 2023): on average, a supplier who only operates factories of higher product complexity (i.e., footwear and/or sports equipment) is predicted to employ </w:t>
      </w:r>
      <w:r>
        <w:rPr>
          <w:i/>
          <w:iCs/>
          <w:highlight w:val="white"/>
        </w:rPr>
        <w:t xml:space="preserve">fewer </w:t>
      </w:r>
      <w:r>
        <w:rPr>
          <w:highlight w:val="white"/>
        </w:rPr>
        <w:t>females, by approximately 10 percentage points, than a supplier who only operates factories of lower complexity (i.e., apparel), holding all other variables fixed.</w:t>
      </w:r>
    </w:p>
    <w:p w14:paraId="6EFC3F4D" w14:textId="77777777" w:rsidR="00957269" w:rsidRDefault="00000000">
      <w:pPr>
        <w:pBdr>
          <w:top w:val="nil"/>
          <w:left w:val="nil"/>
          <w:bottom w:val="nil"/>
          <w:right w:val="nil"/>
          <w:between w:val="nil"/>
        </w:pBdr>
        <w:jc w:val="both"/>
      </w:pPr>
      <w:r>
        <w:tab/>
      </w:r>
    </w:p>
    <w:p w14:paraId="5E155D4A" w14:textId="77777777" w:rsidR="00957269" w:rsidRDefault="00000000">
      <w:pPr>
        <w:jc w:val="center"/>
      </w:pPr>
      <w:r>
        <w:rPr>
          <w:b/>
          <w:bCs/>
        </w:rPr>
        <w:t>Table 4</w:t>
      </w:r>
      <w:r>
        <w:t xml:space="preserve"> Results from the RE models when adding the country-level variables </w:t>
      </w:r>
    </w:p>
    <w:tbl>
      <w:tblPr>
        <w:tblStyle w:val="a2"/>
        <w:tblW w:w="901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5"/>
        <w:gridCol w:w="2127"/>
        <w:gridCol w:w="2126"/>
        <w:gridCol w:w="1928"/>
      </w:tblGrid>
      <w:tr w:rsidR="00957269" w14:paraId="437356A6" w14:textId="77777777" w:rsidTr="00EF5B30">
        <w:tc>
          <w:tcPr>
            <w:tcW w:w="2835" w:type="dxa"/>
            <w:tcBorders>
              <w:top w:val="single" w:sz="4" w:space="0" w:color="000000"/>
              <w:bottom w:val="single" w:sz="4" w:space="0" w:color="000000"/>
            </w:tcBorders>
          </w:tcPr>
          <w:p w14:paraId="74A8C482" w14:textId="77777777" w:rsidR="00957269" w:rsidRDefault="00957269">
            <w:pPr>
              <w:jc w:val="center"/>
              <w:rPr>
                <w:b/>
                <w:bCs/>
                <w:sz w:val="21"/>
                <w:szCs w:val="21"/>
              </w:rPr>
            </w:pPr>
          </w:p>
        </w:tc>
        <w:tc>
          <w:tcPr>
            <w:tcW w:w="2127" w:type="dxa"/>
            <w:tcBorders>
              <w:top w:val="single" w:sz="4" w:space="0" w:color="000000"/>
              <w:bottom w:val="single" w:sz="4" w:space="0" w:color="000000"/>
            </w:tcBorders>
          </w:tcPr>
          <w:p w14:paraId="0987AD42" w14:textId="77777777" w:rsidR="00957269" w:rsidRDefault="00000000">
            <w:pPr>
              <w:jc w:val="center"/>
              <w:rPr>
                <w:b/>
                <w:bCs/>
                <w:sz w:val="21"/>
                <w:szCs w:val="21"/>
              </w:rPr>
            </w:pPr>
            <w:r>
              <w:rPr>
                <w:b/>
                <w:bCs/>
                <w:sz w:val="21"/>
                <w:szCs w:val="21"/>
              </w:rPr>
              <w:t>Model (6)</w:t>
            </w:r>
          </w:p>
        </w:tc>
        <w:tc>
          <w:tcPr>
            <w:tcW w:w="2126" w:type="dxa"/>
            <w:tcBorders>
              <w:top w:val="single" w:sz="4" w:space="0" w:color="000000"/>
              <w:bottom w:val="single" w:sz="4" w:space="0" w:color="000000"/>
            </w:tcBorders>
          </w:tcPr>
          <w:p w14:paraId="350E8489" w14:textId="77777777" w:rsidR="00957269" w:rsidRDefault="00000000">
            <w:pPr>
              <w:jc w:val="center"/>
              <w:rPr>
                <w:b/>
                <w:bCs/>
                <w:sz w:val="21"/>
                <w:szCs w:val="21"/>
              </w:rPr>
            </w:pPr>
            <w:r>
              <w:rPr>
                <w:b/>
                <w:bCs/>
                <w:sz w:val="21"/>
                <w:szCs w:val="21"/>
              </w:rPr>
              <w:t>Model (7)</w:t>
            </w:r>
          </w:p>
        </w:tc>
        <w:tc>
          <w:tcPr>
            <w:tcW w:w="1928" w:type="dxa"/>
            <w:tcBorders>
              <w:top w:val="single" w:sz="4" w:space="0" w:color="000000"/>
              <w:bottom w:val="single" w:sz="4" w:space="0" w:color="000000"/>
            </w:tcBorders>
          </w:tcPr>
          <w:p w14:paraId="08FF4128" w14:textId="77777777" w:rsidR="00957269" w:rsidRDefault="00000000">
            <w:pPr>
              <w:jc w:val="center"/>
              <w:rPr>
                <w:b/>
                <w:bCs/>
                <w:sz w:val="21"/>
                <w:szCs w:val="21"/>
              </w:rPr>
            </w:pPr>
            <w:r>
              <w:rPr>
                <w:b/>
                <w:bCs/>
                <w:sz w:val="21"/>
                <w:szCs w:val="21"/>
              </w:rPr>
              <w:t>Model (8)</w:t>
            </w:r>
          </w:p>
        </w:tc>
      </w:tr>
      <w:tr w:rsidR="00957269" w14:paraId="0B3C3A51" w14:textId="77777777" w:rsidTr="00EF5B30">
        <w:tc>
          <w:tcPr>
            <w:tcW w:w="2835" w:type="dxa"/>
            <w:tcBorders>
              <w:top w:val="single" w:sz="4" w:space="0" w:color="000000"/>
              <w:bottom w:val="single" w:sz="4" w:space="0" w:color="000000"/>
            </w:tcBorders>
          </w:tcPr>
          <w:p w14:paraId="3AD00435" w14:textId="77777777" w:rsidR="00957269" w:rsidRDefault="00000000">
            <w:pPr>
              <w:jc w:val="center"/>
              <w:rPr>
                <w:b/>
                <w:bCs/>
                <w:sz w:val="21"/>
                <w:szCs w:val="21"/>
              </w:rPr>
            </w:pPr>
            <w:r>
              <w:rPr>
                <w:b/>
                <w:bCs/>
                <w:sz w:val="21"/>
                <w:szCs w:val="21"/>
              </w:rPr>
              <w:t>VARIABLES</w:t>
            </w:r>
          </w:p>
        </w:tc>
        <w:tc>
          <w:tcPr>
            <w:tcW w:w="2127" w:type="dxa"/>
            <w:tcBorders>
              <w:top w:val="single" w:sz="4" w:space="0" w:color="000000"/>
            </w:tcBorders>
          </w:tcPr>
          <w:p w14:paraId="593E404A" w14:textId="77777777" w:rsidR="00957269" w:rsidRDefault="00957269">
            <w:pPr>
              <w:jc w:val="center"/>
              <w:rPr>
                <w:b/>
                <w:bCs/>
                <w:sz w:val="21"/>
                <w:szCs w:val="21"/>
              </w:rPr>
            </w:pPr>
          </w:p>
        </w:tc>
        <w:tc>
          <w:tcPr>
            <w:tcW w:w="2126" w:type="dxa"/>
            <w:tcBorders>
              <w:top w:val="single" w:sz="4" w:space="0" w:color="000000"/>
            </w:tcBorders>
          </w:tcPr>
          <w:p w14:paraId="44354B52" w14:textId="77777777" w:rsidR="00957269" w:rsidRDefault="00957269">
            <w:pPr>
              <w:jc w:val="center"/>
              <w:rPr>
                <w:b/>
                <w:bCs/>
                <w:sz w:val="21"/>
                <w:szCs w:val="21"/>
              </w:rPr>
            </w:pPr>
          </w:p>
        </w:tc>
        <w:tc>
          <w:tcPr>
            <w:tcW w:w="1928" w:type="dxa"/>
            <w:tcBorders>
              <w:top w:val="single" w:sz="4" w:space="0" w:color="000000"/>
            </w:tcBorders>
          </w:tcPr>
          <w:p w14:paraId="4B976CF8" w14:textId="77777777" w:rsidR="00957269" w:rsidRDefault="00957269">
            <w:pPr>
              <w:jc w:val="center"/>
              <w:rPr>
                <w:b/>
                <w:bCs/>
                <w:sz w:val="21"/>
                <w:szCs w:val="21"/>
              </w:rPr>
            </w:pPr>
          </w:p>
        </w:tc>
      </w:tr>
      <w:tr w:rsidR="00957269" w14:paraId="70930F48" w14:textId="77777777" w:rsidTr="00EF5B30">
        <w:tc>
          <w:tcPr>
            <w:tcW w:w="2835" w:type="dxa"/>
            <w:tcBorders>
              <w:top w:val="single" w:sz="4" w:space="0" w:color="000000"/>
            </w:tcBorders>
          </w:tcPr>
          <w:p w14:paraId="2095EF33" w14:textId="77777777" w:rsidR="00957269" w:rsidRDefault="00000000">
            <w:pPr>
              <w:rPr>
                <w:i/>
                <w:iCs/>
                <w:sz w:val="21"/>
                <w:szCs w:val="21"/>
                <w:u w:val="single"/>
              </w:rPr>
            </w:pPr>
            <w:r>
              <w:rPr>
                <w:i/>
                <w:iCs/>
                <w:sz w:val="21"/>
                <w:szCs w:val="21"/>
                <w:u w:val="single"/>
              </w:rPr>
              <w:t>Time effects (base: 2020)</w:t>
            </w:r>
          </w:p>
        </w:tc>
        <w:tc>
          <w:tcPr>
            <w:tcW w:w="2127" w:type="dxa"/>
          </w:tcPr>
          <w:p w14:paraId="33062CBA" w14:textId="77777777" w:rsidR="00957269" w:rsidRDefault="00957269">
            <w:pPr>
              <w:jc w:val="center"/>
              <w:rPr>
                <w:b/>
                <w:bCs/>
                <w:sz w:val="21"/>
                <w:szCs w:val="21"/>
              </w:rPr>
            </w:pPr>
          </w:p>
        </w:tc>
        <w:tc>
          <w:tcPr>
            <w:tcW w:w="2126" w:type="dxa"/>
          </w:tcPr>
          <w:p w14:paraId="0EEEB410" w14:textId="77777777" w:rsidR="00957269" w:rsidRDefault="00957269">
            <w:pPr>
              <w:jc w:val="center"/>
              <w:rPr>
                <w:b/>
                <w:bCs/>
                <w:sz w:val="21"/>
                <w:szCs w:val="21"/>
              </w:rPr>
            </w:pPr>
          </w:p>
        </w:tc>
        <w:tc>
          <w:tcPr>
            <w:tcW w:w="1928" w:type="dxa"/>
          </w:tcPr>
          <w:p w14:paraId="767E9124" w14:textId="77777777" w:rsidR="00957269" w:rsidRDefault="00957269">
            <w:pPr>
              <w:jc w:val="center"/>
              <w:rPr>
                <w:b/>
                <w:bCs/>
                <w:sz w:val="21"/>
                <w:szCs w:val="21"/>
              </w:rPr>
            </w:pPr>
          </w:p>
        </w:tc>
      </w:tr>
      <w:tr w:rsidR="00957269" w14:paraId="5C9E88DE" w14:textId="77777777" w:rsidTr="00EF5B30">
        <w:tc>
          <w:tcPr>
            <w:tcW w:w="2835" w:type="dxa"/>
          </w:tcPr>
          <w:p w14:paraId="54BE2B13" w14:textId="77777777" w:rsidR="00957269" w:rsidRDefault="00000000">
            <w:pPr>
              <w:rPr>
                <w:sz w:val="21"/>
                <w:szCs w:val="21"/>
              </w:rPr>
            </w:pPr>
            <w:r>
              <w:rPr>
                <w:sz w:val="21"/>
                <w:szCs w:val="21"/>
              </w:rPr>
              <w:t>2021</w:t>
            </w:r>
          </w:p>
        </w:tc>
        <w:tc>
          <w:tcPr>
            <w:tcW w:w="2127" w:type="dxa"/>
          </w:tcPr>
          <w:p w14:paraId="1E8763BA" w14:textId="77777777" w:rsidR="00957269" w:rsidRDefault="00000000">
            <w:pPr>
              <w:jc w:val="center"/>
              <w:rPr>
                <w:sz w:val="21"/>
                <w:szCs w:val="21"/>
              </w:rPr>
            </w:pPr>
            <w:r>
              <w:rPr>
                <w:sz w:val="21"/>
                <w:szCs w:val="21"/>
              </w:rPr>
              <w:t>.01042*</w:t>
            </w:r>
          </w:p>
          <w:p w14:paraId="4B0998A8" w14:textId="77777777" w:rsidR="00957269" w:rsidRDefault="00000000">
            <w:pPr>
              <w:jc w:val="center"/>
              <w:rPr>
                <w:sz w:val="21"/>
                <w:szCs w:val="21"/>
              </w:rPr>
            </w:pPr>
            <w:r>
              <w:rPr>
                <w:sz w:val="21"/>
                <w:szCs w:val="21"/>
              </w:rPr>
              <w:t>(.0060)</w:t>
            </w:r>
          </w:p>
        </w:tc>
        <w:tc>
          <w:tcPr>
            <w:tcW w:w="2126" w:type="dxa"/>
          </w:tcPr>
          <w:p w14:paraId="4A3246D0" w14:textId="77777777" w:rsidR="00957269" w:rsidRDefault="00000000">
            <w:pPr>
              <w:jc w:val="center"/>
              <w:rPr>
                <w:sz w:val="21"/>
                <w:szCs w:val="21"/>
              </w:rPr>
            </w:pPr>
            <w:r>
              <w:rPr>
                <w:sz w:val="21"/>
                <w:szCs w:val="21"/>
              </w:rPr>
              <w:t>.01389**</w:t>
            </w:r>
          </w:p>
          <w:p w14:paraId="05D374FB" w14:textId="77777777" w:rsidR="00957269" w:rsidRDefault="00000000">
            <w:pPr>
              <w:jc w:val="center"/>
              <w:rPr>
                <w:sz w:val="21"/>
                <w:szCs w:val="21"/>
              </w:rPr>
            </w:pPr>
            <w:r>
              <w:rPr>
                <w:sz w:val="21"/>
                <w:szCs w:val="21"/>
              </w:rPr>
              <w:t>(.0067)</w:t>
            </w:r>
          </w:p>
        </w:tc>
        <w:tc>
          <w:tcPr>
            <w:tcW w:w="1928" w:type="dxa"/>
          </w:tcPr>
          <w:p w14:paraId="1C3B6560" w14:textId="77777777" w:rsidR="00957269" w:rsidRDefault="00000000">
            <w:pPr>
              <w:jc w:val="center"/>
              <w:rPr>
                <w:sz w:val="21"/>
                <w:szCs w:val="21"/>
              </w:rPr>
            </w:pPr>
            <w:r>
              <w:rPr>
                <w:sz w:val="21"/>
                <w:szCs w:val="21"/>
              </w:rPr>
              <w:t>.01182*</w:t>
            </w:r>
          </w:p>
          <w:p w14:paraId="2DACE373" w14:textId="77777777" w:rsidR="00957269" w:rsidRDefault="00000000">
            <w:pPr>
              <w:jc w:val="center"/>
              <w:rPr>
                <w:sz w:val="21"/>
                <w:szCs w:val="21"/>
              </w:rPr>
            </w:pPr>
            <w:r>
              <w:rPr>
                <w:sz w:val="21"/>
                <w:szCs w:val="21"/>
              </w:rPr>
              <w:t>(.0071)</w:t>
            </w:r>
          </w:p>
        </w:tc>
      </w:tr>
      <w:tr w:rsidR="00957269" w14:paraId="372FA20D" w14:textId="77777777" w:rsidTr="00EF5B30">
        <w:tc>
          <w:tcPr>
            <w:tcW w:w="2835" w:type="dxa"/>
          </w:tcPr>
          <w:p w14:paraId="48F5A189" w14:textId="77777777" w:rsidR="00957269" w:rsidRDefault="00000000">
            <w:pPr>
              <w:rPr>
                <w:sz w:val="21"/>
                <w:szCs w:val="21"/>
              </w:rPr>
            </w:pPr>
            <w:r>
              <w:rPr>
                <w:sz w:val="21"/>
                <w:szCs w:val="21"/>
              </w:rPr>
              <w:t>2022</w:t>
            </w:r>
          </w:p>
        </w:tc>
        <w:tc>
          <w:tcPr>
            <w:tcW w:w="2127" w:type="dxa"/>
          </w:tcPr>
          <w:p w14:paraId="1242EC66" w14:textId="77777777" w:rsidR="00957269" w:rsidRDefault="00000000">
            <w:pPr>
              <w:jc w:val="center"/>
              <w:rPr>
                <w:sz w:val="21"/>
                <w:szCs w:val="21"/>
              </w:rPr>
            </w:pPr>
            <w:r>
              <w:rPr>
                <w:sz w:val="21"/>
                <w:szCs w:val="21"/>
              </w:rPr>
              <w:t>.02370***</w:t>
            </w:r>
          </w:p>
          <w:p w14:paraId="2C73C08D" w14:textId="77777777" w:rsidR="00957269" w:rsidRDefault="00000000">
            <w:pPr>
              <w:jc w:val="center"/>
              <w:rPr>
                <w:sz w:val="21"/>
                <w:szCs w:val="21"/>
              </w:rPr>
            </w:pPr>
            <w:r>
              <w:rPr>
                <w:sz w:val="21"/>
                <w:szCs w:val="21"/>
              </w:rPr>
              <w:t>(.0060)</w:t>
            </w:r>
          </w:p>
        </w:tc>
        <w:tc>
          <w:tcPr>
            <w:tcW w:w="2126" w:type="dxa"/>
          </w:tcPr>
          <w:p w14:paraId="6FAE9D3D" w14:textId="77777777" w:rsidR="00957269" w:rsidRDefault="00000000">
            <w:pPr>
              <w:jc w:val="center"/>
              <w:rPr>
                <w:sz w:val="21"/>
                <w:szCs w:val="21"/>
              </w:rPr>
            </w:pPr>
            <w:r>
              <w:rPr>
                <w:sz w:val="21"/>
                <w:szCs w:val="21"/>
              </w:rPr>
              <w:t>.02695***</w:t>
            </w:r>
          </w:p>
          <w:p w14:paraId="18D319F5" w14:textId="77777777" w:rsidR="00957269" w:rsidRDefault="00000000">
            <w:pPr>
              <w:jc w:val="center"/>
              <w:rPr>
                <w:sz w:val="21"/>
                <w:szCs w:val="21"/>
              </w:rPr>
            </w:pPr>
            <w:r>
              <w:rPr>
                <w:sz w:val="21"/>
                <w:szCs w:val="21"/>
              </w:rPr>
              <w:t>(.0070)</w:t>
            </w:r>
          </w:p>
        </w:tc>
        <w:tc>
          <w:tcPr>
            <w:tcW w:w="1928" w:type="dxa"/>
          </w:tcPr>
          <w:p w14:paraId="75979BF3" w14:textId="77777777" w:rsidR="00957269" w:rsidRDefault="00000000">
            <w:pPr>
              <w:jc w:val="center"/>
              <w:rPr>
                <w:sz w:val="21"/>
                <w:szCs w:val="21"/>
              </w:rPr>
            </w:pPr>
            <w:r>
              <w:rPr>
                <w:sz w:val="21"/>
                <w:szCs w:val="21"/>
              </w:rPr>
              <w:t>.02532***</w:t>
            </w:r>
          </w:p>
          <w:p w14:paraId="5446B236" w14:textId="77777777" w:rsidR="00957269" w:rsidRDefault="00000000">
            <w:pPr>
              <w:jc w:val="center"/>
              <w:rPr>
                <w:sz w:val="21"/>
                <w:szCs w:val="21"/>
              </w:rPr>
            </w:pPr>
            <w:r>
              <w:rPr>
                <w:sz w:val="21"/>
                <w:szCs w:val="21"/>
              </w:rPr>
              <w:t>(.0074)</w:t>
            </w:r>
          </w:p>
        </w:tc>
      </w:tr>
      <w:tr w:rsidR="00957269" w14:paraId="64C23F37" w14:textId="77777777" w:rsidTr="00EF5B30">
        <w:tc>
          <w:tcPr>
            <w:tcW w:w="2835" w:type="dxa"/>
          </w:tcPr>
          <w:p w14:paraId="39689DCC" w14:textId="77777777" w:rsidR="00957269" w:rsidRDefault="00000000">
            <w:pPr>
              <w:rPr>
                <w:sz w:val="21"/>
                <w:szCs w:val="21"/>
              </w:rPr>
            </w:pPr>
            <w:r>
              <w:rPr>
                <w:sz w:val="21"/>
                <w:szCs w:val="21"/>
              </w:rPr>
              <w:t>2023</w:t>
            </w:r>
          </w:p>
        </w:tc>
        <w:tc>
          <w:tcPr>
            <w:tcW w:w="2127" w:type="dxa"/>
          </w:tcPr>
          <w:p w14:paraId="7D7A631D" w14:textId="77777777" w:rsidR="00957269" w:rsidRDefault="00000000">
            <w:pPr>
              <w:jc w:val="center"/>
              <w:rPr>
                <w:sz w:val="21"/>
                <w:szCs w:val="21"/>
              </w:rPr>
            </w:pPr>
            <w:r>
              <w:rPr>
                <w:sz w:val="21"/>
                <w:szCs w:val="21"/>
              </w:rPr>
              <w:t>.01685***</w:t>
            </w:r>
          </w:p>
          <w:p w14:paraId="5B393EBA" w14:textId="77777777" w:rsidR="00957269" w:rsidRDefault="00000000">
            <w:pPr>
              <w:jc w:val="center"/>
              <w:rPr>
                <w:sz w:val="21"/>
                <w:szCs w:val="21"/>
              </w:rPr>
            </w:pPr>
            <w:r>
              <w:rPr>
                <w:sz w:val="21"/>
                <w:szCs w:val="21"/>
              </w:rPr>
              <w:t>(.0061)</w:t>
            </w:r>
          </w:p>
        </w:tc>
        <w:tc>
          <w:tcPr>
            <w:tcW w:w="2126" w:type="dxa"/>
          </w:tcPr>
          <w:p w14:paraId="3E2854B0" w14:textId="77777777" w:rsidR="00957269" w:rsidRDefault="00000000">
            <w:pPr>
              <w:jc w:val="center"/>
              <w:rPr>
                <w:sz w:val="21"/>
                <w:szCs w:val="21"/>
              </w:rPr>
            </w:pPr>
            <w:r>
              <w:rPr>
                <w:sz w:val="21"/>
                <w:szCs w:val="21"/>
              </w:rPr>
              <w:t>.01829**</w:t>
            </w:r>
          </w:p>
          <w:p w14:paraId="2C45CC17" w14:textId="77777777" w:rsidR="00957269" w:rsidRDefault="00000000">
            <w:pPr>
              <w:jc w:val="center"/>
              <w:rPr>
                <w:sz w:val="21"/>
                <w:szCs w:val="21"/>
              </w:rPr>
            </w:pPr>
            <w:r>
              <w:rPr>
                <w:sz w:val="21"/>
                <w:szCs w:val="21"/>
              </w:rPr>
              <w:t>(.0079)</w:t>
            </w:r>
          </w:p>
        </w:tc>
        <w:tc>
          <w:tcPr>
            <w:tcW w:w="1928" w:type="dxa"/>
          </w:tcPr>
          <w:p w14:paraId="0CB35444" w14:textId="77777777" w:rsidR="00957269" w:rsidRDefault="00000000">
            <w:pPr>
              <w:jc w:val="center"/>
              <w:rPr>
                <w:sz w:val="21"/>
                <w:szCs w:val="21"/>
              </w:rPr>
            </w:pPr>
            <w:r>
              <w:rPr>
                <w:sz w:val="21"/>
                <w:szCs w:val="21"/>
              </w:rPr>
              <w:t>.01795**</w:t>
            </w:r>
          </w:p>
          <w:p w14:paraId="56B47A3C" w14:textId="77777777" w:rsidR="00957269" w:rsidRDefault="00000000">
            <w:pPr>
              <w:jc w:val="center"/>
              <w:rPr>
                <w:sz w:val="21"/>
                <w:szCs w:val="21"/>
              </w:rPr>
            </w:pPr>
            <w:r>
              <w:rPr>
                <w:sz w:val="21"/>
                <w:szCs w:val="21"/>
              </w:rPr>
              <w:t>(.0087)</w:t>
            </w:r>
          </w:p>
        </w:tc>
      </w:tr>
      <w:tr w:rsidR="00957269" w14:paraId="5E8579F6" w14:textId="77777777" w:rsidTr="00EF5B30">
        <w:tc>
          <w:tcPr>
            <w:tcW w:w="2835" w:type="dxa"/>
          </w:tcPr>
          <w:p w14:paraId="0AFFFEA5" w14:textId="77777777" w:rsidR="00957269" w:rsidRDefault="00000000">
            <w:pPr>
              <w:rPr>
                <w:i/>
                <w:iCs/>
                <w:sz w:val="21"/>
                <w:szCs w:val="21"/>
                <w:u w:val="single"/>
              </w:rPr>
            </w:pPr>
            <w:r>
              <w:rPr>
                <w:i/>
                <w:iCs/>
                <w:sz w:val="21"/>
                <w:szCs w:val="21"/>
                <w:u w:val="single"/>
              </w:rPr>
              <w:t>Factory-level</w:t>
            </w:r>
          </w:p>
        </w:tc>
        <w:tc>
          <w:tcPr>
            <w:tcW w:w="2127" w:type="dxa"/>
          </w:tcPr>
          <w:p w14:paraId="19D8B55E" w14:textId="77777777" w:rsidR="00957269" w:rsidRDefault="00957269">
            <w:pPr>
              <w:jc w:val="center"/>
              <w:rPr>
                <w:b/>
                <w:bCs/>
                <w:sz w:val="21"/>
                <w:szCs w:val="21"/>
              </w:rPr>
            </w:pPr>
          </w:p>
        </w:tc>
        <w:tc>
          <w:tcPr>
            <w:tcW w:w="2126" w:type="dxa"/>
          </w:tcPr>
          <w:p w14:paraId="29B29E2F" w14:textId="77777777" w:rsidR="00957269" w:rsidRDefault="00957269">
            <w:pPr>
              <w:jc w:val="center"/>
              <w:rPr>
                <w:b/>
                <w:bCs/>
                <w:sz w:val="21"/>
                <w:szCs w:val="21"/>
              </w:rPr>
            </w:pPr>
          </w:p>
        </w:tc>
        <w:tc>
          <w:tcPr>
            <w:tcW w:w="1928" w:type="dxa"/>
          </w:tcPr>
          <w:p w14:paraId="446B2C0B" w14:textId="77777777" w:rsidR="00957269" w:rsidRDefault="00957269">
            <w:pPr>
              <w:jc w:val="center"/>
              <w:rPr>
                <w:b/>
                <w:bCs/>
                <w:sz w:val="21"/>
                <w:szCs w:val="21"/>
              </w:rPr>
            </w:pPr>
          </w:p>
        </w:tc>
      </w:tr>
      <w:tr w:rsidR="00957269" w14:paraId="16CDC511" w14:textId="77777777" w:rsidTr="00EF5B30">
        <w:tc>
          <w:tcPr>
            <w:tcW w:w="2835" w:type="dxa"/>
          </w:tcPr>
          <w:p w14:paraId="41A4B5A6" w14:textId="77777777" w:rsidR="00957269" w:rsidRDefault="00000000">
            <w:pPr>
              <w:rPr>
                <w:sz w:val="21"/>
                <w:szCs w:val="21"/>
              </w:rPr>
            </w:pPr>
            <w:r>
              <w:rPr>
                <w:i/>
                <w:iCs/>
                <w:sz w:val="21"/>
                <w:szCs w:val="21"/>
              </w:rPr>
              <w:t>ln</w:t>
            </w:r>
            <w:r>
              <w:rPr>
                <w:sz w:val="21"/>
                <w:szCs w:val="21"/>
              </w:rPr>
              <w:t>(№ of workers) (W)</w:t>
            </w:r>
          </w:p>
        </w:tc>
        <w:tc>
          <w:tcPr>
            <w:tcW w:w="2127" w:type="dxa"/>
          </w:tcPr>
          <w:p w14:paraId="66D96EA1" w14:textId="77777777" w:rsidR="00957269" w:rsidRDefault="00000000">
            <w:pPr>
              <w:jc w:val="center"/>
              <w:rPr>
                <w:sz w:val="21"/>
                <w:szCs w:val="21"/>
              </w:rPr>
            </w:pPr>
            <w:r>
              <w:rPr>
                <w:sz w:val="21"/>
                <w:szCs w:val="21"/>
              </w:rPr>
              <w:t>.12551***</w:t>
            </w:r>
          </w:p>
          <w:p w14:paraId="3E7601B6" w14:textId="77777777" w:rsidR="00957269" w:rsidRDefault="00000000">
            <w:pPr>
              <w:jc w:val="center"/>
              <w:rPr>
                <w:sz w:val="21"/>
                <w:szCs w:val="21"/>
              </w:rPr>
            </w:pPr>
            <w:r>
              <w:rPr>
                <w:sz w:val="21"/>
                <w:szCs w:val="21"/>
              </w:rPr>
              <w:t>(.0172)</w:t>
            </w:r>
          </w:p>
        </w:tc>
        <w:tc>
          <w:tcPr>
            <w:tcW w:w="2126" w:type="dxa"/>
          </w:tcPr>
          <w:p w14:paraId="502C7A2F" w14:textId="77777777" w:rsidR="00957269" w:rsidRDefault="00000000">
            <w:pPr>
              <w:jc w:val="center"/>
              <w:rPr>
                <w:sz w:val="21"/>
                <w:szCs w:val="21"/>
              </w:rPr>
            </w:pPr>
            <w:r>
              <w:rPr>
                <w:sz w:val="21"/>
                <w:szCs w:val="21"/>
              </w:rPr>
              <w:t>.11930***</w:t>
            </w:r>
          </w:p>
          <w:p w14:paraId="55583976" w14:textId="77777777" w:rsidR="00957269" w:rsidRDefault="00000000">
            <w:pPr>
              <w:jc w:val="center"/>
              <w:rPr>
                <w:sz w:val="21"/>
                <w:szCs w:val="21"/>
              </w:rPr>
            </w:pPr>
            <w:r>
              <w:rPr>
                <w:sz w:val="21"/>
                <w:szCs w:val="21"/>
              </w:rPr>
              <w:t>(.0174)</w:t>
            </w:r>
          </w:p>
        </w:tc>
        <w:tc>
          <w:tcPr>
            <w:tcW w:w="1928" w:type="dxa"/>
          </w:tcPr>
          <w:p w14:paraId="34A13C49" w14:textId="77777777" w:rsidR="00957269" w:rsidRDefault="00000000">
            <w:pPr>
              <w:jc w:val="center"/>
              <w:rPr>
                <w:sz w:val="21"/>
                <w:szCs w:val="21"/>
              </w:rPr>
            </w:pPr>
            <w:r>
              <w:rPr>
                <w:sz w:val="21"/>
                <w:szCs w:val="21"/>
              </w:rPr>
              <w:t>.12577***</w:t>
            </w:r>
          </w:p>
          <w:p w14:paraId="28927CE2" w14:textId="77777777" w:rsidR="00957269" w:rsidRDefault="00000000">
            <w:pPr>
              <w:jc w:val="center"/>
              <w:rPr>
                <w:sz w:val="21"/>
                <w:szCs w:val="21"/>
              </w:rPr>
            </w:pPr>
            <w:r>
              <w:rPr>
                <w:sz w:val="21"/>
                <w:szCs w:val="21"/>
              </w:rPr>
              <w:t>(.0171)</w:t>
            </w:r>
          </w:p>
        </w:tc>
      </w:tr>
      <w:tr w:rsidR="00957269" w14:paraId="754DDE40" w14:textId="77777777" w:rsidTr="00EF5B30">
        <w:tc>
          <w:tcPr>
            <w:tcW w:w="2835" w:type="dxa"/>
          </w:tcPr>
          <w:p w14:paraId="6F0DE448"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(W)</w:t>
            </w:r>
          </w:p>
        </w:tc>
        <w:tc>
          <w:tcPr>
            <w:tcW w:w="2127" w:type="dxa"/>
          </w:tcPr>
          <w:p w14:paraId="02FB8676" w14:textId="77777777" w:rsidR="00957269" w:rsidRDefault="00000000">
            <w:pPr>
              <w:jc w:val="center"/>
              <w:rPr>
                <w:sz w:val="21"/>
                <w:szCs w:val="21"/>
              </w:rPr>
            </w:pPr>
            <w:r>
              <w:rPr>
                <w:sz w:val="21"/>
                <w:szCs w:val="21"/>
              </w:rPr>
              <w:t>-.00894***</w:t>
            </w:r>
          </w:p>
          <w:p w14:paraId="06620A5A" w14:textId="77777777" w:rsidR="00957269" w:rsidRDefault="00000000">
            <w:pPr>
              <w:jc w:val="center"/>
              <w:rPr>
                <w:sz w:val="21"/>
                <w:szCs w:val="21"/>
              </w:rPr>
            </w:pPr>
            <w:r>
              <w:rPr>
                <w:sz w:val="21"/>
                <w:szCs w:val="21"/>
              </w:rPr>
              <w:t>(.0015)</w:t>
            </w:r>
          </w:p>
        </w:tc>
        <w:tc>
          <w:tcPr>
            <w:tcW w:w="2126" w:type="dxa"/>
          </w:tcPr>
          <w:p w14:paraId="7A33DBFC" w14:textId="77777777" w:rsidR="00957269" w:rsidRDefault="00000000">
            <w:pPr>
              <w:jc w:val="center"/>
              <w:rPr>
                <w:sz w:val="21"/>
                <w:szCs w:val="21"/>
              </w:rPr>
            </w:pPr>
            <w:r>
              <w:rPr>
                <w:sz w:val="21"/>
                <w:szCs w:val="21"/>
              </w:rPr>
              <w:t>-.00890***</w:t>
            </w:r>
          </w:p>
          <w:p w14:paraId="328B59B6" w14:textId="77777777" w:rsidR="00957269" w:rsidRDefault="00000000">
            <w:pPr>
              <w:jc w:val="center"/>
              <w:rPr>
                <w:sz w:val="21"/>
                <w:szCs w:val="21"/>
              </w:rPr>
            </w:pPr>
            <w:r>
              <w:rPr>
                <w:sz w:val="21"/>
                <w:szCs w:val="21"/>
              </w:rPr>
              <w:t>(.0015)</w:t>
            </w:r>
          </w:p>
        </w:tc>
        <w:tc>
          <w:tcPr>
            <w:tcW w:w="1928" w:type="dxa"/>
          </w:tcPr>
          <w:p w14:paraId="26FD5989" w14:textId="77777777" w:rsidR="00957269" w:rsidRDefault="00000000">
            <w:pPr>
              <w:jc w:val="center"/>
              <w:rPr>
                <w:sz w:val="21"/>
                <w:szCs w:val="21"/>
              </w:rPr>
            </w:pPr>
            <w:r>
              <w:rPr>
                <w:sz w:val="21"/>
                <w:szCs w:val="21"/>
              </w:rPr>
              <w:t>-.00898***</w:t>
            </w:r>
          </w:p>
          <w:p w14:paraId="60609C02" w14:textId="77777777" w:rsidR="00957269" w:rsidRDefault="00000000">
            <w:pPr>
              <w:jc w:val="center"/>
              <w:rPr>
                <w:sz w:val="21"/>
                <w:szCs w:val="21"/>
              </w:rPr>
            </w:pPr>
            <w:r>
              <w:rPr>
                <w:sz w:val="21"/>
                <w:szCs w:val="21"/>
              </w:rPr>
              <w:t>(.0015)</w:t>
            </w:r>
          </w:p>
        </w:tc>
      </w:tr>
      <w:tr w:rsidR="00957269" w14:paraId="6FD51262" w14:textId="77777777" w:rsidTr="00EF5B30">
        <w:tc>
          <w:tcPr>
            <w:tcW w:w="2835" w:type="dxa"/>
          </w:tcPr>
          <w:p w14:paraId="4754422C" w14:textId="77777777" w:rsidR="00957269" w:rsidRDefault="00000000">
            <w:pPr>
              <w:rPr>
                <w:sz w:val="21"/>
                <w:szCs w:val="21"/>
              </w:rPr>
            </w:pPr>
            <w:r>
              <w:rPr>
                <w:sz w:val="21"/>
                <w:szCs w:val="21"/>
              </w:rPr>
              <w:t>Fraction of line workers (W)</w:t>
            </w:r>
          </w:p>
        </w:tc>
        <w:tc>
          <w:tcPr>
            <w:tcW w:w="2127" w:type="dxa"/>
          </w:tcPr>
          <w:p w14:paraId="067B74D2" w14:textId="77777777" w:rsidR="00957269" w:rsidRDefault="00000000">
            <w:pPr>
              <w:jc w:val="center"/>
              <w:rPr>
                <w:sz w:val="21"/>
                <w:szCs w:val="21"/>
              </w:rPr>
            </w:pPr>
            <w:r>
              <w:rPr>
                <w:sz w:val="21"/>
                <w:szCs w:val="21"/>
              </w:rPr>
              <w:t>-.03733</w:t>
            </w:r>
          </w:p>
          <w:p w14:paraId="493D3FCE" w14:textId="77777777" w:rsidR="00957269" w:rsidRDefault="00000000">
            <w:pPr>
              <w:jc w:val="center"/>
              <w:rPr>
                <w:sz w:val="21"/>
                <w:szCs w:val="21"/>
              </w:rPr>
            </w:pPr>
            <w:r>
              <w:rPr>
                <w:sz w:val="21"/>
                <w:szCs w:val="21"/>
              </w:rPr>
              <w:t>(.0239)</w:t>
            </w:r>
          </w:p>
        </w:tc>
        <w:tc>
          <w:tcPr>
            <w:tcW w:w="2126" w:type="dxa"/>
          </w:tcPr>
          <w:p w14:paraId="4DC59F6C" w14:textId="77777777" w:rsidR="00957269" w:rsidRDefault="00000000">
            <w:pPr>
              <w:jc w:val="center"/>
              <w:rPr>
                <w:sz w:val="21"/>
                <w:szCs w:val="21"/>
              </w:rPr>
            </w:pPr>
            <w:r>
              <w:rPr>
                <w:sz w:val="21"/>
                <w:szCs w:val="21"/>
              </w:rPr>
              <w:t>-.04225*</w:t>
            </w:r>
          </w:p>
          <w:p w14:paraId="3181C70E" w14:textId="77777777" w:rsidR="00957269" w:rsidRDefault="00000000">
            <w:pPr>
              <w:jc w:val="center"/>
              <w:rPr>
                <w:sz w:val="21"/>
                <w:szCs w:val="21"/>
              </w:rPr>
            </w:pPr>
            <w:r>
              <w:rPr>
                <w:sz w:val="21"/>
                <w:szCs w:val="21"/>
              </w:rPr>
              <w:t>(.0231)</w:t>
            </w:r>
          </w:p>
        </w:tc>
        <w:tc>
          <w:tcPr>
            <w:tcW w:w="1928" w:type="dxa"/>
          </w:tcPr>
          <w:p w14:paraId="5ABE2F3D" w14:textId="77777777" w:rsidR="00957269" w:rsidRDefault="00000000">
            <w:pPr>
              <w:jc w:val="center"/>
              <w:rPr>
                <w:sz w:val="21"/>
                <w:szCs w:val="21"/>
              </w:rPr>
            </w:pPr>
            <w:r>
              <w:rPr>
                <w:sz w:val="21"/>
                <w:szCs w:val="21"/>
              </w:rPr>
              <w:t>-.03804</w:t>
            </w:r>
          </w:p>
          <w:p w14:paraId="4D27181E" w14:textId="77777777" w:rsidR="00957269" w:rsidRDefault="00000000">
            <w:pPr>
              <w:jc w:val="center"/>
              <w:rPr>
                <w:sz w:val="21"/>
                <w:szCs w:val="21"/>
              </w:rPr>
            </w:pPr>
            <w:r>
              <w:rPr>
                <w:sz w:val="21"/>
                <w:szCs w:val="21"/>
              </w:rPr>
              <w:t>(.0239)</w:t>
            </w:r>
          </w:p>
        </w:tc>
      </w:tr>
      <w:tr w:rsidR="00957269" w14:paraId="5CB62845" w14:textId="77777777" w:rsidTr="00EF5B30">
        <w:tc>
          <w:tcPr>
            <w:tcW w:w="2835" w:type="dxa"/>
          </w:tcPr>
          <w:p w14:paraId="2920B550" w14:textId="77777777" w:rsidR="00957269" w:rsidRDefault="00000000">
            <w:pPr>
              <w:rPr>
                <w:sz w:val="21"/>
                <w:szCs w:val="21"/>
              </w:rPr>
            </w:pPr>
            <w:r>
              <w:rPr>
                <w:i/>
                <w:iCs/>
                <w:sz w:val="21"/>
                <w:szCs w:val="21"/>
              </w:rPr>
              <w:t>ln</w:t>
            </w:r>
            <w:r>
              <w:rPr>
                <w:sz w:val="21"/>
                <w:szCs w:val="21"/>
              </w:rPr>
              <w:t>(№ of workers) (B)</w:t>
            </w:r>
          </w:p>
        </w:tc>
        <w:tc>
          <w:tcPr>
            <w:tcW w:w="2127" w:type="dxa"/>
          </w:tcPr>
          <w:p w14:paraId="66D885B1" w14:textId="77777777" w:rsidR="00957269" w:rsidRDefault="00000000">
            <w:pPr>
              <w:jc w:val="center"/>
              <w:rPr>
                <w:sz w:val="21"/>
                <w:szCs w:val="21"/>
              </w:rPr>
            </w:pPr>
            <w:r>
              <w:rPr>
                <w:sz w:val="21"/>
                <w:szCs w:val="21"/>
              </w:rPr>
              <w:t>.11592***</w:t>
            </w:r>
          </w:p>
          <w:p w14:paraId="1B8DCA05" w14:textId="77777777" w:rsidR="00957269" w:rsidRDefault="00000000">
            <w:pPr>
              <w:jc w:val="center"/>
              <w:rPr>
                <w:sz w:val="21"/>
                <w:szCs w:val="21"/>
              </w:rPr>
            </w:pPr>
            <w:r>
              <w:rPr>
                <w:sz w:val="21"/>
                <w:szCs w:val="21"/>
              </w:rPr>
              <w:t>(.0188)</w:t>
            </w:r>
          </w:p>
        </w:tc>
        <w:tc>
          <w:tcPr>
            <w:tcW w:w="2126" w:type="dxa"/>
          </w:tcPr>
          <w:p w14:paraId="298BD8D1" w14:textId="77777777" w:rsidR="00957269" w:rsidRDefault="00000000">
            <w:pPr>
              <w:jc w:val="center"/>
              <w:rPr>
                <w:sz w:val="21"/>
                <w:szCs w:val="21"/>
              </w:rPr>
            </w:pPr>
            <w:r>
              <w:rPr>
                <w:sz w:val="21"/>
                <w:szCs w:val="21"/>
              </w:rPr>
              <w:t>.11625***</w:t>
            </w:r>
          </w:p>
          <w:p w14:paraId="750989D6" w14:textId="77777777" w:rsidR="00957269" w:rsidRDefault="00000000">
            <w:pPr>
              <w:jc w:val="center"/>
              <w:rPr>
                <w:sz w:val="21"/>
                <w:szCs w:val="21"/>
              </w:rPr>
            </w:pPr>
            <w:r>
              <w:rPr>
                <w:sz w:val="21"/>
                <w:szCs w:val="21"/>
              </w:rPr>
              <w:t>(.0189)</w:t>
            </w:r>
          </w:p>
        </w:tc>
        <w:tc>
          <w:tcPr>
            <w:tcW w:w="1928" w:type="dxa"/>
          </w:tcPr>
          <w:p w14:paraId="09F9D4A0" w14:textId="77777777" w:rsidR="00957269" w:rsidRDefault="00000000">
            <w:pPr>
              <w:jc w:val="center"/>
              <w:rPr>
                <w:sz w:val="21"/>
                <w:szCs w:val="21"/>
              </w:rPr>
            </w:pPr>
            <w:r>
              <w:rPr>
                <w:sz w:val="21"/>
                <w:szCs w:val="21"/>
              </w:rPr>
              <w:t>.11760***</w:t>
            </w:r>
          </w:p>
          <w:p w14:paraId="505EB798" w14:textId="77777777" w:rsidR="00957269" w:rsidRDefault="00000000">
            <w:pPr>
              <w:jc w:val="center"/>
              <w:rPr>
                <w:sz w:val="21"/>
                <w:szCs w:val="21"/>
              </w:rPr>
            </w:pPr>
            <w:r>
              <w:rPr>
                <w:sz w:val="21"/>
                <w:szCs w:val="21"/>
              </w:rPr>
              <w:t>(.0187)</w:t>
            </w:r>
          </w:p>
        </w:tc>
      </w:tr>
      <w:tr w:rsidR="00957269" w14:paraId="799C62E7" w14:textId="77777777" w:rsidTr="00EF5B30">
        <w:tc>
          <w:tcPr>
            <w:tcW w:w="2835" w:type="dxa"/>
          </w:tcPr>
          <w:p w14:paraId="5333C80A"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(B)</w:t>
            </w:r>
          </w:p>
        </w:tc>
        <w:tc>
          <w:tcPr>
            <w:tcW w:w="2127" w:type="dxa"/>
          </w:tcPr>
          <w:p w14:paraId="048E13D5" w14:textId="77777777" w:rsidR="00957269" w:rsidRDefault="00000000">
            <w:pPr>
              <w:jc w:val="center"/>
              <w:rPr>
                <w:sz w:val="21"/>
                <w:szCs w:val="21"/>
              </w:rPr>
            </w:pPr>
            <w:r>
              <w:rPr>
                <w:sz w:val="21"/>
                <w:szCs w:val="21"/>
              </w:rPr>
              <w:t>-.00715***</w:t>
            </w:r>
          </w:p>
          <w:p w14:paraId="599B90F1" w14:textId="77777777" w:rsidR="00957269" w:rsidRDefault="00000000">
            <w:pPr>
              <w:jc w:val="center"/>
              <w:rPr>
                <w:sz w:val="21"/>
                <w:szCs w:val="21"/>
              </w:rPr>
            </w:pPr>
            <w:r>
              <w:rPr>
                <w:sz w:val="21"/>
                <w:szCs w:val="21"/>
              </w:rPr>
              <w:lastRenderedPageBreak/>
              <w:t>(.0015)</w:t>
            </w:r>
          </w:p>
        </w:tc>
        <w:tc>
          <w:tcPr>
            <w:tcW w:w="2126" w:type="dxa"/>
          </w:tcPr>
          <w:p w14:paraId="40146117" w14:textId="77777777" w:rsidR="00957269" w:rsidRDefault="00000000">
            <w:pPr>
              <w:jc w:val="center"/>
              <w:rPr>
                <w:sz w:val="21"/>
                <w:szCs w:val="21"/>
              </w:rPr>
            </w:pPr>
            <w:r>
              <w:rPr>
                <w:sz w:val="21"/>
                <w:szCs w:val="21"/>
              </w:rPr>
              <w:lastRenderedPageBreak/>
              <w:t>-.00714***</w:t>
            </w:r>
          </w:p>
          <w:p w14:paraId="68DD8CA4" w14:textId="77777777" w:rsidR="00957269" w:rsidRDefault="00000000">
            <w:pPr>
              <w:jc w:val="center"/>
              <w:rPr>
                <w:sz w:val="21"/>
                <w:szCs w:val="21"/>
              </w:rPr>
            </w:pPr>
            <w:r>
              <w:rPr>
                <w:sz w:val="21"/>
                <w:szCs w:val="21"/>
              </w:rPr>
              <w:lastRenderedPageBreak/>
              <w:t>(.0016)</w:t>
            </w:r>
          </w:p>
        </w:tc>
        <w:tc>
          <w:tcPr>
            <w:tcW w:w="1928" w:type="dxa"/>
          </w:tcPr>
          <w:p w14:paraId="16694EE4" w14:textId="77777777" w:rsidR="00957269" w:rsidRDefault="00000000">
            <w:pPr>
              <w:jc w:val="center"/>
              <w:rPr>
                <w:sz w:val="21"/>
                <w:szCs w:val="21"/>
              </w:rPr>
            </w:pPr>
            <w:r>
              <w:rPr>
                <w:sz w:val="21"/>
                <w:szCs w:val="21"/>
              </w:rPr>
              <w:lastRenderedPageBreak/>
              <w:t>-.00714***</w:t>
            </w:r>
          </w:p>
          <w:p w14:paraId="6104361A" w14:textId="77777777" w:rsidR="00957269" w:rsidRDefault="00000000">
            <w:pPr>
              <w:jc w:val="center"/>
              <w:rPr>
                <w:sz w:val="21"/>
                <w:szCs w:val="21"/>
              </w:rPr>
            </w:pPr>
            <w:r>
              <w:rPr>
                <w:sz w:val="21"/>
                <w:szCs w:val="21"/>
              </w:rPr>
              <w:lastRenderedPageBreak/>
              <w:t>(.0015)</w:t>
            </w:r>
          </w:p>
        </w:tc>
      </w:tr>
      <w:tr w:rsidR="00957269" w14:paraId="042A5D3D" w14:textId="77777777" w:rsidTr="00EF5B30">
        <w:tc>
          <w:tcPr>
            <w:tcW w:w="2835" w:type="dxa"/>
          </w:tcPr>
          <w:p w14:paraId="7F8B217D" w14:textId="77777777" w:rsidR="00957269" w:rsidRDefault="00000000">
            <w:pPr>
              <w:rPr>
                <w:sz w:val="21"/>
                <w:szCs w:val="21"/>
              </w:rPr>
            </w:pPr>
            <w:r>
              <w:rPr>
                <w:sz w:val="21"/>
                <w:szCs w:val="21"/>
              </w:rPr>
              <w:lastRenderedPageBreak/>
              <w:t>Fraction of line workers (B)</w:t>
            </w:r>
          </w:p>
        </w:tc>
        <w:tc>
          <w:tcPr>
            <w:tcW w:w="2127" w:type="dxa"/>
          </w:tcPr>
          <w:p w14:paraId="1790B611" w14:textId="77777777" w:rsidR="00957269" w:rsidRDefault="00000000">
            <w:pPr>
              <w:jc w:val="center"/>
              <w:rPr>
                <w:sz w:val="21"/>
                <w:szCs w:val="21"/>
              </w:rPr>
            </w:pPr>
            <w:r>
              <w:rPr>
                <w:sz w:val="21"/>
                <w:szCs w:val="21"/>
              </w:rPr>
              <w:t>.30631***</w:t>
            </w:r>
          </w:p>
          <w:p w14:paraId="25A5752E" w14:textId="77777777" w:rsidR="00957269" w:rsidRDefault="00000000">
            <w:pPr>
              <w:jc w:val="center"/>
              <w:rPr>
                <w:sz w:val="21"/>
                <w:szCs w:val="21"/>
              </w:rPr>
            </w:pPr>
            <w:r>
              <w:rPr>
                <w:sz w:val="21"/>
                <w:szCs w:val="21"/>
              </w:rPr>
              <w:t>(.0447)</w:t>
            </w:r>
          </w:p>
        </w:tc>
        <w:tc>
          <w:tcPr>
            <w:tcW w:w="2126" w:type="dxa"/>
          </w:tcPr>
          <w:p w14:paraId="578D38BB" w14:textId="77777777" w:rsidR="00957269" w:rsidRDefault="00000000">
            <w:pPr>
              <w:jc w:val="center"/>
              <w:rPr>
                <w:sz w:val="21"/>
                <w:szCs w:val="21"/>
              </w:rPr>
            </w:pPr>
            <w:r>
              <w:rPr>
                <w:sz w:val="21"/>
                <w:szCs w:val="21"/>
              </w:rPr>
              <w:t>.33990***</w:t>
            </w:r>
          </w:p>
          <w:p w14:paraId="5FC641A9" w14:textId="77777777" w:rsidR="00957269" w:rsidRDefault="00000000">
            <w:pPr>
              <w:jc w:val="center"/>
              <w:rPr>
                <w:sz w:val="21"/>
                <w:szCs w:val="21"/>
              </w:rPr>
            </w:pPr>
            <w:r>
              <w:rPr>
                <w:sz w:val="21"/>
                <w:szCs w:val="21"/>
              </w:rPr>
              <w:t>(.0452)</w:t>
            </w:r>
          </w:p>
        </w:tc>
        <w:tc>
          <w:tcPr>
            <w:tcW w:w="1928" w:type="dxa"/>
          </w:tcPr>
          <w:p w14:paraId="53D1E788" w14:textId="77777777" w:rsidR="00957269" w:rsidRDefault="00000000">
            <w:pPr>
              <w:jc w:val="center"/>
              <w:rPr>
                <w:sz w:val="21"/>
                <w:szCs w:val="21"/>
              </w:rPr>
            </w:pPr>
            <w:r>
              <w:rPr>
                <w:sz w:val="21"/>
                <w:szCs w:val="21"/>
              </w:rPr>
              <w:t>.30291***</w:t>
            </w:r>
          </w:p>
          <w:p w14:paraId="36AC1EE7" w14:textId="77777777" w:rsidR="00957269" w:rsidRDefault="00000000">
            <w:pPr>
              <w:jc w:val="center"/>
              <w:rPr>
                <w:sz w:val="21"/>
                <w:szCs w:val="21"/>
              </w:rPr>
            </w:pPr>
            <w:r>
              <w:rPr>
                <w:sz w:val="21"/>
                <w:szCs w:val="21"/>
              </w:rPr>
              <w:t>(.0449)</w:t>
            </w:r>
          </w:p>
        </w:tc>
      </w:tr>
      <w:tr w:rsidR="00957269" w14:paraId="0F4B7214" w14:textId="77777777" w:rsidTr="00EF5B30">
        <w:tc>
          <w:tcPr>
            <w:tcW w:w="2835" w:type="dxa"/>
          </w:tcPr>
          <w:p w14:paraId="6E4F94F1" w14:textId="77777777" w:rsidR="00957269" w:rsidRPr="00EF5B30" w:rsidRDefault="00000000">
            <w:pPr>
              <w:rPr>
                <w:i/>
                <w:iCs/>
                <w:sz w:val="21"/>
                <w:szCs w:val="21"/>
                <w:u w:val="single"/>
              </w:rPr>
            </w:pPr>
            <w:r w:rsidRPr="00EF5B30">
              <w:rPr>
                <w:i/>
                <w:iCs/>
                <w:sz w:val="21"/>
                <w:szCs w:val="21"/>
                <w:u w:val="single"/>
              </w:rPr>
              <w:t>Supplier-level</w:t>
            </w:r>
          </w:p>
        </w:tc>
        <w:tc>
          <w:tcPr>
            <w:tcW w:w="2127" w:type="dxa"/>
          </w:tcPr>
          <w:p w14:paraId="7E11E040" w14:textId="77777777" w:rsidR="00957269" w:rsidRDefault="00957269">
            <w:pPr>
              <w:jc w:val="center"/>
              <w:rPr>
                <w:sz w:val="21"/>
                <w:szCs w:val="21"/>
              </w:rPr>
            </w:pPr>
          </w:p>
        </w:tc>
        <w:tc>
          <w:tcPr>
            <w:tcW w:w="2126" w:type="dxa"/>
          </w:tcPr>
          <w:p w14:paraId="0ED4FD73" w14:textId="77777777" w:rsidR="00957269" w:rsidRDefault="00957269">
            <w:pPr>
              <w:jc w:val="center"/>
              <w:rPr>
                <w:sz w:val="21"/>
                <w:szCs w:val="21"/>
              </w:rPr>
            </w:pPr>
          </w:p>
        </w:tc>
        <w:tc>
          <w:tcPr>
            <w:tcW w:w="1928" w:type="dxa"/>
          </w:tcPr>
          <w:p w14:paraId="1C0BE48B" w14:textId="77777777" w:rsidR="00957269" w:rsidRDefault="00957269">
            <w:pPr>
              <w:jc w:val="center"/>
              <w:rPr>
                <w:sz w:val="21"/>
                <w:szCs w:val="21"/>
              </w:rPr>
            </w:pPr>
          </w:p>
        </w:tc>
      </w:tr>
      <w:tr w:rsidR="00EF5B30" w14:paraId="4C40DB22" w14:textId="77777777" w:rsidTr="00EF5B30">
        <w:tc>
          <w:tcPr>
            <w:tcW w:w="2835" w:type="dxa"/>
          </w:tcPr>
          <w:p w14:paraId="6594DDEA" w14:textId="1907CCB7" w:rsidR="00EF5B30" w:rsidRDefault="00EF5B30" w:rsidP="00EF5B30">
            <w:pPr>
              <w:rPr>
                <w:sz w:val="21"/>
                <w:szCs w:val="21"/>
              </w:rPr>
            </w:pPr>
            <w:r>
              <w:rPr>
                <w:sz w:val="21"/>
                <w:szCs w:val="21"/>
              </w:rPr>
              <w:t>Product Complexity (W)</w:t>
            </w:r>
          </w:p>
        </w:tc>
        <w:tc>
          <w:tcPr>
            <w:tcW w:w="2127" w:type="dxa"/>
          </w:tcPr>
          <w:p w14:paraId="5B455714" w14:textId="77777777" w:rsidR="00EF5B30" w:rsidRDefault="00EF5B30" w:rsidP="00EF5B30">
            <w:pPr>
              <w:jc w:val="center"/>
              <w:rPr>
                <w:sz w:val="21"/>
                <w:szCs w:val="21"/>
              </w:rPr>
            </w:pPr>
            <w:r>
              <w:rPr>
                <w:sz w:val="21"/>
                <w:szCs w:val="21"/>
              </w:rPr>
              <w:t>-.00941</w:t>
            </w:r>
          </w:p>
          <w:p w14:paraId="1B124143" w14:textId="0E2A88DD" w:rsidR="00EF5B30" w:rsidRDefault="00EF5B30" w:rsidP="00EF5B30">
            <w:pPr>
              <w:jc w:val="center"/>
              <w:rPr>
                <w:sz w:val="21"/>
                <w:szCs w:val="21"/>
              </w:rPr>
            </w:pPr>
            <w:r>
              <w:rPr>
                <w:sz w:val="21"/>
                <w:szCs w:val="21"/>
              </w:rPr>
              <w:t>(.0364)</w:t>
            </w:r>
          </w:p>
        </w:tc>
        <w:tc>
          <w:tcPr>
            <w:tcW w:w="2126" w:type="dxa"/>
          </w:tcPr>
          <w:p w14:paraId="10D13DA9" w14:textId="77777777" w:rsidR="00EF5B30" w:rsidRDefault="00EF5B30" w:rsidP="00EF5B30">
            <w:pPr>
              <w:jc w:val="center"/>
              <w:rPr>
                <w:sz w:val="21"/>
                <w:szCs w:val="21"/>
              </w:rPr>
            </w:pPr>
            <w:r>
              <w:rPr>
                <w:sz w:val="21"/>
                <w:szCs w:val="21"/>
              </w:rPr>
              <w:t>-.02901</w:t>
            </w:r>
          </w:p>
          <w:p w14:paraId="265E665B" w14:textId="463738C9" w:rsidR="00EF5B30" w:rsidRDefault="00EF5B30" w:rsidP="00EF5B30">
            <w:pPr>
              <w:jc w:val="center"/>
              <w:rPr>
                <w:sz w:val="21"/>
                <w:szCs w:val="21"/>
              </w:rPr>
            </w:pPr>
            <w:r>
              <w:rPr>
                <w:sz w:val="21"/>
                <w:szCs w:val="21"/>
              </w:rPr>
              <w:t>(.0344)</w:t>
            </w:r>
          </w:p>
        </w:tc>
        <w:tc>
          <w:tcPr>
            <w:tcW w:w="1928" w:type="dxa"/>
          </w:tcPr>
          <w:p w14:paraId="4F8A604B" w14:textId="77777777" w:rsidR="00EF5B30" w:rsidRDefault="00EF5B30" w:rsidP="00EF5B30">
            <w:pPr>
              <w:jc w:val="center"/>
              <w:rPr>
                <w:sz w:val="21"/>
                <w:szCs w:val="21"/>
              </w:rPr>
            </w:pPr>
            <w:r>
              <w:rPr>
                <w:sz w:val="21"/>
                <w:szCs w:val="21"/>
              </w:rPr>
              <w:t>.00636</w:t>
            </w:r>
          </w:p>
          <w:p w14:paraId="0E8981AF" w14:textId="0A9CFEF5" w:rsidR="00EF5B30" w:rsidRDefault="00EF5B30" w:rsidP="00EF5B30">
            <w:pPr>
              <w:jc w:val="center"/>
              <w:rPr>
                <w:sz w:val="21"/>
                <w:szCs w:val="21"/>
              </w:rPr>
            </w:pPr>
            <w:r>
              <w:rPr>
                <w:sz w:val="21"/>
                <w:szCs w:val="21"/>
              </w:rPr>
              <w:t>(.0364)</w:t>
            </w:r>
          </w:p>
        </w:tc>
      </w:tr>
      <w:tr w:rsidR="00EF5B30" w14:paraId="55A78275" w14:textId="77777777" w:rsidTr="00EF5B30">
        <w:tc>
          <w:tcPr>
            <w:tcW w:w="2835" w:type="dxa"/>
          </w:tcPr>
          <w:p w14:paraId="5C642AFA" w14:textId="77777777" w:rsidR="00EF5B30" w:rsidRDefault="00EF5B30" w:rsidP="00EF5B30">
            <w:pPr>
              <w:rPr>
                <w:sz w:val="21"/>
                <w:szCs w:val="21"/>
              </w:rPr>
            </w:pPr>
            <w:r>
              <w:rPr>
                <w:sz w:val="21"/>
                <w:szCs w:val="21"/>
              </w:rPr>
              <w:t>Prominence (W)</w:t>
            </w:r>
          </w:p>
        </w:tc>
        <w:tc>
          <w:tcPr>
            <w:tcW w:w="2127" w:type="dxa"/>
          </w:tcPr>
          <w:p w14:paraId="09D19E21" w14:textId="77777777" w:rsidR="00EF5B30" w:rsidRDefault="00EF5B30" w:rsidP="00EF5B30">
            <w:pPr>
              <w:jc w:val="center"/>
              <w:rPr>
                <w:sz w:val="21"/>
                <w:szCs w:val="21"/>
              </w:rPr>
            </w:pPr>
            <w:r>
              <w:rPr>
                <w:sz w:val="21"/>
                <w:szCs w:val="21"/>
              </w:rPr>
              <w:t>-.00149</w:t>
            </w:r>
          </w:p>
          <w:p w14:paraId="49ABFB47" w14:textId="77777777" w:rsidR="00EF5B30" w:rsidRDefault="00EF5B30" w:rsidP="00EF5B30">
            <w:pPr>
              <w:jc w:val="center"/>
              <w:rPr>
                <w:sz w:val="21"/>
                <w:szCs w:val="21"/>
              </w:rPr>
            </w:pPr>
            <w:r>
              <w:rPr>
                <w:sz w:val="21"/>
                <w:szCs w:val="21"/>
              </w:rPr>
              <w:t>(.0034)</w:t>
            </w:r>
          </w:p>
        </w:tc>
        <w:tc>
          <w:tcPr>
            <w:tcW w:w="2126" w:type="dxa"/>
          </w:tcPr>
          <w:p w14:paraId="65D3C1D6" w14:textId="77777777" w:rsidR="00EF5B30" w:rsidRDefault="00EF5B30" w:rsidP="00EF5B30">
            <w:pPr>
              <w:jc w:val="center"/>
              <w:rPr>
                <w:sz w:val="21"/>
                <w:szCs w:val="21"/>
              </w:rPr>
            </w:pPr>
            <w:r>
              <w:rPr>
                <w:sz w:val="21"/>
                <w:szCs w:val="21"/>
              </w:rPr>
              <w:t>-.00158</w:t>
            </w:r>
          </w:p>
          <w:p w14:paraId="07C00FEE" w14:textId="77777777" w:rsidR="00EF5B30" w:rsidRDefault="00EF5B30" w:rsidP="00EF5B30">
            <w:pPr>
              <w:jc w:val="center"/>
              <w:rPr>
                <w:sz w:val="21"/>
                <w:szCs w:val="21"/>
              </w:rPr>
            </w:pPr>
            <w:r>
              <w:rPr>
                <w:sz w:val="21"/>
                <w:szCs w:val="21"/>
              </w:rPr>
              <w:t>(.0031)</w:t>
            </w:r>
          </w:p>
        </w:tc>
        <w:tc>
          <w:tcPr>
            <w:tcW w:w="1928" w:type="dxa"/>
          </w:tcPr>
          <w:p w14:paraId="6E2FC120" w14:textId="77777777" w:rsidR="00EF5B30" w:rsidRDefault="00EF5B30" w:rsidP="00EF5B30">
            <w:pPr>
              <w:jc w:val="center"/>
              <w:rPr>
                <w:sz w:val="21"/>
                <w:szCs w:val="21"/>
              </w:rPr>
            </w:pPr>
            <w:r>
              <w:rPr>
                <w:sz w:val="21"/>
                <w:szCs w:val="21"/>
              </w:rPr>
              <w:t>-.00125</w:t>
            </w:r>
          </w:p>
          <w:p w14:paraId="3910D426" w14:textId="77777777" w:rsidR="00EF5B30" w:rsidRDefault="00EF5B30" w:rsidP="00EF5B30">
            <w:pPr>
              <w:jc w:val="center"/>
              <w:rPr>
                <w:sz w:val="21"/>
                <w:szCs w:val="21"/>
              </w:rPr>
            </w:pPr>
            <w:r>
              <w:rPr>
                <w:sz w:val="21"/>
                <w:szCs w:val="21"/>
              </w:rPr>
              <w:t>(.0034)</w:t>
            </w:r>
          </w:p>
        </w:tc>
      </w:tr>
      <w:tr w:rsidR="00EF5B30" w14:paraId="592136A5" w14:textId="77777777" w:rsidTr="00EF5B30">
        <w:tc>
          <w:tcPr>
            <w:tcW w:w="2835" w:type="dxa"/>
          </w:tcPr>
          <w:p w14:paraId="16449561" w14:textId="77777777" w:rsidR="00EF5B30" w:rsidRDefault="00EF5B30" w:rsidP="00EF5B30">
            <w:pPr>
              <w:rPr>
                <w:sz w:val="21"/>
                <w:szCs w:val="21"/>
              </w:rPr>
            </w:pPr>
            <w:r>
              <w:rPr>
                <w:sz w:val="21"/>
                <w:szCs w:val="21"/>
              </w:rPr>
              <w:t>Geo. Disp. (W)</w:t>
            </w:r>
          </w:p>
        </w:tc>
        <w:tc>
          <w:tcPr>
            <w:tcW w:w="2127" w:type="dxa"/>
          </w:tcPr>
          <w:p w14:paraId="602359AB" w14:textId="77777777" w:rsidR="00EF5B30" w:rsidRDefault="00EF5B30" w:rsidP="00EF5B30">
            <w:pPr>
              <w:jc w:val="center"/>
              <w:rPr>
                <w:sz w:val="21"/>
                <w:szCs w:val="21"/>
              </w:rPr>
            </w:pPr>
            <w:r>
              <w:rPr>
                <w:sz w:val="21"/>
                <w:szCs w:val="21"/>
              </w:rPr>
              <w:t>-.00415</w:t>
            </w:r>
          </w:p>
          <w:p w14:paraId="4733CE23" w14:textId="77777777" w:rsidR="00EF5B30" w:rsidRDefault="00EF5B30" w:rsidP="00EF5B30">
            <w:pPr>
              <w:jc w:val="center"/>
              <w:rPr>
                <w:sz w:val="21"/>
                <w:szCs w:val="21"/>
              </w:rPr>
            </w:pPr>
            <w:r>
              <w:rPr>
                <w:sz w:val="21"/>
                <w:szCs w:val="21"/>
              </w:rPr>
              <w:t>(.0107)</w:t>
            </w:r>
          </w:p>
        </w:tc>
        <w:tc>
          <w:tcPr>
            <w:tcW w:w="2126" w:type="dxa"/>
          </w:tcPr>
          <w:p w14:paraId="2977E677" w14:textId="77777777" w:rsidR="00EF5B30" w:rsidRDefault="00EF5B30" w:rsidP="00EF5B30">
            <w:pPr>
              <w:jc w:val="center"/>
              <w:rPr>
                <w:sz w:val="21"/>
                <w:szCs w:val="21"/>
              </w:rPr>
            </w:pPr>
            <w:r>
              <w:rPr>
                <w:sz w:val="21"/>
                <w:szCs w:val="21"/>
              </w:rPr>
              <w:t>-.00296</w:t>
            </w:r>
          </w:p>
          <w:p w14:paraId="77D11D39" w14:textId="77777777" w:rsidR="00EF5B30" w:rsidRDefault="00EF5B30" w:rsidP="00EF5B30">
            <w:pPr>
              <w:jc w:val="center"/>
              <w:rPr>
                <w:sz w:val="21"/>
                <w:szCs w:val="21"/>
              </w:rPr>
            </w:pPr>
            <w:r>
              <w:rPr>
                <w:sz w:val="21"/>
                <w:szCs w:val="21"/>
              </w:rPr>
              <w:t>(.0100)</w:t>
            </w:r>
          </w:p>
        </w:tc>
        <w:tc>
          <w:tcPr>
            <w:tcW w:w="1928" w:type="dxa"/>
          </w:tcPr>
          <w:p w14:paraId="2C5B042D" w14:textId="77777777" w:rsidR="00EF5B30" w:rsidRDefault="00EF5B30" w:rsidP="00EF5B30">
            <w:pPr>
              <w:jc w:val="center"/>
              <w:rPr>
                <w:sz w:val="21"/>
                <w:szCs w:val="21"/>
              </w:rPr>
            </w:pPr>
            <w:r>
              <w:rPr>
                <w:sz w:val="21"/>
                <w:szCs w:val="21"/>
              </w:rPr>
              <w:t>-.00484</w:t>
            </w:r>
          </w:p>
          <w:p w14:paraId="3ABBFE8D" w14:textId="77777777" w:rsidR="00EF5B30" w:rsidRDefault="00EF5B30" w:rsidP="00EF5B30">
            <w:pPr>
              <w:jc w:val="center"/>
              <w:rPr>
                <w:sz w:val="21"/>
                <w:szCs w:val="21"/>
              </w:rPr>
            </w:pPr>
            <w:r>
              <w:rPr>
                <w:sz w:val="21"/>
                <w:szCs w:val="21"/>
              </w:rPr>
              <w:t>(.0107)</w:t>
            </w:r>
          </w:p>
        </w:tc>
      </w:tr>
      <w:tr w:rsidR="00EF5B30" w14:paraId="1910E857" w14:textId="77777777" w:rsidTr="00EF5B30">
        <w:tc>
          <w:tcPr>
            <w:tcW w:w="2835" w:type="dxa"/>
          </w:tcPr>
          <w:p w14:paraId="2F064D8D" w14:textId="578B5239" w:rsidR="00EF5B30" w:rsidRDefault="00EF5B30" w:rsidP="00EF5B30">
            <w:pPr>
              <w:rPr>
                <w:sz w:val="21"/>
                <w:szCs w:val="21"/>
              </w:rPr>
            </w:pPr>
            <w:r>
              <w:rPr>
                <w:b/>
                <w:bCs/>
                <w:sz w:val="21"/>
                <w:szCs w:val="21"/>
              </w:rPr>
              <w:t>Product Complexity (B)</w:t>
            </w:r>
          </w:p>
        </w:tc>
        <w:tc>
          <w:tcPr>
            <w:tcW w:w="2127" w:type="dxa"/>
          </w:tcPr>
          <w:p w14:paraId="16DE2F60" w14:textId="77777777" w:rsidR="00EF5B30" w:rsidRDefault="00EF5B30" w:rsidP="00EF5B30">
            <w:pPr>
              <w:jc w:val="center"/>
              <w:rPr>
                <w:sz w:val="21"/>
                <w:szCs w:val="21"/>
              </w:rPr>
            </w:pPr>
            <w:r>
              <w:rPr>
                <w:sz w:val="21"/>
                <w:szCs w:val="21"/>
              </w:rPr>
              <w:t>-.10697***</w:t>
            </w:r>
          </w:p>
          <w:p w14:paraId="1FD9D99D" w14:textId="64CC211B" w:rsidR="00EF5B30" w:rsidRDefault="00EF5B30" w:rsidP="00EF5B30">
            <w:pPr>
              <w:jc w:val="center"/>
              <w:rPr>
                <w:sz w:val="21"/>
                <w:szCs w:val="21"/>
              </w:rPr>
            </w:pPr>
            <w:r>
              <w:rPr>
                <w:sz w:val="21"/>
                <w:szCs w:val="21"/>
              </w:rPr>
              <w:t>(.0215)</w:t>
            </w:r>
          </w:p>
        </w:tc>
        <w:tc>
          <w:tcPr>
            <w:tcW w:w="2126" w:type="dxa"/>
          </w:tcPr>
          <w:p w14:paraId="061F0199" w14:textId="77777777" w:rsidR="00EF5B30" w:rsidRDefault="00EF5B30" w:rsidP="00EF5B30">
            <w:pPr>
              <w:jc w:val="center"/>
              <w:rPr>
                <w:sz w:val="21"/>
                <w:szCs w:val="21"/>
              </w:rPr>
            </w:pPr>
            <w:r>
              <w:rPr>
                <w:sz w:val="21"/>
                <w:szCs w:val="21"/>
              </w:rPr>
              <w:t>-.10414***</w:t>
            </w:r>
          </w:p>
          <w:p w14:paraId="037E2924" w14:textId="6E8CF690" w:rsidR="00EF5B30" w:rsidRDefault="00EF5B30" w:rsidP="00EF5B30">
            <w:pPr>
              <w:jc w:val="center"/>
              <w:rPr>
                <w:sz w:val="21"/>
                <w:szCs w:val="21"/>
              </w:rPr>
            </w:pPr>
            <w:r>
              <w:rPr>
                <w:sz w:val="21"/>
                <w:szCs w:val="21"/>
              </w:rPr>
              <w:t>(.0208)</w:t>
            </w:r>
          </w:p>
        </w:tc>
        <w:tc>
          <w:tcPr>
            <w:tcW w:w="1928" w:type="dxa"/>
          </w:tcPr>
          <w:p w14:paraId="30DBE40E" w14:textId="77777777" w:rsidR="00EF5B30" w:rsidRDefault="00EF5B30" w:rsidP="00EF5B30">
            <w:pPr>
              <w:jc w:val="center"/>
              <w:rPr>
                <w:sz w:val="21"/>
                <w:szCs w:val="21"/>
              </w:rPr>
            </w:pPr>
            <w:r>
              <w:rPr>
                <w:sz w:val="21"/>
                <w:szCs w:val="21"/>
              </w:rPr>
              <w:t>-.10671***</w:t>
            </w:r>
          </w:p>
          <w:p w14:paraId="19FCFA09" w14:textId="7EC8BCBB" w:rsidR="00EF5B30" w:rsidRDefault="00EF5B30" w:rsidP="00EF5B30">
            <w:pPr>
              <w:jc w:val="center"/>
              <w:rPr>
                <w:sz w:val="21"/>
                <w:szCs w:val="21"/>
              </w:rPr>
            </w:pPr>
            <w:r>
              <w:rPr>
                <w:sz w:val="21"/>
                <w:szCs w:val="21"/>
              </w:rPr>
              <w:t>(.0214)</w:t>
            </w:r>
          </w:p>
        </w:tc>
      </w:tr>
      <w:tr w:rsidR="00EF5B30" w14:paraId="5EF96996" w14:textId="77777777" w:rsidTr="00EF5B30">
        <w:tc>
          <w:tcPr>
            <w:tcW w:w="2835" w:type="dxa"/>
          </w:tcPr>
          <w:p w14:paraId="6A3A4675" w14:textId="77777777" w:rsidR="00EF5B30" w:rsidRDefault="00EF5B30" w:rsidP="00EF5B30">
            <w:pPr>
              <w:rPr>
                <w:b/>
                <w:bCs/>
                <w:sz w:val="21"/>
                <w:szCs w:val="21"/>
              </w:rPr>
            </w:pPr>
            <w:r>
              <w:rPr>
                <w:b/>
                <w:bCs/>
                <w:sz w:val="21"/>
                <w:szCs w:val="21"/>
              </w:rPr>
              <w:t>Prominence (B)</w:t>
            </w:r>
          </w:p>
        </w:tc>
        <w:tc>
          <w:tcPr>
            <w:tcW w:w="2127" w:type="dxa"/>
          </w:tcPr>
          <w:p w14:paraId="58ADF3A2" w14:textId="77777777" w:rsidR="00EF5B30" w:rsidRDefault="00EF5B30" w:rsidP="00EF5B30">
            <w:pPr>
              <w:jc w:val="center"/>
              <w:rPr>
                <w:sz w:val="21"/>
                <w:szCs w:val="21"/>
              </w:rPr>
            </w:pPr>
            <w:r>
              <w:rPr>
                <w:sz w:val="21"/>
                <w:szCs w:val="21"/>
              </w:rPr>
              <w:t>.02307***</w:t>
            </w:r>
          </w:p>
          <w:p w14:paraId="246874BB" w14:textId="77777777" w:rsidR="00EF5B30" w:rsidRDefault="00EF5B30" w:rsidP="00EF5B30">
            <w:pPr>
              <w:jc w:val="center"/>
              <w:rPr>
                <w:sz w:val="21"/>
                <w:szCs w:val="21"/>
              </w:rPr>
            </w:pPr>
            <w:r>
              <w:rPr>
                <w:sz w:val="21"/>
                <w:szCs w:val="21"/>
              </w:rPr>
              <w:t>(.0054)</w:t>
            </w:r>
          </w:p>
        </w:tc>
        <w:tc>
          <w:tcPr>
            <w:tcW w:w="2126" w:type="dxa"/>
          </w:tcPr>
          <w:p w14:paraId="5652EC78" w14:textId="77777777" w:rsidR="00EF5B30" w:rsidRDefault="00EF5B30" w:rsidP="00EF5B30">
            <w:pPr>
              <w:jc w:val="center"/>
              <w:rPr>
                <w:sz w:val="21"/>
                <w:szCs w:val="21"/>
              </w:rPr>
            </w:pPr>
            <w:r>
              <w:rPr>
                <w:sz w:val="21"/>
                <w:szCs w:val="21"/>
              </w:rPr>
              <w:t>.02161***</w:t>
            </w:r>
          </w:p>
          <w:p w14:paraId="46469CD2" w14:textId="77777777" w:rsidR="00EF5B30" w:rsidRDefault="00EF5B30" w:rsidP="00EF5B30">
            <w:pPr>
              <w:jc w:val="center"/>
              <w:rPr>
                <w:sz w:val="21"/>
                <w:szCs w:val="21"/>
              </w:rPr>
            </w:pPr>
            <w:r>
              <w:rPr>
                <w:sz w:val="21"/>
                <w:szCs w:val="21"/>
              </w:rPr>
              <w:t>(.0048)</w:t>
            </w:r>
          </w:p>
        </w:tc>
        <w:tc>
          <w:tcPr>
            <w:tcW w:w="1928" w:type="dxa"/>
          </w:tcPr>
          <w:p w14:paraId="1DFB0D57" w14:textId="77777777" w:rsidR="00EF5B30" w:rsidRDefault="00EF5B30" w:rsidP="00EF5B30">
            <w:pPr>
              <w:jc w:val="center"/>
              <w:rPr>
                <w:sz w:val="21"/>
                <w:szCs w:val="21"/>
              </w:rPr>
            </w:pPr>
            <w:r>
              <w:rPr>
                <w:sz w:val="21"/>
                <w:szCs w:val="21"/>
              </w:rPr>
              <w:t>.02355***</w:t>
            </w:r>
          </w:p>
          <w:p w14:paraId="433B8F68" w14:textId="77777777" w:rsidR="00EF5B30" w:rsidRDefault="00EF5B30" w:rsidP="00EF5B30">
            <w:pPr>
              <w:jc w:val="center"/>
              <w:rPr>
                <w:sz w:val="21"/>
                <w:szCs w:val="21"/>
              </w:rPr>
            </w:pPr>
            <w:r>
              <w:rPr>
                <w:sz w:val="21"/>
                <w:szCs w:val="21"/>
              </w:rPr>
              <w:t>(.0055)</w:t>
            </w:r>
          </w:p>
        </w:tc>
      </w:tr>
      <w:tr w:rsidR="00EF5B30" w14:paraId="6664D782" w14:textId="77777777" w:rsidTr="00EF5B30">
        <w:tc>
          <w:tcPr>
            <w:tcW w:w="2835" w:type="dxa"/>
          </w:tcPr>
          <w:p w14:paraId="21549369" w14:textId="77777777" w:rsidR="00EF5B30" w:rsidRDefault="00EF5B30" w:rsidP="00EF5B30">
            <w:pPr>
              <w:rPr>
                <w:b/>
                <w:bCs/>
                <w:sz w:val="21"/>
                <w:szCs w:val="21"/>
              </w:rPr>
            </w:pPr>
            <w:r>
              <w:rPr>
                <w:b/>
                <w:bCs/>
                <w:sz w:val="21"/>
                <w:szCs w:val="21"/>
              </w:rPr>
              <w:t>Geo. Disp. (B)</w:t>
            </w:r>
          </w:p>
        </w:tc>
        <w:tc>
          <w:tcPr>
            <w:tcW w:w="2127" w:type="dxa"/>
          </w:tcPr>
          <w:p w14:paraId="44A7D68C" w14:textId="77777777" w:rsidR="00EF5B30" w:rsidRDefault="00EF5B30" w:rsidP="00EF5B30">
            <w:pPr>
              <w:jc w:val="center"/>
              <w:rPr>
                <w:sz w:val="21"/>
                <w:szCs w:val="21"/>
              </w:rPr>
            </w:pPr>
            <w:r>
              <w:rPr>
                <w:sz w:val="21"/>
                <w:szCs w:val="21"/>
              </w:rPr>
              <w:t>-.06816***</w:t>
            </w:r>
          </w:p>
          <w:p w14:paraId="75DE838F" w14:textId="77777777" w:rsidR="00EF5B30" w:rsidRDefault="00EF5B30" w:rsidP="00EF5B30">
            <w:pPr>
              <w:jc w:val="center"/>
              <w:rPr>
                <w:sz w:val="21"/>
                <w:szCs w:val="21"/>
              </w:rPr>
            </w:pPr>
            <w:r>
              <w:rPr>
                <w:sz w:val="21"/>
                <w:szCs w:val="21"/>
              </w:rPr>
              <w:t>(.0153)</w:t>
            </w:r>
          </w:p>
        </w:tc>
        <w:tc>
          <w:tcPr>
            <w:tcW w:w="2126" w:type="dxa"/>
          </w:tcPr>
          <w:p w14:paraId="746A08D2" w14:textId="77777777" w:rsidR="00EF5B30" w:rsidRDefault="00EF5B30" w:rsidP="00EF5B30">
            <w:pPr>
              <w:jc w:val="center"/>
              <w:rPr>
                <w:sz w:val="21"/>
                <w:szCs w:val="21"/>
              </w:rPr>
            </w:pPr>
            <w:r>
              <w:rPr>
                <w:sz w:val="21"/>
                <w:szCs w:val="21"/>
              </w:rPr>
              <w:t>-.06101***</w:t>
            </w:r>
          </w:p>
          <w:p w14:paraId="22E15481" w14:textId="77777777" w:rsidR="00EF5B30" w:rsidRDefault="00EF5B30" w:rsidP="00EF5B30">
            <w:pPr>
              <w:jc w:val="center"/>
              <w:rPr>
                <w:sz w:val="21"/>
                <w:szCs w:val="21"/>
              </w:rPr>
            </w:pPr>
            <w:r>
              <w:rPr>
                <w:sz w:val="21"/>
                <w:szCs w:val="21"/>
              </w:rPr>
              <w:t>(.0139)</w:t>
            </w:r>
          </w:p>
        </w:tc>
        <w:tc>
          <w:tcPr>
            <w:tcW w:w="1928" w:type="dxa"/>
          </w:tcPr>
          <w:p w14:paraId="3973A837" w14:textId="77777777" w:rsidR="00EF5B30" w:rsidRDefault="00EF5B30" w:rsidP="00EF5B30">
            <w:pPr>
              <w:jc w:val="center"/>
              <w:rPr>
                <w:sz w:val="21"/>
                <w:szCs w:val="21"/>
              </w:rPr>
            </w:pPr>
            <w:r>
              <w:rPr>
                <w:sz w:val="21"/>
                <w:szCs w:val="21"/>
              </w:rPr>
              <w:t>-.06847***</w:t>
            </w:r>
          </w:p>
          <w:p w14:paraId="2509072C" w14:textId="77777777" w:rsidR="00EF5B30" w:rsidRDefault="00EF5B30" w:rsidP="00EF5B30">
            <w:pPr>
              <w:jc w:val="center"/>
              <w:rPr>
                <w:sz w:val="21"/>
                <w:szCs w:val="21"/>
              </w:rPr>
            </w:pPr>
            <w:r>
              <w:rPr>
                <w:sz w:val="21"/>
                <w:szCs w:val="21"/>
              </w:rPr>
              <w:t>(.0152)</w:t>
            </w:r>
          </w:p>
        </w:tc>
      </w:tr>
      <w:tr w:rsidR="00EF5B30" w14:paraId="6600D0EF" w14:textId="77777777" w:rsidTr="00EF5B30">
        <w:tc>
          <w:tcPr>
            <w:tcW w:w="2835" w:type="dxa"/>
          </w:tcPr>
          <w:p w14:paraId="45AC7CBA" w14:textId="77777777" w:rsidR="00EF5B30" w:rsidRDefault="00EF5B30" w:rsidP="00EF5B30">
            <w:pPr>
              <w:rPr>
                <w:b/>
                <w:bCs/>
                <w:sz w:val="21"/>
                <w:szCs w:val="21"/>
                <w:u w:val="single"/>
              </w:rPr>
            </w:pPr>
            <w:r>
              <w:rPr>
                <w:i/>
                <w:iCs/>
                <w:sz w:val="21"/>
                <w:szCs w:val="21"/>
                <w:u w:val="single"/>
              </w:rPr>
              <w:t>Country-level</w:t>
            </w:r>
          </w:p>
        </w:tc>
        <w:tc>
          <w:tcPr>
            <w:tcW w:w="2127" w:type="dxa"/>
          </w:tcPr>
          <w:p w14:paraId="0539D7FF" w14:textId="77777777" w:rsidR="00EF5B30" w:rsidRDefault="00EF5B30" w:rsidP="00EF5B30">
            <w:pPr>
              <w:jc w:val="center"/>
              <w:rPr>
                <w:sz w:val="21"/>
                <w:szCs w:val="21"/>
              </w:rPr>
            </w:pPr>
          </w:p>
        </w:tc>
        <w:tc>
          <w:tcPr>
            <w:tcW w:w="2126" w:type="dxa"/>
          </w:tcPr>
          <w:p w14:paraId="171FFEBF" w14:textId="77777777" w:rsidR="00EF5B30" w:rsidRDefault="00EF5B30" w:rsidP="00EF5B30">
            <w:pPr>
              <w:jc w:val="center"/>
              <w:rPr>
                <w:sz w:val="21"/>
                <w:szCs w:val="21"/>
              </w:rPr>
            </w:pPr>
          </w:p>
        </w:tc>
        <w:tc>
          <w:tcPr>
            <w:tcW w:w="1928" w:type="dxa"/>
          </w:tcPr>
          <w:p w14:paraId="417CA633" w14:textId="77777777" w:rsidR="00EF5B30" w:rsidRDefault="00EF5B30" w:rsidP="00EF5B30">
            <w:pPr>
              <w:jc w:val="center"/>
              <w:rPr>
                <w:sz w:val="21"/>
                <w:szCs w:val="21"/>
              </w:rPr>
            </w:pPr>
          </w:p>
        </w:tc>
      </w:tr>
      <w:tr w:rsidR="00EF5B30" w14:paraId="16CE276E" w14:textId="77777777" w:rsidTr="00EF5B30">
        <w:tc>
          <w:tcPr>
            <w:tcW w:w="2835" w:type="dxa"/>
          </w:tcPr>
          <w:p w14:paraId="485C5BEE" w14:textId="77777777" w:rsidR="00EF5B30" w:rsidRDefault="00EF5B30" w:rsidP="00EF5B30">
            <w:pPr>
              <w:rPr>
                <w:b/>
                <w:bCs/>
                <w:sz w:val="21"/>
                <w:szCs w:val="21"/>
              </w:rPr>
            </w:pPr>
            <w:r>
              <w:rPr>
                <w:b/>
                <w:bCs/>
                <w:sz w:val="21"/>
                <w:szCs w:val="21"/>
              </w:rPr>
              <w:t>IDV (B)</w:t>
            </w:r>
          </w:p>
        </w:tc>
        <w:tc>
          <w:tcPr>
            <w:tcW w:w="2127" w:type="dxa"/>
          </w:tcPr>
          <w:p w14:paraId="1A3FA403" w14:textId="77777777" w:rsidR="00EF5B30" w:rsidRDefault="00EF5B30" w:rsidP="00EF5B30">
            <w:pPr>
              <w:jc w:val="center"/>
              <w:rPr>
                <w:sz w:val="21"/>
                <w:szCs w:val="21"/>
              </w:rPr>
            </w:pPr>
            <w:r>
              <w:rPr>
                <w:sz w:val="21"/>
                <w:szCs w:val="21"/>
              </w:rPr>
              <w:t>.00248**</w:t>
            </w:r>
          </w:p>
          <w:p w14:paraId="1683C5CF" w14:textId="77777777" w:rsidR="00EF5B30" w:rsidRDefault="00EF5B30" w:rsidP="00EF5B30">
            <w:pPr>
              <w:jc w:val="center"/>
              <w:rPr>
                <w:sz w:val="21"/>
                <w:szCs w:val="21"/>
              </w:rPr>
            </w:pPr>
            <w:r>
              <w:rPr>
                <w:sz w:val="21"/>
                <w:szCs w:val="21"/>
              </w:rPr>
              <w:t>(.0010)</w:t>
            </w:r>
          </w:p>
        </w:tc>
        <w:tc>
          <w:tcPr>
            <w:tcW w:w="2126" w:type="dxa"/>
          </w:tcPr>
          <w:p w14:paraId="58484AF3" w14:textId="77777777" w:rsidR="00EF5B30" w:rsidRDefault="00EF5B30" w:rsidP="00EF5B30">
            <w:pPr>
              <w:jc w:val="center"/>
              <w:rPr>
                <w:sz w:val="21"/>
                <w:szCs w:val="21"/>
              </w:rPr>
            </w:pPr>
          </w:p>
        </w:tc>
        <w:tc>
          <w:tcPr>
            <w:tcW w:w="1928" w:type="dxa"/>
          </w:tcPr>
          <w:p w14:paraId="68702152" w14:textId="77777777" w:rsidR="00EF5B30" w:rsidRDefault="00EF5B30" w:rsidP="00EF5B30">
            <w:pPr>
              <w:jc w:val="center"/>
              <w:rPr>
                <w:sz w:val="21"/>
                <w:szCs w:val="21"/>
              </w:rPr>
            </w:pPr>
            <w:r>
              <w:rPr>
                <w:sz w:val="21"/>
                <w:szCs w:val="21"/>
              </w:rPr>
              <w:t>.00234*</w:t>
            </w:r>
          </w:p>
          <w:p w14:paraId="30BB26D9" w14:textId="77777777" w:rsidR="00EF5B30" w:rsidRDefault="00EF5B30" w:rsidP="00EF5B30">
            <w:pPr>
              <w:jc w:val="center"/>
              <w:rPr>
                <w:sz w:val="21"/>
                <w:szCs w:val="21"/>
              </w:rPr>
            </w:pPr>
            <w:r>
              <w:rPr>
                <w:sz w:val="21"/>
                <w:szCs w:val="21"/>
              </w:rPr>
              <w:t>(.0012)</w:t>
            </w:r>
          </w:p>
        </w:tc>
      </w:tr>
      <w:tr w:rsidR="00EF5B30" w14:paraId="3E4C8A36" w14:textId="77777777" w:rsidTr="00EF5B30">
        <w:tc>
          <w:tcPr>
            <w:tcW w:w="2835" w:type="dxa"/>
          </w:tcPr>
          <w:p w14:paraId="7DCB5D35" w14:textId="77777777" w:rsidR="00EF5B30" w:rsidRDefault="00EF5B30" w:rsidP="00EF5B30">
            <w:pPr>
              <w:rPr>
                <w:b/>
                <w:bCs/>
                <w:sz w:val="21"/>
                <w:szCs w:val="21"/>
              </w:rPr>
            </w:pPr>
            <w:r>
              <w:rPr>
                <w:b/>
                <w:bCs/>
                <w:sz w:val="21"/>
                <w:szCs w:val="21"/>
              </w:rPr>
              <w:t>MAS (B)</w:t>
            </w:r>
          </w:p>
        </w:tc>
        <w:tc>
          <w:tcPr>
            <w:tcW w:w="2127" w:type="dxa"/>
          </w:tcPr>
          <w:p w14:paraId="7DC3A792" w14:textId="77777777" w:rsidR="00EF5B30" w:rsidRDefault="00EF5B30" w:rsidP="00EF5B30">
            <w:pPr>
              <w:jc w:val="center"/>
              <w:rPr>
                <w:sz w:val="21"/>
                <w:szCs w:val="21"/>
              </w:rPr>
            </w:pPr>
            <w:r>
              <w:rPr>
                <w:sz w:val="21"/>
                <w:szCs w:val="21"/>
              </w:rPr>
              <w:t>-.00072</w:t>
            </w:r>
          </w:p>
          <w:p w14:paraId="56008CD7" w14:textId="77777777" w:rsidR="00EF5B30" w:rsidRDefault="00EF5B30" w:rsidP="00EF5B30">
            <w:pPr>
              <w:jc w:val="center"/>
              <w:rPr>
                <w:sz w:val="21"/>
                <w:szCs w:val="21"/>
              </w:rPr>
            </w:pPr>
            <w:r>
              <w:rPr>
                <w:sz w:val="21"/>
                <w:szCs w:val="21"/>
              </w:rPr>
              <w:t>(.0015)</w:t>
            </w:r>
          </w:p>
        </w:tc>
        <w:tc>
          <w:tcPr>
            <w:tcW w:w="2126" w:type="dxa"/>
          </w:tcPr>
          <w:p w14:paraId="6E27F73C" w14:textId="77777777" w:rsidR="00EF5B30" w:rsidRDefault="00EF5B30" w:rsidP="00EF5B30">
            <w:pPr>
              <w:jc w:val="center"/>
              <w:rPr>
                <w:sz w:val="21"/>
                <w:szCs w:val="21"/>
              </w:rPr>
            </w:pPr>
          </w:p>
        </w:tc>
        <w:tc>
          <w:tcPr>
            <w:tcW w:w="1928" w:type="dxa"/>
          </w:tcPr>
          <w:p w14:paraId="0E449E8E" w14:textId="77777777" w:rsidR="00EF5B30" w:rsidRDefault="00EF5B30" w:rsidP="00EF5B30">
            <w:pPr>
              <w:jc w:val="center"/>
              <w:rPr>
                <w:sz w:val="21"/>
                <w:szCs w:val="21"/>
              </w:rPr>
            </w:pPr>
            <w:r>
              <w:rPr>
                <w:sz w:val="21"/>
                <w:szCs w:val="21"/>
              </w:rPr>
              <w:t>.00031</w:t>
            </w:r>
          </w:p>
          <w:p w14:paraId="79835478" w14:textId="77777777" w:rsidR="00EF5B30" w:rsidRDefault="00EF5B30" w:rsidP="00EF5B30">
            <w:pPr>
              <w:jc w:val="center"/>
              <w:rPr>
                <w:sz w:val="21"/>
                <w:szCs w:val="21"/>
              </w:rPr>
            </w:pPr>
            <w:r>
              <w:rPr>
                <w:sz w:val="21"/>
                <w:szCs w:val="21"/>
              </w:rPr>
              <w:t>(.0011)</w:t>
            </w:r>
          </w:p>
        </w:tc>
      </w:tr>
      <w:tr w:rsidR="00EF5B30" w14:paraId="5E9F51F6" w14:textId="77777777" w:rsidTr="00EF5B30">
        <w:tc>
          <w:tcPr>
            <w:tcW w:w="2835" w:type="dxa"/>
          </w:tcPr>
          <w:p w14:paraId="195F14F5" w14:textId="77777777" w:rsidR="00EF5B30" w:rsidRDefault="00EF5B30" w:rsidP="00EF5B30">
            <w:pPr>
              <w:rPr>
                <w:b/>
                <w:bCs/>
                <w:sz w:val="21"/>
                <w:szCs w:val="21"/>
              </w:rPr>
            </w:pPr>
            <w:r>
              <w:rPr>
                <w:b/>
                <w:bCs/>
                <w:sz w:val="21"/>
                <w:szCs w:val="21"/>
              </w:rPr>
              <w:t>LTO (B)</w:t>
            </w:r>
          </w:p>
        </w:tc>
        <w:tc>
          <w:tcPr>
            <w:tcW w:w="2127" w:type="dxa"/>
          </w:tcPr>
          <w:p w14:paraId="6FB3BE96" w14:textId="77777777" w:rsidR="00EF5B30" w:rsidRDefault="00EF5B30" w:rsidP="00EF5B30">
            <w:pPr>
              <w:jc w:val="center"/>
              <w:rPr>
                <w:sz w:val="21"/>
                <w:szCs w:val="21"/>
              </w:rPr>
            </w:pPr>
            <w:r>
              <w:rPr>
                <w:sz w:val="21"/>
                <w:szCs w:val="21"/>
              </w:rPr>
              <w:t>.00269***</w:t>
            </w:r>
          </w:p>
          <w:p w14:paraId="5DA37A8D" w14:textId="77777777" w:rsidR="00EF5B30" w:rsidRDefault="00EF5B30" w:rsidP="00EF5B30">
            <w:pPr>
              <w:jc w:val="center"/>
              <w:rPr>
                <w:sz w:val="21"/>
                <w:szCs w:val="21"/>
              </w:rPr>
            </w:pPr>
            <w:r>
              <w:rPr>
                <w:sz w:val="21"/>
                <w:szCs w:val="21"/>
              </w:rPr>
              <w:t>(.0009)</w:t>
            </w:r>
          </w:p>
        </w:tc>
        <w:tc>
          <w:tcPr>
            <w:tcW w:w="2126" w:type="dxa"/>
          </w:tcPr>
          <w:p w14:paraId="63A14904" w14:textId="77777777" w:rsidR="00EF5B30" w:rsidRDefault="00EF5B30" w:rsidP="00EF5B30">
            <w:pPr>
              <w:jc w:val="center"/>
              <w:rPr>
                <w:sz w:val="21"/>
                <w:szCs w:val="21"/>
              </w:rPr>
            </w:pPr>
          </w:p>
        </w:tc>
        <w:tc>
          <w:tcPr>
            <w:tcW w:w="1928" w:type="dxa"/>
          </w:tcPr>
          <w:p w14:paraId="3D7AF778" w14:textId="77777777" w:rsidR="00EF5B30" w:rsidRDefault="00EF5B30" w:rsidP="00EF5B30">
            <w:pPr>
              <w:jc w:val="center"/>
              <w:rPr>
                <w:sz w:val="21"/>
                <w:szCs w:val="21"/>
              </w:rPr>
            </w:pPr>
            <w:r>
              <w:rPr>
                <w:sz w:val="21"/>
                <w:szCs w:val="21"/>
              </w:rPr>
              <w:t>.00277***</w:t>
            </w:r>
          </w:p>
          <w:p w14:paraId="31748857" w14:textId="77777777" w:rsidR="00EF5B30" w:rsidRDefault="00EF5B30" w:rsidP="00EF5B30">
            <w:pPr>
              <w:jc w:val="center"/>
              <w:rPr>
                <w:sz w:val="21"/>
                <w:szCs w:val="21"/>
              </w:rPr>
            </w:pPr>
            <w:r>
              <w:rPr>
                <w:sz w:val="21"/>
                <w:szCs w:val="21"/>
              </w:rPr>
              <w:t>(.0009)</w:t>
            </w:r>
          </w:p>
        </w:tc>
      </w:tr>
      <w:tr w:rsidR="00EF5B30" w14:paraId="429D5011" w14:textId="77777777" w:rsidTr="00EF5B30">
        <w:tc>
          <w:tcPr>
            <w:tcW w:w="2835" w:type="dxa"/>
          </w:tcPr>
          <w:p w14:paraId="21183AD6" w14:textId="77777777" w:rsidR="00EF5B30" w:rsidRDefault="00EF5B30" w:rsidP="00EF5B30">
            <w:pPr>
              <w:rPr>
                <w:b/>
                <w:bCs/>
                <w:sz w:val="21"/>
                <w:szCs w:val="21"/>
              </w:rPr>
            </w:pPr>
            <w:r>
              <w:rPr>
                <w:i/>
                <w:iCs/>
                <w:sz w:val="21"/>
                <w:szCs w:val="21"/>
              </w:rPr>
              <w:t>ln</w:t>
            </w:r>
            <w:r>
              <w:rPr>
                <w:sz w:val="21"/>
                <w:szCs w:val="21"/>
              </w:rPr>
              <w:t>(GDP per capita) (W)</w:t>
            </w:r>
          </w:p>
        </w:tc>
        <w:tc>
          <w:tcPr>
            <w:tcW w:w="2127" w:type="dxa"/>
          </w:tcPr>
          <w:p w14:paraId="3995EFDF" w14:textId="77777777" w:rsidR="00EF5B30" w:rsidRDefault="00EF5B30" w:rsidP="00EF5B30">
            <w:pPr>
              <w:jc w:val="center"/>
              <w:rPr>
                <w:sz w:val="21"/>
                <w:szCs w:val="21"/>
              </w:rPr>
            </w:pPr>
          </w:p>
        </w:tc>
        <w:tc>
          <w:tcPr>
            <w:tcW w:w="2126" w:type="dxa"/>
          </w:tcPr>
          <w:p w14:paraId="48200678" w14:textId="77777777" w:rsidR="00EF5B30" w:rsidRDefault="00EF5B30" w:rsidP="00EF5B30">
            <w:pPr>
              <w:jc w:val="center"/>
              <w:rPr>
                <w:sz w:val="21"/>
                <w:szCs w:val="21"/>
              </w:rPr>
            </w:pPr>
            <w:r>
              <w:rPr>
                <w:sz w:val="21"/>
                <w:szCs w:val="21"/>
              </w:rPr>
              <w:t>.00754</w:t>
            </w:r>
          </w:p>
          <w:p w14:paraId="0FA4F5E0" w14:textId="77777777" w:rsidR="00EF5B30" w:rsidRDefault="00EF5B30" w:rsidP="00EF5B30">
            <w:pPr>
              <w:jc w:val="center"/>
              <w:rPr>
                <w:sz w:val="21"/>
                <w:szCs w:val="21"/>
              </w:rPr>
            </w:pPr>
            <w:r>
              <w:rPr>
                <w:sz w:val="21"/>
                <w:szCs w:val="21"/>
              </w:rPr>
              <w:t>(.0371)</w:t>
            </w:r>
          </w:p>
        </w:tc>
        <w:tc>
          <w:tcPr>
            <w:tcW w:w="1928" w:type="dxa"/>
          </w:tcPr>
          <w:p w14:paraId="46794267" w14:textId="77777777" w:rsidR="00EF5B30" w:rsidRDefault="00EF5B30" w:rsidP="00EF5B30">
            <w:pPr>
              <w:jc w:val="center"/>
              <w:rPr>
                <w:sz w:val="21"/>
                <w:szCs w:val="21"/>
              </w:rPr>
            </w:pPr>
            <w:r>
              <w:rPr>
                <w:sz w:val="21"/>
                <w:szCs w:val="21"/>
              </w:rPr>
              <w:t>.02574</w:t>
            </w:r>
          </w:p>
          <w:p w14:paraId="34F553D1" w14:textId="77777777" w:rsidR="00EF5B30" w:rsidRDefault="00EF5B30" w:rsidP="00EF5B30">
            <w:pPr>
              <w:jc w:val="center"/>
              <w:rPr>
                <w:sz w:val="21"/>
                <w:szCs w:val="21"/>
              </w:rPr>
            </w:pPr>
            <w:r>
              <w:rPr>
                <w:sz w:val="21"/>
                <w:szCs w:val="21"/>
              </w:rPr>
              <w:t>(.0416)</w:t>
            </w:r>
          </w:p>
        </w:tc>
      </w:tr>
      <w:tr w:rsidR="00EF5B30" w14:paraId="03776C05" w14:textId="77777777" w:rsidTr="00EF5B30">
        <w:tc>
          <w:tcPr>
            <w:tcW w:w="2835" w:type="dxa"/>
          </w:tcPr>
          <w:p w14:paraId="28157F88" w14:textId="77777777" w:rsidR="00EF5B30" w:rsidRDefault="00EF5B30" w:rsidP="00EF5B30">
            <w:pPr>
              <w:rPr>
                <w:sz w:val="21"/>
                <w:szCs w:val="21"/>
              </w:rPr>
            </w:pPr>
            <w:r>
              <w:rPr>
                <w:sz w:val="21"/>
                <w:szCs w:val="21"/>
              </w:rPr>
              <w:t>Unemployment rate (W)</w:t>
            </w:r>
          </w:p>
        </w:tc>
        <w:tc>
          <w:tcPr>
            <w:tcW w:w="2127" w:type="dxa"/>
          </w:tcPr>
          <w:p w14:paraId="5BCA58B3" w14:textId="77777777" w:rsidR="00EF5B30" w:rsidRDefault="00EF5B30" w:rsidP="00EF5B30">
            <w:pPr>
              <w:jc w:val="center"/>
              <w:rPr>
                <w:sz w:val="21"/>
                <w:szCs w:val="21"/>
              </w:rPr>
            </w:pPr>
          </w:p>
        </w:tc>
        <w:tc>
          <w:tcPr>
            <w:tcW w:w="2126" w:type="dxa"/>
          </w:tcPr>
          <w:p w14:paraId="7CB9B220" w14:textId="77777777" w:rsidR="00EF5B30" w:rsidRDefault="00EF5B30" w:rsidP="00EF5B30">
            <w:pPr>
              <w:jc w:val="center"/>
              <w:rPr>
                <w:sz w:val="21"/>
                <w:szCs w:val="21"/>
              </w:rPr>
            </w:pPr>
            <w:r>
              <w:rPr>
                <w:sz w:val="21"/>
                <w:szCs w:val="21"/>
              </w:rPr>
              <w:t>-.00570*</w:t>
            </w:r>
          </w:p>
          <w:p w14:paraId="7AF3736D" w14:textId="77777777" w:rsidR="00EF5B30" w:rsidRDefault="00EF5B30" w:rsidP="00EF5B30">
            <w:pPr>
              <w:jc w:val="center"/>
              <w:rPr>
                <w:sz w:val="21"/>
                <w:szCs w:val="21"/>
              </w:rPr>
            </w:pPr>
            <w:r>
              <w:rPr>
                <w:sz w:val="21"/>
                <w:szCs w:val="21"/>
              </w:rPr>
              <w:t>(.0033)</w:t>
            </w:r>
          </w:p>
        </w:tc>
        <w:tc>
          <w:tcPr>
            <w:tcW w:w="1928" w:type="dxa"/>
          </w:tcPr>
          <w:p w14:paraId="68A01BE6" w14:textId="77777777" w:rsidR="00EF5B30" w:rsidRDefault="00EF5B30" w:rsidP="00EF5B30">
            <w:pPr>
              <w:jc w:val="center"/>
              <w:rPr>
                <w:sz w:val="21"/>
                <w:szCs w:val="21"/>
              </w:rPr>
            </w:pPr>
            <w:r>
              <w:rPr>
                <w:sz w:val="21"/>
                <w:szCs w:val="21"/>
              </w:rPr>
              <w:t>-.00491</w:t>
            </w:r>
          </w:p>
          <w:p w14:paraId="615B37C5" w14:textId="77777777" w:rsidR="00EF5B30" w:rsidRDefault="00EF5B30" w:rsidP="00EF5B30">
            <w:pPr>
              <w:jc w:val="center"/>
              <w:rPr>
                <w:sz w:val="21"/>
                <w:szCs w:val="21"/>
              </w:rPr>
            </w:pPr>
            <w:r>
              <w:rPr>
                <w:sz w:val="21"/>
                <w:szCs w:val="21"/>
              </w:rPr>
              <w:t>(.0033)</w:t>
            </w:r>
          </w:p>
        </w:tc>
      </w:tr>
      <w:tr w:rsidR="00EF5B30" w14:paraId="3B046CDE" w14:textId="77777777" w:rsidTr="00EF5B30">
        <w:tc>
          <w:tcPr>
            <w:tcW w:w="2835" w:type="dxa"/>
          </w:tcPr>
          <w:p w14:paraId="17779B10" w14:textId="77777777" w:rsidR="00EF5B30" w:rsidRDefault="00EF5B30" w:rsidP="00EF5B30">
            <w:pPr>
              <w:rPr>
                <w:sz w:val="21"/>
                <w:szCs w:val="21"/>
              </w:rPr>
            </w:pPr>
            <w:r>
              <w:rPr>
                <w:sz w:val="21"/>
                <w:szCs w:val="21"/>
              </w:rPr>
              <w:t>Fem-to-Male labour participation (W)</w:t>
            </w:r>
          </w:p>
        </w:tc>
        <w:tc>
          <w:tcPr>
            <w:tcW w:w="2127" w:type="dxa"/>
          </w:tcPr>
          <w:p w14:paraId="628484D6" w14:textId="77777777" w:rsidR="00EF5B30" w:rsidRDefault="00EF5B30" w:rsidP="00EF5B30">
            <w:pPr>
              <w:jc w:val="center"/>
              <w:rPr>
                <w:sz w:val="21"/>
                <w:szCs w:val="21"/>
              </w:rPr>
            </w:pPr>
          </w:p>
        </w:tc>
        <w:tc>
          <w:tcPr>
            <w:tcW w:w="2126" w:type="dxa"/>
          </w:tcPr>
          <w:p w14:paraId="10E8DF49" w14:textId="77777777" w:rsidR="00EF5B30" w:rsidRDefault="00EF5B30" w:rsidP="00EF5B30">
            <w:pPr>
              <w:jc w:val="center"/>
              <w:rPr>
                <w:sz w:val="21"/>
                <w:szCs w:val="21"/>
              </w:rPr>
            </w:pPr>
            <w:r>
              <w:rPr>
                <w:sz w:val="21"/>
                <w:szCs w:val="21"/>
              </w:rPr>
              <w:t>-.00392</w:t>
            </w:r>
          </w:p>
          <w:p w14:paraId="50CAA951" w14:textId="77777777" w:rsidR="00EF5B30" w:rsidRDefault="00EF5B30" w:rsidP="00EF5B30">
            <w:pPr>
              <w:jc w:val="center"/>
              <w:rPr>
                <w:sz w:val="21"/>
                <w:szCs w:val="21"/>
              </w:rPr>
            </w:pPr>
            <w:r>
              <w:rPr>
                <w:sz w:val="21"/>
                <w:szCs w:val="21"/>
              </w:rPr>
              <w:t>(.0043)</w:t>
            </w:r>
          </w:p>
        </w:tc>
        <w:tc>
          <w:tcPr>
            <w:tcW w:w="1928" w:type="dxa"/>
          </w:tcPr>
          <w:p w14:paraId="09CE724E" w14:textId="77777777" w:rsidR="00EF5B30" w:rsidRDefault="00EF5B30" w:rsidP="00EF5B30">
            <w:pPr>
              <w:jc w:val="center"/>
              <w:rPr>
                <w:sz w:val="21"/>
                <w:szCs w:val="21"/>
              </w:rPr>
            </w:pPr>
            <w:r>
              <w:rPr>
                <w:sz w:val="21"/>
                <w:szCs w:val="21"/>
              </w:rPr>
              <w:t>-.00643</w:t>
            </w:r>
          </w:p>
          <w:p w14:paraId="5003C0B3" w14:textId="77777777" w:rsidR="00EF5B30" w:rsidRDefault="00EF5B30" w:rsidP="00EF5B30">
            <w:pPr>
              <w:jc w:val="center"/>
              <w:rPr>
                <w:sz w:val="21"/>
                <w:szCs w:val="21"/>
              </w:rPr>
            </w:pPr>
            <w:r>
              <w:rPr>
                <w:sz w:val="21"/>
                <w:szCs w:val="21"/>
              </w:rPr>
              <w:t>(.0046)</w:t>
            </w:r>
          </w:p>
        </w:tc>
      </w:tr>
      <w:tr w:rsidR="00EF5B30" w14:paraId="252705FE" w14:textId="77777777" w:rsidTr="00EF5B30">
        <w:tc>
          <w:tcPr>
            <w:tcW w:w="2835" w:type="dxa"/>
          </w:tcPr>
          <w:p w14:paraId="33D15252" w14:textId="77777777" w:rsidR="00EF5B30" w:rsidRDefault="00EF5B30" w:rsidP="00EF5B30">
            <w:pPr>
              <w:rPr>
                <w:b/>
                <w:bCs/>
                <w:sz w:val="21"/>
                <w:szCs w:val="21"/>
              </w:rPr>
            </w:pPr>
            <w:r>
              <w:rPr>
                <w:sz w:val="21"/>
                <w:szCs w:val="21"/>
              </w:rPr>
              <w:t>Fem. gross enrolment in 2ndary education (B)</w:t>
            </w:r>
          </w:p>
        </w:tc>
        <w:tc>
          <w:tcPr>
            <w:tcW w:w="2127" w:type="dxa"/>
          </w:tcPr>
          <w:p w14:paraId="004FED2F" w14:textId="77777777" w:rsidR="00EF5B30" w:rsidRDefault="00EF5B30" w:rsidP="00EF5B30">
            <w:pPr>
              <w:jc w:val="center"/>
              <w:rPr>
                <w:sz w:val="21"/>
                <w:szCs w:val="21"/>
              </w:rPr>
            </w:pPr>
          </w:p>
        </w:tc>
        <w:tc>
          <w:tcPr>
            <w:tcW w:w="2126" w:type="dxa"/>
          </w:tcPr>
          <w:p w14:paraId="154ACBF0" w14:textId="77777777" w:rsidR="00EF5B30" w:rsidRDefault="00EF5B30" w:rsidP="00EF5B30">
            <w:pPr>
              <w:jc w:val="center"/>
              <w:rPr>
                <w:sz w:val="21"/>
                <w:szCs w:val="21"/>
              </w:rPr>
            </w:pPr>
            <w:r>
              <w:rPr>
                <w:sz w:val="21"/>
                <w:szCs w:val="21"/>
              </w:rPr>
              <w:t>.00093</w:t>
            </w:r>
          </w:p>
          <w:p w14:paraId="717E81F0" w14:textId="77777777" w:rsidR="00EF5B30" w:rsidRDefault="00EF5B30" w:rsidP="00EF5B30">
            <w:pPr>
              <w:jc w:val="center"/>
              <w:rPr>
                <w:sz w:val="21"/>
                <w:szCs w:val="21"/>
              </w:rPr>
            </w:pPr>
            <w:r>
              <w:rPr>
                <w:sz w:val="21"/>
                <w:szCs w:val="21"/>
              </w:rPr>
              <w:t>(.0013)</w:t>
            </w:r>
          </w:p>
        </w:tc>
        <w:tc>
          <w:tcPr>
            <w:tcW w:w="1928" w:type="dxa"/>
          </w:tcPr>
          <w:p w14:paraId="1D4BD4E6" w14:textId="77777777" w:rsidR="00EF5B30" w:rsidRDefault="00EF5B30" w:rsidP="00EF5B30">
            <w:pPr>
              <w:jc w:val="center"/>
              <w:rPr>
                <w:sz w:val="21"/>
                <w:szCs w:val="21"/>
              </w:rPr>
            </w:pPr>
            <w:r>
              <w:rPr>
                <w:sz w:val="21"/>
                <w:szCs w:val="21"/>
              </w:rPr>
              <w:t>.00300**</w:t>
            </w:r>
          </w:p>
          <w:p w14:paraId="0133393A" w14:textId="77777777" w:rsidR="00EF5B30" w:rsidRDefault="00EF5B30" w:rsidP="00EF5B30">
            <w:pPr>
              <w:jc w:val="center"/>
              <w:rPr>
                <w:sz w:val="21"/>
                <w:szCs w:val="21"/>
              </w:rPr>
            </w:pPr>
            <w:r>
              <w:rPr>
                <w:sz w:val="21"/>
                <w:szCs w:val="21"/>
              </w:rPr>
              <w:t>(.0014)</w:t>
            </w:r>
          </w:p>
        </w:tc>
      </w:tr>
      <w:tr w:rsidR="00EF5B30" w14:paraId="080CDF6B" w14:textId="77777777" w:rsidTr="00EF5B30">
        <w:tc>
          <w:tcPr>
            <w:tcW w:w="2835" w:type="dxa"/>
          </w:tcPr>
          <w:p w14:paraId="651DA349" w14:textId="77777777" w:rsidR="00EF5B30" w:rsidRDefault="00EF5B30" w:rsidP="00EF5B30">
            <w:pPr>
              <w:rPr>
                <w:b/>
                <w:bCs/>
                <w:sz w:val="21"/>
                <w:szCs w:val="21"/>
              </w:rPr>
            </w:pPr>
            <w:r>
              <w:rPr>
                <w:i/>
                <w:iCs/>
                <w:sz w:val="21"/>
                <w:szCs w:val="21"/>
              </w:rPr>
              <w:t>ln</w:t>
            </w:r>
            <w:r>
              <w:rPr>
                <w:sz w:val="21"/>
                <w:szCs w:val="21"/>
              </w:rPr>
              <w:t>(GDP per capita) (B)</w:t>
            </w:r>
          </w:p>
        </w:tc>
        <w:tc>
          <w:tcPr>
            <w:tcW w:w="2127" w:type="dxa"/>
          </w:tcPr>
          <w:p w14:paraId="3D0E0DD6" w14:textId="77777777" w:rsidR="00EF5B30" w:rsidRDefault="00EF5B30" w:rsidP="00EF5B30">
            <w:pPr>
              <w:jc w:val="center"/>
              <w:rPr>
                <w:sz w:val="21"/>
                <w:szCs w:val="21"/>
              </w:rPr>
            </w:pPr>
          </w:p>
        </w:tc>
        <w:tc>
          <w:tcPr>
            <w:tcW w:w="2126" w:type="dxa"/>
          </w:tcPr>
          <w:p w14:paraId="5F359286" w14:textId="77777777" w:rsidR="00EF5B30" w:rsidRDefault="00EF5B30" w:rsidP="00EF5B30">
            <w:pPr>
              <w:jc w:val="center"/>
              <w:rPr>
                <w:sz w:val="21"/>
                <w:szCs w:val="21"/>
              </w:rPr>
            </w:pPr>
            <w:r>
              <w:rPr>
                <w:sz w:val="21"/>
                <w:szCs w:val="21"/>
              </w:rPr>
              <w:t>-.00576</w:t>
            </w:r>
          </w:p>
          <w:p w14:paraId="2542F8F8" w14:textId="77777777" w:rsidR="00EF5B30" w:rsidRDefault="00EF5B30" w:rsidP="00EF5B30">
            <w:pPr>
              <w:jc w:val="center"/>
              <w:rPr>
                <w:sz w:val="21"/>
                <w:szCs w:val="21"/>
              </w:rPr>
            </w:pPr>
            <w:r>
              <w:rPr>
                <w:sz w:val="21"/>
                <w:szCs w:val="21"/>
              </w:rPr>
              <w:t>(.0236)</w:t>
            </w:r>
          </w:p>
        </w:tc>
        <w:tc>
          <w:tcPr>
            <w:tcW w:w="1928" w:type="dxa"/>
          </w:tcPr>
          <w:p w14:paraId="15561737" w14:textId="77777777" w:rsidR="00EF5B30" w:rsidRDefault="00EF5B30" w:rsidP="00EF5B30">
            <w:pPr>
              <w:jc w:val="center"/>
              <w:rPr>
                <w:sz w:val="21"/>
                <w:szCs w:val="21"/>
              </w:rPr>
            </w:pPr>
            <w:r>
              <w:rPr>
                <w:sz w:val="21"/>
                <w:szCs w:val="21"/>
              </w:rPr>
              <w:t>-.04795*</w:t>
            </w:r>
          </w:p>
          <w:p w14:paraId="22C559A5" w14:textId="77777777" w:rsidR="00EF5B30" w:rsidRDefault="00EF5B30" w:rsidP="00EF5B30">
            <w:pPr>
              <w:jc w:val="center"/>
              <w:rPr>
                <w:sz w:val="21"/>
                <w:szCs w:val="21"/>
              </w:rPr>
            </w:pPr>
            <w:r>
              <w:rPr>
                <w:sz w:val="21"/>
                <w:szCs w:val="21"/>
              </w:rPr>
              <w:t>(.0282)</w:t>
            </w:r>
          </w:p>
        </w:tc>
      </w:tr>
      <w:tr w:rsidR="00EF5B30" w14:paraId="4779DEB4" w14:textId="77777777" w:rsidTr="00EF5B30">
        <w:tc>
          <w:tcPr>
            <w:tcW w:w="2835" w:type="dxa"/>
          </w:tcPr>
          <w:p w14:paraId="70E3C27E" w14:textId="77777777" w:rsidR="00EF5B30" w:rsidRDefault="00EF5B30" w:rsidP="00EF5B30">
            <w:pPr>
              <w:rPr>
                <w:b/>
                <w:bCs/>
                <w:sz w:val="21"/>
                <w:szCs w:val="21"/>
              </w:rPr>
            </w:pPr>
            <w:r>
              <w:rPr>
                <w:sz w:val="21"/>
                <w:szCs w:val="21"/>
              </w:rPr>
              <w:t>Unemployment rate (B)</w:t>
            </w:r>
          </w:p>
        </w:tc>
        <w:tc>
          <w:tcPr>
            <w:tcW w:w="2127" w:type="dxa"/>
          </w:tcPr>
          <w:p w14:paraId="6CA94592" w14:textId="77777777" w:rsidR="00EF5B30" w:rsidRDefault="00EF5B30" w:rsidP="00EF5B30">
            <w:pPr>
              <w:jc w:val="center"/>
              <w:rPr>
                <w:sz w:val="21"/>
                <w:szCs w:val="21"/>
              </w:rPr>
            </w:pPr>
          </w:p>
        </w:tc>
        <w:tc>
          <w:tcPr>
            <w:tcW w:w="2126" w:type="dxa"/>
          </w:tcPr>
          <w:p w14:paraId="34DEDE29" w14:textId="77777777" w:rsidR="00EF5B30" w:rsidRDefault="00EF5B30" w:rsidP="00EF5B30">
            <w:pPr>
              <w:jc w:val="center"/>
              <w:rPr>
                <w:sz w:val="21"/>
                <w:szCs w:val="21"/>
              </w:rPr>
            </w:pPr>
            <w:r>
              <w:rPr>
                <w:sz w:val="21"/>
                <w:szCs w:val="21"/>
              </w:rPr>
              <w:t>.01126**</w:t>
            </w:r>
          </w:p>
          <w:p w14:paraId="64FDA8ED" w14:textId="77777777" w:rsidR="00EF5B30" w:rsidRDefault="00EF5B30" w:rsidP="00EF5B30">
            <w:pPr>
              <w:jc w:val="center"/>
              <w:rPr>
                <w:sz w:val="21"/>
                <w:szCs w:val="21"/>
              </w:rPr>
            </w:pPr>
            <w:r>
              <w:rPr>
                <w:sz w:val="21"/>
                <w:szCs w:val="21"/>
              </w:rPr>
              <w:t>(.0048)</w:t>
            </w:r>
          </w:p>
        </w:tc>
        <w:tc>
          <w:tcPr>
            <w:tcW w:w="1928" w:type="dxa"/>
          </w:tcPr>
          <w:p w14:paraId="72468AB9" w14:textId="77777777" w:rsidR="00EF5B30" w:rsidRDefault="00EF5B30" w:rsidP="00EF5B30">
            <w:pPr>
              <w:jc w:val="center"/>
              <w:rPr>
                <w:sz w:val="21"/>
                <w:szCs w:val="21"/>
              </w:rPr>
            </w:pPr>
            <w:r>
              <w:rPr>
                <w:sz w:val="21"/>
                <w:szCs w:val="21"/>
              </w:rPr>
              <w:t>.00912</w:t>
            </w:r>
          </w:p>
          <w:p w14:paraId="1744DA5D" w14:textId="77777777" w:rsidR="00EF5B30" w:rsidRDefault="00EF5B30" w:rsidP="00EF5B30">
            <w:pPr>
              <w:jc w:val="center"/>
              <w:rPr>
                <w:sz w:val="21"/>
                <w:szCs w:val="21"/>
              </w:rPr>
            </w:pPr>
            <w:r>
              <w:rPr>
                <w:sz w:val="21"/>
                <w:szCs w:val="21"/>
              </w:rPr>
              <w:t>(.0063)</w:t>
            </w:r>
          </w:p>
        </w:tc>
      </w:tr>
      <w:tr w:rsidR="00EF5B30" w14:paraId="0C3BDF1B" w14:textId="77777777" w:rsidTr="00EF5B30">
        <w:tc>
          <w:tcPr>
            <w:tcW w:w="2835" w:type="dxa"/>
            <w:tcBorders>
              <w:bottom w:val="single" w:sz="4" w:space="0" w:color="000000"/>
            </w:tcBorders>
          </w:tcPr>
          <w:p w14:paraId="29616CB8" w14:textId="77777777" w:rsidR="00EF5B30" w:rsidRDefault="00EF5B30" w:rsidP="00EF5B30">
            <w:pPr>
              <w:rPr>
                <w:b/>
                <w:bCs/>
                <w:sz w:val="21"/>
                <w:szCs w:val="21"/>
              </w:rPr>
            </w:pPr>
            <w:r>
              <w:rPr>
                <w:sz w:val="21"/>
                <w:szCs w:val="21"/>
              </w:rPr>
              <w:t xml:space="preserve">Fem-to-Male </w:t>
            </w:r>
            <w:proofErr w:type="spellStart"/>
            <w:r>
              <w:rPr>
                <w:sz w:val="21"/>
                <w:szCs w:val="21"/>
              </w:rPr>
              <w:t>labor</w:t>
            </w:r>
            <w:proofErr w:type="spellEnd"/>
            <w:r>
              <w:rPr>
                <w:sz w:val="21"/>
                <w:szCs w:val="21"/>
              </w:rPr>
              <w:t xml:space="preserve"> participation (B)</w:t>
            </w:r>
          </w:p>
        </w:tc>
        <w:tc>
          <w:tcPr>
            <w:tcW w:w="2127" w:type="dxa"/>
            <w:tcBorders>
              <w:bottom w:val="single" w:sz="4" w:space="0" w:color="000000"/>
            </w:tcBorders>
          </w:tcPr>
          <w:p w14:paraId="199493B5" w14:textId="77777777" w:rsidR="00EF5B30" w:rsidRDefault="00EF5B30" w:rsidP="00EF5B30">
            <w:pPr>
              <w:jc w:val="center"/>
              <w:rPr>
                <w:sz w:val="21"/>
                <w:szCs w:val="21"/>
              </w:rPr>
            </w:pPr>
          </w:p>
        </w:tc>
        <w:tc>
          <w:tcPr>
            <w:tcW w:w="2126" w:type="dxa"/>
            <w:tcBorders>
              <w:bottom w:val="single" w:sz="4" w:space="0" w:color="000000"/>
            </w:tcBorders>
          </w:tcPr>
          <w:p w14:paraId="73F33774" w14:textId="77777777" w:rsidR="00EF5B30" w:rsidRDefault="00EF5B30" w:rsidP="00EF5B30">
            <w:pPr>
              <w:jc w:val="center"/>
              <w:rPr>
                <w:sz w:val="21"/>
                <w:szCs w:val="21"/>
              </w:rPr>
            </w:pPr>
            <w:r>
              <w:rPr>
                <w:sz w:val="21"/>
                <w:szCs w:val="21"/>
              </w:rPr>
              <w:t>.00479***</w:t>
            </w:r>
          </w:p>
          <w:p w14:paraId="54A35FE4" w14:textId="77777777" w:rsidR="00EF5B30" w:rsidRDefault="00EF5B30" w:rsidP="00EF5B30">
            <w:pPr>
              <w:jc w:val="center"/>
              <w:rPr>
                <w:sz w:val="21"/>
                <w:szCs w:val="21"/>
              </w:rPr>
            </w:pPr>
            <w:r>
              <w:rPr>
                <w:sz w:val="21"/>
                <w:szCs w:val="21"/>
              </w:rPr>
              <w:t>(.0013)</w:t>
            </w:r>
          </w:p>
        </w:tc>
        <w:tc>
          <w:tcPr>
            <w:tcW w:w="1928" w:type="dxa"/>
            <w:tcBorders>
              <w:bottom w:val="single" w:sz="4" w:space="0" w:color="000000"/>
            </w:tcBorders>
          </w:tcPr>
          <w:p w14:paraId="1AA28652" w14:textId="77777777" w:rsidR="00EF5B30" w:rsidRDefault="00EF5B30" w:rsidP="00EF5B30">
            <w:pPr>
              <w:jc w:val="center"/>
              <w:rPr>
                <w:sz w:val="21"/>
                <w:szCs w:val="21"/>
              </w:rPr>
            </w:pPr>
            <w:r>
              <w:rPr>
                <w:sz w:val="21"/>
                <w:szCs w:val="21"/>
              </w:rPr>
              <w:t>.00398**</w:t>
            </w:r>
          </w:p>
          <w:p w14:paraId="6807BF1E" w14:textId="77777777" w:rsidR="00EF5B30" w:rsidRDefault="00EF5B30" w:rsidP="00EF5B30">
            <w:pPr>
              <w:jc w:val="center"/>
              <w:rPr>
                <w:sz w:val="21"/>
                <w:szCs w:val="21"/>
              </w:rPr>
            </w:pPr>
            <w:r>
              <w:rPr>
                <w:sz w:val="21"/>
                <w:szCs w:val="21"/>
              </w:rPr>
              <w:t>(.0016)</w:t>
            </w:r>
          </w:p>
        </w:tc>
      </w:tr>
      <w:tr w:rsidR="00EF5B30" w14:paraId="10CF54B6" w14:textId="77777777" w:rsidTr="00EF5B30">
        <w:tc>
          <w:tcPr>
            <w:tcW w:w="2835" w:type="dxa"/>
            <w:tcBorders>
              <w:top w:val="single" w:sz="4" w:space="0" w:color="000000"/>
            </w:tcBorders>
          </w:tcPr>
          <w:p w14:paraId="6FEAD64A" w14:textId="77777777" w:rsidR="00EF5B30" w:rsidRDefault="00EF5B30" w:rsidP="00EF5B30">
            <w:pPr>
              <w:rPr>
                <w:i/>
                <w:iCs/>
                <w:sz w:val="21"/>
                <w:szCs w:val="21"/>
              </w:rPr>
            </w:pPr>
            <w:r>
              <w:rPr>
                <w:i/>
                <w:iCs/>
                <w:sz w:val="21"/>
                <w:szCs w:val="21"/>
              </w:rPr>
              <w:t>N</w:t>
            </w:r>
          </w:p>
        </w:tc>
        <w:tc>
          <w:tcPr>
            <w:tcW w:w="2127" w:type="dxa"/>
            <w:tcBorders>
              <w:top w:val="single" w:sz="4" w:space="0" w:color="000000"/>
            </w:tcBorders>
          </w:tcPr>
          <w:p w14:paraId="1F2BB9AA" w14:textId="77777777" w:rsidR="00EF5B30" w:rsidRDefault="00EF5B30" w:rsidP="00EF5B30">
            <w:pPr>
              <w:jc w:val="center"/>
              <w:rPr>
                <w:sz w:val="21"/>
                <w:szCs w:val="21"/>
              </w:rPr>
            </w:pPr>
            <w:r>
              <w:rPr>
                <w:sz w:val="21"/>
                <w:szCs w:val="21"/>
              </w:rPr>
              <w:t>2076</w:t>
            </w:r>
          </w:p>
        </w:tc>
        <w:tc>
          <w:tcPr>
            <w:tcW w:w="2126" w:type="dxa"/>
            <w:tcBorders>
              <w:top w:val="single" w:sz="4" w:space="0" w:color="000000"/>
            </w:tcBorders>
          </w:tcPr>
          <w:p w14:paraId="6B7E6E12" w14:textId="77777777" w:rsidR="00EF5B30" w:rsidRDefault="00EF5B30" w:rsidP="00EF5B30">
            <w:pPr>
              <w:jc w:val="center"/>
              <w:rPr>
                <w:sz w:val="21"/>
                <w:szCs w:val="21"/>
              </w:rPr>
            </w:pPr>
            <w:r>
              <w:rPr>
                <w:sz w:val="21"/>
                <w:szCs w:val="21"/>
              </w:rPr>
              <w:t>2320</w:t>
            </w:r>
          </w:p>
        </w:tc>
        <w:tc>
          <w:tcPr>
            <w:tcW w:w="1928" w:type="dxa"/>
            <w:tcBorders>
              <w:top w:val="single" w:sz="4" w:space="0" w:color="000000"/>
            </w:tcBorders>
          </w:tcPr>
          <w:p w14:paraId="6C519508" w14:textId="77777777" w:rsidR="00EF5B30" w:rsidRDefault="00EF5B30" w:rsidP="00EF5B30">
            <w:pPr>
              <w:jc w:val="center"/>
              <w:rPr>
                <w:sz w:val="21"/>
                <w:szCs w:val="21"/>
              </w:rPr>
            </w:pPr>
            <w:r>
              <w:rPr>
                <w:sz w:val="21"/>
                <w:szCs w:val="21"/>
              </w:rPr>
              <w:t>2075</w:t>
            </w:r>
          </w:p>
        </w:tc>
      </w:tr>
      <w:tr w:rsidR="00EF5B30" w14:paraId="1C792555" w14:textId="77777777" w:rsidTr="00EF5B30">
        <w:tc>
          <w:tcPr>
            <w:tcW w:w="2835" w:type="dxa"/>
            <w:tcBorders>
              <w:bottom w:val="single" w:sz="4" w:space="0" w:color="000000"/>
            </w:tcBorders>
          </w:tcPr>
          <w:p w14:paraId="7CF186E1" w14:textId="77777777" w:rsidR="00EF5B30" w:rsidRDefault="00EF5B30" w:rsidP="00EF5B30">
            <w:pPr>
              <w:rPr>
                <w:sz w:val="21"/>
                <w:szCs w:val="21"/>
              </w:rPr>
            </w:pPr>
            <w:r>
              <w:rPr>
                <w:sz w:val="21"/>
                <w:szCs w:val="21"/>
              </w:rPr>
              <w:t>Log-likelihood</w:t>
            </w:r>
          </w:p>
        </w:tc>
        <w:tc>
          <w:tcPr>
            <w:tcW w:w="2127" w:type="dxa"/>
            <w:tcBorders>
              <w:bottom w:val="single" w:sz="4" w:space="0" w:color="000000"/>
            </w:tcBorders>
          </w:tcPr>
          <w:p w14:paraId="58D071DA" w14:textId="77777777" w:rsidR="00EF5B30" w:rsidRDefault="00EF5B30" w:rsidP="00EF5B30">
            <w:pPr>
              <w:jc w:val="center"/>
              <w:rPr>
                <w:sz w:val="21"/>
                <w:szCs w:val="21"/>
              </w:rPr>
            </w:pPr>
            <w:r>
              <w:rPr>
                <w:sz w:val="21"/>
                <w:szCs w:val="21"/>
              </w:rPr>
              <w:t>1304.72</w:t>
            </w:r>
          </w:p>
        </w:tc>
        <w:tc>
          <w:tcPr>
            <w:tcW w:w="2126" w:type="dxa"/>
            <w:tcBorders>
              <w:bottom w:val="single" w:sz="4" w:space="0" w:color="000000"/>
            </w:tcBorders>
          </w:tcPr>
          <w:p w14:paraId="4FACABCF" w14:textId="77777777" w:rsidR="00EF5B30" w:rsidRDefault="00EF5B30" w:rsidP="00EF5B30">
            <w:pPr>
              <w:jc w:val="center"/>
              <w:rPr>
                <w:sz w:val="21"/>
                <w:szCs w:val="21"/>
              </w:rPr>
            </w:pPr>
            <w:r>
              <w:rPr>
                <w:sz w:val="21"/>
                <w:szCs w:val="21"/>
              </w:rPr>
              <w:t>1391.51</w:t>
            </w:r>
          </w:p>
        </w:tc>
        <w:tc>
          <w:tcPr>
            <w:tcW w:w="1928" w:type="dxa"/>
            <w:tcBorders>
              <w:bottom w:val="single" w:sz="4" w:space="0" w:color="000000"/>
            </w:tcBorders>
          </w:tcPr>
          <w:p w14:paraId="2E480874" w14:textId="77777777" w:rsidR="00EF5B30" w:rsidRDefault="00EF5B30" w:rsidP="00EF5B30">
            <w:pPr>
              <w:jc w:val="center"/>
              <w:rPr>
                <w:sz w:val="21"/>
                <w:szCs w:val="21"/>
              </w:rPr>
            </w:pPr>
            <w:r>
              <w:rPr>
                <w:sz w:val="21"/>
                <w:szCs w:val="21"/>
              </w:rPr>
              <w:t>1313.27</w:t>
            </w:r>
          </w:p>
        </w:tc>
      </w:tr>
      <w:tr w:rsidR="00EF5B30" w14:paraId="18E6B022" w14:textId="77777777">
        <w:tc>
          <w:tcPr>
            <w:tcW w:w="9016" w:type="dxa"/>
            <w:gridSpan w:val="4"/>
            <w:tcBorders>
              <w:bottom w:val="single" w:sz="4" w:space="0" w:color="000000"/>
            </w:tcBorders>
          </w:tcPr>
          <w:p w14:paraId="6E99E386" w14:textId="77777777" w:rsidR="00EF5B30" w:rsidRDefault="00EF5B30" w:rsidP="00EF5B30">
            <w:pPr>
              <w:jc w:val="both"/>
              <w:rPr>
                <w:b/>
                <w:bCs/>
                <w:sz w:val="21"/>
                <w:szCs w:val="21"/>
              </w:rPr>
            </w:pPr>
            <w:r>
              <w:rPr>
                <w:b/>
                <w:bCs/>
                <w:sz w:val="21"/>
                <w:szCs w:val="21"/>
              </w:rPr>
              <w:t xml:space="preserve">Notes: </w:t>
            </w:r>
          </w:p>
          <w:p w14:paraId="20BA8DFB" w14:textId="4589DFD7" w:rsidR="00EF5B30" w:rsidRDefault="00EF5B30" w:rsidP="00EF5B30">
            <w:pPr>
              <w:jc w:val="both"/>
              <w:rPr>
                <w:sz w:val="21"/>
                <w:szCs w:val="21"/>
              </w:rPr>
            </w:pPr>
            <w:r>
              <w:rPr>
                <w:sz w:val="21"/>
                <w:szCs w:val="21"/>
              </w:rPr>
              <w:t xml:space="preserve">(W) denotes the within-cluster effect and (B) the between-cluster effect of the respective variable. The coefficients of time invariant country-level variables, like the cultural dimensions represent, naturally, between-country effects. The terms involved in the hypotheses are </w:t>
            </w:r>
            <w:r>
              <w:rPr>
                <w:b/>
                <w:bCs/>
                <w:sz w:val="21"/>
                <w:szCs w:val="21"/>
              </w:rPr>
              <w:t>bolded</w:t>
            </w:r>
            <w:r>
              <w:rPr>
                <w:sz w:val="21"/>
                <w:szCs w:val="21"/>
              </w:rPr>
              <w:t>. Because of differences in the samples in which each model is run (due to missing values for some variables), the models are not nested, so likelihood ratio tests cannot be computed.</w:t>
            </w:r>
          </w:p>
          <w:p w14:paraId="2FE5AB3A" w14:textId="77777777" w:rsidR="00EF5B30" w:rsidRDefault="00EF5B30" w:rsidP="00EF5B30">
            <w:pPr>
              <w:jc w:val="both"/>
              <w:rPr>
                <w:sz w:val="21"/>
                <w:szCs w:val="21"/>
              </w:rPr>
            </w:pPr>
            <w:r>
              <w:rPr>
                <w:sz w:val="21"/>
                <w:szCs w:val="21"/>
              </w:rPr>
              <w:t>* p &lt; 0.10, ** p &lt; 0.05, *** p &lt; 0.01</w:t>
            </w:r>
          </w:p>
        </w:tc>
      </w:tr>
    </w:tbl>
    <w:p w14:paraId="64FFB695" w14:textId="77777777" w:rsidR="00957269" w:rsidRDefault="00957269">
      <w:pPr>
        <w:pBdr>
          <w:top w:val="nil"/>
          <w:left w:val="nil"/>
          <w:bottom w:val="nil"/>
          <w:right w:val="nil"/>
          <w:between w:val="nil"/>
        </w:pBdr>
        <w:jc w:val="both"/>
      </w:pPr>
    </w:p>
    <w:p w14:paraId="410C4EBE" w14:textId="77777777" w:rsidR="00957269" w:rsidRDefault="00000000">
      <w:pPr>
        <w:pBdr>
          <w:top w:val="nil"/>
          <w:left w:val="nil"/>
          <w:bottom w:val="nil"/>
          <w:right w:val="nil"/>
          <w:between w:val="nil"/>
        </w:pBdr>
        <w:jc w:val="both"/>
      </w:pPr>
      <w:r>
        <w:tab/>
        <w:t xml:space="preserve">Table 4 presents the results of the models that include the country-level variables. Model (6) adds only the cultural dimensions, excluding the country-level control variables, while Model (7) does the reverse. Model (8) includes all variables but is run in a relatively smaller sample due to missing values. The differences in statistical and substantive terms among the three models are immaterial, so we interpret the coefficients of the more complete Model (8). Only H6 receives strong statistical support: factories in countries with a relatively longer-term oriented culture are expected to employ more females (a 10-point difference on the LTO scale at the country level is associated with a 2.7 percentage point difference in the proportion of female labour at the factory-level). Regarding H4, there is only marginal statistical evidence in </w:t>
      </w:r>
      <w:r>
        <w:lastRenderedPageBreak/>
        <w:t>its favour, since the coefficient of individualism is only significant at the 10% confidence level (a 10-point difference in the IDV scale is associated with a 2.3 percentage point difference in the proportion of females employed by the ‘average’ factory). H5 is not supported; country-level motivation towards achievement and success (MAS) does not play a role in shaping gender diversity at the factory level, all else held equal.</w:t>
      </w:r>
    </w:p>
    <w:p w14:paraId="103595FC" w14:textId="77777777" w:rsidR="00957269" w:rsidRDefault="00000000">
      <w:pPr>
        <w:pBdr>
          <w:top w:val="nil"/>
          <w:left w:val="nil"/>
          <w:bottom w:val="nil"/>
          <w:right w:val="nil"/>
          <w:between w:val="nil"/>
        </w:pBdr>
        <w:ind w:firstLine="720"/>
        <w:jc w:val="both"/>
        <w:rPr>
          <w:b/>
          <w:bCs/>
        </w:rPr>
      </w:pPr>
      <w:r>
        <w:t>Table 5 comprises the final piece of analysis. Column 1 presents the residual variance by level, i.e., having adjusted for all predictors included in Model (8). The inclusion of the explanatory variables results in a 36.16% reduction in the total variance across all levels (0.047 versus 0.0737)</w:t>
      </w:r>
      <w:r>
        <w:rPr>
          <w:vertAlign w:val="superscript"/>
        </w:rPr>
        <w:footnoteReference w:id="4"/>
      </w:r>
      <w:r>
        <w:t>. Column 2 includes the corresponding VPCs. When compared to the VPCs of Model (2) in Table 2, one can see that our final model does a relatively good job in accounting for the variation due to country-level influences. This is more vividly shown in the third column of Table 5. Despite the reduction in the factory- and supplier-level residual variances, unsurprisingly, Model (8) suggests that unobserved factors pertaining to these two levels are the main sources of variance in the observed proportion of females employed by the factories supplying Nike.</w:t>
      </w:r>
    </w:p>
    <w:p w14:paraId="72C7988B" w14:textId="77777777" w:rsidR="00957269" w:rsidRDefault="00957269">
      <w:pPr>
        <w:pBdr>
          <w:top w:val="nil"/>
          <w:left w:val="nil"/>
          <w:bottom w:val="nil"/>
          <w:right w:val="nil"/>
          <w:between w:val="nil"/>
        </w:pBdr>
        <w:jc w:val="both"/>
      </w:pPr>
    </w:p>
    <w:p w14:paraId="6E340EF2" w14:textId="77777777" w:rsidR="00957269" w:rsidRDefault="00000000">
      <w:pPr>
        <w:jc w:val="center"/>
        <w:rPr>
          <w:i/>
          <w:iCs/>
        </w:rPr>
      </w:pPr>
      <w:r>
        <w:rPr>
          <w:b/>
          <w:bCs/>
        </w:rPr>
        <w:t>Table 5</w:t>
      </w:r>
      <w:r>
        <w:rPr>
          <w:i/>
          <w:iCs/>
        </w:rPr>
        <w:t xml:space="preserve"> </w:t>
      </w:r>
      <w:r>
        <w:t xml:space="preserve">Proportional comparison of variance sources; Model (8) vs Model (2) </w:t>
      </w:r>
    </w:p>
    <w:tbl>
      <w:tblPr>
        <w:tblStyle w:val="a3"/>
        <w:tblW w:w="957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127"/>
        <w:gridCol w:w="2918"/>
        <w:gridCol w:w="2185"/>
        <w:gridCol w:w="2344"/>
      </w:tblGrid>
      <w:tr w:rsidR="00957269" w14:paraId="07F77B97" w14:textId="77777777">
        <w:trPr>
          <w:trHeight w:val="265"/>
          <w:jc w:val="center"/>
        </w:trPr>
        <w:tc>
          <w:tcPr>
            <w:tcW w:w="2127" w:type="dxa"/>
            <w:tcBorders>
              <w:top w:val="single" w:sz="4" w:space="0" w:color="000000"/>
              <w:bottom w:val="single" w:sz="4" w:space="0" w:color="000000"/>
            </w:tcBorders>
          </w:tcPr>
          <w:p w14:paraId="5E2E3CE5" w14:textId="77777777" w:rsidR="00957269" w:rsidRDefault="00957269">
            <w:pPr>
              <w:rPr>
                <w:sz w:val="21"/>
                <w:szCs w:val="21"/>
              </w:rPr>
            </w:pPr>
          </w:p>
        </w:tc>
        <w:tc>
          <w:tcPr>
            <w:tcW w:w="2918" w:type="dxa"/>
            <w:tcBorders>
              <w:top w:val="single" w:sz="4" w:space="0" w:color="000000"/>
              <w:bottom w:val="single" w:sz="4" w:space="0" w:color="000000"/>
            </w:tcBorders>
          </w:tcPr>
          <w:p w14:paraId="2EE2F515" w14:textId="77777777" w:rsidR="00957269" w:rsidRDefault="00957269">
            <w:pPr>
              <w:rPr>
                <w:b/>
                <w:bCs/>
                <w:sz w:val="21"/>
                <w:szCs w:val="21"/>
              </w:rPr>
            </w:pPr>
          </w:p>
          <w:p w14:paraId="53E102F1" w14:textId="77777777" w:rsidR="00957269" w:rsidRDefault="00000000">
            <w:pPr>
              <w:rPr>
                <w:b/>
                <w:bCs/>
                <w:sz w:val="21"/>
                <w:szCs w:val="21"/>
              </w:rPr>
            </w:pPr>
            <w:r>
              <w:rPr>
                <w:b/>
                <w:bCs/>
                <w:sz w:val="21"/>
                <w:szCs w:val="21"/>
              </w:rPr>
              <w:t>Residual variances Model (8)</w:t>
            </w:r>
          </w:p>
        </w:tc>
        <w:tc>
          <w:tcPr>
            <w:tcW w:w="2185" w:type="dxa"/>
            <w:tcBorders>
              <w:top w:val="single" w:sz="4" w:space="0" w:color="000000"/>
              <w:bottom w:val="single" w:sz="4" w:space="0" w:color="000000"/>
            </w:tcBorders>
          </w:tcPr>
          <w:p w14:paraId="7A3AA8FF" w14:textId="77777777" w:rsidR="00957269" w:rsidRDefault="00957269">
            <w:pPr>
              <w:rPr>
                <w:b/>
                <w:bCs/>
                <w:sz w:val="21"/>
                <w:szCs w:val="21"/>
              </w:rPr>
            </w:pPr>
          </w:p>
          <w:p w14:paraId="3772297C" w14:textId="77777777" w:rsidR="00957269" w:rsidRDefault="00000000">
            <w:pPr>
              <w:rPr>
                <w:b/>
                <w:bCs/>
                <w:sz w:val="21"/>
                <w:szCs w:val="21"/>
              </w:rPr>
            </w:pPr>
            <w:r>
              <w:rPr>
                <w:b/>
                <w:bCs/>
                <w:sz w:val="21"/>
                <w:szCs w:val="21"/>
              </w:rPr>
              <w:t>VPCs Model (8)</w:t>
            </w:r>
          </w:p>
        </w:tc>
        <w:tc>
          <w:tcPr>
            <w:tcW w:w="2344" w:type="dxa"/>
            <w:tcBorders>
              <w:top w:val="single" w:sz="4" w:space="0" w:color="000000"/>
              <w:bottom w:val="single" w:sz="4" w:space="0" w:color="000000"/>
            </w:tcBorders>
          </w:tcPr>
          <w:p w14:paraId="31AE54C9" w14:textId="77777777" w:rsidR="00957269" w:rsidRDefault="00000000">
            <w:pPr>
              <w:rPr>
                <w:b/>
                <w:bCs/>
                <w:sz w:val="21"/>
                <w:szCs w:val="21"/>
              </w:rPr>
            </w:pPr>
            <w:r>
              <w:rPr>
                <w:b/>
                <w:bCs/>
                <w:sz w:val="21"/>
                <w:szCs w:val="21"/>
              </w:rPr>
              <w:t>Reduction in variance compared to Model (2)</w:t>
            </w:r>
          </w:p>
        </w:tc>
      </w:tr>
      <w:tr w:rsidR="00957269" w14:paraId="78A2A124" w14:textId="77777777">
        <w:trPr>
          <w:trHeight w:val="532"/>
          <w:jc w:val="center"/>
        </w:trPr>
        <w:tc>
          <w:tcPr>
            <w:tcW w:w="2127" w:type="dxa"/>
          </w:tcPr>
          <w:p w14:paraId="3C4CF7CB" w14:textId="77777777" w:rsidR="00957269" w:rsidRDefault="00000000">
            <w:pPr>
              <w:rPr>
                <w:sz w:val="21"/>
                <w:szCs w:val="21"/>
              </w:rPr>
            </w:pPr>
            <w:r>
              <w:rPr>
                <w:sz w:val="21"/>
                <w:szCs w:val="21"/>
              </w:rPr>
              <w:t xml:space="preserve">Country </w:t>
            </w:r>
          </w:p>
        </w:tc>
        <w:tc>
          <w:tcPr>
            <w:tcW w:w="2918" w:type="dxa"/>
          </w:tcPr>
          <w:p w14:paraId="6FCAF977" w14:textId="77777777" w:rsidR="00957269" w:rsidRDefault="00000000">
            <w:pPr>
              <w:jc w:val="center"/>
              <w:rPr>
                <w:sz w:val="21"/>
                <w:szCs w:val="21"/>
              </w:rPr>
            </w:pPr>
            <w:r>
              <w:rPr>
                <w:sz w:val="21"/>
                <w:szCs w:val="21"/>
              </w:rPr>
              <w:t>.00241</w:t>
            </w:r>
          </w:p>
          <w:p w14:paraId="58D13873" w14:textId="77777777" w:rsidR="00957269" w:rsidRDefault="00000000">
            <w:pPr>
              <w:jc w:val="center"/>
              <w:rPr>
                <w:sz w:val="21"/>
                <w:szCs w:val="21"/>
              </w:rPr>
            </w:pPr>
            <w:r>
              <w:rPr>
                <w:sz w:val="21"/>
                <w:szCs w:val="21"/>
              </w:rPr>
              <w:t>(.0024)</w:t>
            </w:r>
          </w:p>
        </w:tc>
        <w:tc>
          <w:tcPr>
            <w:tcW w:w="2185" w:type="dxa"/>
          </w:tcPr>
          <w:p w14:paraId="6D6F751B" w14:textId="77777777" w:rsidR="00957269" w:rsidRDefault="00000000">
            <w:pPr>
              <w:jc w:val="center"/>
              <w:rPr>
                <w:sz w:val="21"/>
                <w:szCs w:val="21"/>
              </w:rPr>
            </w:pPr>
            <w:r>
              <w:rPr>
                <w:sz w:val="21"/>
                <w:szCs w:val="21"/>
              </w:rPr>
              <w:t>5.14%</w:t>
            </w:r>
          </w:p>
        </w:tc>
        <w:tc>
          <w:tcPr>
            <w:tcW w:w="2344" w:type="dxa"/>
          </w:tcPr>
          <w:p w14:paraId="67EC8B23" w14:textId="77777777" w:rsidR="00957269" w:rsidRDefault="00000000">
            <w:pPr>
              <w:jc w:val="center"/>
              <w:rPr>
                <w:sz w:val="21"/>
                <w:szCs w:val="21"/>
              </w:rPr>
            </w:pPr>
            <w:r>
              <w:rPr>
                <w:sz w:val="21"/>
                <w:szCs w:val="21"/>
              </w:rPr>
              <w:t>76.60%</w:t>
            </w:r>
          </w:p>
        </w:tc>
      </w:tr>
      <w:tr w:rsidR="00957269" w14:paraId="0B41D77F" w14:textId="77777777">
        <w:trPr>
          <w:trHeight w:val="438"/>
          <w:jc w:val="center"/>
        </w:trPr>
        <w:tc>
          <w:tcPr>
            <w:tcW w:w="2127" w:type="dxa"/>
          </w:tcPr>
          <w:p w14:paraId="120CE3B5" w14:textId="77777777" w:rsidR="00957269" w:rsidRDefault="00000000">
            <w:pPr>
              <w:rPr>
                <w:sz w:val="21"/>
                <w:szCs w:val="21"/>
              </w:rPr>
            </w:pPr>
            <w:r>
              <w:rPr>
                <w:sz w:val="21"/>
                <w:szCs w:val="21"/>
              </w:rPr>
              <w:t>Supplier</w:t>
            </w:r>
          </w:p>
        </w:tc>
        <w:tc>
          <w:tcPr>
            <w:tcW w:w="2918" w:type="dxa"/>
          </w:tcPr>
          <w:p w14:paraId="13885386" w14:textId="77777777" w:rsidR="00957269" w:rsidRDefault="00000000">
            <w:pPr>
              <w:jc w:val="center"/>
              <w:rPr>
                <w:sz w:val="21"/>
                <w:szCs w:val="21"/>
              </w:rPr>
            </w:pPr>
            <w:r>
              <w:rPr>
                <w:sz w:val="21"/>
                <w:szCs w:val="21"/>
              </w:rPr>
              <w:t>.01976</w:t>
            </w:r>
          </w:p>
          <w:p w14:paraId="6FF8FB11" w14:textId="77777777" w:rsidR="00957269" w:rsidRDefault="00000000">
            <w:pPr>
              <w:jc w:val="center"/>
              <w:rPr>
                <w:sz w:val="21"/>
                <w:szCs w:val="21"/>
              </w:rPr>
            </w:pPr>
            <w:r>
              <w:rPr>
                <w:sz w:val="21"/>
                <w:szCs w:val="21"/>
              </w:rPr>
              <w:t>(.0031)</w:t>
            </w:r>
          </w:p>
        </w:tc>
        <w:tc>
          <w:tcPr>
            <w:tcW w:w="2185" w:type="dxa"/>
          </w:tcPr>
          <w:p w14:paraId="3DC4AEA4" w14:textId="77777777" w:rsidR="00957269" w:rsidRDefault="00000000">
            <w:pPr>
              <w:jc w:val="center"/>
              <w:rPr>
                <w:sz w:val="21"/>
                <w:szCs w:val="21"/>
              </w:rPr>
            </w:pPr>
            <w:r>
              <w:rPr>
                <w:sz w:val="21"/>
                <w:szCs w:val="21"/>
              </w:rPr>
              <w:t>42.00%</w:t>
            </w:r>
          </w:p>
        </w:tc>
        <w:tc>
          <w:tcPr>
            <w:tcW w:w="2344" w:type="dxa"/>
          </w:tcPr>
          <w:p w14:paraId="3D6C9FF9" w14:textId="77777777" w:rsidR="00957269" w:rsidRDefault="00000000">
            <w:pPr>
              <w:jc w:val="center"/>
              <w:rPr>
                <w:sz w:val="21"/>
                <w:szCs w:val="21"/>
              </w:rPr>
            </w:pPr>
            <w:r>
              <w:rPr>
                <w:sz w:val="21"/>
                <w:szCs w:val="21"/>
              </w:rPr>
              <w:t>38.44%</w:t>
            </w:r>
          </w:p>
        </w:tc>
      </w:tr>
      <w:tr w:rsidR="00957269" w14:paraId="4C94E7DE" w14:textId="77777777">
        <w:trPr>
          <w:trHeight w:val="349"/>
          <w:jc w:val="center"/>
        </w:trPr>
        <w:tc>
          <w:tcPr>
            <w:tcW w:w="2127" w:type="dxa"/>
          </w:tcPr>
          <w:p w14:paraId="77F4D3E9" w14:textId="77777777" w:rsidR="00957269" w:rsidRDefault="00000000">
            <w:pPr>
              <w:rPr>
                <w:sz w:val="21"/>
                <w:szCs w:val="21"/>
              </w:rPr>
            </w:pPr>
            <w:r>
              <w:rPr>
                <w:sz w:val="21"/>
                <w:szCs w:val="21"/>
              </w:rPr>
              <w:t>Country X Supplier</w:t>
            </w:r>
          </w:p>
        </w:tc>
        <w:tc>
          <w:tcPr>
            <w:tcW w:w="2918" w:type="dxa"/>
          </w:tcPr>
          <w:p w14:paraId="06729B5E" w14:textId="77777777" w:rsidR="00957269" w:rsidRDefault="00000000">
            <w:pPr>
              <w:jc w:val="center"/>
              <w:rPr>
                <w:sz w:val="21"/>
                <w:szCs w:val="21"/>
              </w:rPr>
            </w:pPr>
            <w:r>
              <w:rPr>
                <w:sz w:val="21"/>
                <w:szCs w:val="21"/>
              </w:rPr>
              <w:t>.00373</w:t>
            </w:r>
          </w:p>
          <w:p w14:paraId="75BF133A" w14:textId="77777777" w:rsidR="00957269" w:rsidRDefault="00000000">
            <w:pPr>
              <w:jc w:val="center"/>
              <w:rPr>
                <w:sz w:val="21"/>
                <w:szCs w:val="21"/>
              </w:rPr>
            </w:pPr>
            <w:r>
              <w:rPr>
                <w:sz w:val="21"/>
                <w:szCs w:val="21"/>
              </w:rPr>
              <w:t>(.0016)</w:t>
            </w:r>
          </w:p>
        </w:tc>
        <w:tc>
          <w:tcPr>
            <w:tcW w:w="2185" w:type="dxa"/>
          </w:tcPr>
          <w:p w14:paraId="3E518D1C" w14:textId="77777777" w:rsidR="00957269" w:rsidRDefault="00000000">
            <w:pPr>
              <w:jc w:val="center"/>
              <w:rPr>
                <w:sz w:val="21"/>
                <w:szCs w:val="21"/>
              </w:rPr>
            </w:pPr>
            <w:r>
              <w:rPr>
                <w:sz w:val="21"/>
                <w:szCs w:val="21"/>
              </w:rPr>
              <w:t>7.93%</w:t>
            </w:r>
          </w:p>
        </w:tc>
        <w:tc>
          <w:tcPr>
            <w:tcW w:w="2344" w:type="dxa"/>
          </w:tcPr>
          <w:p w14:paraId="599F3A85" w14:textId="77777777" w:rsidR="00957269" w:rsidRDefault="00000000">
            <w:pPr>
              <w:jc w:val="center"/>
              <w:rPr>
                <w:sz w:val="21"/>
                <w:szCs w:val="21"/>
              </w:rPr>
            </w:pPr>
            <w:r>
              <w:rPr>
                <w:sz w:val="21"/>
                <w:szCs w:val="21"/>
              </w:rPr>
              <w:t>23.87%</w:t>
            </w:r>
          </w:p>
        </w:tc>
      </w:tr>
      <w:tr w:rsidR="00957269" w14:paraId="4A3A326B" w14:textId="77777777">
        <w:trPr>
          <w:trHeight w:val="532"/>
          <w:jc w:val="center"/>
        </w:trPr>
        <w:tc>
          <w:tcPr>
            <w:tcW w:w="2127" w:type="dxa"/>
          </w:tcPr>
          <w:p w14:paraId="07900A8A" w14:textId="77777777" w:rsidR="00957269" w:rsidRDefault="00000000">
            <w:pPr>
              <w:rPr>
                <w:sz w:val="21"/>
                <w:szCs w:val="21"/>
              </w:rPr>
            </w:pPr>
            <w:r>
              <w:rPr>
                <w:sz w:val="21"/>
                <w:szCs w:val="21"/>
              </w:rPr>
              <w:t>Factory</w:t>
            </w:r>
          </w:p>
        </w:tc>
        <w:tc>
          <w:tcPr>
            <w:tcW w:w="2918" w:type="dxa"/>
          </w:tcPr>
          <w:p w14:paraId="3BF11046" w14:textId="77777777" w:rsidR="00957269" w:rsidRDefault="00000000">
            <w:pPr>
              <w:jc w:val="center"/>
              <w:rPr>
                <w:sz w:val="21"/>
                <w:szCs w:val="21"/>
              </w:rPr>
            </w:pPr>
            <w:r>
              <w:rPr>
                <w:sz w:val="21"/>
                <w:szCs w:val="21"/>
              </w:rPr>
              <w:t>.01404</w:t>
            </w:r>
          </w:p>
          <w:p w14:paraId="2A0A137D" w14:textId="77777777" w:rsidR="00957269" w:rsidRDefault="00000000">
            <w:pPr>
              <w:jc w:val="center"/>
              <w:rPr>
                <w:sz w:val="21"/>
                <w:szCs w:val="21"/>
              </w:rPr>
            </w:pPr>
            <w:r>
              <w:rPr>
                <w:sz w:val="21"/>
                <w:szCs w:val="21"/>
              </w:rPr>
              <w:t>(.0014)</w:t>
            </w:r>
          </w:p>
        </w:tc>
        <w:tc>
          <w:tcPr>
            <w:tcW w:w="2185" w:type="dxa"/>
          </w:tcPr>
          <w:p w14:paraId="5F9A75E1" w14:textId="77777777" w:rsidR="00957269" w:rsidRDefault="00000000">
            <w:pPr>
              <w:jc w:val="center"/>
              <w:rPr>
                <w:sz w:val="21"/>
                <w:szCs w:val="21"/>
              </w:rPr>
            </w:pPr>
            <w:r>
              <w:rPr>
                <w:sz w:val="21"/>
                <w:szCs w:val="21"/>
              </w:rPr>
              <w:t>29.80%</w:t>
            </w:r>
          </w:p>
        </w:tc>
        <w:tc>
          <w:tcPr>
            <w:tcW w:w="2344" w:type="dxa"/>
          </w:tcPr>
          <w:p w14:paraId="43A91FEA" w14:textId="77777777" w:rsidR="00957269" w:rsidRDefault="00000000">
            <w:pPr>
              <w:jc w:val="center"/>
              <w:rPr>
                <w:sz w:val="21"/>
                <w:szCs w:val="21"/>
              </w:rPr>
            </w:pPr>
            <w:r>
              <w:rPr>
                <w:sz w:val="21"/>
                <w:szCs w:val="21"/>
              </w:rPr>
              <w:t>23.69%</w:t>
            </w:r>
          </w:p>
        </w:tc>
      </w:tr>
      <w:tr w:rsidR="00957269" w14:paraId="75181B83" w14:textId="77777777">
        <w:trPr>
          <w:trHeight w:val="532"/>
          <w:jc w:val="center"/>
        </w:trPr>
        <w:tc>
          <w:tcPr>
            <w:tcW w:w="2127" w:type="dxa"/>
            <w:tcBorders>
              <w:bottom w:val="single" w:sz="4" w:space="0" w:color="000000"/>
            </w:tcBorders>
          </w:tcPr>
          <w:p w14:paraId="35AD079E" w14:textId="77777777" w:rsidR="00957269" w:rsidRDefault="00000000">
            <w:pPr>
              <w:rPr>
                <w:sz w:val="21"/>
                <w:szCs w:val="21"/>
              </w:rPr>
            </w:pPr>
            <w:r>
              <w:rPr>
                <w:sz w:val="21"/>
                <w:szCs w:val="21"/>
              </w:rPr>
              <w:t>‘Occasion’</w:t>
            </w:r>
          </w:p>
        </w:tc>
        <w:tc>
          <w:tcPr>
            <w:tcW w:w="2918" w:type="dxa"/>
            <w:tcBorders>
              <w:bottom w:val="single" w:sz="4" w:space="0" w:color="000000"/>
            </w:tcBorders>
          </w:tcPr>
          <w:p w14:paraId="4A09FC95" w14:textId="77777777" w:rsidR="00957269" w:rsidRDefault="00000000">
            <w:pPr>
              <w:jc w:val="center"/>
              <w:rPr>
                <w:sz w:val="21"/>
                <w:szCs w:val="21"/>
              </w:rPr>
            </w:pPr>
            <w:r>
              <w:rPr>
                <w:sz w:val="21"/>
                <w:szCs w:val="21"/>
              </w:rPr>
              <w:t>.00708</w:t>
            </w:r>
          </w:p>
          <w:p w14:paraId="7C2BC534" w14:textId="77777777" w:rsidR="00957269" w:rsidRDefault="00000000">
            <w:pPr>
              <w:jc w:val="center"/>
              <w:rPr>
                <w:sz w:val="21"/>
                <w:szCs w:val="21"/>
              </w:rPr>
            </w:pPr>
            <w:r>
              <w:rPr>
                <w:sz w:val="21"/>
                <w:szCs w:val="21"/>
              </w:rPr>
              <w:t>(.0002)</w:t>
            </w:r>
          </w:p>
        </w:tc>
        <w:tc>
          <w:tcPr>
            <w:tcW w:w="2185" w:type="dxa"/>
            <w:tcBorders>
              <w:bottom w:val="single" w:sz="4" w:space="0" w:color="000000"/>
            </w:tcBorders>
          </w:tcPr>
          <w:p w14:paraId="36395D5E" w14:textId="77777777" w:rsidR="00957269" w:rsidRDefault="00000000">
            <w:pPr>
              <w:jc w:val="center"/>
              <w:rPr>
                <w:sz w:val="21"/>
                <w:szCs w:val="21"/>
              </w:rPr>
            </w:pPr>
            <w:r>
              <w:rPr>
                <w:sz w:val="21"/>
                <w:szCs w:val="21"/>
              </w:rPr>
              <w:t>15.06%</w:t>
            </w:r>
          </w:p>
        </w:tc>
        <w:tc>
          <w:tcPr>
            <w:tcW w:w="2344" w:type="dxa"/>
            <w:tcBorders>
              <w:bottom w:val="single" w:sz="4" w:space="0" w:color="000000"/>
            </w:tcBorders>
          </w:tcPr>
          <w:p w14:paraId="51BFB431" w14:textId="77777777" w:rsidR="00957269" w:rsidRDefault="00000000">
            <w:pPr>
              <w:jc w:val="center"/>
              <w:rPr>
                <w:sz w:val="21"/>
                <w:szCs w:val="21"/>
              </w:rPr>
            </w:pPr>
            <w:r>
              <w:rPr>
                <w:sz w:val="21"/>
                <w:szCs w:val="21"/>
              </w:rPr>
              <w:t>8.05%</w:t>
            </w:r>
          </w:p>
          <w:p w14:paraId="42709BDC" w14:textId="77777777" w:rsidR="00957269" w:rsidRDefault="00957269">
            <w:pPr>
              <w:jc w:val="center"/>
              <w:rPr>
                <w:sz w:val="21"/>
                <w:szCs w:val="21"/>
              </w:rPr>
            </w:pPr>
          </w:p>
        </w:tc>
      </w:tr>
      <w:tr w:rsidR="00957269" w14:paraId="37194937" w14:textId="77777777">
        <w:trPr>
          <w:trHeight w:val="265"/>
          <w:jc w:val="center"/>
        </w:trPr>
        <w:tc>
          <w:tcPr>
            <w:tcW w:w="9574" w:type="dxa"/>
            <w:gridSpan w:val="4"/>
            <w:tcBorders>
              <w:top w:val="single" w:sz="4" w:space="0" w:color="000000"/>
              <w:bottom w:val="single" w:sz="4" w:space="0" w:color="000000"/>
            </w:tcBorders>
          </w:tcPr>
          <w:p w14:paraId="38E47391" w14:textId="77777777" w:rsidR="00957269" w:rsidRDefault="00000000">
            <w:pPr>
              <w:jc w:val="both"/>
              <w:rPr>
                <w:sz w:val="21"/>
                <w:szCs w:val="21"/>
              </w:rPr>
            </w:pPr>
            <w:r>
              <w:rPr>
                <w:b/>
                <w:bCs/>
                <w:sz w:val="21"/>
                <w:szCs w:val="21"/>
              </w:rPr>
              <w:t>Notes</w:t>
            </w:r>
            <w:r>
              <w:rPr>
                <w:sz w:val="21"/>
                <w:szCs w:val="21"/>
              </w:rPr>
              <w:t xml:space="preserve">: </w:t>
            </w:r>
          </w:p>
          <w:p w14:paraId="2F3248A2" w14:textId="77777777" w:rsidR="00957269" w:rsidRDefault="00000000">
            <w:pPr>
              <w:jc w:val="both"/>
              <w:rPr>
                <w:b/>
                <w:bCs/>
                <w:sz w:val="21"/>
                <w:szCs w:val="21"/>
              </w:rPr>
            </w:pPr>
            <w:r>
              <w:rPr>
                <w:sz w:val="21"/>
                <w:szCs w:val="21"/>
              </w:rPr>
              <w:t>The proportional reduction in variance is somewhat inflated due to the fact that Model (8) is run on a restricted sample (due to missing values) when compared to the baseline variance components model (Model (2) in Table 2).</w:t>
            </w:r>
          </w:p>
        </w:tc>
      </w:tr>
    </w:tbl>
    <w:p w14:paraId="601A9F11" w14:textId="77777777" w:rsidR="00957269" w:rsidRDefault="00957269">
      <w:pPr>
        <w:pBdr>
          <w:top w:val="nil"/>
          <w:left w:val="nil"/>
          <w:bottom w:val="nil"/>
          <w:right w:val="nil"/>
          <w:between w:val="nil"/>
        </w:pBdr>
        <w:jc w:val="both"/>
        <w:rPr>
          <w:b/>
          <w:bCs/>
        </w:rPr>
      </w:pPr>
    </w:p>
    <w:p w14:paraId="78553214" w14:textId="77777777" w:rsidR="00957269" w:rsidRDefault="00957269">
      <w:pPr>
        <w:pBdr>
          <w:top w:val="nil"/>
          <w:left w:val="nil"/>
          <w:bottom w:val="nil"/>
          <w:right w:val="nil"/>
          <w:between w:val="nil"/>
        </w:pBdr>
        <w:jc w:val="both"/>
        <w:rPr>
          <w:b/>
          <w:bCs/>
        </w:rPr>
      </w:pPr>
    </w:p>
    <w:p w14:paraId="776F2079" w14:textId="77777777" w:rsidR="00957269" w:rsidRDefault="00000000">
      <w:pPr>
        <w:pBdr>
          <w:top w:val="nil"/>
          <w:left w:val="nil"/>
          <w:bottom w:val="nil"/>
          <w:right w:val="nil"/>
          <w:between w:val="nil"/>
        </w:pBdr>
        <w:jc w:val="both"/>
        <w:rPr>
          <w:b/>
          <w:bCs/>
        </w:rPr>
      </w:pPr>
      <w:r>
        <w:rPr>
          <w:b/>
          <w:bCs/>
        </w:rPr>
        <w:t>Robustness Checks</w:t>
      </w:r>
    </w:p>
    <w:p w14:paraId="7D3DC1DB" w14:textId="5BBA3B21" w:rsidR="00957269" w:rsidRDefault="00000000">
      <w:pPr>
        <w:pBdr>
          <w:top w:val="nil"/>
          <w:left w:val="nil"/>
          <w:bottom w:val="nil"/>
          <w:right w:val="nil"/>
          <w:between w:val="nil"/>
        </w:pBdr>
        <w:jc w:val="both"/>
      </w:pPr>
      <w:r>
        <w:rPr>
          <w:b/>
          <w:bCs/>
        </w:rPr>
        <w:tab/>
      </w:r>
      <w:r>
        <w:t xml:space="preserve">To assess the sensitivity of the baseline results, we ran a set of robustness tests. Firstly, operationalizing supplier prominence through the number of factories a supplier owns might disregard important aspects of the concept. As such, we exploited Nike’s data to construct alternative proxies for it. First, we summed the number of line workers across the factories of each supplier (by year). This supplier-level variable can be argued to measure the overall productive capacity of a supplier. Second, as mentioned earlier, some suppliers have factories that produce more than one type of product (i.e., apparel, footwear, sports equipment). A supplier that supplies Nike with more than one product type can be regarded as one with a broader expertise. A supplier with a large productive capacity and/or a diverse expertise might be regarded as relatively prominent by Nike. Third, we combined the two new proxies with the default one (i.e., number of factories owned by the supplier) to create an equally weighted index, with the three proxies normalized using min-max normalization. </w:t>
      </w:r>
      <w:r>
        <w:rPr>
          <w:highlight w:val="white"/>
        </w:rPr>
        <w:t xml:space="preserve">We then ran Model (8) after </w:t>
      </w:r>
      <w:r>
        <w:rPr>
          <w:highlight w:val="white"/>
        </w:rPr>
        <w:lastRenderedPageBreak/>
        <w:t>replacing our default proxy for supplier prominence with either of the three alternative measures. The results were in total agreement: the between-supplier effect of prominence was positive and strongly statistically significant irrespective of which measure was used. For brevity, in Table 6 we only present the results where the composite measure is used</w:t>
      </w:r>
      <w:r w:rsidR="00824892">
        <w:rPr>
          <w:highlight w:val="white"/>
        </w:rPr>
        <w:t xml:space="preserve"> </w:t>
      </w:r>
      <w:r w:rsidR="00824892">
        <w:rPr>
          <w:highlight w:val="white"/>
        </w:rPr>
        <w:t>(Model (9)</w:t>
      </w:r>
      <w:r w:rsidR="00824892">
        <w:rPr>
          <w:highlight w:val="white"/>
        </w:rPr>
        <w:t>)</w:t>
      </w:r>
      <w:r>
        <w:rPr>
          <w:highlight w:val="white"/>
        </w:rPr>
        <w:t xml:space="preserve">. </w:t>
      </w:r>
    </w:p>
    <w:p w14:paraId="4542F129" w14:textId="77777777" w:rsidR="00957269" w:rsidRDefault="00000000">
      <w:pPr>
        <w:pBdr>
          <w:top w:val="nil"/>
          <w:left w:val="nil"/>
          <w:bottom w:val="nil"/>
          <w:right w:val="nil"/>
          <w:between w:val="nil"/>
        </w:pBdr>
        <w:ind w:firstLine="720"/>
        <w:jc w:val="both"/>
      </w:pPr>
      <w:r>
        <w:t>Model (10) in Table 6 extends Model (8) by adding a set of dummies representing the country of HQs of the supplier. In this way, the model accounts for any time-invariant characteristics potentially affecting the strategy and policies of the supplier (rather than of a specific factory) such as intricacies of the country’s business culture and of the regulatory environment. The results are in complete agreement with the baseline. In another test (not reported in Table 6), we treated the country in which the factory is located as a ‘fixed’ (rather than ‘random’) category; this turns Model (8) into a strictly hierarchical 3-level model (supplier–factory–occasion). Although the coefficients of the time-invariant country-level variables, including those of the cultural dimensions, cannot be estimated, the results support H1, H2 and H3.</w:t>
      </w:r>
    </w:p>
    <w:p w14:paraId="342A7C73" w14:textId="77777777" w:rsidR="00957269" w:rsidRDefault="00000000">
      <w:pPr>
        <w:pBdr>
          <w:top w:val="nil"/>
          <w:left w:val="nil"/>
          <w:bottom w:val="nil"/>
          <w:right w:val="nil"/>
          <w:between w:val="nil"/>
        </w:pBdr>
        <w:jc w:val="both"/>
      </w:pPr>
      <w:r>
        <w:tab/>
        <w:t>All models run so far are linear, ‘ignoring’ that the dependent variable is a proportion (hence bounded from above by 1 and from below by 0). Even though only about 1.5% of the observations take values on the bounds of the distribution (0 or 1), in principle, our models can produce out-of-bounds, ‘invalid’ predictions. It is thus worth considering models that explicitly account for the fractional nature of the response variable. Model (11) is a fractional logistic regression model with robust standard errors, while Model (12) is a heteroskedastic fractional probit model, which assumes that the variance of the factory-level fraction of female workers is not constant but depends on all factory-level covariates in the model. Since there exist no multilevel variants of fractional response models, Models (11) and (12) do not account for the structure of the data and the within- and between-unit variance across levels. Moreover, the coefficients of the variables cannot be directly compared to those of the previous models (or even between them) due to being on a different scale. Nevertheless, the signs and statistical significance of the coefficients of interest lend further support to the baseline results.</w:t>
      </w:r>
    </w:p>
    <w:p w14:paraId="5CF5175A" w14:textId="77777777" w:rsidR="00957269" w:rsidRDefault="00957269">
      <w:pPr>
        <w:pBdr>
          <w:top w:val="nil"/>
          <w:left w:val="nil"/>
          <w:bottom w:val="nil"/>
          <w:right w:val="nil"/>
          <w:between w:val="nil"/>
        </w:pBdr>
        <w:jc w:val="both"/>
      </w:pPr>
    </w:p>
    <w:p w14:paraId="418DADCA" w14:textId="77777777" w:rsidR="00957269" w:rsidRDefault="00000000">
      <w:pPr>
        <w:jc w:val="center"/>
      </w:pPr>
      <w:r>
        <w:rPr>
          <w:b/>
          <w:bCs/>
        </w:rPr>
        <w:t>Table 6</w:t>
      </w:r>
      <w:r>
        <w:t xml:space="preserve"> Results of the robustness tests</w:t>
      </w:r>
    </w:p>
    <w:tbl>
      <w:tblPr>
        <w:tblStyle w:val="a4"/>
        <w:tblW w:w="90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94"/>
        <w:gridCol w:w="1552"/>
        <w:gridCol w:w="1826"/>
        <w:gridCol w:w="1567"/>
        <w:gridCol w:w="1387"/>
      </w:tblGrid>
      <w:tr w:rsidR="00957269" w14:paraId="17C9CF46" w14:textId="77777777">
        <w:tc>
          <w:tcPr>
            <w:tcW w:w="2694" w:type="dxa"/>
            <w:tcBorders>
              <w:top w:val="single" w:sz="4" w:space="0" w:color="000000"/>
              <w:bottom w:val="single" w:sz="4" w:space="0" w:color="000000"/>
            </w:tcBorders>
          </w:tcPr>
          <w:p w14:paraId="7350ECE8" w14:textId="77777777" w:rsidR="00957269" w:rsidRDefault="00957269">
            <w:pPr>
              <w:jc w:val="center"/>
              <w:rPr>
                <w:b/>
                <w:bCs/>
                <w:sz w:val="21"/>
                <w:szCs w:val="21"/>
              </w:rPr>
            </w:pPr>
          </w:p>
        </w:tc>
        <w:tc>
          <w:tcPr>
            <w:tcW w:w="1552" w:type="dxa"/>
            <w:tcBorders>
              <w:top w:val="single" w:sz="4" w:space="0" w:color="000000"/>
              <w:bottom w:val="single" w:sz="4" w:space="0" w:color="000000"/>
            </w:tcBorders>
          </w:tcPr>
          <w:p w14:paraId="029D67E9" w14:textId="77777777" w:rsidR="00957269" w:rsidRDefault="00000000">
            <w:pPr>
              <w:jc w:val="center"/>
              <w:rPr>
                <w:b/>
                <w:bCs/>
                <w:sz w:val="21"/>
                <w:szCs w:val="21"/>
              </w:rPr>
            </w:pPr>
            <w:r>
              <w:rPr>
                <w:b/>
                <w:bCs/>
                <w:sz w:val="21"/>
                <w:szCs w:val="21"/>
              </w:rPr>
              <w:t>Model (9)</w:t>
            </w:r>
          </w:p>
        </w:tc>
        <w:tc>
          <w:tcPr>
            <w:tcW w:w="1826" w:type="dxa"/>
            <w:tcBorders>
              <w:top w:val="single" w:sz="4" w:space="0" w:color="000000"/>
              <w:bottom w:val="single" w:sz="4" w:space="0" w:color="000000"/>
            </w:tcBorders>
          </w:tcPr>
          <w:p w14:paraId="6BA81136" w14:textId="77777777" w:rsidR="00957269" w:rsidRDefault="00000000">
            <w:pPr>
              <w:jc w:val="center"/>
              <w:rPr>
                <w:b/>
                <w:bCs/>
                <w:sz w:val="21"/>
                <w:szCs w:val="21"/>
              </w:rPr>
            </w:pPr>
            <w:r>
              <w:rPr>
                <w:b/>
                <w:bCs/>
                <w:sz w:val="21"/>
                <w:szCs w:val="21"/>
              </w:rPr>
              <w:t>Model (10)</w:t>
            </w:r>
          </w:p>
        </w:tc>
        <w:tc>
          <w:tcPr>
            <w:tcW w:w="1567" w:type="dxa"/>
            <w:tcBorders>
              <w:top w:val="single" w:sz="4" w:space="0" w:color="000000"/>
              <w:bottom w:val="single" w:sz="4" w:space="0" w:color="000000"/>
            </w:tcBorders>
          </w:tcPr>
          <w:p w14:paraId="29A92DF8" w14:textId="77777777" w:rsidR="00957269" w:rsidRDefault="00000000">
            <w:pPr>
              <w:jc w:val="center"/>
              <w:rPr>
                <w:b/>
                <w:bCs/>
                <w:sz w:val="21"/>
                <w:szCs w:val="21"/>
              </w:rPr>
            </w:pPr>
            <w:r>
              <w:rPr>
                <w:b/>
                <w:bCs/>
                <w:sz w:val="21"/>
                <w:szCs w:val="21"/>
              </w:rPr>
              <w:t>Model (11)</w:t>
            </w:r>
          </w:p>
        </w:tc>
        <w:tc>
          <w:tcPr>
            <w:tcW w:w="1387" w:type="dxa"/>
            <w:tcBorders>
              <w:top w:val="single" w:sz="4" w:space="0" w:color="000000"/>
              <w:bottom w:val="single" w:sz="4" w:space="0" w:color="000000"/>
            </w:tcBorders>
          </w:tcPr>
          <w:p w14:paraId="5A555C7B" w14:textId="77777777" w:rsidR="00957269" w:rsidRDefault="00000000">
            <w:pPr>
              <w:jc w:val="center"/>
              <w:rPr>
                <w:b/>
                <w:bCs/>
                <w:sz w:val="21"/>
                <w:szCs w:val="21"/>
              </w:rPr>
            </w:pPr>
            <w:r>
              <w:rPr>
                <w:b/>
                <w:bCs/>
                <w:sz w:val="21"/>
                <w:szCs w:val="21"/>
              </w:rPr>
              <w:t>Model (12)</w:t>
            </w:r>
          </w:p>
        </w:tc>
      </w:tr>
      <w:tr w:rsidR="00957269" w14:paraId="16C0807A" w14:textId="77777777">
        <w:tc>
          <w:tcPr>
            <w:tcW w:w="2694" w:type="dxa"/>
            <w:tcBorders>
              <w:top w:val="single" w:sz="4" w:space="0" w:color="000000"/>
              <w:bottom w:val="single" w:sz="4" w:space="0" w:color="000000"/>
            </w:tcBorders>
          </w:tcPr>
          <w:p w14:paraId="34217C2F" w14:textId="77777777" w:rsidR="00957269" w:rsidRDefault="00000000">
            <w:pPr>
              <w:jc w:val="center"/>
              <w:rPr>
                <w:b/>
                <w:bCs/>
                <w:sz w:val="21"/>
                <w:szCs w:val="21"/>
              </w:rPr>
            </w:pPr>
            <w:r>
              <w:rPr>
                <w:b/>
                <w:bCs/>
                <w:sz w:val="21"/>
                <w:szCs w:val="21"/>
              </w:rPr>
              <w:t>VARIABLES</w:t>
            </w:r>
          </w:p>
        </w:tc>
        <w:tc>
          <w:tcPr>
            <w:tcW w:w="1552" w:type="dxa"/>
            <w:tcBorders>
              <w:top w:val="single" w:sz="4" w:space="0" w:color="000000"/>
            </w:tcBorders>
          </w:tcPr>
          <w:p w14:paraId="03A5E30E" w14:textId="77777777" w:rsidR="00957269" w:rsidRDefault="00957269">
            <w:pPr>
              <w:jc w:val="center"/>
              <w:rPr>
                <w:b/>
                <w:bCs/>
                <w:sz w:val="21"/>
                <w:szCs w:val="21"/>
              </w:rPr>
            </w:pPr>
          </w:p>
        </w:tc>
        <w:tc>
          <w:tcPr>
            <w:tcW w:w="1826" w:type="dxa"/>
            <w:tcBorders>
              <w:top w:val="single" w:sz="4" w:space="0" w:color="000000"/>
            </w:tcBorders>
          </w:tcPr>
          <w:p w14:paraId="0E044A9C" w14:textId="77777777" w:rsidR="00957269" w:rsidRDefault="00957269">
            <w:pPr>
              <w:jc w:val="center"/>
              <w:rPr>
                <w:b/>
                <w:bCs/>
                <w:sz w:val="21"/>
                <w:szCs w:val="21"/>
              </w:rPr>
            </w:pPr>
          </w:p>
        </w:tc>
        <w:tc>
          <w:tcPr>
            <w:tcW w:w="1567" w:type="dxa"/>
            <w:tcBorders>
              <w:top w:val="single" w:sz="4" w:space="0" w:color="000000"/>
            </w:tcBorders>
          </w:tcPr>
          <w:p w14:paraId="55AEF0D4" w14:textId="77777777" w:rsidR="00957269" w:rsidRDefault="00957269">
            <w:pPr>
              <w:jc w:val="center"/>
              <w:rPr>
                <w:b/>
                <w:bCs/>
                <w:sz w:val="21"/>
                <w:szCs w:val="21"/>
              </w:rPr>
            </w:pPr>
          </w:p>
        </w:tc>
        <w:tc>
          <w:tcPr>
            <w:tcW w:w="1387" w:type="dxa"/>
            <w:tcBorders>
              <w:top w:val="single" w:sz="4" w:space="0" w:color="000000"/>
            </w:tcBorders>
          </w:tcPr>
          <w:p w14:paraId="3359CAA9" w14:textId="77777777" w:rsidR="00957269" w:rsidRDefault="00957269">
            <w:pPr>
              <w:jc w:val="center"/>
              <w:rPr>
                <w:b/>
                <w:bCs/>
                <w:sz w:val="21"/>
                <w:szCs w:val="21"/>
              </w:rPr>
            </w:pPr>
          </w:p>
        </w:tc>
      </w:tr>
      <w:tr w:rsidR="00957269" w14:paraId="5C35E6AD" w14:textId="77777777">
        <w:tc>
          <w:tcPr>
            <w:tcW w:w="2694" w:type="dxa"/>
            <w:tcBorders>
              <w:top w:val="single" w:sz="4" w:space="0" w:color="000000"/>
            </w:tcBorders>
          </w:tcPr>
          <w:p w14:paraId="720D7BF1" w14:textId="77777777" w:rsidR="00957269" w:rsidRDefault="00000000">
            <w:pPr>
              <w:rPr>
                <w:i/>
                <w:iCs/>
                <w:sz w:val="21"/>
                <w:szCs w:val="21"/>
                <w:u w:val="single"/>
              </w:rPr>
            </w:pPr>
            <w:r>
              <w:rPr>
                <w:i/>
                <w:iCs/>
                <w:sz w:val="21"/>
                <w:szCs w:val="21"/>
                <w:u w:val="single"/>
              </w:rPr>
              <w:t>Time effects (base: 2020)</w:t>
            </w:r>
          </w:p>
        </w:tc>
        <w:tc>
          <w:tcPr>
            <w:tcW w:w="1552" w:type="dxa"/>
          </w:tcPr>
          <w:p w14:paraId="0A58D287" w14:textId="77777777" w:rsidR="00957269" w:rsidRDefault="00957269">
            <w:pPr>
              <w:jc w:val="center"/>
              <w:rPr>
                <w:b/>
                <w:bCs/>
                <w:sz w:val="21"/>
                <w:szCs w:val="21"/>
              </w:rPr>
            </w:pPr>
          </w:p>
        </w:tc>
        <w:tc>
          <w:tcPr>
            <w:tcW w:w="1826" w:type="dxa"/>
          </w:tcPr>
          <w:p w14:paraId="0C912FD5" w14:textId="77777777" w:rsidR="00957269" w:rsidRDefault="00957269">
            <w:pPr>
              <w:jc w:val="center"/>
              <w:rPr>
                <w:b/>
                <w:bCs/>
                <w:sz w:val="21"/>
                <w:szCs w:val="21"/>
              </w:rPr>
            </w:pPr>
          </w:p>
        </w:tc>
        <w:tc>
          <w:tcPr>
            <w:tcW w:w="1567" w:type="dxa"/>
          </w:tcPr>
          <w:p w14:paraId="38E4A6FE" w14:textId="77777777" w:rsidR="00957269" w:rsidRDefault="00957269">
            <w:pPr>
              <w:jc w:val="center"/>
              <w:rPr>
                <w:b/>
                <w:bCs/>
                <w:sz w:val="21"/>
                <w:szCs w:val="21"/>
              </w:rPr>
            </w:pPr>
          </w:p>
        </w:tc>
        <w:tc>
          <w:tcPr>
            <w:tcW w:w="1387" w:type="dxa"/>
          </w:tcPr>
          <w:p w14:paraId="36E722FC" w14:textId="77777777" w:rsidR="00957269" w:rsidRDefault="00957269">
            <w:pPr>
              <w:jc w:val="center"/>
              <w:rPr>
                <w:b/>
                <w:bCs/>
                <w:sz w:val="21"/>
                <w:szCs w:val="21"/>
              </w:rPr>
            </w:pPr>
          </w:p>
        </w:tc>
      </w:tr>
      <w:tr w:rsidR="00957269" w14:paraId="6AA63312" w14:textId="77777777">
        <w:tc>
          <w:tcPr>
            <w:tcW w:w="2694" w:type="dxa"/>
          </w:tcPr>
          <w:p w14:paraId="1ADF5F7B" w14:textId="77777777" w:rsidR="00957269" w:rsidRDefault="00000000">
            <w:pPr>
              <w:rPr>
                <w:sz w:val="21"/>
                <w:szCs w:val="21"/>
              </w:rPr>
            </w:pPr>
            <w:r>
              <w:rPr>
                <w:sz w:val="21"/>
                <w:szCs w:val="21"/>
              </w:rPr>
              <w:t>2021</w:t>
            </w:r>
          </w:p>
        </w:tc>
        <w:tc>
          <w:tcPr>
            <w:tcW w:w="1552" w:type="dxa"/>
          </w:tcPr>
          <w:p w14:paraId="065EA2FE" w14:textId="77777777" w:rsidR="00957269" w:rsidRDefault="00000000">
            <w:pPr>
              <w:jc w:val="center"/>
              <w:rPr>
                <w:sz w:val="21"/>
                <w:szCs w:val="21"/>
              </w:rPr>
            </w:pPr>
            <w:r>
              <w:rPr>
                <w:sz w:val="21"/>
                <w:szCs w:val="21"/>
              </w:rPr>
              <w:t>.01258*</w:t>
            </w:r>
          </w:p>
          <w:p w14:paraId="779F8B50" w14:textId="77777777" w:rsidR="00957269" w:rsidRDefault="00000000">
            <w:pPr>
              <w:jc w:val="center"/>
              <w:rPr>
                <w:sz w:val="21"/>
                <w:szCs w:val="21"/>
              </w:rPr>
            </w:pPr>
            <w:r>
              <w:rPr>
                <w:sz w:val="21"/>
                <w:szCs w:val="21"/>
              </w:rPr>
              <w:t>(.0072)</w:t>
            </w:r>
          </w:p>
        </w:tc>
        <w:tc>
          <w:tcPr>
            <w:tcW w:w="1826" w:type="dxa"/>
          </w:tcPr>
          <w:p w14:paraId="3EB0803D" w14:textId="77777777" w:rsidR="00957269" w:rsidRDefault="00000000">
            <w:pPr>
              <w:jc w:val="center"/>
              <w:rPr>
                <w:sz w:val="21"/>
                <w:szCs w:val="21"/>
              </w:rPr>
            </w:pPr>
            <w:r>
              <w:rPr>
                <w:sz w:val="21"/>
                <w:szCs w:val="21"/>
              </w:rPr>
              <w:t>.01219*</w:t>
            </w:r>
          </w:p>
          <w:p w14:paraId="14346786" w14:textId="77777777" w:rsidR="00957269" w:rsidRDefault="00000000">
            <w:pPr>
              <w:jc w:val="center"/>
              <w:rPr>
                <w:sz w:val="21"/>
                <w:szCs w:val="21"/>
              </w:rPr>
            </w:pPr>
            <w:r>
              <w:rPr>
                <w:sz w:val="21"/>
                <w:szCs w:val="21"/>
              </w:rPr>
              <w:t>(.0071)</w:t>
            </w:r>
          </w:p>
        </w:tc>
        <w:tc>
          <w:tcPr>
            <w:tcW w:w="1567" w:type="dxa"/>
          </w:tcPr>
          <w:p w14:paraId="39743E78" w14:textId="77777777" w:rsidR="00957269" w:rsidRDefault="00000000">
            <w:pPr>
              <w:jc w:val="center"/>
              <w:rPr>
                <w:sz w:val="21"/>
                <w:szCs w:val="21"/>
              </w:rPr>
            </w:pPr>
            <w:r>
              <w:rPr>
                <w:sz w:val="21"/>
                <w:szCs w:val="21"/>
              </w:rPr>
              <w:t>-.10474**</w:t>
            </w:r>
          </w:p>
          <w:p w14:paraId="3B8D63AD" w14:textId="77777777" w:rsidR="00957269" w:rsidRDefault="00000000">
            <w:pPr>
              <w:jc w:val="center"/>
              <w:rPr>
                <w:sz w:val="21"/>
                <w:szCs w:val="21"/>
              </w:rPr>
            </w:pPr>
            <w:r>
              <w:rPr>
                <w:sz w:val="21"/>
                <w:szCs w:val="21"/>
              </w:rPr>
              <w:t>(.0521)</w:t>
            </w:r>
          </w:p>
        </w:tc>
        <w:tc>
          <w:tcPr>
            <w:tcW w:w="1387" w:type="dxa"/>
          </w:tcPr>
          <w:p w14:paraId="3A35B4C5" w14:textId="77777777" w:rsidR="00957269" w:rsidRDefault="00000000">
            <w:pPr>
              <w:jc w:val="center"/>
              <w:rPr>
                <w:sz w:val="21"/>
                <w:szCs w:val="21"/>
              </w:rPr>
            </w:pPr>
            <w:r>
              <w:rPr>
                <w:sz w:val="21"/>
                <w:szCs w:val="21"/>
              </w:rPr>
              <w:t>-.18054**</w:t>
            </w:r>
          </w:p>
          <w:p w14:paraId="3964CA00" w14:textId="77777777" w:rsidR="00957269" w:rsidRDefault="00000000">
            <w:pPr>
              <w:jc w:val="center"/>
              <w:rPr>
                <w:sz w:val="21"/>
                <w:szCs w:val="21"/>
              </w:rPr>
            </w:pPr>
            <w:r>
              <w:rPr>
                <w:sz w:val="21"/>
                <w:szCs w:val="21"/>
              </w:rPr>
              <w:t>(.0829)</w:t>
            </w:r>
          </w:p>
        </w:tc>
      </w:tr>
      <w:tr w:rsidR="00957269" w14:paraId="33D4FD1E" w14:textId="77777777">
        <w:tc>
          <w:tcPr>
            <w:tcW w:w="2694" w:type="dxa"/>
          </w:tcPr>
          <w:p w14:paraId="050227EA" w14:textId="77777777" w:rsidR="00957269" w:rsidRDefault="00000000">
            <w:pPr>
              <w:rPr>
                <w:sz w:val="21"/>
                <w:szCs w:val="21"/>
              </w:rPr>
            </w:pPr>
            <w:r>
              <w:rPr>
                <w:sz w:val="21"/>
                <w:szCs w:val="21"/>
              </w:rPr>
              <w:t>2022</w:t>
            </w:r>
          </w:p>
        </w:tc>
        <w:tc>
          <w:tcPr>
            <w:tcW w:w="1552" w:type="dxa"/>
          </w:tcPr>
          <w:p w14:paraId="3EC1DE7A" w14:textId="77777777" w:rsidR="00957269" w:rsidRDefault="00000000">
            <w:pPr>
              <w:jc w:val="center"/>
              <w:rPr>
                <w:sz w:val="21"/>
                <w:szCs w:val="21"/>
              </w:rPr>
            </w:pPr>
            <w:r>
              <w:rPr>
                <w:sz w:val="21"/>
                <w:szCs w:val="21"/>
              </w:rPr>
              <w:t>.02587***</w:t>
            </w:r>
          </w:p>
          <w:p w14:paraId="2E80B714" w14:textId="77777777" w:rsidR="00957269" w:rsidRDefault="00000000">
            <w:pPr>
              <w:jc w:val="center"/>
              <w:rPr>
                <w:sz w:val="21"/>
                <w:szCs w:val="21"/>
              </w:rPr>
            </w:pPr>
            <w:r>
              <w:rPr>
                <w:sz w:val="21"/>
                <w:szCs w:val="21"/>
              </w:rPr>
              <w:t>(.0075)</w:t>
            </w:r>
          </w:p>
        </w:tc>
        <w:tc>
          <w:tcPr>
            <w:tcW w:w="1826" w:type="dxa"/>
          </w:tcPr>
          <w:p w14:paraId="1AFC3C0E" w14:textId="77777777" w:rsidR="00957269" w:rsidRDefault="00000000">
            <w:pPr>
              <w:jc w:val="center"/>
              <w:rPr>
                <w:sz w:val="21"/>
                <w:szCs w:val="21"/>
              </w:rPr>
            </w:pPr>
            <w:r>
              <w:rPr>
                <w:sz w:val="21"/>
                <w:szCs w:val="21"/>
              </w:rPr>
              <w:t>.02595***</w:t>
            </w:r>
          </w:p>
          <w:p w14:paraId="5998AAFE" w14:textId="77777777" w:rsidR="00957269" w:rsidRDefault="00000000">
            <w:pPr>
              <w:jc w:val="center"/>
              <w:rPr>
                <w:sz w:val="21"/>
                <w:szCs w:val="21"/>
              </w:rPr>
            </w:pPr>
            <w:r>
              <w:rPr>
                <w:sz w:val="21"/>
                <w:szCs w:val="21"/>
              </w:rPr>
              <w:t>(.0074)</w:t>
            </w:r>
          </w:p>
        </w:tc>
        <w:tc>
          <w:tcPr>
            <w:tcW w:w="1567" w:type="dxa"/>
          </w:tcPr>
          <w:p w14:paraId="50E4BE2B" w14:textId="77777777" w:rsidR="00957269" w:rsidRDefault="00000000">
            <w:pPr>
              <w:jc w:val="center"/>
              <w:rPr>
                <w:sz w:val="21"/>
                <w:szCs w:val="21"/>
              </w:rPr>
            </w:pPr>
            <w:r>
              <w:rPr>
                <w:sz w:val="21"/>
                <w:szCs w:val="21"/>
              </w:rPr>
              <w:t>.00022</w:t>
            </w:r>
          </w:p>
          <w:p w14:paraId="72606709" w14:textId="77777777" w:rsidR="00957269" w:rsidRDefault="00000000">
            <w:pPr>
              <w:jc w:val="center"/>
              <w:rPr>
                <w:sz w:val="21"/>
                <w:szCs w:val="21"/>
              </w:rPr>
            </w:pPr>
            <w:r>
              <w:rPr>
                <w:sz w:val="21"/>
                <w:szCs w:val="21"/>
              </w:rPr>
              <w:t>(.0583)</w:t>
            </w:r>
          </w:p>
        </w:tc>
        <w:tc>
          <w:tcPr>
            <w:tcW w:w="1387" w:type="dxa"/>
          </w:tcPr>
          <w:p w14:paraId="775DC84A" w14:textId="77777777" w:rsidR="00957269" w:rsidRDefault="00000000">
            <w:pPr>
              <w:jc w:val="center"/>
              <w:rPr>
                <w:sz w:val="21"/>
                <w:szCs w:val="21"/>
              </w:rPr>
            </w:pPr>
            <w:r>
              <w:rPr>
                <w:sz w:val="21"/>
                <w:szCs w:val="21"/>
              </w:rPr>
              <w:t>-.12859</w:t>
            </w:r>
          </w:p>
          <w:p w14:paraId="63D9C12E" w14:textId="77777777" w:rsidR="00957269" w:rsidRDefault="00000000">
            <w:pPr>
              <w:jc w:val="center"/>
              <w:rPr>
                <w:sz w:val="21"/>
                <w:szCs w:val="21"/>
              </w:rPr>
            </w:pPr>
            <w:r>
              <w:rPr>
                <w:sz w:val="21"/>
                <w:szCs w:val="21"/>
              </w:rPr>
              <w:t>(.0785)</w:t>
            </w:r>
          </w:p>
        </w:tc>
      </w:tr>
      <w:tr w:rsidR="00957269" w14:paraId="229B7E17" w14:textId="77777777">
        <w:tc>
          <w:tcPr>
            <w:tcW w:w="2694" w:type="dxa"/>
          </w:tcPr>
          <w:p w14:paraId="0CFF47F6" w14:textId="77777777" w:rsidR="00957269" w:rsidRDefault="00000000">
            <w:pPr>
              <w:rPr>
                <w:sz w:val="21"/>
                <w:szCs w:val="21"/>
              </w:rPr>
            </w:pPr>
            <w:r>
              <w:rPr>
                <w:sz w:val="21"/>
                <w:szCs w:val="21"/>
              </w:rPr>
              <w:t>2023</w:t>
            </w:r>
          </w:p>
        </w:tc>
        <w:tc>
          <w:tcPr>
            <w:tcW w:w="1552" w:type="dxa"/>
          </w:tcPr>
          <w:p w14:paraId="38785699" w14:textId="77777777" w:rsidR="00957269" w:rsidRDefault="00000000">
            <w:pPr>
              <w:jc w:val="center"/>
              <w:rPr>
                <w:sz w:val="21"/>
                <w:szCs w:val="21"/>
              </w:rPr>
            </w:pPr>
            <w:r>
              <w:rPr>
                <w:sz w:val="21"/>
                <w:szCs w:val="21"/>
              </w:rPr>
              <w:t>.01844**</w:t>
            </w:r>
          </w:p>
          <w:p w14:paraId="7B9F0831" w14:textId="77777777" w:rsidR="00957269" w:rsidRDefault="00000000">
            <w:pPr>
              <w:jc w:val="center"/>
              <w:rPr>
                <w:sz w:val="21"/>
                <w:szCs w:val="21"/>
              </w:rPr>
            </w:pPr>
            <w:r>
              <w:rPr>
                <w:sz w:val="21"/>
                <w:szCs w:val="21"/>
              </w:rPr>
              <w:t>(.0088)</w:t>
            </w:r>
          </w:p>
        </w:tc>
        <w:tc>
          <w:tcPr>
            <w:tcW w:w="1826" w:type="dxa"/>
          </w:tcPr>
          <w:p w14:paraId="1F0A2D20" w14:textId="77777777" w:rsidR="00957269" w:rsidRDefault="00000000">
            <w:pPr>
              <w:jc w:val="center"/>
              <w:rPr>
                <w:sz w:val="21"/>
                <w:szCs w:val="21"/>
              </w:rPr>
            </w:pPr>
            <w:r>
              <w:rPr>
                <w:sz w:val="21"/>
                <w:szCs w:val="21"/>
              </w:rPr>
              <w:t>.01853**</w:t>
            </w:r>
          </w:p>
          <w:p w14:paraId="6471D8B3" w14:textId="77777777" w:rsidR="00957269" w:rsidRDefault="00000000">
            <w:pPr>
              <w:jc w:val="center"/>
              <w:rPr>
                <w:sz w:val="21"/>
                <w:szCs w:val="21"/>
              </w:rPr>
            </w:pPr>
            <w:r>
              <w:rPr>
                <w:sz w:val="21"/>
                <w:szCs w:val="21"/>
              </w:rPr>
              <w:t>(.0087)</w:t>
            </w:r>
          </w:p>
        </w:tc>
        <w:tc>
          <w:tcPr>
            <w:tcW w:w="1567" w:type="dxa"/>
          </w:tcPr>
          <w:p w14:paraId="7E932E14" w14:textId="77777777" w:rsidR="00957269" w:rsidRDefault="00000000">
            <w:pPr>
              <w:jc w:val="center"/>
              <w:rPr>
                <w:sz w:val="21"/>
                <w:szCs w:val="21"/>
              </w:rPr>
            </w:pPr>
            <w:r>
              <w:rPr>
                <w:sz w:val="21"/>
                <w:szCs w:val="21"/>
              </w:rPr>
              <w:t>-.03129</w:t>
            </w:r>
          </w:p>
          <w:p w14:paraId="6F5BBA69" w14:textId="77777777" w:rsidR="00957269" w:rsidRDefault="00000000">
            <w:pPr>
              <w:jc w:val="center"/>
              <w:rPr>
                <w:sz w:val="21"/>
                <w:szCs w:val="21"/>
              </w:rPr>
            </w:pPr>
            <w:r>
              <w:rPr>
                <w:sz w:val="21"/>
                <w:szCs w:val="21"/>
              </w:rPr>
              <w:t>(.0641)</w:t>
            </w:r>
          </w:p>
        </w:tc>
        <w:tc>
          <w:tcPr>
            <w:tcW w:w="1387" w:type="dxa"/>
          </w:tcPr>
          <w:p w14:paraId="2D0B45CE" w14:textId="77777777" w:rsidR="00957269" w:rsidRDefault="00000000">
            <w:pPr>
              <w:jc w:val="center"/>
              <w:rPr>
                <w:sz w:val="21"/>
                <w:szCs w:val="21"/>
              </w:rPr>
            </w:pPr>
            <w:r>
              <w:rPr>
                <w:sz w:val="21"/>
                <w:szCs w:val="21"/>
              </w:rPr>
              <w:t>-.15376*</w:t>
            </w:r>
          </w:p>
          <w:p w14:paraId="2481CCD3" w14:textId="77777777" w:rsidR="00957269" w:rsidRDefault="00000000">
            <w:pPr>
              <w:jc w:val="center"/>
              <w:rPr>
                <w:sz w:val="21"/>
                <w:szCs w:val="21"/>
              </w:rPr>
            </w:pPr>
            <w:r>
              <w:rPr>
                <w:sz w:val="21"/>
                <w:szCs w:val="21"/>
              </w:rPr>
              <w:t>(.0839)</w:t>
            </w:r>
          </w:p>
        </w:tc>
      </w:tr>
      <w:tr w:rsidR="00957269" w14:paraId="41E485D5" w14:textId="77777777">
        <w:tc>
          <w:tcPr>
            <w:tcW w:w="2694" w:type="dxa"/>
          </w:tcPr>
          <w:p w14:paraId="4240FE1D" w14:textId="77777777" w:rsidR="00957269" w:rsidRDefault="00000000">
            <w:pPr>
              <w:rPr>
                <w:i/>
                <w:iCs/>
                <w:sz w:val="21"/>
                <w:szCs w:val="21"/>
                <w:u w:val="single"/>
              </w:rPr>
            </w:pPr>
            <w:r>
              <w:rPr>
                <w:i/>
                <w:iCs/>
                <w:sz w:val="21"/>
                <w:szCs w:val="21"/>
                <w:u w:val="single"/>
              </w:rPr>
              <w:t>Factory-level</w:t>
            </w:r>
          </w:p>
        </w:tc>
        <w:tc>
          <w:tcPr>
            <w:tcW w:w="1552" w:type="dxa"/>
          </w:tcPr>
          <w:p w14:paraId="52617C7F" w14:textId="77777777" w:rsidR="00957269" w:rsidRDefault="00957269">
            <w:pPr>
              <w:jc w:val="center"/>
              <w:rPr>
                <w:b/>
                <w:bCs/>
                <w:sz w:val="21"/>
                <w:szCs w:val="21"/>
              </w:rPr>
            </w:pPr>
          </w:p>
        </w:tc>
        <w:tc>
          <w:tcPr>
            <w:tcW w:w="1826" w:type="dxa"/>
          </w:tcPr>
          <w:p w14:paraId="00F1E570" w14:textId="77777777" w:rsidR="00957269" w:rsidRDefault="00957269">
            <w:pPr>
              <w:jc w:val="center"/>
              <w:rPr>
                <w:b/>
                <w:bCs/>
                <w:sz w:val="21"/>
                <w:szCs w:val="21"/>
              </w:rPr>
            </w:pPr>
          </w:p>
        </w:tc>
        <w:tc>
          <w:tcPr>
            <w:tcW w:w="1567" w:type="dxa"/>
          </w:tcPr>
          <w:p w14:paraId="5AFBB03C" w14:textId="77777777" w:rsidR="00957269" w:rsidRDefault="00957269">
            <w:pPr>
              <w:jc w:val="center"/>
              <w:rPr>
                <w:b/>
                <w:bCs/>
                <w:sz w:val="21"/>
                <w:szCs w:val="21"/>
              </w:rPr>
            </w:pPr>
          </w:p>
        </w:tc>
        <w:tc>
          <w:tcPr>
            <w:tcW w:w="1387" w:type="dxa"/>
          </w:tcPr>
          <w:p w14:paraId="04A4D0A2" w14:textId="77777777" w:rsidR="00957269" w:rsidRDefault="00957269">
            <w:pPr>
              <w:jc w:val="center"/>
              <w:rPr>
                <w:b/>
                <w:bCs/>
                <w:sz w:val="21"/>
                <w:szCs w:val="21"/>
              </w:rPr>
            </w:pPr>
          </w:p>
        </w:tc>
      </w:tr>
      <w:tr w:rsidR="00957269" w14:paraId="5A059047" w14:textId="77777777">
        <w:tc>
          <w:tcPr>
            <w:tcW w:w="2694" w:type="dxa"/>
          </w:tcPr>
          <w:p w14:paraId="76EF11F2" w14:textId="77777777" w:rsidR="00957269" w:rsidRDefault="00000000">
            <w:pPr>
              <w:rPr>
                <w:sz w:val="21"/>
                <w:szCs w:val="21"/>
              </w:rPr>
            </w:pPr>
            <w:r>
              <w:rPr>
                <w:i/>
                <w:iCs/>
                <w:sz w:val="21"/>
                <w:szCs w:val="21"/>
              </w:rPr>
              <w:t>ln</w:t>
            </w:r>
            <w:r>
              <w:rPr>
                <w:sz w:val="21"/>
                <w:szCs w:val="21"/>
              </w:rPr>
              <w:t>(№ of workers) (W)</w:t>
            </w:r>
          </w:p>
        </w:tc>
        <w:tc>
          <w:tcPr>
            <w:tcW w:w="1552" w:type="dxa"/>
          </w:tcPr>
          <w:p w14:paraId="4C905B63" w14:textId="77777777" w:rsidR="00957269" w:rsidRDefault="00000000">
            <w:pPr>
              <w:jc w:val="center"/>
              <w:rPr>
                <w:sz w:val="21"/>
                <w:szCs w:val="21"/>
              </w:rPr>
            </w:pPr>
            <w:r>
              <w:rPr>
                <w:sz w:val="21"/>
                <w:szCs w:val="21"/>
              </w:rPr>
              <w:t>.12716***</w:t>
            </w:r>
          </w:p>
          <w:p w14:paraId="590EC326" w14:textId="77777777" w:rsidR="00957269" w:rsidRDefault="00000000">
            <w:pPr>
              <w:jc w:val="center"/>
              <w:rPr>
                <w:sz w:val="21"/>
                <w:szCs w:val="21"/>
              </w:rPr>
            </w:pPr>
            <w:r>
              <w:rPr>
                <w:sz w:val="21"/>
                <w:szCs w:val="21"/>
              </w:rPr>
              <w:t>(.0172)</w:t>
            </w:r>
          </w:p>
        </w:tc>
        <w:tc>
          <w:tcPr>
            <w:tcW w:w="1826" w:type="dxa"/>
          </w:tcPr>
          <w:p w14:paraId="26616F02" w14:textId="77777777" w:rsidR="00957269" w:rsidRDefault="00000000">
            <w:pPr>
              <w:jc w:val="center"/>
              <w:rPr>
                <w:sz w:val="21"/>
                <w:szCs w:val="21"/>
              </w:rPr>
            </w:pPr>
            <w:r>
              <w:rPr>
                <w:sz w:val="21"/>
                <w:szCs w:val="21"/>
              </w:rPr>
              <w:t>.12579***</w:t>
            </w:r>
          </w:p>
          <w:p w14:paraId="02EC7047" w14:textId="77777777" w:rsidR="00957269" w:rsidRDefault="00000000">
            <w:pPr>
              <w:jc w:val="center"/>
              <w:rPr>
                <w:sz w:val="21"/>
                <w:szCs w:val="21"/>
              </w:rPr>
            </w:pPr>
            <w:r>
              <w:rPr>
                <w:sz w:val="21"/>
                <w:szCs w:val="21"/>
              </w:rPr>
              <w:t>(.0171)</w:t>
            </w:r>
          </w:p>
        </w:tc>
        <w:tc>
          <w:tcPr>
            <w:tcW w:w="1567" w:type="dxa"/>
          </w:tcPr>
          <w:p w14:paraId="439C1162" w14:textId="77777777" w:rsidR="00957269" w:rsidRDefault="00000000">
            <w:pPr>
              <w:jc w:val="center"/>
              <w:rPr>
                <w:sz w:val="21"/>
                <w:szCs w:val="21"/>
              </w:rPr>
            </w:pPr>
            <w:r>
              <w:rPr>
                <w:sz w:val="21"/>
                <w:szCs w:val="21"/>
              </w:rPr>
              <w:t>.61581***</w:t>
            </w:r>
          </w:p>
          <w:p w14:paraId="5553C248" w14:textId="77777777" w:rsidR="00957269" w:rsidRDefault="00000000">
            <w:pPr>
              <w:jc w:val="center"/>
              <w:rPr>
                <w:sz w:val="21"/>
                <w:szCs w:val="21"/>
              </w:rPr>
            </w:pPr>
            <w:r>
              <w:rPr>
                <w:sz w:val="21"/>
                <w:szCs w:val="21"/>
              </w:rPr>
              <w:t>(.1213)</w:t>
            </w:r>
          </w:p>
        </w:tc>
        <w:tc>
          <w:tcPr>
            <w:tcW w:w="1387" w:type="dxa"/>
          </w:tcPr>
          <w:p w14:paraId="0951214C" w14:textId="77777777" w:rsidR="00957269" w:rsidRDefault="00000000">
            <w:pPr>
              <w:jc w:val="center"/>
              <w:rPr>
                <w:sz w:val="21"/>
                <w:szCs w:val="21"/>
              </w:rPr>
            </w:pPr>
            <w:r>
              <w:rPr>
                <w:sz w:val="21"/>
                <w:szCs w:val="21"/>
              </w:rPr>
              <w:t>.31509**</w:t>
            </w:r>
          </w:p>
          <w:p w14:paraId="08770B9F" w14:textId="77777777" w:rsidR="00957269" w:rsidRDefault="00000000">
            <w:pPr>
              <w:jc w:val="center"/>
              <w:rPr>
                <w:sz w:val="21"/>
                <w:szCs w:val="21"/>
              </w:rPr>
            </w:pPr>
            <w:r>
              <w:rPr>
                <w:sz w:val="21"/>
                <w:szCs w:val="21"/>
              </w:rPr>
              <w:t>(.1289)</w:t>
            </w:r>
          </w:p>
        </w:tc>
      </w:tr>
      <w:tr w:rsidR="00957269" w14:paraId="5B6BD7AD" w14:textId="77777777">
        <w:tc>
          <w:tcPr>
            <w:tcW w:w="2694" w:type="dxa"/>
          </w:tcPr>
          <w:p w14:paraId="227CD281"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(W)</w:t>
            </w:r>
          </w:p>
        </w:tc>
        <w:tc>
          <w:tcPr>
            <w:tcW w:w="1552" w:type="dxa"/>
          </w:tcPr>
          <w:p w14:paraId="29A4691E" w14:textId="77777777" w:rsidR="00957269" w:rsidRDefault="00000000">
            <w:pPr>
              <w:jc w:val="center"/>
              <w:rPr>
                <w:sz w:val="21"/>
                <w:szCs w:val="21"/>
              </w:rPr>
            </w:pPr>
            <w:r>
              <w:rPr>
                <w:sz w:val="21"/>
                <w:szCs w:val="21"/>
              </w:rPr>
              <w:t>-.00913***</w:t>
            </w:r>
          </w:p>
          <w:p w14:paraId="23617DF7" w14:textId="77777777" w:rsidR="00957269" w:rsidRDefault="00000000">
            <w:pPr>
              <w:jc w:val="center"/>
              <w:rPr>
                <w:sz w:val="21"/>
                <w:szCs w:val="21"/>
              </w:rPr>
            </w:pPr>
            <w:r>
              <w:rPr>
                <w:sz w:val="21"/>
                <w:szCs w:val="21"/>
              </w:rPr>
              <w:t>(.0015)</w:t>
            </w:r>
          </w:p>
        </w:tc>
        <w:tc>
          <w:tcPr>
            <w:tcW w:w="1826" w:type="dxa"/>
          </w:tcPr>
          <w:p w14:paraId="6E2A2CF1" w14:textId="77777777" w:rsidR="00957269" w:rsidRDefault="00000000">
            <w:pPr>
              <w:jc w:val="center"/>
              <w:rPr>
                <w:sz w:val="21"/>
                <w:szCs w:val="21"/>
              </w:rPr>
            </w:pPr>
            <w:r>
              <w:rPr>
                <w:sz w:val="21"/>
                <w:szCs w:val="21"/>
              </w:rPr>
              <w:t>-.00898***</w:t>
            </w:r>
          </w:p>
          <w:p w14:paraId="630B0CF0" w14:textId="77777777" w:rsidR="00957269" w:rsidRDefault="00000000">
            <w:pPr>
              <w:jc w:val="center"/>
              <w:rPr>
                <w:sz w:val="21"/>
                <w:szCs w:val="21"/>
              </w:rPr>
            </w:pPr>
            <w:r>
              <w:rPr>
                <w:sz w:val="21"/>
                <w:szCs w:val="21"/>
              </w:rPr>
              <w:t>(.0015)</w:t>
            </w:r>
          </w:p>
        </w:tc>
        <w:tc>
          <w:tcPr>
            <w:tcW w:w="1567" w:type="dxa"/>
          </w:tcPr>
          <w:p w14:paraId="39FC48E7" w14:textId="77777777" w:rsidR="00957269" w:rsidRDefault="00000000">
            <w:pPr>
              <w:jc w:val="center"/>
              <w:rPr>
                <w:sz w:val="21"/>
                <w:szCs w:val="21"/>
              </w:rPr>
            </w:pPr>
            <w:r>
              <w:rPr>
                <w:sz w:val="21"/>
                <w:szCs w:val="21"/>
              </w:rPr>
              <w:t>-.04652***</w:t>
            </w:r>
          </w:p>
          <w:p w14:paraId="1E85871C" w14:textId="77777777" w:rsidR="00957269" w:rsidRDefault="00000000">
            <w:pPr>
              <w:jc w:val="center"/>
              <w:rPr>
                <w:sz w:val="21"/>
                <w:szCs w:val="21"/>
              </w:rPr>
            </w:pPr>
            <w:r>
              <w:rPr>
                <w:sz w:val="21"/>
                <w:szCs w:val="21"/>
              </w:rPr>
              <w:t>(.0100)</w:t>
            </w:r>
          </w:p>
        </w:tc>
        <w:tc>
          <w:tcPr>
            <w:tcW w:w="1387" w:type="dxa"/>
          </w:tcPr>
          <w:p w14:paraId="039CF1B3" w14:textId="77777777" w:rsidR="00957269" w:rsidRDefault="00000000">
            <w:pPr>
              <w:jc w:val="center"/>
              <w:rPr>
                <w:sz w:val="21"/>
                <w:szCs w:val="21"/>
              </w:rPr>
            </w:pPr>
            <w:r>
              <w:rPr>
                <w:sz w:val="21"/>
                <w:szCs w:val="21"/>
              </w:rPr>
              <w:t>.02111**</w:t>
            </w:r>
          </w:p>
          <w:p w14:paraId="36F1202B" w14:textId="77777777" w:rsidR="00957269" w:rsidRDefault="00000000">
            <w:pPr>
              <w:jc w:val="center"/>
              <w:rPr>
                <w:sz w:val="21"/>
                <w:szCs w:val="21"/>
              </w:rPr>
            </w:pPr>
            <w:r>
              <w:rPr>
                <w:sz w:val="21"/>
                <w:szCs w:val="21"/>
              </w:rPr>
              <w:t>(.0090)</w:t>
            </w:r>
          </w:p>
        </w:tc>
      </w:tr>
      <w:tr w:rsidR="00957269" w14:paraId="0784169F" w14:textId="77777777">
        <w:tc>
          <w:tcPr>
            <w:tcW w:w="2694" w:type="dxa"/>
          </w:tcPr>
          <w:p w14:paraId="533E01AE" w14:textId="77777777" w:rsidR="00957269" w:rsidRDefault="00000000">
            <w:pPr>
              <w:rPr>
                <w:sz w:val="21"/>
                <w:szCs w:val="21"/>
              </w:rPr>
            </w:pPr>
            <w:r>
              <w:rPr>
                <w:sz w:val="21"/>
                <w:szCs w:val="21"/>
              </w:rPr>
              <w:t>Fraction line workers (W)</w:t>
            </w:r>
          </w:p>
        </w:tc>
        <w:tc>
          <w:tcPr>
            <w:tcW w:w="1552" w:type="dxa"/>
          </w:tcPr>
          <w:p w14:paraId="0CD35764" w14:textId="77777777" w:rsidR="00957269" w:rsidRDefault="00000000">
            <w:pPr>
              <w:jc w:val="center"/>
              <w:rPr>
                <w:sz w:val="21"/>
                <w:szCs w:val="21"/>
              </w:rPr>
            </w:pPr>
            <w:r>
              <w:rPr>
                <w:sz w:val="21"/>
                <w:szCs w:val="21"/>
              </w:rPr>
              <w:t>-.03910</w:t>
            </w:r>
          </w:p>
          <w:p w14:paraId="22CC4F60" w14:textId="77777777" w:rsidR="00957269" w:rsidRDefault="00000000">
            <w:pPr>
              <w:jc w:val="center"/>
              <w:rPr>
                <w:sz w:val="21"/>
                <w:szCs w:val="21"/>
              </w:rPr>
            </w:pPr>
            <w:r>
              <w:rPr>
                <w:sz w:val="21"/>
                <w:szCs w:val="21"/>
              </w:rPr>
              <w:t>(.0239)</w:t>
            </w:r>
          </w:p>
        </w:tc>
        <w:tc>
          <w:tcPr>
            <w:tcW w:w="1826" w:type="dxa"/>
          </w:tcPr>
          <w:p w14:paraId="130DEA9F" w14:textId="77777777" w:rsidR="00957269" w:rsidRDefault="00000000">
            <w:pPr>
              <w:jc w:val="center"/>
              <w:rPr>
                <w:sz w:val="21"/>
                <w:szCs w:val="21"/>
              </w:rPr>
            </w:pPr>
            <w:r>
              <w:rPr>
                <w:sz w:val="21"/>
                <w:szCs w:val="21"/>
              </w:rPr>
              <w:t>-.03818</w:t>
            </w:r>
          </w:p>
          <w:p w14:paraId="17EE99F3" w14:textId="77777777" w:rsidR="00957269" w:rsidRDefault="00000000">
            <w:pPr>
              <w:jc w:val="center"/>
              <w:rPr>
                <w:sz w:val="21"/>
                <w:szCs w:val="21"/>
              </w:rPr>
            </w:pPr>
            <w:r>
              <w:rPr>
                <w:sz w:val="21"/>
                <w:szCs w:val="21"/>
              </w:rPr>
              <w:t>(.0239)</w:t>
            </w:r>
          </w:p>
        </w:tc>
        <w:tc>
          <w:tcPr>
            <w:tcW w:w="1567" w:type="dxa"/>
          </w:tcPr>
          <w:p w14:paraId="3794BDFE" w14:textId="77777777" w:rsidR="00957269" w:rsidRDefault="00000000">
            <w:pPr>
              <w:jc w:val="center"/>
              <w:rPr>
                <w:sz w:val="21"/>
                <w:szCs w:val="21"/>
              </w:rPr>
            </w:pPr>
            <w:r>
              <w:rPr>
                <w:sz w:val="21"/>
                <w:szCs w:val="21"/>
              </w:rPr>
              <w:t>.02443</w:t>
            </w:r>
          </w:p>
          <w:p w14:paraId="60499462" w14:textId="77777777" w:rsidR="00957269" w:rsidRDefault="00000000">
            <w:pPr>
              <w:jc w:val="center"/>
              <w:rPr>
                <w:sz w:val="21"/>
                <w:szCs w:val="21"/>
              </w:rPr>
            </w:pPr>
            <w:r>
              <w:rPr>
                <w:sz w:val="21"/>
                <w:szCs w:val="21"/>
              </w:rPr>
              <w:t>(.1668)</w:t>
            </w:r>
          </w:p>
        </w:tc>
        <w:tc>
          <w:tcPr>
            <w:tcW w:w="1387" w:type="dxa"/>
          </w:tcPr>
          <w:p w14:paraId="01CE6F03" w14:textId="77777777" w:rsidR="00957269" w:rsidRDefault="00000000">
            <w:pPr>
              <w:jc w:val="center"/>
              <w:rPr>
                <w:sz w:val="21"/>
                <w:szCs w:val="21"/>
              </w:rPr>
            </w:pPr>
            <w:r>
              <w:rPr>
                <w:sz w:val="21"/>
                <w:szCs w:val="21"/>
              </w:rPr>
              <w:t>.03327</w:t>
            </w:r>
          </w:p>
          <w:p w14:paraId="67857FC8" w14:textId="77777777" w:rsidR="00957269" w:rsidRDefault="00000000">
            <w:pPr>
              <w:jc w:val="center"/>
              <w:rPr>
                <w:sz w:val="21"/>
                <w:szCs w:val="21"/>
              </w:rPr>
            </w:pPr>
            <w:r>
              <w:rPr>
                <w:sz w:val="21"/>
                <w:szCs w:val="21"/>
              </w:rPr>
              <w:t>(.1294)</w:t>
            </w:r>
          </w:p>
        </w:tc>
      </w:tr>
      <w:tr w:rsidR="00957269" w14:paraId="7D788027" w14:textId="77777777">
        <w:tc>
          <w:tcPr>
            <w:tcW w:w="2694" w:type="dxa"/>
          </w:tcPr>
          <w:p w14:paraId="77963A6B" w14:textId="77777777" w:rsidR="00957269" w:rsidRDefault="00000000">
            <w:pPr>
              <w:rPr>
                <w:sz w:val="21"/>
                <w:szCs w:val="21"/>
              </w:rPr>
            </w:pPr>
            <w:r>
              <w:rPr>
                <w:i/>
                <w:iCs/>
                <w:sz w:val="21"/>
                <w:szCs w:val="21"/>
              </w:rPr>
              <w:t>ln</w:t>
            </w:r>
            <w:r>
              <w:rPr>
                <w:sz w:val="21"/>
                <w:szCs w:val="21"/>
              </w:rPr>
              <w:t>(№ of workers) (B)</w:t>
            </w:r>
          </w:p>
        </w:tc>
        <w:tc>
          <w:tcPr>
            <w:tcW w:w="1552" w:type="dxa"/>
          </w:tcPr>
          <w:p w14:paraId="594C07D1" w14:textId="77777777" w:rsidR="00957269" w:rsidRDefault="00000000">
            <w:pPr>
              <w:jc w:val="center"/>
              <w:rPr>
                <w:sz w:val="21"/>
                <w:szCs w:val="21"/>
              </w:rPr>
            </w:pPr>
            <w:r>
              <w:rPr>
                <w:sz w:val="21"/>
                <w:szCs w:val="21"/>
              </w:rPr>
              <w:t>.11878***</w:t>
            </w:r>
          </w:p>
          <w:p w14:paraId="54D4BAF6" w14:textId="77777777" w:rsidR="00957269" w:rsidRDefault="00000000">
            <w:pPr>
              <w:jc w:val="center"/>
              <w:rPr>
                <w:sz w:val="21"/>
                <w:szCs w:val="21"/>
              </w:rPr>
            </w:pPr>
            <w:r>
              <w:rPr>
                <w:sz w:val="21"/>
                <w:szCs w:val="21"/>
              </w:rPr>
              <w:t>(.0186)</w:t>
            </w:r>
          </w:p>
        </w:tc>
        <w:tc>
          <w:tcPr>
            <w:tcW w:w="1826" w:type="dxa"/>
          </w:tcPr>
          <w:p w14:paraId="001547A3" w14:textId="77777777" w:rsidR="00957269" w:rsidRDefault="00000000">
            <w:pPr>
              <w:jc w:val="center"/>
              <w:rPr>
                <w:sz w:val="21"/>
                <w:szCs w:val="21"/>
              </w:rPr>
            </w:pPr>
            <w:r>
              <w:rPr>
                <w:sz w:val="21"/>
                <w:szCs w:val="21"/>
              </w:rPr>
              <w:t>.10630***</w:t>
            </w:r>
          </w:p>
          <w:p w14:paraId="4B69EAA4" w14:textId="77777777" w:rsidR="00957269" w:rsidRDefault="00000000">
            <w:pPr>
              <w:jc w:val="center"/>
              <w:rPr>
                <w:sz w:val="21"/>
                <w:szCs w:val="21"/>
              </w:rPr>
            </w:pPr>
            <w:r>
              <w:rPr>
                <w:sz w:val="21"/>
                <w:szCs w:val="21"/>
              </w:rPr>
              <w:t>(.019)</w:t>
            </w:r>
          </w:p>
        </w:tc>
        <w:tc>
          <w:tcPr>
            <w:tcW w:w="1567" w:type="dxa"/>
          </w:tcPr>
          <w:p w14:paraId="395B78C9" w14:textId="77777777" w:rsidR="00957269" w:rsidRDefault="00000000">
            <w:pPr>
              <w:jc w:val="center"/>
              <w:rPr>
                <w:sz w:val="21"/>
                <w:szCs w:val="21"/>
              </w:rPr>
            </w:pPr>
            <w:r>
              <w:rPr>
                <w:sz w:val="21"/>
                <w:szCs w:val="21"/>
              </w:rPr>
              <w:t>.34501***</w:t>
            </w:r>
          </w:p>
          <w:p w14:paraId="05358B05" w14:textId="77777777" w:rsidR="00957269" w:rsidRDefault="00000000">
            <w:pPr>
              <w:jc w:val="center"/>
              <w:rPr>
                <w:sz w:val="21"/>
                <w:szCs w:val="21"/>
              </w:rPr>
            </w:pPr>
            <w:r>
              <w:rPr>
                <w:sz w:val="21"/>
                <w:szCs w:val="21"/>
              </w:rPr>
              <w:t>(.1078)</w:t>
            </w:r>
          </w:p>
        </w:tc>
        <w:tc>
          <w:tcPr>
            <w:tcW w:w="1387" w:type="dxa"/>
          </w:tcPr>
          <w:p w14:paraId="7222E3AE" w14:textId="77777777" w:rsidR="00957269" w:rsidRDefault="00000000">
            <w:pPr>
              <w:jc w:val="center"/>
              <w:rPr>
                <w:sz w:val="21"/>
                <w:szCs w:val="21"/>
              </w:rPr>
            </w:pPr>
            <w:r>
              <w:rPr>
                <w:sz w:val="21"/>
                <w:szCs w:val="21"/>
              </w:rPr>
              <w:t>.3326**</w:t>
            </w:r>
          </w:p>
          <w:p w14:paraId="3F857223" w14:textId="77777777" w:rsidR="00957269" w:rsidRDefault="00000000">
            <w:pPr>
              <w:jc w:val="center"/>
              <w:rPr>
                <w:sz w:val="21"/>
                <w:szCs w:val="21"/>
              </w:rPr>
            </w:pPr>
            <w:r>
              <w:rPr>
                <w:sz w:val="21"/>
                <w:szCs w:val="21"/>
              </w:rPr>
              <w:t>(.1504)</w:t>
            </w:r>
          </w:p>
        </w:tc>
      </w:tr>
      <w:tr w:rsidR="00957269" w14:paraId="64292042" w14:textId="77777777">
        <w:tc>
          <w:tcPr>
            <w:tcW w:w="2694" w:type="dxa"/>
          </w:tcPr>
          <w:p w14:paraId="12D95766" w14:textId="77777777" w:rsidR="00957269" w:rsidRDefault="00000000">
            <w:pPr>
              <w:rPr>
                <w:sz w:val="21"/>
                <w:szCs w:val="21"/>
              </w:rPr>
            </w:pPr>
            <w:r>
              <w:rPr>
                <w:i/>
                <w:iCs/>
                <w:sz w:val="21"/>
                <w:szCs w:val="21"/>
              </w:rPr>
              <w:t>ln</w:t>
            </w:r>
            <w:r>
              <w:rPr>
                <w:sz w:val="21"/>
                <w:szCs w:val="21"/>
              </w:rPr>
              <w:t>(№ of workers</w:t>
            </w:r>
            <w:r>
              <w:rPr>
                <w:sz w:val="21"/>
                <w:szCs w:val="21"/>
                <w:vertAlign w:val="superscript"/>
              </w:rPr>
              <w:t>2</w:t>
            </w:r>
            <w:r>
              <w:rPr>
                <w:sz w:val="21"/>
                <w:szCs w:val="21"/>
              </w:rPr>
              <w:t>) (B)</w:t>
            </w:r>
          </w:p>
        </w:tc>
        <w:tc>
          <w:tcPr>
            <w:tcW w:w="1552" w:type="dxa"/>
          </w:tcPr>
          <w:p w14:paraId="36FAA804" w14:textId="77777777" w:rsidR="00957269" w:rsidRDefault="00000000">
            <w:pPr>
              <w:jc w:val="center"/>
              <w:rPr>
                <w:sz w:val="21"/>
                <w:szCs w:val="21"/>
              </w:rPr>
            </w:pPr>
            <w:r>
              <w:rPr>
                <w:sz w:val="21"/>
                <w:szCs w:val="21"/>
              </w:rPr>
              <w:t>-.00750***</w:t>
            </w:r>
          </w:p>
          <w:p w14:paraId="490C71A0" w14:textId="77777777" w:rsidR="00957269" w:rsidRDefault="00000000">
            <w:pPr>
              <w:jc w:val="center"/>
              <w:rPr>
                <w:sz w:val="21"/>
                <w:szCs w:val="21"/>
              </w:rPr>
            </w:pPr>
            <w:r>
              <w:rPr>
                <w:sz w:val="21"/>
                <w:szCs w:val="21"/>
              </w:rPr>
              <w:t>(.0015)</w:t>
            </w:r>
          </w:p>
        </w:tc>
        <w:tc>
          <w:tcPr>
            <w:tcW w:w="1826" w:type="dxa"/>
          </w:tcPr>
          <w:p w14:paraId="7D6FEE99" w14:textId="77777777" w:rsidR="00957269" w:rsidRDefault="00000000">
            <w:pPr>
              <w:jc w:val="center"/>
              <w:rPr>
                <w:sz w:val="21"/>
                <w:szCs w:val="21"/>
              </w:rPr>
            </w:pPr>
            <w:r>
              <w:rPr>
                <w:sz w:val="21"/>
                <w:szCs w:val="21"/>
              </w:rPr>
              <w:t>-.00618***</w:t>
            </w:r>
          </w:p>
          <w:p w14:paraId="4A215DDD" w14:textId="77777777" w:rsidR="00957269" w:rsidRDefault="00000000">
            <w:pPr>
              <w:jc w:val="center"/>
              <w:rPr>
                <w:sz w:val="21"/>
                <w:szCs w:val="21"/>
              </w:rPr>
            </w:pPr>
            <w:r>
              <w:rPr>
                <w:sz w:val="21"/>
                <w:szCs w:val="21"/>
              </w:rPr>
              <w:t>(.0015)</w:t>
            </w:r>
          </w:p>
        </w:tc>
        <w:tc>
          <w:tcPr>
            <w:tcW w:w="1567" w:type="dxa"/>
          </w:tcPr>
          <w:p w14:paraId="7D1AD1E8" w14:textId="77777777" w:rsidR="00957269" w:rsidRDefault="00000000">
            <w:pPr>
              <w:jc w:val="center"/>
              <w:rPr>
                <w:sz w:val="21"/>
                <w:szCs w:val="21"/>
              </w:rPr>
            </w:pPr>
            <w:r>
              <w:rPr>
                <w:sz w:val="21"/>
                <w:szCs w:val="21"/>
              </w:rPr>
              <w:t>-.00810</w:t>
            </w:r>
          </w:p>
          <w:p w14:paraId="08F39D55" w14:textId="77777777" w:rsidR="00957269" w:rsidRDefault="00000000">
            <w:pPr>
              <w:jc w:val="center"/>
              <w:rPr>
                <w:sz w:val="21"/>
                <w:szCs w:val="21"/>
              </w:rPr>
            </w:pPr>
            <w:r>
              <w:rPr>
                <w:sz w:val="21"/>
                <w:szCs w:val="21"/>
              </w:rPr>
              <w:t>(.0087)</w:t>
            </w:r>
          </w:p>
        </w:tc>
        <w:tc>
          <w:tcPr>
            <w:tcW w:w="1387" w:type="dxa"/>
          </w:tcPr>
          <w:p w14:paraId="04E776A9" w14:textId="77777777" w:rsidR="00957269" w:rsidRDefault="00000000">
            <w:pPr>
              <w:jc w:val="center"/>
              <w:rPr>
                <w:sz w:val="21"/>
                <w:szCs w:val="21"/>
              </w:rPr>
            </w:pPr>
            <w:r>
              <w:rPr>
                <w:sz w:val="21"/>
                <w:szCs w:val="21"/>
              </w:rPr>
              <w:t>-.01576*</w:t>
            </w:r>
          </w:p>
          <w:p w14:paraId="3EBFEE63" w14:textId="77777777" w:rsidR="00957269" w:rsidRDefault="00000000">
            <w:pPr>
              <w:jc w:val="center"/>
              <w:rPr>
                <w:sz w:val="21"/>
                <w:szCs w:val="21"/>
              </w:rPr>
            </w:pPr>
            <w:r>
              <w:rPr>
                <w:sz w:val="21"/>
                <w:szCs w:val="21"/>
              </w:rPr>
              <w:t>(.009)</w:t>
            </w:r>
          </w:p>
        </w:tc>
      </w:tr>
      <w:tr w:rsidR="00957269" w14:paraId="5FE17BBE" w14:textId="77777777">
        <w:tc>
          <w:tcPr>
            <w:tcW w:w="2694" w:type="dxa"/>
          </w:tcPr>
          <w:p w14:paraId="18C76B15" w14:textId="77777777" w:rsidR="00957269" w:rsidRDefault="00000000">
            <w:pPr>
              <w:rPr>
                <w:sz w:val="21"/>
                <w:szCs w:val="21"/>
              </w:rPr>
            </w:pPr>
            <w:r>
              <w:rPr>
                <w:sz w:val="21"/>
                <w:szCs w:val="21"/>
              </w:rPr>
              <w:t>Fraction line workers (B)</w:t>
            </w:r>
          </w:p>
        </w:tc>
        <w:tc>
          <w:tcPr>
            <w:tcW w:w="1552" w:type="dxa"/>
          </w:tcPr>
          <w:p w14:paraId="3563B5B5" w14:textId="77777777" w:rsidR="00957269" w:rsidRDefault="00000000">
            <w:pPr>
              <w:jc w:val="center"/>
              <w:rPr>
                <w:sz w:val="21"/>
                <w:szCs w:val="21"/>
              </w:rPr>
            </w:pPr>
            <w:r>
              <w:rPr>
                <w:sz w:val="21"/>
                <w:szCs w:val="21"/>
              </w:rPr>
              <w:t>.30664***</w:t>
            </w:r>
          </w:p>
          <w:p w14:paraId="4D3EB99E" w14:textId="77777777" w:rsidR="00957269" w:rsidRDefault="00000000">
            <w:pPr>
              <w:jc w:val="center"/>
              <w:rPr>
                <w:sz w:val="21"/>
                <w:szCs w:val="21"/>
              </w:rPr>
            </w:pPr>
            <w:r>
              <w:rPr>
                <w:sz w:val="21"/>
                <w:szCs w:val="21"/>
              </w:rPr>
              <w:t>(.0447)</w:t>
            </w:r>
          </w:p>
        </w:tc>
        <w:tc>
          <w:tcPr>
            <w:tcW w:w="1826" w:type="dxa"/>
          </w:tcPr>
          <w:p w14:paraId="7A63CC92" w14:textId="77777777" w:rsidR="00957269" w:rsidRDefault="00000000">
            <w:pPr>
              <w:jc w:val="center"/>
              <w:rPr>
                <w:sz w:val="21"/>
                <w:szCs w:val="21"/>
              </w:rPr>
            </w:pPr>
            <w:r>
              <w:rPr>
                <w:sz w:val="21"/>
                <w:szCs w:val="21"/>
              </w:rPr>
              <w:t>.3071***</w:t>
            </w:r>
          </w:p>
          <w:p w14:paraId="61ABE5A3" w14:textId="77777777" w:rsidR="00957269" w:rsidRDefault="00000000">
            <w:pPr>
              <w:jc w:val="center"/>
              <w:rPr>
                <w:sz w:val="21"/>
                <w:szCs w:val="21"/>
              </w:rPr>
            </w:pPr>
            <w:r>
              <w:rPr>
                <w:sz w:val="21"/>
                <w:szCs w:val="21"/>
              </w:rPr>
              <w:t>(.0443)</w:t>
            </w:r>
          </w:p>
        </w:tc>
        <w:tc>
          <w:tcPr>
            <w:tcW w:w="1567" w:type="dxa"/>
          </w:tcPr>
          <w:p w14:paraId="1A958DEF" w14:textId="77777777" w:rsidR="00957269" w:rsidRDefault="00000000">
            <w:pPr>
              <w:jc w:val="center"/>
              <w:rPr>
                <w:sz w:val="21"/>
                <w:szCs w:val="21"/>
              </w:rPr>
            </w:pPr>
            <w:r>
              <w:rPr>
                <w:sz w:val="21"/>
                <w:szCs w:val="21"/>
              </w:rPr>
              <w:t>1.4935***</w:t>
            </w:r>
          </w:p>
          <w:p w14:paraId="7672DCFE" w14:textId="77777777" w:rsidR="00957269" w:rsidRDefault="00000000">
            <w:pPr>
              <w:jc w:val="center"/>
              <w:rPr>
                <w:sz w:val="21"/>
                <w:szCs w:val="21"/>
              </w:rPr>
            </w:pPr>
            <w:r>
              <w:rPr>
                <w:sz w:val="21"/>
                <w:szCs w:val="21"/>
              </w:rPr>
              <w:t>(.2662)</w:t>
            </w:r>
          </w:p>
        </w:tc>
        <w:tc>
          <w:tcPr>
            <w:tcW w:w="1387" w:type="dxa"/>
          </w:tcPr>
          <w:p w14:paraId="2F94EDF1" w14:textId="77777777" w:rsidR="00957269" w:rsidRDefault="00000000">
            <w:pPr>
              <w:jc w:val="center"/>
              <w:rPr>
                <w:sz w:val="21"/>
                <w:szCs w:val="21"/>
              </w:rPr>
            </w:pPr>
            <w:r>
              <w:rPr>
                <w:sz w:val="21"/>
                <w:szCs w:val="21"/>
              </w:rPr>
              <w:t>.93239**</w:t>
            </w:r>
          </w:p>
          <w:p w14:paraId="7F78FF27" w14:textId="77777777" w:rsidR="00957269" w:rsidRDefault="00000000">
            <w:pPr>
              <w:jc w:val="center"/>
              <w:rPr>
                <w:sz w:val="21"/>
                <w:szCs w:val="21"/>
              </w:rPr>
            </w:pPr>
            <w:r>
              <w:rPr>
                <w:sz w:val="21"/>
                <w:szCs w:val="21"/>
              </w:rPr>
              <w:t>(.4264)</w:t>
            </w:r>
          </w:p>
        </w:tc>
      </w:tr>
      <w:tr w:rsidR="00957269" w14:paraId="73088F49" w14:textId="77777777">
        <w:tc>
          <w:tcPr>
            <w:tcW w:w="2694" w:type="dxa"/>
          </w:tcPr>
          <w:p w14:paraId="7531EBDE" w14:textId="77777777" w:rsidR="00957269" w:rsidRPr="00824892" w:rsidRDefault="00000000">
            <w:pPr>
              <w:rPr>
                <w:i/>
                <w:iCs/>
                <w:sz w:val="21"/>
                <w:szCs w:val="21"/>
                <w:u w:val="single"/>
              </w:rPr>
            </w:pPr>
            <w:r w:rsidRPr="00824892">
              <w:rPr>
                <w:i/>
                <w:iCs/>
                <w:sz w:val="21"/>
                <w:szCs w:val="21"/>
                <w:u w:val="single"/>
              </w:rPr>
              <w:t>Supplier-level</w:t>
            </w:r>
          </w:p>
        </w:tc>
        <w:tc>
          <w:tcPr>
            <w:tcW w:w="1552" w:type="dxa"/>
          </w:tcPr>
          <w:p w14:paraId="17329B9D" w14:textId="77777777" w:rsidR="00957269" w:rsidRDefault="00957269">
            <w:pPr>
              <w:jc w:val="center"/>
              <w:rPr>
                <w:sz w:val="21"/>
                <w:szCs w:val="21"/>
              </w:rPr>
            </w:pPr>
          </w:p>
        </w:tc>
        <w:tc>
          <w:tcPr>
            <w:tcW w:w="1826" w:type="dxa"/>
          </w:tcPr>
          <w:p w14:paraId="0B88822C" w14:textId="77777777" w:rsidR="00957269" w:rsidRDefault="00957269">
            <w:pPr>
              <w:jc w:val="center"/>
              <w:rPr>
                <w:sz w:val="21"/>
                <w:szCs w:val="21"/>
              </w:rPr>
            </w:pPr>
          </w:p>
        </w:tc>
        <w:tc>
          <w:tcPr>
            <w:tcW w:w="1567" w:type="dxa"/>
          </w:tcPr>
          <w:p w14:paraId="0EF684F0" w14:textId="77777777" w:rsidR="00957269" w:rsidRDefault="00957269">
            <w:pPr>
              <w:jc w:val="center"/>
              <w:rPr>
                <w:sz w:val="21"/>
                <w:szCs w:val="21"/>
              </w:rPr>
            </w:pPr>
          </w:p>
        </w:tc>
        <w:tc>
          <w:tcPr>
            <w:tcW w:w="1387" w:type="dxa"/>
          </w:tcPr>
          <w:p w14:paraId="2256B272" w14:textId="77777777" w:rsidR="00957269" w:rsidRDefault="00957269">
            <w:pPr>
              <w:jc w:val="center"/>
              <w:rPr>
                <w:sz w:val="21"/>
                <w:szCs w:val="21"/>
              </w:rPr>
            </w:pPr>
          </w:p>
        </w:tc>
      </w:tr>
      <w:tr w:rsidR="00824892" w14:paraId="10E20544" w14:textId="77777777">
        <w:tc>
          <w:tcPr>
            <w:tcW w:w="2694" w:type="dxa"/>
          </w:tcPr>
          <w:p w14:paraId="2989D529" w14:textId="44A28D56" w:rsidR="00824892" w:rsidRDefault="00824892" w:rsidP="00824892">
            <w:pPr>
              <w:rPr>
                <w:sz w:val="21"/>
                <w:szCs w:val="21"/>
              </w:rPr>
            </w:pPr>
            <w:r>
              <w:rPr>
                <w:sz w:val="21"/>
                <w:szCs w:val="21"/>
              </w:rPr>
              <w:lastRenderedPageBreak/>
              <w:t>Product Complexity (W)</w:t>
            </w:r>
          </w:p>
        </w:tc>
        <w:tc>
          <w:tcPr>
            <w:tcW w:w="1552" w:type="dxa"/>
          </w:tcPr>
          <w:p w14:paraId="2B14F077" w14:textId="77777777" w:rsidR="00824892" w:rsidRDefault="00824892" w:rsidP="00824892">
            <w:pPr>
              <w:jc w:val="center"/>
              <w:rPr>
                <w:sz w:val="21"/>
                <w:szCs w:val="21"/>
              </w:rPr>
            </w:pPr>
            <w:r>
              <w:rPr>
                <w:sz w:val="21"/>
                <w:szCs w:val="21"/>
              </w:rPr>
              <w:t>-.00445</w:t>
            </w:r>
          </w:p>
          <w:p w14:paraId="27C34117" w14:textId="5D59BF00" w:rsidR="00824892" w:rsidRDefault="00824892" w:rsidP="00824892">
            <w:pPr>
              <w:jc w:val="center"/>
              <w:rPr>
                <w:sz w:val="21"/>
                <w:szCs w:val="21"/>
              </w:rPr>
            </w:pPr>
            <w:r>
              <w:rPr>
                <w:sz w:val="21"/>
                <w:szCs w:val="21"/>
              </w:rPr>
              <w:t>(.0364)</w:t>
            </w:r>
          </w:p>
        </w:tc>
        <w:tc>
          <w:tcPr>
            <w:tcW w:w="1826" w:type="dxa"/>
          </w:tcPr>
          <w:p w14:paraId="57013E90" w14:textId="77777777" w:rsidR="00824892" w:rsidRDefault="00824892" w:rsidP="00824892">
            <w:pPr>
              <w:jc w:val="center"/>
              <w:rPr>
                <w:sz w:val="21"/>
                <w:szCs w:val="21"/>
              </w:rPr>
            </w:pPr>
            <w:r>
              <w:rPr>
                <w:sz w:val="21"/>
                <w:szCs w:val="21"/>
              </w:rPr>
              <w:t>.01044</w:t>
            </w:r>
          </w:p>
          <w:p w14:paraId="08A4D5DE" w14:textId="65C9F2CD" w:rsidR="00824892" w:rsidRDefault="00824892" w:rsidP="00824892">
            <w:pPr>
              <w:jc w:val="center"/>
              <w:rPr>
                <w:sz w:val="21"/>
                <w:szCs w:val="21"/>
              </w:rPr>
            </w:pPr>
            <w:r>
              <w:rPr>
                <w:sz w:val="21"/>
                <w:szCs w:val="21"/>
              </w:rPr>
              <w:t>(.0364)</w:t>
            </w:r>
          </w:p>
        </w:tc>
        <w:tc>
          <w:tcPr>
            <w:tcW w:w="1567" w:type="dxa"/>
          </w:tcPr>
          <w:p w14:paraId="0F74902C" w14:textId="77777777" w:rsidR="00824892" w:rsidRDefault="00824892" w:rsidP="00824892">
            <w:pPr>
              <w:jc w:val="center"/>
              <w:rPr>
                <w:sz w:val="21"/>
                <w:szCs w:val="21"/>
              </w:rPr>
            </w:pPr>
            <w:r>
              <w:rPr>
                <w:sz w:val="21"/>
                <w:szCs w:val="21"/>
              </w:rPr>
              <w:t>-.24242</w:t>
            </w:r>
          </w:p>
          <w:p w14:paraId="36AD5634" w14:textId="05CB9878" w:rsidR="00824892" w:rsidRDefault="00824892" w:rsidP="00824892">
            <w:pPr>
              <w:jc w:val="center"/>
              <w:rPr>
                <w:sz w:val="21"/>
                <w:szCs w:val="21"/>
              </w:rPr>
            </w:pPr>
            <w:r>
              <w:rPr>
                <w:sz w:val="21"/>
                <w:szCs w:val="21"/>
              </w:rPr>
              <w:t>(.1889)</w:t>
            </w:r>
          </w:p>
        </w:tc>
        <w:tc>
          <w:tcPr>
            <w:tcW w:w="1387" w:type="dxa"/>
          </w:tcPr>
          <w:p w14:paraId="6EA4D4B6" w14:textId="77777777" w:rsidR="00824892" w:rsidRDefault="00824892" w:rsidP="00824892">
            <w:pPr>
              <w:jc w:val="center"/>
              <w:rPr>
                <w:sz w:val="21"/>
                <w:szCs w:val="21"/>
              </w:rPr>
            </w:pPr>
            <w:r>
              <w:rPr>
                <w:sz w:val="21"/>
                <w:szCs w:val="21"/>
              </w:rPr>
              <w:t>.03526</w:t>
            </w:r>
          </w:p>
          <w:p w14:paraId="32D0D757" w14:textId="44812EE5" w:rsidR="00824892" w:rsidRDefault="00824892" w:rsidP="00824892">
            <w:pPr>
              <w:jc w:val="center"/>
              <w:rPr>
                <w:sz w:val="21"/>
                <w:szCs w:val="21"/>
              </w:rPr>
            </w:pPr>
            <w:r>
              <w:rPr>
                <w:sz w:val="21"/>
                <w:szCs w:val="21"/>
              </w:rPr>
              <w:t>(.1617)</w:t>
            </w:r>
          </w:p>
        </w:tc>
      </w:tr>
      <w:tr w:rsidR="00824892" w14:paraId="2D50C463" w14:textId="77777777">
        <w:tc>
          <w:tcPr>
            <w:tcW w:w="2694" w:type="dxa"/>
          </w:tcPr>
          <w:p w14:paraId="2A6DD57D" w14:textId="77777777" w:rsidR="00824892" w:rsidRDefault="00824892" w:rsidP="00824892">
            <w:pPr>
              <w:rPr>
                <w:sz w:val="21"/>
                <w:szCs w:val="21"/>
              </w:rPr>
            </w:pPr>
            <w:r>
              <w:rPr>
                <w:sz w:val="21"/>
                <w:szCs w:val="21"/>
              </w:rPr>
              <w:t>Prominence (W)</w:t>
            </w:r>
          </w:p>
        </w:tc>
        <w:tc>
          <w:tcPr>
            <w:tcW w:w="1552" w:type="dxa"/>
          </w:tcPr>
          <w:p w14:paraId="52A3DA86" w14:textId="77777777" w:rsidR="00824892" w:rsidRDefault="00824892" w:rsidP="00824892">
            <w:pPr>
              <w:jc w:val="center"/>
              <w:rPr>
                <w:sz w:val="21"/>
                <w:szCs w:val="21"/>
              </w:rPr>
            </w:pPr>
            <w:r>
              <w:rPr>
                <w:sz w:val="21"/>
                <w:szCs w:val="21"/>
              </w:rPr>
              <w:t>.03377</w:t>
            </w:r>
          </w:p>
          <w:p w14:paraId="730336C5" w14:textId="77777777" w:rsidR="00824892" w:rsidRDefault="00824892" w:rsidP="00824892">
            <w:pPr>
              <w:jc w:val="center"/>
              <w:rPr>
                <w:sz w:val="21"/>
                <w:szCs w:val="21"/>
              </w:rPr>
            </w:pPr>
            <w:r>
              <w:rPr>
                <w:sz w:val="21"/>
                <w:szCs w:val="21"/>
              </w:rPr>
              <w:t>(.0479)</w:t>
            </w:r>
          </w:p>
        </w:tc>
        <w:tc>
          <w:tcPr>
            <w:tcW w:w="1826" w:type="dxa"/>
          </w:tcPr>
          <w:p w14:paraId="5D591994" w14:textId="77777777" w:rsidR="00824892" w:rsidRDefault="00824892" w:rsidP="00824892">
            <w:pPr>
              <w:jc w:val="center"/>
              <w:rPr>
                <w:sz w:val="21"/>
                <w:szCs w:val="21"/>
              </w:rPr>
            </w:pPr>
            <w:r>
              <w:rPr>
                <w:sz w:val="21"/>
                <w:szCs w:val="21"/>
              </w:rPr>
              <w:t>-.00138</w:t>
            </w:r>
          </w:p>
          <w:p w14:paraId="3E371FE7" w14:textId="77777777" w:rsidR="00824892" w:rsidRDefault="00824892" w:rsidP="00824892">
            <w:pPr>
              <w:jc w:val="center"/>
              <w:rPr>
                <w:sz w:val="21"/>
                <w:szCs w:val="21"/>
              </w:rPr>
            </w:pPr>
            <w:r>
              <w:rPr>
                <w:sz w:val="21"/>
                <w:szCs w:val="21"/>
              </w:rPr>
              <w:t>(.0034)</w:t>
            </w:r>
          </w:p>
        </w:tc>
        <w:tc>
          <w:tcPr>
            <w:tcW w:w="1567" w:type="dxa"/>
          </w:tcPr>
          <w:p w14:paraId="63CFB24A" w14:textId="77777777" w:rsidR="00824892" w:rsidRDefault="00824892" w:rsidP="00824892">
            <w:pPr>
              <w:jc w:val="center"/>
              <w:rPr>
                <w:sz w:val="21"/>
                <w:szCs w:val="21"/>
              </w:rPr>
            </w:pPr>
            <w:r>
              <w:rPr>
                <w:sz w:val="21"/>
                <w:szCs w:val="21"/>
              </w:rPr>
              <w:t>-.05647**</w:t>
            </w:r>
          </w:p>
          <w:p w14:paraId="31F7A4C3" w14:textId="77777777" w:rsidR="00824892" w:rsidRDefault="00824892" w:rsidP="00824892">
            <w:pPr>
              <w:jc w:val="center"/>
              <w:rPr>
                <w:sz w:val="21"/>
                <w:szCs w:val="21"/>
              </w:rPr>
            </w:pPr>
            <w:r>
              <w:rPr>
                <w:sz w:val="21"/>
                <w:szCs w:val="21"/>
              </w:rPr>
              <w:t>(.0236)</w:t>
            </w:r>
          </w:p>
        </w:tc>
        <w:tc>
          <w:tcPr>
            <w:tcW w:w="1387" w:type="dxa"/>
          </w:tcPr>
          <w:p w14:paraId="0478AB8E" w14:textId="77777777" w:rsidR="00824892" w:rsidRDefault="00824892" w:rsidP="00824892">
            <w:pPr>
              <w:jc w:val="center"/>
              <w:rPr>
                <w:sz w:val="21"/>
                <w:szCs w:val="21"/>
              </w:rPr>
            </w:pPr>
            <w:r>
              <w:rPr>
                <w:sz w:val="21"/>
                <w:szCs w:val="21"/>
              </w:rPr>
              <w:t>-.02685</w:t>
            </w:r>
          </w:p>
          <w:p w14:paraId="245A0A7B" w14:textId="77777777" w:rsidR="00824892" w:rsidRDefault="00824892" w:rsidP="00824892">
            <w:pPr>
              <w:jc w:val="center"/>
              <w:rPr>
                <w:sz w:val="21"/>
                <w:szCs w:val="21"/>
              </w:rPr>
            </w:pPr>
            <w:r>
              <w:rPr>
                <w:sz w:val="21"/>
                <w:szCs w:val="21"/>
              </w:rPr>
              <w:t>(.0195)</w:t>
            </w:r>
          </w:p>
        </w:tc>
      </w:tr>
      <w:tr w:rsidR="00824892" w14:paraId="1D63B8BC" w14:textId="77777777">
        <w:tc>
          <w:tcPr>
            <w:tcW w:w="2694" w:type="dxa"/>
          </w:tcPr>
          <w:p w14:paraId="0E8ACA2F" w14:textId="77777777" w:rsidR="00824892" w:rsidRDefault="00824892" w:rsidP="00824892">
            <w:pPr>
              <w:rPr>
                <w:sz w:val="21"/>
                <w:szCs w:val="21"/>
              </w:rPr>
            </w:pPr>
            <w:r>
              <w:rPr>
                <w:sz w:val="21"/>
                <w:szCs w:val="21"/>
              </w:rPr>
              <w:t>Geo. Disp. (W)</w:t>
            </w:r>
          </w:p>
        </w:tc>
        <w:tc>
          <w:tcPr>
            <w:tcW w:w="1552" w:type="dxa"/>
          </w:tcPr>
          <w:p w14:paraId="7D7B13BC" w14:textId="77777777" w:rsidR="00824892" w:rsidRDefault="00824892" w:rsidP="00824892">
            <w:pPr>
              <w:jc w:val="center"/>
              <w:rPr>
                <w:sz w:val="21"/>
                <w:szCs w:val="21"/>
              </w:rPr>
            </w:pPr>
            <w:r>
              <w:rPr>
                <w:sz w:val="21"/>
                <w:szCs w:val="21"/>
              </w:rPr>
              <w:t>-.00786</w:t>
            </w:r>
          </w:p>
          <w:p w14:paraId="75B10902" w14:textId="77777777" w:rsidR="00824892" w:rsidRDefault="00824892" w:rsidP="00824892">
            <w:pPr>
              <w:jc w:val="center"/>
              <w:rPr>
                <w:sz w:val="21"/>
                <w:szCs w:val="21"/>
              </w:rPr>
            </w:pPr>
            <w:r>
              <w:rPr>
                <w:sz w:val="21"/>
                <w:szCs w:val="21"/>
              </w:rPr>
              <w:t>(.0089)</w:t>
            </w:r>
          </w:p>
        </w:tc>
        <w:tc>
          <w:tcPr>
            <w:tcW w:w="1826" w:type="dxa"/>
          </w:tcPr>
          <w:p w14:paraId="23B3795B" w14:textId="77777777" w:rsidR="00824892" w:rsidRDefault="00824892" w:rsidP="00824892">
            <w:pPr>
              <w:jc w:val="center"/>
              <w:rPr>
                <w:sz w:val="21"/>
                <w:szCs w:val="21"/>
              </w:rPr>
            </w:pPr>
            <w:r>
              <w:rPr>
                <w:sz w:val="21"/>
                <w:szCs w:val="21"/>
              </w:rPr>
              <w:t>-.00457</w:t>
            </w:r>
          </w:p>
          <w:p w14:paraId="374353A1" w14:textId="77777777" w:rsidR="00824892" w:rsidRDefault="00824892" w:rsidP="00824892">
            <w:pPr>
              <w:jc w:val="center"/>
              <w:rPr>
                <w:sz w:val="21"/>
                <w:szCs w:val="21"/>
              </w:rPr>
            </w:pPr>
            <w:r>
              <w:rPr>
                <w:sz w:val="21"/>
                <w:szCs w:val="21"/>
              </w:rPr>
              <w:t>(.0107)</w:t>
            </w:r>
          </w:p>
        </w:tc>
        <w:tc>
          <w:tcPr>
            <w:tcW w:w="1567" w:type="dxa"/>
          </w:tcPr>
          <w:p w14:paraId="2CEC0A7A" w14:textId="77777777" w:rsidR="00824892" w:rsidRDefault="00824892" w:rsidP="00824892">
            <w:pPr>
              <w:jc w:val="center"/>
              <w:rPr>
                <w:sz w:val="21"/>
                <w:szCs w:val="21"/>
              </w:rPr>
            </w:pPr>
            <w:r>
              <w:rPr>
                <w:sz w:val="21"/>
                <w:szCs w:val="21"/>
              </w:rPr>
              <w:t>-.04148</w:t>
            </w:r>
          </w:p>
          <w:p w14:paraId="765AACA1" w14:textId="77777777" w:rsidR="00824892" w:rsidRDefault="00824892" w:rsidP="00824892">
            <w:pPr>
              <w:jc w:val="center"/>
              <w:rPr>
                <w:sz w:val="21"/>
                <w:szCs w:val="21"/>
              </w:rPr>
            </w:pPr>
            <w:r>
              <w:rPr>
                <w:sz w:val="21"/>
                <w:szCs w:val="21"/>
              </w:rPr>
              <w:t>(.0801)</w:t>
            </w:r>
          </w:p>
        </w:tc>
        <w:tc>
          <w:tcPr>
            <w:tcW w:w="1387" w:type="dxa"/>
          </w:tcPr>
          <w:p w14:paraId="0F9D932E" w14:textId="77777777" w:rsidR="00824892" w:rsidRDefault="00824892" w:rsidP="00824892">
            <w:pPr>
              <w:jc w:val="center"/>
              <w:rPr>
                <w:sz w:val="21"/>
                <w:szCs w:val="21"/>
              </w:rPr>
            </w:pPr>
            <w:r>
              <w:rPr>
                <w:sz w:val="21"/>
                <w:szCs w:val="21"/>
              </w:rPr>
              <w:t>-.02535</w:t>
            </w:r>
          </w:p>
          <w:p w14:paraId="2B23F466" w14:textId="77777777" w:rsidR="00824892" w:rsidRDefault="00824892" w:rsidP="00824892">
            <w:pPr>
              <w:jc w:val="center"/>
              <w:rPr>
                <w:sz w:val="21"/>
                <w:szCs w:val="21"/>
              </w:rPr>
            </w:pPr>
            <w:r>
              <w:rPr>
                <w:sz w:val="21"/>
                <w:szCs w:val="21"/>
              </w:rPr>
              <w:t>(.0658)</w:t>
            </w:r>
          </w:p>
        </w:tc>
      </w:tr>
      <w:tr w:rsidR="00824892" w14:paraId="5D078711" w14:textId="77777777">
        <w:tc>
          <w:tcPr>
            <w:tcW w:w="2694" w:type="dxa"/>
          </w:tcPr>
          <w:p w14:paraId="44981F8D" w14:textId="0CDD4791" w:rsidR="00824892" w:rsidRDefault="00824892" w:rsidP="00824892">
            <w:pPr>
              <w:rPr>
                <w:b/>
                <w:bCs/>
                <w:sz w:val="21"/>
                <w:szCs w:val="21"/>
              </w:rPr>
            </w:pPr>
            <w:r>
              <w:rPr>
                <w:b/>
                <w:bCs/>
                <w:sz w:val="21"/>
                <w:szCs w:val="21"/>
              </w:rPr>
              <w:t>Product Complexity (B)</w:t>
            </w:r>
          </w:p>
        </w:tc>
        <w:tc>
          <w:tcPr>
            <w:tcW w:w="1552" w:type="dxa"/>
          </w:tcPr>
          <w:p w14:paraId="200F3CE6" w14:textId="77777777" w:rsidR="00824892" w:rsidRDefault="00824892" w:rsidP="00824892">
            <w:pPr>
              <w:jc w:val="center"/>
              <w:rPr>
                <w:sz w:val="21"/>
                <w:szCs w:val="21"/>
              </w:rPr>
            </w:pPr>
            <w:r>
              <w:rPr>
                <w:sz w:val="21"/>
                <w:szCs w:val="21"/>
              </w:rPr>
              <w:t>-.11948***</w:t>
            </w:r>
          </w:p>
          <w:p w14:paraId="1AFF4BB4" w14:textId="03A01861" w:rsidR="00824892" w:rsidRDefault="00824892" w:rsidP="00824892">
            <w:pPr>
              <w:jc w:val="center"/>
              <w:rPr>
                <w:sz w:val="21"/>
                <w:szCs w:val="21"/>
              </w:rPr>
            </w:pPr>
            <w:r>
              <w:rPr>
                <w:sz w:val="21"/>
                <w:szCs w:val="21"/>
              </w:rPr>
              <w:t>(.0211)</w:t>
            </w:r>
          </w:p>
        </w:tc>
        <w:tc>
          <w:tcPr>
            <w:tcW w:w="1826" w:type="dxa"/>
          </w:tcPr>
          <w:p w14:paraId="2FD3E608" w14:textId="77777777" w:rsidR="00824892" w:rsidRDefault="00824892" w:rsidP="00824892">
            <w:pPr>
              <w:jc w:val="center"/>
              <w:rPr>
                <w:sz w:val="21"/>
                <w:szCs w:val="21"/>
              </w:rPr>
            </w:pPr>
            <w:r>
              <w:rPr>
                <w:sz w:val="21"/>
                <w:szCs w:val="21"/>
              </w:rPr>
              <w:t>-.10820***</w:t>
            </w:r>
          </w:p>
          <w:p w14:paraId="4F07E5F2" w14:textId="6F2C7B7F" w:rsidR="00824892" w:rsidRDefault="00824892" w:rsidP="00824892">
            <w:pPr>
              <w:jc w:val="center"/>
              <w:rPr>
                <w:sz w:val="21"/>
                <w:szCs w:val="21"/>
              </w:rPr>
            </w:pPr>
            <w:r>
              <w:rPr>
                <w:sz w:val="21"/>
                <w:szCs w:val="21"/>
              </w:rPr>
              <w:t>(.0213)</w:t>
            </w:r>
          </w:p>
        </w:tc>
        <w:tc>
          <w:tcPr>
            <w:tcW w:w="1567" w:type="dxa"/>
          </w:tcPr>
          <w:p w14:paraId="188AB8FD" w14:textId="77777777" w:rsidR="00824892" w:rsidRDefault="00824892" w:rsidP="00824892">
            <w:pPr>
              <w:jc w:val="center"/>
              <w:rPr>
                <w:sz w:val="21"/>
                <w:szCs w:val="21"/>
              </w:rPr>
            </w:pPr>
            <w:r>
              <w:rPr>
                <w:sz w:val="21"/>
                <w:szCs w:val="21"/>
              </w:rPr>
              <w:t>-.46508***</w:t>
            </w:r>
          </w:p>
          <w:p w14:paraId="7D0D5F89" w14:textId="1CE79382" w:rsidR="00824892" w:rsidRDefault="00824892" w:rsidP="00824892">
            <w:pPr>
              <w:jc w:val="center"/>
              <w:rPr>
                <w:sz w:val="21"/>
                <w:szCs w:val="21"/>
              </w:rPr>
            </w:pPr>
            <w:r>
              <w:rPr>
                <w:sz w:val="21"/>
                <w:szCs w:val="21"/>
              </w:rPr>
              <w:t>(.0860)</w:t>
            </w:r>
          </w:p>
        </w:tc>
        <w:tc>
          <w:tcPr>
            <w:tcW w:w="1387" w:type="dxa"/>
          </w:tcPr>
          <w:p w14:paraId="7B12B4A5" w14:textId="77777777" w:rsidR="00824892" w:rsidRDefault="00824892" w:rsidP="00824892">
            <w:pPr>
              <w:jc w:val="center"/>
              <w:rPr>
                <w:sz w:val="21"/>
                <w:szCs w:val="21"/>
              </w:rPr>
            </w:pPr>
            <w:r>
              <w:rPr>
                <w:sz w:val="21"/>
                <w:szCs w:val="21"/>
              </w:rPr>
              <w:t>-.40531***</w:t>
            </w:r>
          </w:p>
          <w:p w14:paraId="0516F6D2" w14:textId="17A916A7" w:rsidR="00824892" w:rsidRDefault="00824892" w:rsidP="00824892">
            <w:pPr>
              <w:jc w:val="center"/>
              <w:rPr>
                <w:sz w:val="21"/>
                <w:szCs w:val="21"/>
              </w:rPr>
            </w:pPr>
            <w:r>
              <w:rPr>
                <w:sz w:val="21"/>
                <w:szCs w:val="21"/>
              </w:rPr>
              <w:t>(.1474)</w:t>
            </w:r>
          </w:p>
        </w:tc>
      </w:tr>
      <w:tr w:rsidR="00824892" w14:paraId="7A6A87AC" w14:textId="77777777">
        <w:tc>
          <w:tcPr>
            <w:tcW w:w="2694" w:type="dxa"/>
          </w:tcPr>
          <w:p w14:paraId="15B2C94F" w14:textId="77777777" w:rsidR="00824892" w:rsidRDefault="00824892" w:rsidP="00824892">
            <w:pPr>
              <w:rPr>
                <w:b/>
                <w:bCs/>
                <w:sz w:val="21"/>
                <w:szCs w:val="21"/>
              </w:rPr>
            </w:pPr>
            <w:r>
              <w:rPr>
                <w:b/>
                <w:bCs/>
                <w:sz w:val="21"/>
                <w:szCs w:val="21"/>
              </w:rPr>
              <w:t>Prominence (B)</w:t>
            </w:r>
          </w:p>
        </w:tc>
        <w:tc>
          <w:tcPr>
            <w:tcW w:w="1552" w:type="dxa"/>
          </w:tcPr>
          <w:p w14:paraId="06E19A58" w14:textId="77777777" w:rsidR="00824892" w:rsidRDefault="00824892" w:rsidP="00824892">
            <w:pPr>
              <w:jc w:val="center"/>
              <w:rPr>
                <w:sz w:val="21"/>
                <w:szCs w:val="21"/>
              </w:rPr>
            </w:pPr>
            <w:r>
              <w:rPr>
                <w:sz w:val="21"/>
                <w:szCs w:val="21"/>
              </w:rPr>
              <w:t>.94309***</w:t>
            </w:r>
          </w:p>
          <w:p w14:paraId="17EACFC1" w14:textId="77777777" w:rsidR="00824892" w:rsidRDefault="00824892" w:rsidP="00824892">
            <w:pPr>
              <w:jc w:val="center"/>
              <w:rPr>
                <w:sz w:val="21"/>
                <w:szCs w:val="21"/>
              </w:rPr>
            </w:pPr>
            <w:r>
              <w:rPr>
                <w:sz w:val="21"/>
                <w:szCs w:val="21"/>
              </w:rPr>
              <w:t>(.1720)</w:t>
            </w:r>
          </w:p>
        </w:tc>
        <w:tc>
          <w:tcPr>
            <w:tcW w:w="1826" w:type="dxa"/>
          </w:tcPr>
          <w:p w14:paraId="2630D1EB" w14:textId="77777777" w:rsidR="00824892" w:rsidRDefault="00824892" w:rsidP="00824892">
            <w:pPr>
              <w:jc w:val="center"/>
              <w:rPr>
                <w:sz w:val="21"/>
                <w:szCs w:val="21"/>
              </w:rPr>
            </w:pPr>
            <w:r>
              <w:rPr>
                <w:sz w:val="21"/>
                <w:szCs w:val="21"/>
              </w:rPr>
              <w:t>.02364***</w:t>
            </w:r>
          </w:p>
          <w:p w14:paraId="39F1DDB1" w14:textId="77777777" w:rsidR="00824892" w:rsidRDefault="00824892" w:rsidP="00824892">
            <w:pPr>
              <w:jc w:val="center"/>
              <w:rPr>
                <w:sz w:val="21"/>
                <w:szCs w:val="21"/>
              </w:rPr>
            </w:pPr>
            <w:r>
              <w:rPr>
                <w:sz w:val="21"/>
                <w:szCs w:val="21"/>
              </w:rPr>
              <w:t>(.0055)</w:t>
            </w:r>
          </w:p>
        </w:tc>
        <w:tc>
          <w:tcPr>
            <w:tcW w:w="1567" w:type="dxa"/>
          </w:tcPr>
          <w:p w14:paraId="0ED2A76B" w14:textId="77777777" w:rsidR="00824892" w:rsidRDefault="00824892" w:rsidP="00824892">
            <w:pPr>
              <w:jc w:val="center"/>
              <w:rPr>
                <w:sz w:val="21"/>
                <w:szCs w:val="21"/>
              </w:rPr>
            </w:pPr>
            <w:r>
              <w:rPr>
                <w:sz w:val="21"/>
                <w:szCs w:val="21"/>
              </w:rPr>
              <w:t>.06910***</w:t>
            </w:r>
          </w:p>
          <w:p w14:paraId="426D7EBA" w14:textId="77777777" w:rsidR="00824892" w:rsidRDefault="00824892" w:rsidP="00824892">
            <w:pPr>
              <w:jc w:val="center"/>
              <w:rPr>
                <w:sz w:val="21"/>
                <w:szCs w:val="21"/>
              </w:rPr>
            </w:pPr>
            <w:r>
              <w:rPr>
                <w:sz w:val="21"/>
                <w:szCs w:val="21"/>
              </w:rPr>
              <w:t>(.0153)</w:t>
            </w:r>
          </w:p>
        </w:tc>
        <w:tc>
          <w:tcPr>
            <w:tcW w:w="1387" w:type="dxa"/>
          </w:tcPr>
          <w:p w14:paraId="7DA36AA7" w14:textId="77777777" w:rsidR="00824892" w:rsidRDefault="00824892" w:rsidP="00824892">
            <w:pPr>
              <w:jc w:val="center"/>
              <w:rPr>
                <w:sz w:val="21"/>
                <w:szCs w:val="21"/>
              </w:rPr>
            </w:pPr>
            <w:r>
              <w:rPr>
                <w:sz w:val="21"/>
                <w:szCs w:val="21"/>
              </w:rPr>
              <w:t>.03608**</w:t>
            </w:r>
          </w:p>
          <w:p w14:paraId="013F74A5" w14:textId="77777777" w:rsidR="00824892" w:rsidRDefault="00824892" w:rsidP="00824892">
            <w:pPr>
              <w:jc w:val="center"/>
              <w:rPr>
                <w:sz w:val="21"/>
                <w:szCs w:val="21"/>
              </w:rPr>
            </w:pPr>
            <w:r>
              <w:rPr>
                <w:sz w:val="21"/>
                <w:szCs w:val="21"/>
              </w:rPr>
              <w:t>(.0163)</w:t>
            </w:r>
          </w:p>
        </w:tc>
      </w:tr>
      <w:tr w:rsidR="00824892" w14:paraId="522B0316" w14:textId="77777777">
        <w:tc>
          <w:tcPr>
            <w:tcW w:w="2694" w:type="dxa"/>
          </w:tcPr>
          <w:p w14:paraId="63E3D85B" w14:textId="77777777" w:rsidR="00824892" w:rsidRDefault="00824892" w:rsidP="00824892">
            <w:pPr>
              <w:rPr>
                <w:b/>
                <w:bCs/>
                <w:sz w:val="21"/>
                <w:szCs w:val="21"/>
              </w:rPr>
            </w:pPr>
            <w:r>
              <w:rPr>
                <w:b/>
                <w:bCs/>
                <w:sz w:val="21"/>
                <w:szCs w:val="21"/>
              </w:rPr>
              <w:t>Geo. Disp. (B)</w:t>
            </w:r>
          </w:p>
        </w:tc>
        <w:tc>
          <w:tcPr>
            <w:tcW w:w="1552" w:type="dxa"/>
          </w:tcPr>
          <w:p w14:paraId="36EFFEA4" w14:textId="77777777" w:rsidR="00824892" w:rsidRDefault="00824892" w:rsidP="00824892">
            <w:pPr>
              <w:jc w:val="center"/>
              <w:rPr>
                <w:sz w:val="21"/>
                <w:szCs w:val="21"/>
              </w:rPr>
            </w:pPr>
            <w:r>
              <w:rPr>
                <w:sz w:val="21"/>
                <w:szCs w:val="21"/>
              </w:rPr>
              <w:t>-.07370***</w:t>
            </w:r>
          </w:p>
          <w:p w14:paraId="30089C6A" w14:textId="77777777" w:rsidR="00824892" w:rsidRDefault="00824892" w:rsidP="00824892">
            <w:pPr>
              <w:jc w:val="center"/>
              <w:rPr>
                <w:sz w:val="21"/>
                <w:szCs w:val="21"/>
              </w:rPr>
            </w:pPr>
            <w:r>
              <w:rPr>
                <w:sz w:val="21"/>
                <w:szCs w:val="21"/>
              </w:rPr>
              <w:t>(.0141)</w:t>
            </w:r>
          </w:p>
        </w:tc>
        <w:tc>
          <w:tcPr>
            <w:tcW w:w="1826" w:type="dxa"/>
          </w:tcPr>
          <w:p w14:paraId="5565693F" w14:textId="77777777" w:rsidR="00824892" w:rsidRDefault="00824892" w:rsidP="00824892">
            <w:pPr>
              <w:jc w:val="center"/>
              <w:rPr>
                <w:sz w:val="21"/>
                <w:szCs w:val="21"/>
              </w:rPr>
            </w:pPr>
            <w:r>
              <w:rPr>
                <w:sz w:val="21"/>
                <w:szCs w:val="21"/>
              </w:rPr>
              <w:t>-.07722***</w:t>
            </w:r>
          </w:p>
          <w:p w14:paraId="2E836E74" w14:textId="77777777" w:rsidR="00824892" w:rsidRDefault="00824892" w:rsidP="00824892">
            <w:pPr>
              <w:jc w:val="center"/>
              <w:rPr>
                <w:sz w:val="21"/>
                <w:szCs w:val="21"/>
              </w:rPr>
            </w:pPr>
            <w:r>
              <w:rPr>
                <w:sz w:val="21"/>
                <w:szCs w:val="21"/>
              </w:rPr>
              <w:t>(.0164)</w:t>
            </w:r>
          </w:p>
        </w:tc>
        <w:tc>
          <w:tcPr>
            <w:tcW w:w="1567" w:type="dxa"/>
          </w:tcPr>
          <w:p w14:paraId="03312672" w14:textId="77777777" w:rsidR="00824892" w:rsidRDefault="00824892" w:rsidP="00824892">
            <w:pPr>
              <w:jc w:val="center"/>
              <w:rPr>
                <w:sz w:val="21"/>
                <w:szCs w:val="21"/>
              </w:rPr>
            </w:pPr>
            <w:r>
              <w:rPr>
                <w:sz w:val="21"/>
                <w:szCs w:val="21"/>
              </w:rPr>
              <w:t>-.23870***</w:t>
            </w:r>
          </w:p>
          <w:p w14:paraId="0F9C8FC6" w14:textId="77777777" w:rsidR="00824892" w:rsidRDefault="00824892" w:rsidP="00824892">
            <w:pPr>
              <w:jc w:val="center"/>
              <w:rPr>
                <w:sz w:val="21"/>
                <w:szCs w:val="21"/>
              </w:rPr>
            </w:pPr>
            <w:r>
              <w:rPr>
                <w:sz w:val="21"/>
                <w:szCs w:val="21"/>
              </w:rPr>
              <w:t>(.0481)</w:t>
            </w:r>
          </w:p>
        </w:tc>
        <w:tc>
          <w:tcPr>
            <w:tcW w:w="1387" w:type="dxa"/>
          </w:tcPr>
          <w:p w14:paraId="044466CB" w14:textId="77777777" w:rsidR="00824892" w:rsidRDefault="00824892" w:rsidP="00824892">
            <w:pPr>
              <w:jc w:val="center"/>
              <w:rPr>
                <w:sz w:val="21"/>
                <w:szCs w:val="21"/>
              </w:rPr>
            </w:pPr>
            <w:r>
              <w:rPr>
                <w:sz w:val="21"/>
                <w:szCs w:val="21"/>
              </w:rPr>
              <w:t>-.12833**</w:t>
            </w:r>
          </w:p>
          <w:p w14:paraId="4F282547" w14:textId="77777777" w:rsidR="00824892" w:rsidRDefault="00824892" w:rsidP="00824892">
            <w:pPr>
              <w:jc w:val="center"/>
              <w:rPr>
                <w:sz w:val="21"/>
                <w:szCs w:val="21"/>
              </w:rPr>
            </w:pPr>
            <w:r>
              <w:rPr>
                <w:sz w:val="21"/>
                <w:szCs w:val="21"/>
              </w:rPr>
              <w:t>(.0551)</w:t>
            </w:r>
          </w:p>
        </w:tc>
      </w:tr>
      <w:tr w:rsidR="00824892" w14:paraId="6732E03B" w14:textId="77777777">
        <w:tc>
          <w:tcPr>
            <w:tcW w:w="2694" w:type="dxa"/>
          </w:tcPr>
          <w:p w14:paraId="57224B37" w14:textId="77777777" w:rsidR="00824892" w:rsidRDefault="00824892" w:rsidP="00824892">
            <w:pPr>
              <w:rPr>
                <w:b/>
                <w:bCs/>
                <w:sz w:val="21"/>
                <w:szCs w:val="21"/>
                <w:u w:val="single"/>
              </w:rPr>
            </w:pPr>
            <w:r>
              <w:rPr>
                <w:i/>
                <w:iCs/>
                <w:sz w:val="21"/>
                <w:szCs w:val="21"/>
                <w:u w:val="single"/>
              </w:rPr>
              <w:t>Country-level</w:t>
            </w:r>
          </w:p>
        </w:tc>
        <w:tc>
          <w:tcPr>
            <w:tcW w:w="1552" w:type="dxa"/>
          </w:tcPr>
          <w:p w14:paraId="59AC7038" w14:textId="77777777" w:rsidR="00824892" w:rsidRDefault="00824892" w:rsidP="00824892">
            <w:pPr>
              <w:jc w:val="center"/>
              <w:rPr>
                <w:sz w:val="21"/>
                <w:szCs w:val="21"/>
              </w:rPr>
            </w:pPr>
          </w:p>
        </w:tc>
        <w:tc>
          <w:tcPr>
            <w:tcW w:w="1826" w:type="dxa"/>
          </w:tcPr>
          <w:p w14:paraId="4759FC1F" w14:textId="77777777" w:rsidR="00824892" w:rsidRDefault="00824892" w:rsidP="00824892">
            <w:pPr>
              <w:jc w:val="center"/>
              <w:rPr>
                <w:sz w:val="21"/>
                <w:szCs w:val="21"/>
              </w:rPr>
            </w:pPr>
          </w:p>
        </w:tc>
        <w:tc>
          <w:tcPr>
            <w:tcW w:w="1567" w:type="dxa"/>
          </w:tcPr>
          <w:p w14:paraId="6229FAB1" w14:textId="77777777" w:rsidR="00824892" w:rsidRDefault="00824892" w:rsidP="00824892">
            <w:pPr>
              <w:jc w:val="center"/>
              <w:rPr>
                <w:sz w:val="21"/>
                <w:szCs w:val="21"/>
              </w:rPr>
            </w:pPr>
          </w:p>
        </w:tc>
        <w:tc>
          <w:tcPr>
            <w:tcW w:w="1387" w:type="dxa"/>
          </w:tcPr>
          <w:p w14:paraId="7F833270" w14:textId="77777777" w:rsidR="00824892" w:rsidRDefault="00824892" w:rsidP="00824892">
            <w:pPr>
              <w:jc w:val="center"/>
              <w:rPr>
                <w:sz w:val="21"/>
                <w:szCs w:val="21"/>
              </w:rPr>
            </w:pPr>
          </w:p>
        </w:tc>
      </w:tr>
      <w:tr w:rsidR="00824892" w14:paraId="6DDBBCEB" w14:textId="77777777">
        <w:tc>
          <w:tcPr>
            <w:tcW w:w="2694" w:type="dxa"/>
          </w:tcPr>
          <w:p w14:paraId="25D126DB" w14:textId="77777777" w:rsidR="00824892" w:rsidRDefault="00824892" w:rsidP="00824892">
            <w:pPr>
              <w:rPr>
                <w:b/>
                <w:bCs/>
                <w:sz w:val="21"/>
                <w:szCs w:val="21"/>
              </w:rPr>
            </w:pPr>
            <w:r>
              <w:rPr>
                <w:b/>
                <w:bCs/>
                <w:sz w:val="21"/>
                <w:szCs w:val="21"/>
              </w:rPr>
              <w:t>IDV (B)</w:t>
            </w:r>
          </w:p>
        </w:tc>
        <w:tc>
          <w:tcPr>
            <w:tcW w:w="1552" w:type="dxa"/>
          </w:tcPr>
          <w:p w14:paraId="63CC56DB" w14:textId="77777777" w:rsidR="00824892" w:rsidRDefault="00824892" w:rsidP="00824892">
            <w:pPr>
              <w:jc w:val="center"/>
              <w:rPr>
                <w:sz w:val="21"/>
                <w:szCs w:val="21"/>
              </w:rPr>
            </w:pPr>
            <w:r>
              <w:rPr>
                <w:sz w:val="21"/>
                <w:szCs w:val="21"/>
              </w:rPr>
              <w:t>.00214*</w:t>
            </w:r>
          </w:p>
          <w:p w14:paraId="312CEB59" w14:textId="77777777" w:rsidR="00824892" w:rsidRDefault="00824892" w:rsidP="00824892">
            <w:pPr>
              <w:jc w:val="center"/>
              <w:rPr>
                <w:sz w:val="21"/>
                <w:szCs w:val="21"/>
              </w:rPr>
            </w:pPr>
            <w:r>
              <w:rPr>
                <w:sz w:val="21"/>
                <w:szCs w:val="21"/>
              </w:rPr>
              <w:t>(.0012)</w:t>
            </w:r>
          </w:p>
        </w:tc>
        <w:tc>
          <w:tcPr>
            <w:tcW w:w="1826" w:type="dxa"/>
          </w:tcPr>
          <w:p w14:paraId="234D7C5E" w14:textId="77777777" w:rsidR="00824892" w:rsidRDefault="00824892" w:rsidP="00824892">
            <w:pPr>
              <w:jc w:val="center"/>
              <w:rPr>
                <w:sz w:val="21"/>
                <w:szCs w:val="21"/>
              </w:rPr>
            </w:pPr>
            <w:r>
              <w:rPr>
                <w:sz w:val="21"/>
                <w:szCs w:val="21"/>
              </w:rPr>
              <w:t>.00321**</w:t>
            </w:r>
          </w:p>
          <w:p w14:paraId="6EA8DD1D" w14:textId="77777777" w:rsidR="00824892" w:rsidRDefault="00824892" w:rsidP="00824892">
            <w:pPr>
              <w:jc w:val="center"/>
              <w:rPr>
                <w:sz w:val="21"/>
                <w:szCs w:val="21"/>
              </w:rPr>
            </w:pPr>
            <w:r>
              <w:rPr>
                <w:sz w:val="21"/>
                <w:szCs w:val="21"/>
              </w:rPr>
              <w:t>(.0014)</w:t>
            </w:r>
          </w:p>
        </w:tc>
        <w:tc>
          <w:tcPr>
            <w:tcW w:w="1567" w:type="dxa"/>
          </w:tcPr>
          <w:p w14:paraId="5F379FDD" w14:textId="77777777" w:rsidR="00824892" w:rsidRDefault="00824892" w:rsidP="00824892">
            <w:pPr>
              <w:jc w:val="center"/>
              <w:rPr>
                <w:sz w:val="21"/>
                <w:szCs w:val="21"/>
              </w:rPr>
            </w:pPr>
            <w:r>
              <w:rPr>
                <w:sz w:val="21"/>
                <w:szCs w:val="21"/>
              </w:rPr>
              <w:t>.01374**</w:t>
            </w:r>
          </w:p>
          <w:p w14:paraId="73FCC4B6" w14:textId="77777777" w:rsidR="00824892" w:rsidRDefault="00824892" w:rsidP="00824892">
            <w:pPr>
              <w:jc w:val="center"/>
              <w:rPr>
                <w:sz w:val="21"/>
                <w:szCs w:val="21"/>
              </w:rPr>
            </w:pPr>
            <w:r>
              <w:rPr>
                <w:sz w:val="21"/>
                <w:szCs w:val="21"/>
              </w:rPr>
              <w:t>(.0057)</w:t>
            </w:r>
          </w:p>
        </w:tc>
        <w:tc>
          <w:tcPr>
            <w:tcW w:w="1387" w:type="dxa"/>
          </w:tcPr>
          <w:p w14:paraId="43137BBE" w14:textId="77777777" w:rsidR="00824892" w:rsidRDefault="00824892" w:rsidP="00824892">
            <w:pPr>
              <w:jc w:val="center"/>
              <w:rPr>
                <w:sz w:val="21"/>
                <w:szCs w:val="21"/>
              </w:rPr>
            </w:pPr>
            <w:r>
              <w:rPr>
                <w:sz w:val="21"/>
                <w:szCs w:val="21"/>
              </w:rPr>
              <w:t>.01422**</w:t>
            </w:r>
          </w:p>
          <w:p w14:paraId="5D7F0B27" w14:textId="77777777" w:rsidR="00824892" w:rsidRDefault="00824892" w:rsidP="00824892">
            <w:pPr>
              <w:jc w:val="center"/>
              <w:rPr>
                <w:sz w:val="21"/>
                <w:szCs w:val="21"/>
              </w:rPr>
            </w:pPr>
            <w:r>
              <w:rPr>
                <w:sz w:val="21"/>
                <w:szCs w:val="21"/>
              </w:rPr>
              <w:t>(.0062)</w:t>
            </w:r>
          </w:p>
        </w:tc>
      </w:tr>
      <w:tr w:rsidR="00824892" w14:paraId="6D34F86E" w14:textId="77777777">
        <w:tc>
          <w:tcPr>
            <w:tcW w:w="2694" w:type="dxa"/>
          </w:tcPr>
          <w:p w14:paraId="21EB76D6" w14:textId="77777777" w:rsidR="00824892" w:rsidRDefault="00824892" w:rsidP="00824892">
            <w:pPr>
              <w:rPr>
                <w:b/>
                <w:bCs/>
                <w:sz w:val="21"/>
                <w:szCs w:val="21"/>
              </w:rPr>
            </w:pPr>
            <w:r>
              <w:rPr>
                <w:b/>
                <w:bCs/>
                <w:sz w:val="21"/>
                <w:szCs w:val="21"/>
              </w:rPr>
              <w:t>MAS (B)</w:t>
            </w:r>
          </w:p>
        </w:tc>
        <w:tc>
          <w:tcPr>
            <w:tcW w:w="1552" w:type="dxa"/>
          </w:tcPr>
          <w:p w14:paraId="613AC622" w14:textId="77777777" w:rsidR="00824892" w:rsidRDefault="00824892" w:rsidP="00824892">
            <w:pPr>
              <w:jc w:val="center"/>
              <w:rPr>
                <w:sz w:val="21"/>
                <w:szCs w:val="21"/>
              </w:rPr>
            </w:pPr>
            <w:r>
              <w:rPr>
                <w:sz w:val="21"/>
                <w:szCs w:val="21"/>
              </w:rPr>
              <w:t>.00039</w:t>
            </w:r>
          </w:p>
          <w:p w14:paraId="26CFF0C0" w14:textId="77777777" w:rsidR="00824892" w:rsidRDefault="00824892" w:rsidP="00824892">
            <w:pPr>
              <w:jc w:val="center"/>
              <w:rPr>
                <w:sz w:val="21"/>
                <w:szCs w:val="21"/>
              </w:rPr>
            </w:pPr>
            <w:r>
              <w:rPr>
                <w:sz w:val="21"/>
                <w:szCs w:val="21"/>
              </w:rPr>
              <w:t>(.0011)</w:t>
            </w:r>
          </w:p>
        </w:tc>
        <w:tc>
          <w:tcPr>
            <w:tcW w:w="1826" w:type="dxa"/>
          </w:tcPr>
          <w:p w14:paraId="1253CCE5" w14:textId="77777777" w:rsidR="00824892" w:rsidRDefault="00824892" w:rsidP="00824892">
            <w:pPr>
              <w:jc w:val="center"/>
              <w:rPr>
                <w:sz w:val="21"/>
                <w:szCs w:val="21"/>
              </w:rPr>
            </w:pPr>
            <w:r>
              <w:rPr>
                <w:sz w:val="21"/>
                <w:szCs w:val="21"/>
              </w:rPr>
              <w:t>-.00147</w:t>
            </w:r>
          </w:p>
          <w:p w14:paraId="33E82A2F" w14:textId="77777777" w:rsidR="00824892" w:rsidRDefault="00824892" w:rsidP="00824892">
            <w:pPr>
              <w:jc w:val="center"/>
              <w:rPr>
                <w:sz w:val="21"/>
                <w:szCs w:val="21"/>
              </w:rPr>
            </w:pPr>
            <w:r>
              <w:rPr>
                <w:sz w:val="21"/>
                <w:szCs w:val="21"/>
              </w:rPr>
              <w:t>(.0011)</w:t>
            </w:r>
          </w:p>
        </w:tc>
        <w:tc>
          <w:tcPr>
            <w:tcW w:w="1567" w:type="dxa"/>
          </w:tcPr>
          <w:p w14:paraId="6CA7215E" w14:textId="77777777" w:rsidR="00824892" w:rsidRDefault="00824892" w:rsidP="00824892">
            <w:pPr>
              <w:jc w:val="center"/>
              <w:rPr>
                <w:sz w:val="21"/>
                <w:szCs w:val="21"/>
              </w:rPr>
            </w:pPr>
            <w:r>
              <w:rPr>
                <w:sz w:val="21"/>
                <w:szCs w:val="21"/>
              </w:rPr>
              <w:t>.00107</w:t>
            </w:r>
          </w:p>
          <w:p w14:paraId="62B7FA3F" w14:textId="77777777" w:rsidR="00824892" w:rsidRDefault="00824892" w:rsidP="00824892">
            <w:pPr>
              <w:jc w:val="center"/>
              <w:rPr>
                <w:sz w:val="21"/>
                <w:szCs w:val="21"/>
              </w:rPr>
            </w:pPr>
            <w:r>
              <w:rPr>
                <w:sz w:val="21"/>
                <w:szCs w:val="21"/>
              </w:rPr>
              <w:t>(.0051)</w:t>
            </w:r>
          </w:p>
        </w:tc>
        <w:tc>
          <w:tcPr>
            <w:tcW w:w="1387" w:type="dxa"/>
          </w:tcPr>
          <w:p w14:paraId="470840B1" w14:textId="77777777" w:rsidR="00824892" w:rsidRDefault="00824892" w:rsidP="00824892">
            <w:pPr>
              <w:jc w:val="center"/>
              <w:rPr>
                <w:sz w:val="21"/>
                <w:szCs w:val="21"/>
              </w:rPr>
            </w:pPr>
            <w:r>
              <w:rPr>
                <w:sz w:val="21"/>
                <w:szCs w:val="21"/>
              </w:rPr>
              <w:t>.00076</w:t>
            </w:r>
          </w:p>
          <w:p w14:paraId="22A69F2B" w14:textId="77777777" w:rsidR="00824892" w:rsidRDefault="00824892" w:rsidP="00824892">
            <w:pPr>
              <w:jc w:val="center"/>
              <w:rPr>
                <w:sz w:val="21"/>
                <w:szCs w:val="21"/>
              </w:rPr>
            </w:pPr>
            <w:r>
              <w:rPr>
                <w:sz w:val="21"/>
                <w:szCs w:val="21"/>
              </w:rPr>
              <w:t>(.0028)</w:t>
            </w:r>
          </w:p>
        </w:tc>
      </w:tr>
      <w:tr w:rsidR="00824892" w14:paraId="6F38036D" w14:textId="77777777">
        <w:tc>
          <w:tcPr>
            <w:tcW w:w="2694" w:type="dxa"/>
          </w:tcPr>
          <w:p w14:paraId="242B7C90" w14:textId="77777777" w:rsidR="00824892" w:rsidRDefault="00824892" w:rsidP="00824892">
            <w:pPr>
              <w:rPr>
                <w:b/>
                <w:bCs/>
                <w:sz w:val="21"/>
                <w:szCs w:val="21"/>
              </w:rPr>
            </w:pPr>
            <w:r>
              <w:rPr>
                <w:b/>
                <w:bCs/>
                <w:sz w:val="21"/>
                <w:szCs w:val="21"/>
              </w:rPr>
              <w:t>LTO (B)</w:t>
            </w:r>
          </w:p>
        </w:tc>
        <w:tc>
          <w:tcPr>
            <w:tcW w:w="1552" w:type="dxa"/>
          </w:tcPr>
          <w:p w14:paraId="335669AB" w14:textId="77777777" w:rsidR="00824892" w:rsidRDefault="00824892" w:rsidP="00824892">
            <w:pPr>
              <w:jc w:val="center"/>
              <w:rPr>
                <w:sz w:val="21"/>
                <w:szCs w:val="21"/>
              </w:rPr>
            </w:pPr>
            <w:r>
              <w:rPr>
                <w:sz w:val="21"/>
                <w:szCs w:val="21"/>
              </w:rPr>
              <w:t>.00271***</w:t>
            </w:r>
          </w:p>
          <w:p w14:paraId="1520984B" w14:textId="77777777" w:rsidR="00824892" w:rsidRDefault="00824892" w:rsidP="00824892">
            <w:pPr>
              <w:jc w:val="center"/>
              <w:rPr>
                <w:sz w:val="21"/>
                <w:szCs w:val="21"/>
              </w:rPr>
            </w:pPr>
            <w:r>
              <w:rPr>
                <w:sz w:val="21"/>
                <w:szCs w:val="21"/>
              </w:rPr>
              <w:t>(.0008)</w:t>
            </w:r>
          </w:p>
        </w:tc>
        <w:tc>
          <w:tcPr>
            <w:tcW w:w="1826" w:type="dxa"/>
          </w:tcPr>
          <w:p w14:paraId="1E7F408D" w14:textId="77777777" w:rsidR="00824892" w:rsidRDefault="00824892" w:rsidP="00824892">
            <w:pPr>
              <w:jc w:val="center"/>
              <w:rPr>
                <w:sz w:val="21"/>
                <w:szCs w:val="21"/>
              </w:rPr>
            </w:pPr>
            <w:r>
              <w:rPr>
                <w:sz w:val="21"/>
                <w:szCs w:val="21"/>
              </w:rPr>
              <w:t>.00283**</w:t>
            </w:r>
          </w:p>
          <w:p w14:paraId="12DC29C2" w14:textId="77777777" w:rsidR="00824892" w:rsidRDefault="00824892" w:rsidP="00824892">
            <w:pPr>
              <w:jc w:val="center"/>
              <w:rPr>
                <w:sz w:val="21"/>
                <w:szCs w:val="21"/>
              </w:rPr>
            </w:pPr>
            <w:r>
              <w:rPr>
                <w:sz w:val="21"/>
                <w:szCs w:val="21"/>
              </w:rPr>
              <w:t>(.0011)</w:t>
            </w:r>
          </w:p>
        </w:tc>
        <w:tc>
          <w:tcPr>
            <w:tcW w:w="1567" w:type="dxa"/>
          </w:tcPr>
          <w:p w14:paraId="233AA45C" w14:textId="77777777" w:rsidR="00824892" w:rsidRDefault="00824892" w:rsidP="00824892">
            <w:pPr>
              <w:jc w:val="center"/>
              <w:rPr>
                <w:sz w:val="21"/>
                <w:szCs w:val="21"/>
              </w:rPr>
            </w:pPr>
            <w:r>
              <w:rPr>
                <w:sz w:val="21"/>
                <w:szCs w:val="21"/>
              </w:rPr>
              <w:t>.01108**</w:t>
            </w:r>
          </w:p>
          <w:p w14:paraId="1BC02FB2" w14:textId="77777777" w:rsidR="00824892" w:rsidRDefault="00824892" w:rsidP="00824892">
            <w:pPr>
              <w:jc w:val="center"/>
              <w:rPr>
                <w:sz w:val="21"/>
                <w:szCs w:val="21"/>
              </w:rPr>
            </w:pPr>
            <w:r>
              <w:rPr>
                <w:sz w:val="21"/>
                <w:szCs w:val="21"/>
              </w:rPr>
              <w:t>(.005)</w:t>
            </w:r>
          </w:p>
        </w:tc>
        <w:tc>
          <w:tcPr>
            <w:tcW w:w="1387" w:type="dxa"/>
          </w:tcPr>
          <w:p w14:paraId="36F28413" w14:textId="77777777" w:rsidR="00824892" w:rsidRDefault="00824892" w:rsidP="00824892">
            <w:pPr>
              <w:jc w:val="center"/>
              <w:rPr>
                <w:sz w:val="21"/>
                <w:szCs w:val="21"/>
              </w:rPr>
            </w:pPr>
            <w:r>
              <w:rPr>
                <w:sz w:val="21"/>
                <w:szCs w:val="21"/>
              </w:rPr>
              <w:t>.01239**</w:t>
            </w:r>
          </w:p>
          <w:p w14:paraId="10C1A087" w14:textId="77777777" w:rsidR="00824892" w:rsidRDefault="00824892" w:rsidP="00824892">
            <w:pPr>
              <w:jc w:val="center"/>
              <w:rPr>
                <w:sz w:val="21"/>
                <w:szCs w:val="21"/>
              </w:rPr>
            </w:pPr>
            <w:r>
              <w:rPr>
                <w:sz w:val="21"/>
                <w:szCs w:val="21"/>
              </w:rPr>
              <w:t>(.0053)</w:t>
            </w:r>
          </w:p>
        </w:tc>
      </w:tr>
      <w:tr w:rsidR="00824892" w14:paraId="6B24FA38" w14:textId="77777777">
        <w:tc>
          <w:tcPr>
            <w:tcW w:w="2694" w:type="dxa"/>
          </w:tcPr>
          <w:p w14:paraId="52E86921" w14:textId="77777777" w:rsidR="00824892" w:rsidRDefault="00824892" w:rsidP="00824892">
            <w:pPr>
              <w:rPr>
                <w:b/>
                <w:bCs/>
                <w:sz w:val="21"/>
                <w:szCs w:val="21"/>
              </w:rPr>
            </w:pPr>
            <w:r>
              <w:rPr>
                <w:i/>
                <w:iCs/>
                <w:sz w:val="21"/>
                <w:szCs w:val="21"/>
              </w:rPr>
              <w:t>ln</w:t>
            </w:r>
            <w:r>
              <w:rPr>
                <w:sz w:val="21"/>
                <w:szCs w:val="21"/>
              </w:rPr>
              <w:t>(GDP per capita) (W)</w:t>
            </w:r>
          </w:p>
        </w:tc>
        <w:tc>
          <w:tcPr>
            <w:tcW w:w="1552" w:type="dxa"/>
          </w:tcPr>
          <w:p w14:paraId="3915ECA2" w14:textId="77777777" w:rsidR="00824892" w:rsidRDefault="00824892" w:rsidP="00824892">
            <w:pPr>
              <w:jc w:val="center"/>
              <w:rPr>
                <w:sz w:val="21"/>
                <w:szCs w:val="21"/>
              </w:rPr>
            </w:pPr>
            <w:r>
              <w:rPr>
                <w:sz w:val="21"/>
                <w:szCs w:val="21"/>
              </w:rPr>
              <w:t>.02634</w:t>
            </w:r>
          </w:p>
          <w:p w14:paraId="1923CDEF" w14:textId="77777777" w:rsidR="00824892" w:rsidRDefault="00824892" w:rsidP="00824892">
            <w:pPr>
              <w:jc w:val="center"/>
              <w:rPr>
                <w:sz w:val="21"/>
                <w:szCs w:val="21"/>
              </w:rPr>
            </w:pPr>
            <w:r>
              <w:rPr>
                <w:sz w:val="21"/>
                <w:szCs w:val="21"/>
              </w:rPr>
              <w:t>(.0416)</w:t>
            </w:r>
          </w:p>
        </w:tc>
        <w:tc>
          <w:tcPr>
            <w:tcW w:w="1826" w:type="dxa"/>
          </w:tcPr>
          <w:p w14:paraId="0D9FFD74" w14:textId="77777777" w:rsidR="00824892" w:rsidRDefault="00824892" w:rsidP="00824892">
            <w:pPr>
              <w:jc w:val="center"/>
              <w:rPr>
                <w:sz w:val="21"/>
                <w:szCs w:val="21"/>
              </w:rPr>
            </w:pPr>
            <w:r>
              <w:rPr>
                <w:sz w:val="21"/>
                <w:szCs w:val="21"/>
              </w:rPr>
              <w:t>.02204</w:t>
            </w:r>
          </w:p>
          <w:p w14:paraId="4DCB0463" w14:textId="77777777" w:rsidR="00824892" w:rsidRDefault="00824892" w:rsidP="00824892">
            <w:pPr>
              <w:jc w:val="center"/>
              <w:rPr>
                <w:sz w:val="21"/>
                <w:szCs w:val="21"/>
              </w:rPr>
            </w:pPr>
            <w:r>
              <w:rPr>
                <w:sz w:val="21"/>
                <w:szCs w:val="21"/>
              </w:rPr>
              <w:t>(.0416)</w:t>
            </w:r>
          </w:p>
        </w:tc>
        <w:tc>
          <w:tcPr>
            <w:tcW w:w="1567" w:type="dxa"/>
          </w:tcPr>
          <w:p w14:paraId="00741B1E" w14:textId="77777777" w:rsidR="00824892" w:rsidRDefault="00824892" w:rsidP="00824892">
            <w:pPr>
              <w:jc w:val="center"/>
              <w:rPr>
                <w:sz w:val="21"/>
                <w:szCs w:val="21"/>
              </w:rPr>
            </w:pPr>
            <w:r>
              <w:rPr>
                <w:sz w:val="21"/>
                <w:szCs w:val="21"/>
              </w:rPr>
              <w:t>-.16485</w:t>
            </w:r>
          </w:p>
          <w:p w14:paraId="0140F684" w14:textId="77777777" w:rsidR="00824892" w:rsidRDefault="00824892" w:rsidP="00824892">
            <w:pPr>
              <w:jc w:val="center"/>
              <w:rPr>
                <w:sz w:val="21"/>
                <w:szCs w:val="21"/>
              </w:rPr>
            </w:pPr>
            <w:r>
              <w:rPr>
                <w:sz w:val="21"/>
                <w:szCs w:val="21"/>
              </w:rPr>
              <w:t>(.3214)</w:t>
            </w:r>
          </w:p>
        </w:tc>
        <w:tc>
          <w:tcPr>
            <w:tcW w:w="1387" w:type="dxa"/>
          </w:tcPr>
          <w:p w14:paraId="343DC44D" w14:textId="77777777" w:rsidR="00824892" w:rsidRDefault="00824892" w:rsidP="00824892">
            <w:pPr>
              <w:jc w:val="center"/>
              <w:rPr>
                <w:sz w:val="21"/>
                <w:szCs w:val="21"/>
              </w:rPr>
            </w:pPr>
            <w:r>
              <w:rPr>
                <w:sz w:val="21"/>
                <w:szCs w:val="21"/>
              </w:rPr>
              <w:t>.20542</w:t>
            </w:r>
          </w:p>
          <w:p w14:paraId="40A0929A" w14:textId="77777777" w:rsidR="00824892" w:rsidRDefault="00824892" w:rsidP="00824892">
            <w:pPr>
              <w:jc w:val="center"/>
              <w:rPr>
                <w:sz w:val="21"/>
                <w:szCs w:val="21"/>
              </w:rPr>
            </w:pPr>
            <w:r>
              <w:rPr>
                <w:sz w:val="21"/>
                <w:szCs w:val="21"/>
              </w:rPr>
              <w:t>(.2446)</w:t>
            </w:r>
          </w:p>
        </w:tc>
      </w:tr>
      <w:tr w:rsidR="00824892" w14:paraId="5C6F9DBD" w14:textId="77777777">
        <w:tc>
          <w:tcPr>
            <w:tcW w:w="2694" w:type="dxa"/>
          </w:tcPr>
          <w:p w14:paraId="04A01774" w14:textId="77777777" w:rsidR="00824892" w:rsidRDefault="00824892" w:rsidP="00824892">
            <w:pPr>
              <w:rPr>
                <w:sz w:val="21"/>
                <w:szCs w:val="21"/>
              </w:rPr>
            </w:pPr>
            <w:r>
              <w:rPr>
                <w:sz w:val="21"/>
                <w:szCs w:val="21"/>
              </w:rPr>
              <w:t>Unemployment rate (W)</w:t>
            </w:r>
          </w:p>
        </w:tc>
        <w:tc>
          <w:tcPr>
            <w:tcW w:w="1552" w:type="dxa"/>
          </w:tcPr>
          <w:p w14:paraId="0CB08034" w14:textId="77777777" w:rsidR="00824892" w:rsidRDefault="00824892" w:rsidP="00824892">
            <w:pPr>
              <w:jc w:val="center"/>
              <w:rPr>
                <w:sz w:val="21"/>
                <w:szCs w:val="21"/>
              </w:rPr>
            </w:pPr>
            <w:r>
              <w:rPr>
                <w:sz w:val="21"/>
                <w:szCs w:val="21"/>
              </w:rPr>
              <w:t>-.00503</w:t>
            </w:r>
          </w:p>
          <w:p w14:paraId="6A33142B" w14:textId="77777777" w:rsidR="00824892" w:rsidRDefault="00824892" w:rsidP="00824892">
            <w:pPr>
              <w:jc w:val="center"/>
              <w:rPr>
                <w:sz w:val="21"/>
                <w:szCs w:val="21"/>
              </w:rPr>
            </w:pPr>
            <w:r>
              <w:rPr>
                <w:sz w:val="21"/>
                <w:szCs w:val="21"/>
              </w:rPr>
              <w:t>(.0033)</w:t>
            </w:r>
          </w:p>
        </w:tc>
        <w:tc>
          <w:tcPr>
            <w:tcW w:w="1826" w:type="dxa"/>
          </w:tcPr>
          <w:p w14:paraId="4499A830" w14:textId="77777777" w:rsidR="00824892" w:rsidRDefault="00824892" w:rsidP="00824892">
            <w:pPr>
              <w:jc w:val="center"/>
              <w:rPr>
                <w:sz w:val="21"/>
                <w:szCs w:val="21"/>
              </w:rPr>
            </w:pPr>
            <w:r>
              <w:rPr>
                <w:sz w:val="21"/>
                <w:szCs w:val="21"/>
              </w:rPr>
              <w:t>-.00504</w:t>
            </w:r>
          </w:p>
          <w:p w14:paraId="55D608DC" w14:textId="77777777" w:rsidR="00824892" w:rsidRDefault="00824892" w:rsidP="00824892">
            <w:pPr>
              <w:jc w:val="center"/>
              <w:rPr>
                <w:sz w:val="21"/>
                <w:szCs w:val="21"/>
              </w:rPr>
            </w:pPr>
            <w:r>
              <w:rPr>
                <w:sz w:val="21"/>
                <w:szCs w:val="21"/>
              </w:rPr>
              <w:t>(.0033)</w:t>
            </w:r>
          </w:p>
        </w:tc>
        <w:tc>
          <w:tcPr>
            <w:tcW w:w="1567" w:type="dxa"/>
          </w:tcPr>
          <w:p w14:paraId="0F1ECE72" w14:textId="77777777" w:rsidR="00824892" w:rsidRDefault="00824892" w:rsidP="00824892">
            <w:pPr>
              <w:jc w:val="center"/>
              <w:rPr>
                <w:sz w:val="21"/>
                <w:szCs w:val="21"/>
              </w:rPr>
            </w:pPr>
            <w:r>
              <w:rPr>
                <w:sz w:val="21"/>
                <w:szCs w:val="21"/>
              </w:rPr>
              <w:t>-.03483</w:t>
            </w:r>
          </w:p>
          <w:p w14:paraId="2BE29BD2" w14:textId="77777777" w:rsidR="00824892" w:rsidRDefault="00824892" w:rsidP="00824892">
            <w:pPr>
              <w:jc w:val="center"/>
              <w:rPr>
                <w:sz w:val="21"/>
                <w:szCs w:val="21"/>
              </w:rPr>
            </w:pPr>
            <w:r>
              <w:rPr>
                <w:sz w:val="21"/>
                <w:szCs w:val="21"/>
              </w:rPr>
              <w:t>(.0273)</w:t>
            </w:r>
          </w:p>
        </w:tc>
        <w:tc>
          <w:tcPr>
            <w:tcW w:w="1387" w:type="dxa"/>
          </w:tcPr>
          <w:p w14:paraId="2F8087CE" w14:textId="77777777" w:rsidR="00824892" w:rsidRDefault="00824892" w:rsidP="00824892">
            <w:pPr>
              <w:jc w:val="center"/>
              <w:rPr>
                <w:sz w:val="21"/>
                <w:szCs w:val="21"/>
              </w:rPr>
            </w:pPr>
            <w:r>
              <w:rPr>
                <w:sz w:val="21"/>
                <w:szCs w:val="21"/>
              </w:rPr>
              <w:t>-.00768</w:t>
            </w:r>
          </w:p>
          <w:p w14:paraId="70E6AC5F" w14:textId="77777777" w:rsidR="00824892" w:rsidRDefault="00824892" w:rsidP="00824892">
            <w:pPr>
              <w:jc w:val="center"/>
              <w:rPr>
                <w:sz w:val="21"/>
                <w:szCs w:val="21"/>
              </w:rPr>
            </w:pPr>
            <w:r>
              <w:rPr>
                <w:sz w:val="21"/>
                <w:szCs w:val="21"/>
              </w:rPr>
              <w:t>(.0204)</w:t>
            </w:r>
          </w:p>
        </w:tc>
      </w:tr>
      <w:tr w:rsidR="00824892" w14:paraId="4260DA84" w14:textId="77777777">
        <w:tc>
          <w:tcPr>
            <w:tcW w:w="2694" w:type="dxa"/>
          </w:tcPr>
          <w:p w14:paraId="410344C9" w14:textId="77777777" w:rsidR="00824892" w:rsidRDefault="00824892" w:rsidP="00824892">
            <w:pPr>
              <w:rPr>
                <w:sz w:val="21"/>
                <w:szCs w:val="21"/>
              </w:rPr>
            </w:pPr>
            <w:r>
              <w:rPr>
                <w:sz w:val="21"/>
                <w:szCs w:val="21"/>
              </w:rPr>
              <w:t>Fem-to-Male labour participation (W)</w:t>
            </w:r>
          </w:p>
        </w:tc>
        <w:tc>
          <w:tcPr>
            <w:tcW w:w="1552" w:type="dxa"/>
          </w:tcPr>
          <w:p w14:paraId="3572A6CA" w14:textId="77777777" w:rsidR="00824892" w:rsidRDefault="00824892" w:rsidP="00824892">
            <w:pPr>
              <w:jc w:val="center"/>
              <w:rPr>
                <w:sz w:val="21"/>
                <w:szCs w:val="21"/>
              </w:rPr>
            </w:pPr>
            <w:r>
              <w:rPr>
                <w:sz w:val="21"/>
                <w:szCs w:val="21"/>
              </w:rPr>
              <w:t>-.00654</w:t>
            </w:r>
          </w:p>
          <w:p w14:paraId="0A757013" w14:textId="77777777" w:rsidR="00824892" w:rsidRDefault="00824892" w:rsidP="00824892">
            <w:pPr>
              <w:jc w:val="center"/>
              <w:rPr>
                <w:sz w:val="21"/>
                <w:szCs w:val="21"/>
              </w:rPr>
            </w:pPr>
            <w:r>
              <w:rPr>
                <w:sz w:val="21"/>
                <w:szCs w:val="21"/>
              </w:rPr>
              <w:t>(.0046)</w:t>
            </w:r>
          </w:p>
        </w:tc>
        <w:tc>
          <w:tcPr>
            <w:tcW w:w="1826" w:type="dxa"/>
          </w:tcPr>
          <w:p w14:paraId="56593077" w14:textId="77777777" w:rsidR="00824892" w:rsidRDefault="00824892" w:rsidP="00824892">
            <w:pPr>
              <w:jc w:val="center"/>
              <w:rPr>
                <w:sz w:val="21"/>
                <w:szCs w:val="21"/>
              </w:rPr>
            </w:pPr>
            <w:r>
              <w:rPr>
                <w:sz w:val="21"/>
                <w:szCs w:val="21"/>
              </w:rPr>
              <w:t>-.00624</w:t>
            </w:r>
          </w:p>
          <w:p w14:paraId="36A51B79" w14:textId="77777777" w:rsidR="00824892" w:rsidRDefault="00824892" w:rsidP="00824892">
            <w:pPr>
              <w:jc w:val="center"/>
              <w:rPr>
                <w:sz w:val="21"/>
                <w:szCs w:val="21"/>
              </w:rPr>
            </w:pPr>
            <w:r>
              <w:rPr>
                <w:sz w:val="21"/>
                <w:szCs w:val="21"/>
              </w:rPr>
              <w:t>(.0046)</w:t>
            </w:r>
          </w:p>
        </w:tc>
        <w:tc>
          <w:tcPr>
            <w:tcW w:w="1567" w:type="dxa"/>
          </w:tcPr>
          <w:p w14:paraId="771BCD6A" w14:textId="77777777" w:rsidR="00824892" w:rsidRDefault="00824892" w:rsidP="00824892">
            <w:pPr>
              <w:jc w:val="center"/>
              <w:rPr>
                <w:sz w:val="21"/>
                <w:szCs w:val="21"/>
              </w:rPr>
            </w:pPr>
            <w:r>
              <w:rPr>
                <w:sz w:val="21"/>
                <w:szCs w:val="21"/>
              </w:rPr>
              <w:t>-.04213*</w:t>
            </w:r>
          </w:p>
          <w:p w14:paraId="00A46142" w14:textId="77777777" w:rsidR="00824892" w:rsidRDefault="00824892" w:rsidP="00824892">
            <w:pPr>
              <w:jc w:val="center"/>
              <w:rPr>
                <w:sz w:val="21"/>
                <w:szCs w:val="21"/>
              </w:rPr>
            </w:pPr>
            <w:r>
              <w:rPr>
                <w:sz w:val="21"/>
                <w:szCs w:val="21"/>
              </w:rPr>
              <w:t>(.0251)</w:t>
            </w:r>
          </w:p>
        </w:tc>
        <w:tc>
          <w:tcPr>
            <w:tcW w:w="1387" w:type="dxa"/>
          </w:tcPr>
          <w:p w14:paraId="3D33DD4B" w14:textId="77777777" w:rsidR="00824892" w:rsidRDefault="00824892" w:rsidP="00824892">
            <w:pPr>
              <w:jc w:val="center"/>
              <w:rPr>
                <w:sz w:val="21"/>
                <w:szCs w:val="21"/>
              </w:rPr>
            </w:pPr>
            <w:r>
              <w:rPr>
                <w:sz w:val="21"/>
                <w:szCs w:val="21"/>
              </w:rPr>
              <w:t>-.04724*</w:t>
            </w:r>
          </w:p>
          <w:p w14:paraId="09BD688F" w14:textId="77777777" w:rsidR="00824892" w:rsidRDefault="00824892" w:rsidP="00824892">
            <w:pPr>
              <w:jc w:val="center"/>
              <w:rPr>
                <w:sz w:val="21"/>
                <w:szCs w:val="21"/>
              </w:rPr>
            </w:pPr>
            <w:r>
              <w:rPr>
                <w:sz w:val="21"/>
                <w:szCs w:val="21"/>
              </w:rPr>
              <w:t>(.0246)</w:t>
            </w:r>
          </w:p>
        </w:tc>
      </w:tr>
      <w:tr w:rsidR="00824892" w14:paraId="1EC34F53" w14:textId="77777777">
        <w:tc>
          <w:tcPr>
            <w:tcW w:w="2694" w:type="dxa"/>
          </w:tcPr>
          <w:p w14:paraId="18ABC602" w14:textId="77777777" w:rsidR="00824892" w:rsidRDefault="00824892" w:rsidP="00824892">
            <w:pPr>
              <w:rPr>
                <w:b/>
                <w:bCs/>
                <w:sz w:val="21"/>
                <w:szCs w:val="21"/>
              </w:rPr>
            </w:pPr>
            <w:r>
              <w:rPr>
                <w:sz w:val="21"/>
                <w:szCs w:val="21"/>
              </w:rPr>
              <w:t>Fem. gross enrolment in 2ndary education (B)</w:t>
            </w:r>
          </w:p>
        </w:tc>
        <w:tc>
          <w:tcPr>
            <w:tcW w:w="1552" w:type="dxa"/>
          </w:tcPr>
          <w:p w14:paraId="10D7FC38" w14:textId="77777777" w:rsidR="00824892" w:rsidRDefault="00824892" w:rsidP="00824892">
            <w:pPr>
              <w:jc w:val="center"/>
              <w:rPr>
                <w:sz w:val="21"/>
                <w:szCs w:val="21"/>
              </w:rPr>
            </w:pPr>
            <w:r>
              <w:rPr>
                <w:sz w:val="21"/>
                <w:szCs w:val="21"/>
              </w:rPr>
              <w:t>.00313**</w:t>
            </w:r>
          </w:p>
          <w:p w14:paraId="48F39A61" w14:textId="77777777" w:rsidR="00824892" w:rsidRDefault="00824892" w:rsidP="00824892">
            <w:pPr>
              <w:jc w:val="center"/>
              <w:rPr>
                <w:sz w:val="21"/>
                <w:szCs w:val="21"/>
              </w:rPr>
            </w:pPr>
            <w:r>
              <w:rPr>
                <w:sz w:val="21"/>
                <w:szCs w:val="21"/>
              </w:rPr>
              <w:t>(.0014)</w:t>
            </w:r>
          </w:p>
        </w:tc>
        <w:tc>
          <w:tcPr>
            <w:tcW w:w="1826" w:type="dxa"/>
          </w:tcPr>
          <w:p w14:paraId="44765142" w14:textId="77777777" w:rsidR="00824892" w:rsidRDefault="00824892" w:rsidP="00824892">
            <w:pPr>
              <w:jc w:val="center"/>
              <w:rPr>
                <w:sz w:val="21"/>
                <w:szCs w:val="21"/>
              </w:rPr>
            </w:pPr>
            <w:r>
              <w:rPr>
                <w:sz w:val="21"/>
                <w:szCs w:val="21"/>
              </w:rPr>
              <w:t>.00360**</w:t>
            </w:r>
          </w:p>
          <w:p w14:paraId="0A181889" w14:textId="77777777" w:rsidR="00824892" w:rsidRDefault="00824892" w:rsidP="00824892">
            <w:pPr>
              <w:jc w:val="center"/>
              <w:rPr>
                <w:sz w:val="21"/>
                <w:szCs w:val="21"/>
              </w:rPr>
            </w:pPr>
            <w:r>
              <w:rPr>
                <w:sz w:val="21"/>
                <w:szCs w:val="21"/>
              </w:rPr>
              <w:t>(.0017)</w:t>
            </w:r>
          </w:p>
        </w:tc>
        <w:tc>
          <w:tcPr>
            <w:tcW w:w="1567" w:type="dxa"/>
          </w:tcPr>
          <w:p w14:paraId="59720527" w14:textId="77777777" w:rsidR="00824892" w:rsidRDefault="00824892" w:rsidP="00824892">
            <w:pPr>
              <w:jc w:val="center"/>
              <w:rPr>
                <w:sz w:val="21"/>
                <w:szCs w:val="21"/>
              </w:rPr>
            </w:pPr>
            <w:r>
              <w:rPr>
                <w:sz w:val="21"/>
                <w:szCs w:val="21"/>
              </w:rPr>
              <w:t>.01464**</w:t>
            </w:r>
          </w:p>
          <w:p w14:paraId="063C8AA7" w14:textId="77777777" w:rsidR="00824892" w:rsidRDefault="00824892" w:rsidP="00824892">
            <w:pPr>
              <w:jc w:val="center"/>
              <w:rPr>
                <w:sz w:val="21"/>
                <w:szCs w:val="21"/>
              </w:rPr>
            </w:pPr>
            <w:r>
              <w:rPr>
                <w:sz w:val="21"/>
                <w:szCs w:val="21"/>
              </w:rPr>
              <w:t>(.0065)</w:t>
            </w:r>
          </w:p>
        </w:tc>
        <w:tc>
          <w:tcPr>
            <w:tcW w:w="1387" w:type="dxa"/>
          </w:tcPr>
          <w:p w14:paraId="5B9FE835" w14:textId="77777777" w:rsidR="00824892" w:rsidRDefault="00824892" w:rsidP="00824892">
            <w:pPr>
              <w:jc w:val="center"/>
              <w:rPr>
                <w:sz w:val="21"/>
                <w:szCs w:val="21"/>
              </w:rPr>
            </w:pPr>
            <w:r>
              <w:rPr>
                <w:sz w:val="21"/>
                <w:szCs w:val="21"/>
              </w:rPr>
              <w:t>.01944**</w:t>
            </w:r>
          </w:p>
          <w:p w14:paraId="209C144B" w14:textId="77777777" w:rsidR="00824892" w:rsidRDefault="00824892" w:rsidP="00824892">
            <w:pPr>
              <w:jc w:val="center"/>
              <w:rPr>
                <w:sz w:val="21"/>
                <w:szCs w:val="21"/>
              </w:rPr>
            </w:pPr>
            <w:r>
              <w:rPr>
                <w:sz w:val="21"/>
                <w:szCs w:val="21"/>
              </w:rPr>
              <w:t>(.0080)</w:t>
            </w:r>
          </w:p>
        </w:tc>
      </w:tr>
      <w:tr w:rsidR="00824892" w14:paraId="29E0B30D" w14:textId="77777777">
        <w:tc>
          <w:tcPr>
            <w:tcW w:w="2694" w:type="dxa"/>
          </w:tcPr>
          <w:p w14:paraId="45C6E0F8" w14:textId="77777777" w:rsidR="00824892" w:rsidRDefault="00824892" w:rsidP="00824892">
            <w:pPr>
              <w:rPr>
                <w:b/>
                <w:bCs/>
                <w:sz w:val="21"/>
                <w:szCs w:val="21"/>
              </w:rPr>
            </w:pPr>
            <w:r>
              <w:rPr>
                <w:i/>
                <w:iCs/>
                <w:sz w:val="21"/>
                <w:szCs w:val="21"/>
              </w:rPr>
              <w:t>ln</w:t>
            </w:r>
            <w:r>
              <w:rPr>
                <w:sz w:val="21"/>
                <w:szCs w:val="21"/>
              </w:rPr>
              <w:t>(GDP per capita) (B)</w:t>
            </w:r>
          </w:p>
        </w:tc>
        <w:tc>
          <w:tcPr>
            <w:tcW w:w="1552" w:type="dxa"/>
          </w:tcPr>
          <w:p w14:paraId="79B15E4F" w14:textId="77777777" w:rsidR="00824892" w:rsidRDefault="00824892" w:rsidP="00824892">
            <w:pPr>
              <w:jc w:val="center"/>
              <w:rPr>
                <w:sz w:val="21"/>
                <w:szCs w:val="21"/>
              </w:rPr>
            </w:pPr>
            <w:r>
              <w:rPr>
                <w:sz w:val="21"/>
                <w:szCs w:val="21"/>
              </w:rPr>
              <w:t>-.04605</w:t>
            </w:r>
          </w:p>
          <w:p w14:paraId="247C0333" w14:textId="77777777" w:rsidR="00824892" w:rsidRDefault="00824892" w:rsidP="00824892">
            <w:pPr>
              <w:jc w:val="center"/>
              <w:rPr>
                <w:sz w:val="21"/>
                <w:szCs w:val="21"/>
              </w:rPr>
            </w:pPr>
            <w:r>
              <w:rPr>
                <w:sz w:val="21"/>
                <w:szCs w:val="21"/>
              </w:rPr>
              <w:t>(.0282)</w:t>
            </w:r>
          </w:p>
        </w:tc>
        <w:tc>
          <w:tcPr>
            <w:tcW w:w="1826" w:type="dxa"/>
          </w:tcPr>
          <w:p w14:paraId="449370CD" w14:textId="77777777" w:rsidR="00824892" w:rsidRDefault="00824892" w:rsidP="00824892">
            <w:pPr>
              <w:jc w:val="center"/>
              <w:rPr>
                <w:sz w:val="21"/>
                <w:szCs w:val="21"/>
              </w:rPr>
            </w:pPr>
            <w:r>
              <w:rPr>
                <w:sz w:val="21"/>
                <w:szCs w:val="21"/>
              </w:rPr>
              <w:t>-.05635**</w:t>
            </w:r>
          </w:p>
          <w:p w14:paraId="675B47EE" w14:textId="77777777" w:rsidR="00824892" w:rsidRDefault="00824892" w:rsidP="00824892">
            <w:pPr>
              <w:jc w:val="center"/>
              <w:rPr>
                <w:sz w:val="21"/>
                <w:szCs w:val="21"/>
              </w:rPr>
            </w:pPr>
            <w:r>
              <w:rPr>
                <w:sz w:val="21"/>
                <w:szCs w:val="21"/>
              </w:rPr>
              <w:t>(.0227)</w:t>
            </w:r>
          </w:p>
        </w:tc>
        <w:tc>
          <w:tcPr>
            <w:tcW w:w="1567" w:type="dxa"/>
          </w:tcPr>
          <w:p w14:paraId="33E35F09" w14:textId="77777777" w:rsidR="00824892" w:rsidRDefault="00824892" w:rsidP="00824892">
            <w:pPr>
              <w:jc w:val="center"/>
              <w:rPr>
                <w:sz w:val="21"/>
                <w:szCs w:val="21"/>
              </w:rPr>
            </w:pPr>
            <w:r>
              <w:rPr>
                <w:sz w:val="21"/>
                <w:szCs w:val="21"/>
              </w:rPr>
              <w:t>-.13969</w:t>
            </w:r>
          </w:p>
          <w:p w14:paraId="34C1B37D" w14:textId="77777777" w:rsidR="00824892" w:rsidRDefault="00824892" w:rsidP="00824892">
            <w:pPr>
              <w:jc w:val="center"/>
              <w:rPr>
                <w:sz w:val="21"/>
                <w:szCs w:val="21"/>
              </w:rPr>
            </w:pPr>
            <w:r>
              <w:rPr>
                <w:sz w:val="21"/>
                <w:szCs w:val="21"/>
              </w:rPr>
              <w:t>(.0946)</w:t>
            </w:r>
          </w:p>
        </w:tc>
        <w:tc>
          <w:tcPr>
            <w:tcW w:w="1387" w:type="dxa"/>
          </w:tcPr>
          <w:p w14:paraId="060F8660" w14:textId="77777777" w:rsidR="00824892" w:rsidRDefault="00824892" w:rsidP="00824892">
            <w:pPr>
              <w:jc w:val="center"/>
              <w:rPr>
                <w:sz w:val="21"/>
                <w:szCs w:val="21"/>
              </w:rPr>
            </w:pPr>
            <w:r>
              <w:rPr>
                <w:sz w:val="21"/>
                <w:szCs w:val="21"/>
              </w:rPr>
              <w:t>-.19511**</w:t>
            </w:r>
          </w:p>
          <w:p w14:paraId="1CA2BAB0" w14:textId="77777777" w:rsidR="00824892" w:rsidRDefault="00824892" w:rsidP="00824892">
            <w:pPr>
              <w:jc w:val="center"/>
              <w:rPr>
                <w:sz w:val="21"/>
                <w:szCs w:val="21"/>
              </w:rPr>
            </w:pPr>
            <w:r>
              <w:rPr>
                <w:sz w:val="21"/>
                <w:szCs w:val="21"/>
              </w:rPr>
              <w:t>(.0911)</w:t>
            </w:r>
          </w:p>
        </w:tc>
      </w:tr>
      <w:tr w:rsidR="00824892" w14:paraId="1BB1D8F2" w14:textId="77777777">
        <w:tc>
          <w:tcPr>
            <w:tcW w:w="2694" w:type="dxa"/>
          </w:tcPr>
          <w:p w14:paraId="2C41CDA5" w14:textId="77777777" w:rsidR="00824892" w:rsidRDefault="00824892" w:rsidP="00824892">
            <w:pPr>
              <w:rPr>
                <w:b/>
                <w:bCs/>
                <w:sz w:val="21"/>
                <w:szCs w:val="21"/>
              </w:rPr>
            </w:pPr>
            <w:r>
              <w:rPr>
                <w:sz w:val="21"/>
                <w:szCs w:val="21"/>
              </w:rPr>
              <w:t>Unemployment rate (B)</w:t>
            </w:r>
          </w:p>
        </w:tc>
        <w:tc>
          <w:tcPr>
            <w:tcW w:w="1552" w:type="dxa"/>
          </w:tcPr>
          <w:p w14:paraId="737AF733" w14:textId="77777777" w:rsidR="00824892" w:rsidRDefault="00824892" w:rsidP="00824892">
            <w:pPr>
              <w:jc w:val="center"/>
              <w:rPr>
                <w:sz w:val="21"/>
                <w:szCs w:val="21"/>
              </w:rPr>
            </w:pPr>
            <w:r>
              <w:rPr>
                <w:sz w:val="21"/>
                <w:szCs w:val="21"/>
              </w:rPr>
              <w:t>.00965</w:t>
            </w:r>
          </w:p>
          <w:p w14:paraId="4F6A4B93" w14:textId="77777777" w:rsidR="00824892" w:rsidRDefault="00824892" w:rsidP="00824892">
            <w:pPr>
              <w:jc w:val="center"/>
              <w:rPr>
                <w:sz w:val="21"/>
                <w:szCs w:val="21"/>
              </w:rPr>
            </w:pPr>
            <w:r>
              <w:rPr>
                <w:sz w:val="21"/>
                <w:szCs w:val="21"/>
              </w:rPr>
              <w:t>(.0063)</w:t>
            </w:r>
          </w:p>
        </w:tc>
        <w:tc>
          <w:tcPr>
            <w:tcW w:w="1826" w:type="dxa"/>
          </w:tcPr>
          <w:p w14:paraId="3BE21D8B" w14:textId="77777777" w:rsidR="00824892" w:rsidRDefault="00824892" w:rsidP="00824892">
            <w:pPr>
              <w:jc w:val="center"/>
              <w:rPr>
                <w:sz w:val="21"/>
                <w:szCs w:val="21"/>
              </w:rPr>
            </w:pPr>
            <w:r>
              <w:rPr>
                <w:sz w:val="21"/>
                <w:szCs w:val="21"/>
              </w:rPr>
              <w:t>.02111**</w:t>
            </w:r>
          </w:p>
          <w:p w14:paraId="6C9440D9" w14:textId="77777777" w:rsidR="00824892" w:rsidRDefault="00824892" w:rsidP="00824892">
            <w:pPr>
              <w:jc w:val="center"/>
              <w:rPr>
                <w:sz w:val="21"/>
                <w:szCs w:val="21"/>
              </w:rPr>
            </w:pPr>
            <w:r>
              <w:rPr>
                <w:sz w:val="21"/>
                <w:szCs w:val="21"/>
              </w:rPr>
              <w:t>(.0106)</w:t>
            </w:r>
          </w:p>
        </w:tc>
        <w:tc>
          <w:tcPr>
            <w:tcW w:w="1567" w:type="dxa"/>
          </w:tcPr>
          <w:p w14:paraId="0E88BF7E" w14:textId="77777777" w:rsidR="00824892" w:rsidRDefault="00824892" w:rsidP="00824892">
            <w:pPr>
              <w:jc w:val="center"/>
              <w:rPr>
                <w:sz w:val="21"/>
                <w:szCs w:val="21"/>
              </w:rPr>
            </w:pPr>
            <w:r>
              <w:rPr>
                <w:sz w:val="21"/>
                <w:szCs w:val="21"/>
              </w:rPr>
              <w:t>.07254*</w:t>
            </w:r>
          </w:p>
          <w:p w14:paraId="2F270596" w14:textId="77777777" w:rsidR="00824892" w:rsidRDefault="00824892" w:rsidP="00824892">
            <w:pPr>
              <w:jc w:val="center"/>
              <w:rPr>
                <w:sz w:val="21"/>
                <w:szCs w:val="21"/>
              </w:rPr>
            </w:pPr>
            <w:r>
              <w:rPr>
                <w:sz w:val="21"/>
                <w:szCs w:val="21"/>
              </w:rPr>
              <w:t>(.0436)</w:t>
            </w:r>
          </w:p>
        </w:tc>
        <w:tc>
          <w:tcPr>
            <w:tcW w:w="1387" w:type="dxa"/>
          </w:tcPr>
          <w:p w14:paraId="070E29E8" w14:textId="77777777" w:rsidR="00824892" w:rsidRDefault="00824892" w:rsidP="00824892">
            <w:pPr>
              <w:jc w:val="center"/>
              <w:rPr>
                <w:sz w:val="21"/>
                <w:szCs w:val="21"/>
              </w:rPr>
            </w:pPr>
            <w:r>
              <w:rPr>
                <w:sz w:val="21"/>
                <w:szCs w:val="21"/>
              </w:rPr>
              <w:t>-.00780</w:t>
            </w:r>
          </w:p>
          <w:p w14:paraId="456A57A9" w14:textId="77777777" w:rsidR="00824892" w:rsidRDefault="00824892" w:rsidP="00824892">
            <w:pPr>
              <w:jc w:val="center"/>
              <w:rPr>
                <w:sz w:val="21"/>
                <w:szCs w:val="21"/>
              </w:rPr>
            </w:pPr>
            <w:r>
              <w:rPr>
                <w:sz w:val="21"/>
                <w:szCs w:val="21"/>
              </w:rPr>
              <w:t>(.0146)</w:t>
            </w:r>
          </w:p>
        </w:tc>
      </w:tr>
      <w:tr w:rsidR="00824892" w14:paraId="310D8B5C" w14:textId="77777777">
        <w:tc>
          <w:tcPr>
            <w:tcW w:w="2694" w:type="dxa"/>
            <w:tcBorders>
              <w:bottom w:val="single" w:sz="4" w:space="0" w:color="000000"/>
            </w:tcBorders>
          </w:tcPr>
          <w:p w14:paraId="10DC7AA2" w14:textId="77777777" w:rsidR="00824892" w:rsidRDefault="00824892" w:rsidP="00824892">
            <w:pPr>
              <w:rPr>
                <w:b/>
                <w:bCs/>
                <w:sz w:val="21"/>
                <w:szCs w:val="21"/>
              </w:rPr>
            </w:pPr>
            <w:r>
              <w:rPr>
                <w:sz w:val="21"/>
                <w:szCs w:val="21"/>
              </w:rPr>
              <w:t xml:space="preserve">Fem-to-Male </w:t>
            </w:r>
            <w:proofErr w:type="spellStart"/>
            <w:r>
              <w:rPr>
                <w:sz w:val="21"/>
                <w:szCs w:val="21"/>
              </w:rPr>
              <w:t>labor</w:t>
            </w:r>
            <w:proofErr w:type="spellEnd"/>
            <w:r>
              <w:rPr>
                <w:sz w:val="21"/>
                <w:szCs w:val="21"/>
              </w:rPr>
              <w:t xml:space="preserve"> participation (B)</w:t>
            </w:r>
          </w:p>
        </w:tc>
        <w:tc>
          <w:tcPr>
            <w:tcW w:w="1552" w:type="dxa"/>
            <w:tcBorders>
              <w:bottom w:val="single" w:sz="4" w:space="0" w:color="000000"/>
            </w:tcBorders>
          </w:tcPr>
          <w:p w14:paraId="75594D99" w14:textId="77777777" w:rsidR="00824892" w:rsidRDefault="00824892" w:rsidP="00824892">
            <w:pPr>
              <w:jc w:val="center"/>
              <w:rPr>
                <w:sz w:val="21"/>
                <w:szCs w:val="21"/>
              </w:rPr>
            </w:pPr>
            <w:r>
              <w:rPr>
                <w:sz w:val="21"/>
                <w:szCs w:val="21"/>
              </w:rPr>
              <w:t>.00415**</w:t>
            </w:r>
          </w:p>
          <w:p w14:paraId="7E02E1FC" w14:textId="77777777" w:rsidR="00824892" w:rsidRDefault="00824892" w:rsidP="00824892">
            <w:pPr>
              <w:jc w:val="center"/>
              <w:rPr>
                <w:sz w:val="21"/>
                <w:szCs w:val="21"/>
              </w:rPr>
            </w:pPr>
            <w:r>
              <w:rPr>
                <w:sz w:val="21"/>
                <w:szCs w:val="21"/>
              </w:rPr>
              <w:t>(.0016)</w:t>
            </w:r>
          </w:p>
        </w:tc>
        <w:tc>
          <w:tcPr>
            <w:tcW w:w="1826" w:type="dxa"/>
            <w:tcBorders>
              <w:bottom w:val="single" w:sz="4" w:space="0" w:color="000000"/>
            </w:tcBorders>
          </w:tcPr>
          <w:p w14:paraId="4FA4870B" w14:textId="77777777" w:rsidR="00824892" w:rsidRDefault="00824892" w:rsidP="00824892">
            <w:pPr>
              <w:jc w:val="center"/>
              <w:rPr>
                <w:sz w:val="21"/>
                <w:szCs w:val="21"/>
              </w:rPr>
            </w:pPr>
            <w:r>
              <w:rPr>
                <w:sz w:val="21"/>
                <w:szCs w:val="21"/>
              </w:rPr>
              <w:t>.00450***</w:t>
            </w:r>
          </w:p>
          <w:p w14:paraId="75DD8CA1" w14:textId="77777777" w:rsidR="00824892" w:rsidRDefault="00824892" w:rsidP="00824892">
            <w:pPr>
              <w:jc w:val="center"/>
              <w:rPr>
                <w:sz w:val="21"/>
                <w:szCs w:val="21"/>
              </w:rPr>
            </w:pPr>
            <w:r>
              <w:rPr>
                <w:sz w:val="21"/>
                <w:szCs w:val="21"/>
              </w:rPr>
              <w:t>(.0013)</w:t>
            </w:r>
          </w:p>
        </w:tc>
        <w:tc>
          <w:tcPr>
            <w:tcW w:w="1567" w:type="dxa"/>
            <w:tcBorders>
              <w:bottom w:val="single" w:sz="4" w:space="0" w:color="000000"/>
            </w:tcBorders>
          </w:tcPr>
          <w:p w14:paraId="4F69024F" w14:textId="77777777" w:rsidR="00824892" w:rsidRDefault="00824892" w:rsidP="00824892">
            <w:pPr>
              <w:jc w:val="center"/>
              <w:rPr>
                <w:sz w:val="21"/>
                <w:szCs w:val="21"/>
              </w:rPr>
            </w:pPr>
            <w:r>
              <w:rPr>
                <w:sz w:val="21"/>
                <w:szCs w:val="21"/>
              </w:rPr>
              <w:t>.01877***</w:t>
            </w:r>
          </w:p>
          <w:p w14:paraId="0A8A7A6D" w14:textId="77777777" w:rsidR="00824892" w:rsidRDefault="00824892" w:rsidP="00824892">
            <w:pPr>
              <w:jc w:val="center"/>
              <w:rPr>
                <w:sz w:val="21"/>
                <w:szCs w:val="21"/>
              </w:rPr>
            </w:pPr>
            <w:r>
              <w:rPr>
                <w:sz w:val="21"/>
                <w:szCs w:val="21"/>
              </w:rPr>
              <w:t>(.0060)</w:t>
            </w:r>
          </w:p>
        </w:tc>
        <w:tc>
          <w:tcPr>
            <w:tcW w:w="1387" w:type="dxa"/>
            <w:tcBorders>
              <w:bottom w:val="single" w:sz="4" w:space="0" w:color="000000"/>
            </w:tcBorders>
          </w:tcPr>
          <w:p w14:paraId="7D876662" w14:textId="77777777" w:rsidR="00824892" w:rsidRDefault="00824892" w:rsidP="00824892">
            <w:pPr>
              <w:jc w:val="center"/>
              <w:rPr>
                <w:sz w:val="21"/>
                <w:szCs w:val="21"/>
              </w:rPr>
            </w:pPr>
            <w:r>
              <w:rPr>
                <w:sz w:val="21"/>
                <w:szCs w:val="21"/>
              </w:rPr>
              <w:t>.00781**</w:t>
            </w:r>
          </w:p>
          <w:p w14:paraId="4E6FC60C" w14:textId="77777777" w:rsidR="00824892" w:rsidRDefault="00824892" w:rsidP="00824892">
            <w:pPr>
              <w:jc w:val="center"/>
              <w:rPr>
                <w:sz w:val="21"/>
                <w:szCs w:val="21"/>
              </w:rPr>
            </w:pPr>
            <w:r>
              <w:rPr>
                <w:sz w:val="21"/>
                <w:szCs w:val="21"/>
              </w:rPr>
              <w:t>(.0039)</w:t>
            </w:r>
          </w:p>
        </w:tc>
      </w:tr>
      <w:tr w:rsidR="00824892" w14:paraId="68D06F04" w14:textId="77777777">
        <w:tc>
          <w:tcPr>
            <w:tcW w:w="2694" w:type="dxa"/>
            <w:tcBorders>
              <w:top w:val="single" w:sz="4" w:space="0" w:color="000000"/>
            </w:tcBorders>
          </w:tcPr>
          <w:p w14:paraId="6FA80975" w14:textId="2A3289D1" w:rsidR="00824892" w:rsidRDefault="00824892" w:rsidP="00824892">
            <w:pPr>
              <w:rPr>
                <w:sz w:val="21"/>
                <w:szCs w:val="21"/>
              </w:rPr>
            </w:pPr>
            <w:r>
              <w:rPr>
                <w:sz w:val="21"/>
                <w:szCs w:val="21"/>
              </w:rPr>
              <w:t>(Supplier) country fixed effects</w:t>
            </w:r>
          </w:p>
        </w:tc>
        <w:tc>
          <w:tcPr>
            <w:tcW w:w="1552" w:type="dxa"/>
            <w:tcBorders>
              <w:top w:val="single" w:sz="4" w:space="0" w:color="000000"/>
            </w:tcBorders>
          </w:tcPr>
          <w:p w14:paraId="1C7FC0D2" w14:textId="77777777" w:rsidR="00824892" w:rsidRDefault="00824892" w:rsidP="00824892">
            <w:pPr>
              <w:jc w:val="center"/>
              <w:rPr>
                <w:sz w:val="21"/>
                <w:szCs w:val="21"/>
              </w:rPr>
            </w:pPr>
            <w:r>
              <w:rPr>
                <w:sz w:val="21"/>
                <w:szCs w:val="21"/>
              </w:rPr>
              <w:t>No</w:t>
            </w:r>
          </w:p>
        </w:tc>
        <w:tc>
          <w:tcPr>
            <w:tcW w:w="1826" w:type="dxa"/>
            <w:tcBorders>
              <w:top w:val="single" w:sz="4" w:space="0" w:color="000000"/>
            </w:tcBorders>
          </w:tcPr>
          <w:p w14:paraId="6C1500BE" w14:textId="77777777" w:rsidR="00824892" w:rsidRDefault="00824892" w:rsidP="00824892">
            <w:pPr>
              <w:jc w:val="center"/>
              <w:rPr>
                <w:sz w:val="21"/>
                <w:szCs w:val="21"/>
              </w:rPr>
            </w:pPr>
            <w:r>
              <w:rPr>
                <w:sz w:val="21"/>
                <w:szCs w:val="21"/>
              </w:rPr>
              <w:t>Yes</w:t>
            </w:r>
          </w:p>
        </w:tc>
        <w:tc>
          <w:tcPr>
            <w:tcW w:w="1567" w:type="dxa"/>
            <w:tcBorders>
              <w:top w:val="single" w:sz="4" w:space="0" w:color="000000"/>
            </w:tcBorders>
          </w:tcPr>
          <w:p w14:paraId="7CCA6BA9" w14:textId="77777777" w:rsidR="00824892" w:rsidRDefault="00824892" w:rsidP="00824892">
            <w:pPr>
              <w:jc w:val="center"/>
              <w:rPr>
                <w:sz w:val="21"/>
                <w:szCs w:val="21"/>
              </w:rPr>
            </w:pPr>
            <w:r>
              <w:rPr>
                <w:sz w:val="21"/>
                <w:szCs w:val="21"/>
              </w:rPr>
              <w:t>Yes</w:t>
            </w:r>
          </w:p>
        </w:tc>
        <w:tc>
          <w:tcPr>
            <w:tcW w:w="1387" w:type="dxa"/>
            <w:tcBorders>
              <w:top w:val="single" w:sz="4" w:space="0" w:color="000000"/>
            </w:tcBorders>
          </w:tcPr>
          <w:p w14:paraId="7C912F4C" w14:textId="77777777" w:rsidR="00824892" w:rsidRDefault="00824892" w:rsidP="00824892">
            <w:pPr>
              <w:jc w:val="center"/>
              <w:rPr>
                <w:sz w:val="21"/>
                <w:szCs w:val="21"/>
              </w:rPr>
            </w:pPr>
            <w:r>
              <w:rPr>
                <w:sz w:val="21"/>
                <w:szCs w:val="21"/>
              </w:rPr>
              <w:t>No</w:t>
            </w:r>
          </w:p>
        </w:tc>
      </w:tr>
      <w:tr w:rsidR="00824892" w14:paraId="79063F4A" w14:textId="77777777">
        <w:tc>
          <w:tcPr>
            <w:tcW w:w="2694" w:type="dxa"/>
            <w:tcBorders>
              <w:top w:val="single" w:sz="4" w:space="0" w:color="000000"/>
              <w:bottom w:val="single" w:sz="4" w:space="0" w:color="000000"/>
            </w:tcBorders>
          </w:tcPr>
          <w:p w14:paraId="1F3FE8C3" w14:textId="77777777" w:rsidR="00824892" w:rsidRDefault="00824892" w:rsidP="00824892">
            <w:pPr>
              <w:rPr>
                <w:i/>
                <w:iCs/>
                <w:sz w:val="21"/>
                <w:szCs w:val="21"/>
              </w:rPr>
            </w:pPr>
            <w:r>
              <w:rPr>
                <w:i/>
                <w:iCs/>
                <w:sz w:val="21"/>
                <w:szCs w:val="21"/>
              </w:rPr>
              <w:t>N</w:t>
            </w:r>
          </w:p>
        </w:tc>
        <w:tc>
          <w:tcPr>
            <w:tcW w:w="1552" w:type="dxa"/>
            <w:tcBorders>
              <w:top w:val="single" w:sz="4" w:space="0" w:color="000000"/>
              <w:bottom w:val="single" w:sz="4" w:space="0" w:color="000000"/>
            </w:tcBorders>
          </w:tcPr>
          <w:p w14:paraId="71D1416D" w14:textId="77777777" w:rsidR="00824892" w:rsidRDefault="00824892" w:rsidP="00824892">
            <w:pPr>
              <w:jc w:val="center"/>
              <w:rPr>
                <w:sz w:val="21"/>
                <w:szCs w:val="21"/>
              </w:rPr>
            </w:pPr>
            <w:r>
              <w:rPr>
                <w:sz w:val="21"/>
                <w:szCs w:val="21"/>
              </w:rPr>
              <w:t>2075</w:t>
            </w:r>
          </w:p>
        </w:tc>
        <w:tc>
          <w:tcPr>
            <w:tcW w:w="1826" w:type="dxa"/>
            <w:tcBorders>
              <w:top w:val="single" w:sz="4" w:space="0" w:color="000000"/>
              <w:bottom w:val="single" w:sz="4" w:space="0" w:color="000000"/>
            </w:tcBorders>
          </w:tcPr>
          <w:p w14:paraId="03C7E278" w14:textId="77777777" w:rsidR="00824892" w:rsidRDefault="00824892" w:rsidP="00824892">
            <w:pPr>
              <w:jc w:val="center"/>
              <w:rPr>
                <w:sz w:val="21"/>
                <w:szCs w:val="21"/>
              </w:rPr>
            </w:pPr>
            <w:r>
              <w:rPr>
                <w:sz w:val="21"/>
                <w:szCs w:val="21"/>
              </w:rPr>
              <w:t>2075</w:t>
            </w:r>
          </w:p>
        </w:tc>
        <w:tc>
          <w:tcPr>
            <w:tcW w:w="1567" w:type="dxa"/>
            <w:tcBorders>
              <w:top w:val="single" w:sz="4" w:space="0" w:color="000000"/>
              <w:bottom w:val="single" w:sz="4" w:space="0" w:color="000000"/>
            </w:tcBorders>
          </w:tcPr>
          <w:p w14:paraId="2647D06A" w14:textId="77777777" w:rsidR="00824892" w:rsidRDefault="00824892" w:rsidP="00824892">
            <w:pPr>
              <w:jc w:val="center"/>
              <w:rPr>
                <w:sz w:val="21"/>
                <w:szCs w:val="21"/>
              </w:rPr>
            </w:pPr>
            <w:r>
              <w:rPr>
                <w:sz w:val="21"/>
                <w:szCs w:val="21"/>
              </w:rPr>
              <w:t>2075</w:t>
            </w:r>
          </w:p>
        </w:tc>
        <w:tc>
          <w:tcPr>
            <w:tcW w:w="1387" w:type="dxa"/>
            <w:tcBorders>
              <w:top w:val="single" w:sz="4" w:space="0" w:color="000000"/>
              <w:bottom w:val="single" w:sz="4" w:space="0" w:color="000000"/>
            </w:tcBorders>
          </w:tcPr>
          <w:p w14:paraId="2C133C8A" w14:textId="77777777" w:rsidR="00824892" w:rsidRDefault="00824892" w:rsidP="00824892">
            <w:pPr>
              <w:jc w:val="center"/>
              <w:rPr>
                <w:sz w:val="21"/>
                <w:szCs w:val="21"/>
              </w:rPr>
            </w:pPr>
            <w:r>
              <w:rPr>
                <w:sz w:val="21"/>
                <w:szCs w:val="21"/>
              </w:rPr>
              <w:t>2075</w:t>
            </w:r>
          </w:p>
        </w:tc>
      </w:tr>
      <w:tr w:rsidR="00824892" w14:paraId="050F8DCC" w14:textId="77777777">
        <w:tc>
          <w:tcPr>
            <w:tcW w:w="9026" w:type="dxa"/>
            <w:gridSpan w:val="5"/>
            <w:tcBorders>
              <w:top w:val="single" w:sz="4" w:space="0" w:color="000000"/>
              <w:bottom w:val="single" w:sz="4" w:space="0" w:color="000000"/>
            </w:tcBorders>
          </w:tcPr>
          <w:p w14:paraId="7FB6ECD2" w14:textId="77777777" w:rsidR="00824892" w:rsidRDefault="00824892" w:rsidP="00824892">
            <w:pPr>
              <w:jc w:val="both"/>
              <w:rPr>
                <w:b/>
                <w:bCs/>
                <w:sz w:val="21"/>
                <w:szCs w:val="21"/>
              </w:rPr>
            </w:pPr>
            <w:r>
              <w:rPr>
                <w:b/>
                <w:bCs/>
                <w:sz w:val="21"/>
                <w:szCs w:val="21"/>
              </w:rPr>
              <w:t>Notes:</w:t>
            </w:r>
          </w:p>
          <w:p w14:paraId="27A826B5" w14:textId="77777777" w:rsidR="00824892" w:rsidRDefault="00824892" w:rsidP="00824892">
            <w:pPr>
              <w:jc w:val="both"/>
              <w:rPr>
                <w:sz w:val="21"/>
                <w:szCs w:val="21"/>
              </w:rPr>
            </w:pPr>
            <w:r>
              <w:rPr>
                <w:sz w:val="21"/>
                <w:szCs w:val="21"/>
              </w:rPr>
              <w:t xml:space="preserve">(W) denotes the within-cluster effect and (B) the between-cluster effect of the respective variable. The coefficients of time invariant country-level variables, like the cultural dimensions represent, naturally, between-country effects. The terms involved in the hypotheses are </w:t>
            </w:r>
            <w:r>
              <w:rPr>
                <w:b/>
                <w:bCs/>
                <w:sz w:val="21"/>
                <w:szCs w:val="21"/>
              </w:rPr>
              <w:t>bolded</w:t>
            </w:r>
            <w:r>
              <w:rPr>
                <w:sz w:val="21"/>
                <w:szCs w:val="21"/>
              </w:rPr>
              <w:t>.</w:t>
            </w:r>
          </w:p>
          <w:p w14:paraId="78E1AF50" w14:textId="77777777" w:rsidR="00824892" w:rsidRDefault="00824892" w:rsidP="00824892">
            <w:pPr>
              <w:jc w:val="both"/>
              <w:rPr>
                <w:b/>
                <w:bCs/>
                <w:sz w:val="21"/>
                <w:szCs w:val="21"/>
              </w:rPr>
            </w:pPr>
            <w:r>
              <w:rPr>
                <w:sz w:val="21"/>
                <w:szCs w:val="21"/>
              </w:rPr>
              <w:t>* p &lt; 0.10, ** p &lt; 0.05, *** p &lt; 0.01</w:t>
            </w:r>
          </w:p>
        </w:tc>
      </w:tr>
      <w:tr w:rsidR="00824892" w14:paraId="26031F9B" w14:textId="77777777">
        <w:tc>
          <w:tcPr>
            <w:tcW w:w="2694" w:type="dxa"/>
            <w:tcBorders>
              <w:top w:val="single" w:sz="4" w:space="0" w:color="000000"/>
            </w:tcBorders>
          </w:tcPr>
          <w:p w14:paraId="40BF76CB" w14:textId="77777777" w:rsidR="00824892" w:rsidRDefault="00824892" w:rsidP="00824892">
            <w:pPr>
              <w:jc w:val="center"/>
              <w:rPr>
                <w:sz w:val="21"/>
                <w:szCs w:val="21"/>
              </w:rPr>
            </w:pPr>
          </w:p>
        </w:tc>
        <w:tc>
          <w:tcPr>
            <w:tcW w:w="1552" w:type="dxa"/>
            <w:tcBorders>
              <w:top w:val="single" w:sz="4" w:space="0" w:color="000000"/>
            </w:tcBorders>
          </w:tcPr>
          <w:p w14:paraId="0C3D1F9E" w14:textId="77777777" w:rsidR="00824892" w:rsidRDefault="00824892" w:rsidP="00824892">
            <w:pPr>
              <w:jc w:val="center"/>
              <w:rPr>
                <w:sz w:val="21"/>
                <w:szCs w:val="21"/>
              </w:rPr>
            </w:pPr>
          </w:p>
        </w:tc>
        <w:tc>
          <w:tcPr>
            <w:tcW w:w="1826" w:type="dxa"/>
            <w:tcBorders>
              <w:top w:val="single" w:sz="4" w:space="0" w:color="000000"/>
            </w:tcBorders>
          </w:tcPr>
          <w:p w14:paraId="1FF2AA05" w14:textId="77777777" w:rsidR="00824892" w:rsidRDefault="00824892" w:rsidP="00824892">
            <w:pPr>
              <w:jc w:val="center"/>
              <w:rPr>
                <w:sz w:val="21"/>
                <w:szCs w:val="21"/>
              </w:rPr>
            </w:pPr>
          </w:p>
        </w:tc>
        <w:tc>
          <w:tcPr>
            <w:tcW w:w="1567" w:type="dxa"/>
            <w:tcBorders>
              <w:top w:val="single" w:sz="4" w:space="0" w:color="000000"/>
            </w:tcBorders>
          </w:tcPr>
          <w:p w14:paraId="3B714F71" w14:textId="77777777" w:rsidR="00824892" w:rsidRDefault="00824892" w:rsidP="00824892">
            <w:pPr>
              <w:jc w:val="center"/>
              <w:rPr>
                <w:sz w:val="21"/>
                <w:szCs w:val="21"/>
              </w:rPr>
            </w:pPr>
          </w:p>
        </w:tc>
        <w:tc>
          <w:tcPr>
            <w:tcW w:w="1387" w:type="dxa"/>
            <w:tcBorders>
              <w:top w:val="single" w:sz="4" w:space="0" w:color="000000"/>
            </w:tcBorders>
          </w:tcPr>
          <w:p w14:paraId="050182CA" w14:textId="77777777" w:rsidR="00824892" w:rsidRDefault="00824892" w:rsidP="00824892">
            <w:pPr>
              <w:jc w:val="center"/>
              <w:rPr>
                <w:sz w:val="21"/>
                <w:szCs w:val="21"/>
              </w:rPr>
            </w:pPr>
          </w:p>
        </w:tc>
      </w:tr>
    </w:tbl>
    <w:p w14:paraId="60E034D4" w14:textId="77777777" w:rsidR="00957269" w:rsidRDefault="00957269">
      <w:pPr>
        <w:pBdr>
          <w:top w:val="nil"/>
          <w:left w:val="nil"/>
          <w:bottom w:val="nil"/>
          <w:right w:val="nil"/>
          <w:between w:val="nil"/>
        </w:pBdr>
        <w:jc w:val="both"/>
        <w:rPr>
          <w:b/>
          <w:bCs/>
        </w:rPr>
      </w:pPr>
    </w:p>
    <w:p w14:paraId="145799B6" w14:textId="77777777" w:rsidR="00957269" w:rsidRDefault="00000000">
      <w:pPr>
        <w:pBdr>
          <w:top w:val="nil"/>
          <w:left w:val="nil"/>
          <w:bottom w:val="nil"/>
          <w:right w:val="nil"/>
          <w:between w:val="nil"/>
        </w:pBdr>
        <w:jc w:val="both"/>
        <w:rPr>
          <w:b/>
          <w:bCs/>
          <w:sz w:val="28"/>
          <w:szCs w:val="28"/>
        </w:rPr>
      </w:pPr>
      <w:r>
        <w:rPr>
          <w:b/>
          <w:bCs/>
          <w:sz w:val="28"/>
          <w:szCs w:val="28"/>
        </w:rPr>
        <w:t>Discussion</w:t>
      </w:r>
    </w:p>
    <w:p w14:paraId="7FB095C8" w14:textId="77777777" w:rsidR="00957269" w:rsidRDefault="00957269">
      <w:pPr>
        <w:pBdr>
          <w:top w:val="nil"/>
          <w:left w:val="nil"/>
          <w:bottom w:val="nil"/>
          <w:right w:val="nil"/>
          <w:between w:val="nil"/>
        </w:pBdr>
        <w:jc w:val="both"/>
        <w:rPr>
          <w:b/>
          <w:bCs/>
        </w:rPr>
      </w:pPr>
    </w:p>
    <w:p w14:paraId="346F227A" w14:textId="77777777" w:rsidR="00957269" w:rsidRDefault="00000000">
      <w:pPr>
        <w:jc w:val="both"/>
        <w:rPr>
          <w:b/>
          <w:bCs/>
        </w:rPr>
      </w:pPr>
      <w:r>
        <w:rPr>
          <w:b/>
          <w:bCs/>
        </w:rPr>
        <w:t>Theoretical Implications</w:t>
      </w:r>
    </w:p>
    <w:p w14:paraId="268A6FDF" w14:textId="1778DC0D" w:rsidR="00957269" w:rsidRDefault="00000000">
      <w:pPr>
        <w:jc w:val="both"/>
      </w:pPr>
      <w:r>
        <w:t>This study contributes to business ethics by shifting attention from which ethical standards firms adopt to how their supply chains shape ethical outcomes (Alexander, 2020; Preuss, 2001). First, we contribute to the discourse on business ethics as a multi-level concern (Soundararajan et al., 2021). By demonstrating the joint influence of factory-level product complexity, suppl</w:t>
      </w:r>
      <w:r w:rsidR="00ED4702">
        <w:t>y</w:t>
      </w:r>
      <w:r>
        <w:t xml:space="preserve">-base structure, and country-level culture, we show that ethical outcomes are not the result of isolated managerial choices but are embedded in a complex interplay of cultural, structural and institutional forces. This moves the discussion away from seeing gender diversity as an operational metric and toward understanding it as an outcome of institutionalized moral agency (Reinecke &amp; Ansari, 2015). We engage with the debate on moral agency by showing that </w:t>
      </w:r>
      <w:r>
        <w:lastRenderedPageBreak/>
        <w:t>supplier prominence, geographic dispersion and product complexity can increase or decrease moral distance and, in turn, alter the lead-firm’s accountability. By showing how these factors shape workforce composition, we clarify the institutional boundaries of the firm’s moral agency (Brammer et al., 2012).</w:t>
      </w:r>
    </w:p>
    <w:p w14:paraId="27F297C7" w14:textId="5251848A" w:rsidR="00957269" w:rsidRDefault="00000000">
      <w:pPr>
        <w:jc w:val="both"/>
      </w:pPr>
      <w:r>
        <w:tab/>
        <w:t>Our multi-level evidence directly advances the three core business ethics debates outlined earlier. First, regarding the “choice-vs-geography” debate of moral distance, our results show that while geographical dispersion inflates distance, lead firms can actively choose to reduce this gap by routing production through prominent, high-volume suppliers who possess the infrastructure to maintain compliance. Second, with respect to the debate over the contractual boundaries of moral agency, our analysis</w:t>
      </w:r>
      <w:r w:rsidR="00ED4702">
        <w:t xml:space="preserve"> </w:t>
      </w:r>
      <w:r>
        <w:t>shows that supplier-specific characteristics account for the largest share of residual variance (43.59%); this provides empirical evidence that moral agency is relationship-driven and shared across network tiers, rather than legally self-contained within corporate boundaries. Finally, our finding that product complexity is inversely related to female employment directly informs debates regarding distributive justice in value chains. It provides confirmation that increasing job market access is insufficient if structural entry barriers continue to reproduce gendered skill segmentation on the factory floor.</w:t>
      </w:r>
    </w:p>
    <w:p w14:paraId="20B57800" w14:textId="77777777" w:rsidR="00957269" w:rsidRDefault="00000000">
      <w:pPr>
        <w:ind w:firstLine="720"/>
        <w:jc w:val="both"/>
      </w:pPr>
      <w:r>
        <w:t xml:space="preserve">In Nike’s apparel and footwear supply chain context, we interpret the positive effect of supplier prominence through a governance leverage and reputational oversight lens: more prominent suppliers face greater buyer scrutiny, but also greater buyer support, which raises expectations around gender diversity and intensifies external demands for credibility (Villena &amp; Gioia, 2020; </w:t>
      </w:r>
      <w:proofErr w:type="spellStart"/>
      <w:r>
        <w:t>Egels</w:t>
      </w:r>
      <w:proofErr w:type="spellEnd"/>
      <w:r>
        <w:t>-Zandén, 2014; Marano et al., 2024). These suppliers may therefore have stronger incentives to increase female representation. By contrast, suppliers with geographically dispersed factory networks employ fewer women on average, a finding that can be understood through the lens of supply-base complexity (e.g., Ateş et al., 2022; Choi &amp; Krause, 2006). Greater dispersion raises coordination and monitoring costs, making it harder to implement consistent gender diversity policies across operations (O’Connor et al., 2023; Berenguer et al., 2024; Hernández-</w:t>
      </w:r>
      <w:proofErr w:type="spellStart"/>
      <w:r>
        <w:t>Espallardo</w:t>
      </w:r>
      <w:proofErr w:type="spellEnd"/>
      <w:r>
        <w:t xml:space="preserve"> et al., 2010). When factories are concentrated in fewer locations, monitoring is easier and policy implementation is more consistent. Together, these findings align with and extend prior work on the role of corporate governance and oversight in promoting diversity in supply chains (Ni &amp; Sun, 2018; Alexander, 2020; Hernández-</w:t>
      </w:r>
      <w:proofErr w:type="spellStart"/>
      <w:r>
        <w:t>Espallardo</w:t>
      </w:r>
      <w:proofErr w:type="spellEnd"/>
      <w:r>
        <w:t xml:space="preserve"> et al., 2010; Samans &amp; Nelson, 2022).</w:t>
      </w:r>
    </w:p>
    <w:p w14:paraId="6CC94F25" w14:textId="20D6BF40" w:rsidR="00957269" w:rsidRDefault="00000000">
      <w:pPr>
        <w:ind w:firstLine="720"/>
        <w:jc w:val="both"/>
      </w:pPr>
      <w:r>
        <w:t xml:space="preserve">Our study also contributes to the literature on the role of country culture in management practice by empirically demonstrating that factories in countries with higher levels of individualism and long-term orientation exhibit significantly higher female workforce participation. This evidence echoes Hofstede’s framework (Hofstede, 2001) by showing that individualistic cultures </w:t>
      </w:r>
      <w:r w:rsidR="00ED4702">
        <w:t>tend to</w:t>
      </w:r>
      <w:r>
        <w:t xml:space="preserve"> reduce gender-based hierarchies, thereby fostering gender diversity in the workplace (Davis &amp; Williamson, 2019; Dutta et al., 2022). Furthermore, our research underscores that cultures prioritizing future-oriented planning are more conducive to gender diversity in the workforce, aligning with the work of Hofstede and Minkov (2010). These observations deepen our understanding of how cultural values influence gender dynamics in industrial contexts, particularly by bridging the gap in the literature regarding the impact of specific cultural dimensions on women’s employment in apparel and footwear supply chains. Notably, our hypothesis concerning motivation towards achievement and success (formerly known as masculinity-femininity) was not empirically supported. This suggests that unobserved factors pertinent to the country’s institutional environment and policy regime might moderate the effect of this dimension, or that this trait is not relevant in capturing the nuanced workplace dynamics shaping gender diversity. Either way, future research can explore this ambiguity</w:t>
      </w:r>
      <w:r w:rsidR="00ED4702">
        <w:t>.</w:t>
      </w:r>
    </w:p>
    <w:p w14:paraId="01EE32A9" w14:textId="77777777" w:rsidR="00957269" w:rsidRDefault="00000000">
      <w:pPr>
        <w:ind w:firstLine="720"/>
        <w:jc w:val="both"/>
      </w:pPr>
      <w:r>
        <w:t xml:space="preserve">Further, our study pioneers the application of a multilevel analytical approach to identify the factors influencing female participation in the workforce of factories in Nike’s supply base, a leading global player that has been actively incentivizing its suppliers to become more socially </w:t>
      </w:r>
      <w:r>
        <w:lastRenderedPageBreak/>
        <w:t>responsible in several respects. The multi</w:t>
      </w:r>
      <w:r>
        <w:rPr>
          <w:highlight w:val="white"/>
        </w:rPr>
        <w:t xml:space="preserve">level framework helps </w:t>
      </w:r>
      <w:r>
        <w:t xml:space="preserve">extend the theoretical understanding of female labour participation in the relevant literature (e.g., </w:t>
      </w:r>
      <w:proofErr w:type="spellStart"/>
      <w:r>
        <w:t>Bussolo</w:t>
      </w:r>
      <w:proofErr w:type="spellEnd"/>
      <w:r>
        <w:t xml:space="preserve"> et al., 2023; Verick, 2018; Ortiz-Ospina et al., 2024) by highlighting factors spanning different levels of analysis, thereby offering a more nuanced and holistic understanding of the phenomenon. Our findings suggest that factories manufacturing products of higher complexity (i.e., footwear as opposed to apparel items) might find it harder to achieve gender diversity, presumably due to the asymmetric distribution of relatively more advanced skills between male and female employees in the industry (Adamo, 2019; BSR, 2017). This finding invites a shift in emphasis from static assumptions about job matching or task-sorting, to a more dynamic understanding of how access to skills and training shapes female workforce participation. We interpret the relationship between product complexity and lower female participation as evidence of gendered skill segmentation and unequal access to upgrading pathways. In that sense, factories producing more complex products may rely on credentials and upskilling pathways that women, in many industry contexts, are less able to access (Barrientos, 2019, Svarer et al. 2020). This shifts the focus of multinationals such as Nike, from incentivizing suppliers to merely ‘check boxes’ for compliance purposes, to defining skills that women can actually develop through targeted training, job rotations, and continuing education (Adamo, 2019; BSR, 2017; ILO, 2023). More broadly, this interpretation also points to boundary conditions that future researchers can investigate; where firms and local systems invest in inclusive training and certification, the negative association between product complexity and gender diversity should attenuate.</w:t>
      </w:r>
    </w:p>
    <w:p w14:paraId="2A1A2662" w14:textId="77777777" w:rsidR="00957269" w:rsidRDefault="00000000">
      <w:pPr>
        <w:ind w:firstLine="720"/>
        <w:jc w:val="both"/>
      </w:pPr>
      <w:r>
        <w:t>Finally, it is worth noting that Barrientos (2019) shows that women’s incorporation into export-oriented production often follows a gendered division of labour, with women concentrated in lower-value and less secure work and with uneven access to skill formation and upgrading. In apparel production, high female participation therefore does not necessarily imply social or economic upgrading; governance arrangements may create employment while reproducing occupational segmentation. Seen in this light, our product-complexity finding is not evidence of natural job matching or simply a diversity shortfall, but of gendered pathways into industrial work and unequal access to advancement. This reinforces our contribution to business ethics by framing workforce composition as a question of distributive justice and fair access to capability development, rather than mere numerical representation (Barrientos, 2019; Preuss, 2001; Prieto-</w:t>
      </w:r>
      <w:proofErr w:type="spellStart"/>
      <w:r>
        <w:t>Carrón</w:t>
      </w:r>
      <w:proofErr w:type="spellEnd"/>
      <w:r>
        <w:t>, 2008).</w:t>
      </w:r>
    </w:p>
    <w:p w14:paraId="483F3ECB" w14:textId="77777777" w:rsidR="00957269" w:rsidRDefault="00957269">
      <w:pPr>
        <w:jc w:val="both"/>
      </w:pPr>
    </w:p>
    <w:p w14:paraId="3D58BD46" w14:textId="77777777" w:rsidR="00957269" w:rsidRDefault="00000000">
      <w:pPr>
        <w:jc w:val="both"/>
        <w:rPr>
          <w:b/>
          <w:bCs/>
        </w:rPr>
      </w:pPr>
      <w:r>
        <w:rPr>
          <w:b/>
          <w:bCs/>
        </w:rPr>
        <w:t>Managerial Implications</w:t>
      </w:r>
    </w:p>
    <w:p w14:paraId="106203DE" w14:textId="77777777" w:rsidR="00957269" w:rsidRDefault="00957269">
      <w:pPr>
        <w:jc w:val="both"/>
        <w:rPr>
          <w:b/>
          <w:bCs/>
        </w:rPr>
      </w:pPr>
    </w:p>
    <w:p w14:paraId="1B3B2288" w14:textId="6973B8D0" w:rsidR="00957269" w:rsidRDefault="00000000">
      <w:pPr>
        <w:pBdr>
          <w:top w:val="nil"/>
          <w:left w:val="nil"/>
          <w:bottom w:val="nil"/>
          <w:right w:val="nil"/>
          <w:between w:val="nil"/>
        </w:pBdr>
        <w:jc w:val="both"/>
      </w:pPr>
      <w:r>
        <w:t>This study offers several implications for Nike specifically, and for practitioners more broadly</w:t>
      </w:r>
      <w:r w:rsidR="00ED4702">
        <w:t>,</w:t>
      </w:r>
      <w:r>
        <w:t xml:space="preserve"> who seek to enhance the social sustainability of their supply chains.</w:t>
      </w:r>
    </w:p>
    <w:p w14:paraId="46A88ECD" w14:textId="77777777" w:rsidR="00957269" w:rsidRDefault="00000000">
      <w:pPr>
        <w:pBdr>
          <w:top w:val="nil"/>
          <w:left w:val="nil"/>
          <w:bottom w:val="nil"/>
          <w:right w:val="nil"/>
          <w:between w:val="nil"/>
        </w:pBdr>
        <w:ind w:firstLine="720"/>
        <w:jc w:val="both"/>
      </w:pPr>
      <w:r>
        <w:t xml:space="preserve">In the context of Nike’s supply base, our multilevel analysis reveals that the largest part of the variation in female workforce participation lies between suppliers, rather than between countries or factories. This suggests that suppliers follow considerably different recruitment strategies for their factories, and consequently different policies regarding female representation in their workforce. This finding suggests less homogeneity than Nike might have hoped for with their incentive schemes and set targets. These disparities are, to some extent, explicable. For example, suppliers might specialise in particular commodities that entail somewhat different skill sets, some of which are relatively unattainable or unattractive for either male or female workers. Moreover, despite the ubiquitous influence of Nike and its unambiguously asymmetric power </w:t>
      </w:r>
      <w:r>
        <w:rPr>
          <w:i/>
          <w:iCs/>
        </w:rPr>
        <w:t>vis-à-vis</w:t>
      </w:r>
      <w:r>
        <w:t xml:space="preserve"> the suppliers (Childs &amp; Jin, 2018; Hsieh et al., 2019), the latter are a mixed bag that includes anything from small, independent, single-factory family firms, to large multi-factory multinationals (e.g., Avery Dennison, Kuraray, MAS Holdings). Nike might be relatively reluctant to push the former to implement strict sustainability targets and enforce monitoring activities. On the other hand, although Nike may </w:t>
      </w:r>
      <w:r>
        <w:lastRenderedPageBreak/>
        <w:t xml:space="preserve">influence the HR policies and practices of its larger suppliers, these suppliers may also adopt individual strategies to achieve financial goals that do not always align fully with social objectives (e.g., Kim et al., 2019; Arora et al., 2020). In any case, there might be more room for Nike to homogenise (and hopefully further improve) female employment across its supplier’s factories. </w:t>
      </w:r>
    </w:p>
    <w:p w14:paraId="4B7B2EAE" w14:textId="1BE77C2A" w:rsidR="00957269" w:rsidRDefault="00000000">
      <w:pPr>
        <w:ind w:firstLine="720"/>
        <w:jc w:val="both"/>
      </w:pPr>
      <w:r>
        <w:t>From a business ethics perspective, the central managerial contribution of this study is the demonstration that operational supply chain design is not a value-neutral administrative task, but a fundamental vehicle through which a firm exercises its ethical governance. Our findings highlight points of intervention for MNCs and governments that are rooted in an ethical imperative to uphold distributive justice across global operations (Prieto-</w:t>
      </w:r>
      <w:proofErr w:type="spellStart"/>
      <w:r>
        <w:t>Carrón</w:t>
      </w:r>
      <w:proofErr w:type="spellEnd"/>
      <w:r>
        <w:t>, 2008). Beyond operational effectiveness, these interventions represent a shift from symbolic compliance to substantive ethical engagement. By explicitly linking structural choices, such as product complexity and supplier network concentration to the on-the-ground representation of women, we provide managers with a framework to operationalize moral agency and dismantle the moral distance that typically fragments global value chains. For example, to advance gender diversity in factories producing relatively more complex products, managers may consider emphasising inclusive access to specialist training, certification, and job rotation, in order to narrow the skills gap between males and females. In doing so, managers</w:t>
      </w:r>
      <w:r w:rsidR="00ED4702">
        <w:t xml:space="preserve"> can</w:t>
      </w:r>
      <w:r>
        <w:t xml:space="preserve"> fulfil a moral responsibility to provide equitable opportunities within the 'upstream' supply chain (Soundararajan &amp; Brammer, 2018). Furthermore, prioritizing relationships with prominent, geographically concentrated suppliers allows for the type of rigorous ethical oversight and monitoring required to protect vulnerable worker groups from the moral distance common in fragmented networks (Reinecke &amp; Ansari, 2015).</w:t>
      </w:r>
    </w:p>
    <w:p w14:paraId="4FBAABBE" w14:textId="77777777" w:rsidR="00957269" w:rsidRDefault="00000000">
      <w:pPr>
        <w:ind w:firstLine="720"/>
        <w:jc w:val="both"/>
      </w:pPr>
      <w:r>
        <w:t>Moreover, managers might want to tailor the implementation of diversity targets to national context. For instance, setting transparent targets publicly can gain traction in countries with more individualistic cultures, while long-term, multi-year capability building fits long-term oriented societies better. These considerations translate the evidence into priorities and staged efforts in reshaping sourcing and supplier development strategies. Although the culture of a country is difficult and slow to change, policymakers can attempt to instil in the labour market, and the society at large, values that reflect the individualism and long-term orientation dimensions of Hofstede’s framework.</w:t>
      </w:r>
    </w:p>
    <w:p w14:paraId="475B6C64" w14:textId="77777777" w:rsidR="00957269" w:rsidRDefault="00957269">
      <w:pPr>
        <w:ind w:firstLine="720"/>
        <w:jc w:val="both"/>
      </w:pPr>
    </w:p>
    <w:p w14:paraId="195A2667" w14:textId="77777777" w:rsidR="00957269" w:rsidRDefault="00957269">
      <w:pPr>
        <w:pBdr>
          <w:top w:val="nil"/>
          <w:left w:val="nil"/>
          <w:bottom w:val="nil"/>
          <w:right w:val="nil"/>
          <w:between w:val="nil"/>
        </w:pBdr>
        <w:jc w:val="both"/>
      </w:pPr>
    </w:p>
    <w:p w14:paraId="327FEA60" w14:textId="77777777" w:rsidR="00957269" w:rsidRDefault="00000000">
      <w:pPr>
        <w:pBdr>
          <w:top w:val="nil"/>
          <w:left w:val="nil"/>
          <w:bottom w:val="nil"/>
          <w:right w:val="nil"/>
          <w:between w:val="nil"/>
        </w:pBdr>
        <w:jc w:val="both"/>
        <w:rPr>
          <w:b/>
          <w:bCs/>
        </w:rPr>
      </w:pPr>
      <w:r>
        <w:rPr>
          <w:b/>
          <w:bCs/>
        </w:rPr>
        <w:t>Limitations and Future Directions</w:t>
      </w:r>
    </w:p>
    <w:p w14:paraId="704F3E1D" w14:textId="77777777" w:rsidR="00957269" w:rsidRDefault="00957269">
      <w:pPr>
        <w:pBdr>
          <w:top w:val="nil"/>
          <w:left w:val="nil"/>
          <w:bottom w:val="nil"/>
          <w:right w:val="nil"/>
          <w:between w:val="nil"/>
        </w:pBdr>
        <w:jc w:val="both"/>
      </w:pPr>
    </w:p>
    <w:p w14:paraId="2B0EC530" w14:textId="29826086" w:rsidR="00957269" w:rsidRDefault="00000000">
      <w:pPr>
        <w:pBdr>
          <w:top w:val="nil"/>
          <w:left w:val="nil"/>
          <w:bottom w:val="nil"/>
          <w:right w:val="nil"/>
          <w:between w:val="nil"/>
        </w:pBdr>
        <w:jc w:val="both"/>
      </w:pPr>
      <w:r>
        <w:t>This study dr</w:t>
      </w:r>
      <w:r w:rsidR="00155100">
        <w:t>ew</w:t>
      </w:r>
      <w:r>
        <w:t xml:space="preserve"> on publicly available data from Nike’s global supply chain, which, while extensive, may not fully represent the diversity of practices across retailers and manufacturers in the footwear and apparel industries. Our analysis (including the theoretical concepts examined herein) was necessarily limited by the scope, granularity, and frequency of Nike’s disclosed data. For instance, while we were able to obtain country-level data on factory locations, we lacked access to several potentially valuable factory- and supplier-level variables, such as financial performance, management practices, and working conditions.  Future research could expand the scope by including data from other firms and industries, extended supply chain tiers, and alternative data sources. This would help to validate and extend our findings. </w:t>
      </w:r>
    </w:p>
    <w:p w14:paraId="70AF9694" w14:textId="77777777" w:rsidR="00957269" w:rsidRDefault="00000000">
      <w:pPr>
        <w:pBdr>
          <w:top w:val="nil"/>
          <w:left w:val="nil"/>
          <w:bottom w:val="nil"/>
          <w:right w:val="nil"/>
          <w:between w:val="nil"/>
        </w:pBdr>
        <w:jc w:val="both"/>
      </w:pPr>
      <w:r>
        <w:tab/>
        <w:t xml:space="preserve">We also recognize the epistemological limitations of our study. As Soundararajan et al. (2021) argue, much supply chain research risks dehumanizing labour when it privileges systemic analysis over the lived experiences of workers. Our multilevel analysis offers macro-level insights into workforce composition but does not reveal the everyday realities, power dynamics, or experiences of women working in supplier factories. As such, researchers interested in the topic could limit their focus to a smaller number of countries or regions, and through a comparative approach and qualitative data collection (e.g., interviews with factory </w:t>
      </w:r>
      <w:r>
        <w:lastRenderedPageBreak/>
        <w:t xml:space="preserve">managers and female employees), seek to gain a more contextualized and humanized understanding of the conditions that enable (or impede) female participation in the production of garments. </w:t>
      </w:r>
    </w:p>
    <w:p w14:paraId="1B30AB4C" w14:textId="77777777" w:rsidR="00957269" w:rsidRDefault="00000000">
      <w:pPr>
        <w:pBdr>
          <w:top w:val="nil"/>
          <w:left w:val="nil"/>
          <w:bottom w:val="nil"/>
          <w:right w:val="nil"/>
          <w:between w:val="nil"/>
        </w:pBdr>
        <w:ind w:firstLine="720"/>
        <w:jc w:val="both"/>
      </w:pPr>
      <w:r>
        <w:t xml:space="preserve">From a methodological standpoint, this research might benefit from the application of configurational methods such as Qualitative Comparative Analysis (QCA), which are better equipped than regression-based statistical analysis to address causally complex phenomena (like gender diversity in the workforce), whereby multiple conditions at different levels interact to jointly produce an outcome (see </w:t>
      </w:r>
      <w:proofErr w:type="spellStart"/>
      <w:r>
        <w:t>Misangyi</w:t>
      </w:r>
      <w:proofErr w:type="spellEnd"/>
      <w:r>
        <w:t xml:space="preserve"> et al., 2016).</w:t>
      </w:r>
    </w:p>
    <w:p w14:paraId="35283C15" w14:textId="77777777" w:rsidR="00957269" w:rsidRDefault="00000000">
      <w:pPr>
        <w:pBdr>
          <w:top w:val="nil"/>
          <w:left w:val="nil"/>
          <w:bottom w:val="nil"/>
          <w:right w:val="nil"/>
          <w:between w:val="nil"/>
        </w:pBdr>
        <w:jc w:val="both"/>
        <w:rPr>
          <w:highlight w:val="yellow"/>
        </w:rPr>
      </w:pPr>
      <w:r>
        <w:tab/>
        <w:t xml:space="preserve">Moreover, while we have incorporated cultural dimensions into our analysis, the dynamic nature of cultural influences and their interaction with economic and policy changes over time remain underexplored. Another avenue for future research is to conduct longitudinal studies that track cultural shifts and their impact on women’s participation in supply chains. Finally, we would be remiss to not highlight the strong potential of multilevel analysis, either in the form of formal econometric modelling (like in this paper), or as less ‘structured’ qualitative/ethnographic research, to investigate influences on female labour participation in particular, or gender diversity more generally. We encourage interested academics to follow this work, as well as past studies (e.g., </w:t>
      </w:r>
      <w:proofErr w:type="spellStart"/>
      <w:r>
        <w:t>Besamusca</w:t>
      </w:r>
      <w:proofErr w:type="spellEnd"/>
      <w:r>
        <w:t xml:space="preserve"> et al., 2015; </w:t>
      </w:r>
      <w:proofErr w:type="spellStart"/>
      <w:r>
        <w:t>Bussemakers</w:t>
      </w:r>
      <w:proofErr w:type="spellEnd"/>
      <w:r>
        <w:t xml:space="preserve"> et al., 2017; Cipolone et al., 2014), and not limit their focus to factors that are pertinent to a sole level of analysis (e.g., the individual, the community or country).</w:t>
      </w:r>
    </w:p>
    <w:p w14:paraId="6395B151" w14:textId="77777777" w:rsidR="00957269" w:rsidRDefault="00957269">
      <w:pPr>
        <w:pBdr>
          <w:top w:val="nil"/>
          <w:left w:val="nil"/>
          <w:bottom w:val="nil"/>
          <w:right w:val="nil"/>
          <w:between w:val="nil"/>
        </w:pBdr>
        <w:jc w:val="both"/>
        <w:rPr>
          <w:b/>
          <w:bCs/>
        </w:rPr>
      </w:pPr>
    </w:p>
    <w:p w14:paraId="00C05968" w14:textId="77777777" w:rsidR="00957269" w:rsidRDefault="00957269">
      <w:pPr>
        <w:pBdr>
          <w:top w:val="nil"/>
          <w:left w:val="nil"/>
          <w:bottom w:val="nil"/>
          <w:right w:val="nil"/>
          <w:between w:val="nil"/>
        </w:pBdr>
        <w:jc w:val="both"/>
        <w:rPr>
          <w:b/>
          <w:bCs/>
        </w:rPr>
      </w:pPr>
    </w:p>
    <w:p w14:paraId="6E328A40" w14:textId="77777777" w:rsidR="00957269" w:rsidRDefault="00000000">
      <w:pPr>
        <w:pBdr>
          <w:top w:val="nil"/>
          <w:left w:val="nil"/>
          <w:bottom w:val="nil"/>
          <w:right w:val="nil"/>
          <w:between w:val="nil"/>
        </w:pBdr>
        <w:jc w:val="both"/>
        <w:rPr>
          <w:b/>
          <w:bCs/>
          <w:sz w:val="28"/>
          <w:szCs w:val="28"/>
        </w:rPr>
      </w:pPr>
      <w:r>
        <w:rPr>
          <w:b/>
          <w:bCs/>
          <w:sz w:val="28"/>
          <w:szCs w:val="28"/>
        </w:rPr>
        <w:t>Conclusion</w:t>
      </w:r>
    </w:p>
    <w:p w14:paraId="23EE9E2E" w14:textId="77777777" w:rsidR="00957269" w:rsidRDefault="00957269">
      <w:pPr>
        <w:pBdr>
          <w:top w:val="nil"/>
          <w:left w:val="nil"/>
          <w:bottom w:val="nil"/>
          <w:right w:val="nil"/>
          <w:between w:val="nil"/>
        </w:pBdr>
        <w:jc w:val="both"/>
      </w:pPr>
    </w:p>
    <w:p w14:paraId="14372381" w14:textId="77777777" w:rsidR="00957269" w:rsidRDefault="00000000">
      <w:pPr>
        <w:pBdr>
          <w:top w:val="nil"/>
          <w:left w:val="nil"/>
          <w:bottom w:val="nil"/>
          <w:right w:val="nil"/>
          <w:between w:val="nil"/>
        </w:pBdr>
        <w:jc w:val="both"/>
      </w:pPr>
      <w:r>
        <w:t>This study investigated gender diversity in the footwear and apparel industry. By adopting a multilevel analytical framework and using data on Nike’s supply base, we examined how country-level cultural dimensions, supplier characteristics, and factory-level factors collectively shape the ethical outcomes of global production. Our findings demonstrate that product complexity, supplier prominence, and geographic dispersion, as well as national culture, are important drivers that define the boundaries of moral responsibility across the supply chain.</w:t>
      </w:r>
    </w:p>
    <w:p w14:paraId="2259C8B5" w14:textId="2F97B88D" w:rsidR="00957269" w:rsidRDefault="00000000">
      <w:pPr>
        <w:pBdr>
          <w:top w:val="nil"/>
          <w:left w:val="nil"/>
          <w:bottom w:val="nil"/>
          <w:right w:val="nil"/>
          <w:between w:val="nil"/>
        </w:pBdr>
        <w:ind w:firstLine="720"/>
        <w:jc w:val="both"/>
      </w:pPr>
      <w:r>
        <w:t xml:space="preserve">Theoretically, this study contributes to business ethics by demonstrating how firms can influence gender diversity in their supply chains. By identifying factors that create moral distance and facilitate moral agency, we offer a multilevel perspective on the realization of social sustainability. Practically, our findings identify actionable levers for ethical governance, such as inclusive training programs, targeted supplier engagement, and culturally tailored diversity strategies that MNCs can use to reduce moral distance and promote distributive justice across their global networks. </w:t>
      </w:r>
    </w:p>
    <w:p w14:paraId="69758E1C" w14:textId="77777777" w:rsidR="00957269" w:rsidRDefault="00957269">
      <w:pPr>
        <w:pBdr>
          <w:top w:val="nil"/>
          <w:left w:val="nil"/>
          <w:bottom w:val="nil"/>
          <w:right w:val="nil"/>
          <w:between w:val="nil"/>
        </w:pBdr>
        <w:jc w:val="both"/>
      </w:pPr>
    </w:p>
    <w:p w14:paraId="5DD9B784" w14:textId="77777777" w:rsidR="00957269" w:rsidRDefault="00957269">
      <w:pPr>
        <w:pBdr>
          <w:top w:val="nil"/>
          <w:left w:val="nil"/>
          <w:bottom w:val="nil"/>
          <w:right w:val="nil"/>
          <w:between w:val="nil"/>
        </w:pBdr>
        <w:jc w:val="both"/>
      </w:pPr>
    </w:p>
    <w:p w14:paraId="046219A6" w14:textId="77777777" w:rsidR="00957269" w:rsidRDefault="00000000">
      <w:pPr>
        <w:pBdr>
          <w:top w:val="nil"/>
          <w:left w:val="nil"/>
          <w:bottom w:val="nil"/>
          <w:right w:val="nil"/>
          <w:between w:val="nil"/>
        </w:pBdr>
        <w:jc w:val="both"/>
        <w:rPr>
          <w:b/>
          <w:bCs/>
          <w:sz w:val="28"/>
          <w:szCs w:val="28"/>
        </w:rPr>
      </w:pPr>
      <w:r>
        <w:rPr>
          <w:b/>
          <w:bCs/>
          <w:sz w:val="28"/>
          <w:szCs w:val="28"/>
        </w:rPr>
        <w:t>References</w:t>
      </w:r>
    </w:p>
    <w:p w14:paraId="427EAEDA" w14:textId="77777777" w:rsidR="00957269" w:rsidRDefault="00957269">
      <w:pPr>
        <w:pBdr>
          <w:top w:val="nil"/>
          <w:left w:val="nil"/>
          <w:bottom w:val="nil"/>
          <w:right w:val="nil"/>
          <w:between w:val="nil"/>
        </w:pBdr>
        <w:jc w:val="both"/>
        <w:rPr>
          <w:b/>
          <w:bCs/>
        </w:rPr>
      </w:pPr>
    </w:p>
    <w:p w14:paraId="1106A7D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Akın</w:t>
      </w:r>
      <w:r>
        <w:rPr>
          <w:color w:val="000000"/>
          <w:sz w:val="20"/>
          <w:szCs w:val="20"/>
          <w:highlight w:val="white"/>
        </w:rPr>
        <w:t xml:space="preserve"> Ateş, M., </w:t>
      </w:r>
      <w:proofErr w:type="spellStart"/>
      <w:r>
        <w:rPr>
          <w:color w:val="000000"/>
          <w:sz w:val="20"/>
          <w:szCs w:val="20"/>
          <w:highlight w:val="white"/>
        </w:rPr>
        <w:t>Suurmond</w:t>
      </w:r>
      <w:proofErr w:type="spellEnd"/>
      <w:r>
        <w:rPr>
          <w:color w:val="000000"/>
          <w:sz w:val="20"/>
          <w:szCs w:val="20"/>
          <w:highlight w:val="white"/>
        </w:rPr>
        <w:t>, R., Luzzini, D., &amp; Krause, D. (2022). Order from chaos: a meta‐analysis of supply chain complexity and firm performance. </w:t>
      </w:r>
      <w:r>
        <w:rPr>
          <w:i/>
          <w:iCs/>
          <w:color w:val="000000"/>
          <w:sz w:val="20"/>
          <w:szCs w:val="20"/>
          <w:highlight w:val="white"/>
        </w:rPr>
        <w:t>Journal of Supply Chain Management</w:t>
      </w:r>
      <w:r>
        <w:rPr>
          <w:color w:val="000000"/>
          <w:sz w:val="20"/>
          <w:szCs w:val="20"/>
          <w:highlight w:val="white"/>
        </w:rPr>
        <w:t>, </w:t>
      </w:r>
      <w:r>
        <w:rPr>
          <w:i/>
          <w:iCs/>
          <w:color w:val="000000"/>
          <w:sz w:val="20"/>
          <w:szCs w:val="20"/>
          <w:highlight w:val="white"/>
        </w:rPr>
        <w:t>58</w:t>
      </w:r>
      <w:r>
        <w:rPr>
          <w:color w:val="000000"/>
          <w:sz w:val="20"/>
          <w:szCs w:val="20"/>
          <w:highlight w:val="white"/>
        </w:rPr>
        <w:t>(1), 3-30.</w:t>
      </w:r>
    </w:p>
    <w:p w14:paraId="47623B0C"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Alghababsheh</w:t>
      </w:r>
      <w:proofErr w:type="spellEnd"/>
      <w:r>
        <w:rPr>
          <w:color w:val="000000"/>
          <w:sz w:val="20"/>
          <w:szCs w:val="20"/>
        </w:rPr>
        <w:t xml:space="preserve">, M., &amp; </w:t>
      </w:r>
      <w:proofErr w:type="spellStart"/>
      <w:r>
        <w:rPr>
          <w:color w:val="000000"/>
          <w:sz w:val="20"/>
          <w:szCs w:val="20"/>
        </w:rPr>
        <w:t>Gallear</w:t>
      </w:r>
      <w:proofErr w:type="spellEnd"/>
      <w:r>
        <w:rPr>
          <w:color w:val="000000"/>
          <w:sz w:val="20"/>
          <w:szCs w:val="20"/>
        </w:rPr>
        <w:t>, D. (2021). Socially sustainable supply chain management and suppliers’ social performance: The role of social capital.</w:t>
      </w:r>
      <w:r>
        <w:rPr>
          <w:i/>
          <w:iCs/>
          <w:color w:val="000000"/>
          <w:sz w:val="20"/>
          <w:szCs w:val="20"/>
        </w:rPr>
        <w:t xml:space="preserve"> Journal of Business Ethics</w:t>
      </w:r>
      <w:r>
        <w:rPr>
          <w:color w:val="000000"/>
          <w:sz w:val="20"/>
          <w:szCs w:val="20"/>
        </w:rPr>
        <w:t>, 173(4), 855-875.</w:t>
      </w:r>
    </w:p>
    <w:p w14:paraId="1E8027EF"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Alexander, R. (2020). Emerging roles of lead buyer governance for sustainability across global production networks. </w:t>
      </w:r>
      <w:r>
        <w:rPr>
          <w:i/>
          <w:iCs/>
          <w:color w:val="000000"/>
          <w:sz w:val="20"/>
          <w:szCs w:val="20"/>
        </w:rPr>
        <w:t>Journal of Business Ethics</w:t>
      </w:r>
      <w:r>
        <w:rPr>
          <w:color w:val="000000"/>
          <w:sz w:val="20"/>
          <w:szCs w:val="20"/>
        </w:rPr>
        <w:t>, 162(2), 269-290.</w:t>
      </w:r>
    </w:p>
    <w:p w14:paraId="3588B6DE" w14:textId="77777777" w:rsidR="00957269" w:rsidRDefault="00000000">
      <w:pPr>
        <w:pBdr>
          <w:top w:val="nil"/>
          <w:left w:val="nil"/>
          <w:bottom w:val="nil"/>
          <w:right w:val="nil"/>
          <w:between w:val="nil"/>
        </w:pBdr>
        <w:ind w:left="432" w:hanging="432"/>
        <w:jc w:val="both"/>
        <w:rPr>
          <w:sz w:val="20"/>
          <w:szCs w:val="20"/>
        </w:rPr>
      </w:pPr>
      <w:proofErr w:type="spellStart"/>
      <w:r>
        <w:rPr>
          <w:color w:val="000000"/>
          <w:sz w:val="20"/>
          <w:szCs w:val="20"/>
        </w:rPr>
        <w:t>Anwary</w:t>
      </w:r>
      <w:proofErr w:type="spellEnd"/>
      <w:r>
        <w:rPr>
          <w:color w:val="000000"/>
          <w:sz w:val="20"/>
          <w:szCs w:val="20"/>
        </w:rPr>
        <w:t xml:space="preserve">, A. (2017). Feminised workforce in transnational production: Bangladesh ready-made garment industry. </w:t>
      </w:r>
      <w:r>
        <w:rPr>
          <w:i/>
          <w:iCs/>
          <w:color w:val="000000"/>
          <w:sz w:val="20"/>
          <w:szCs w:val="20"/>
        </w:rPr>
        <w:t>History and Sociology of South Asia</w:t>
      </w:r>
      <w:r>
        <w:rPr>
          <w:color w:val="000000"/>
          <w:sz w:val="20"/>
          <w:szCs w:val="20"/>
        </w:rPr>
        <w:t>, 11(2), 174-191</w:t>
      </w:r>
      <w:r>
        <w:rPr>
          <w:sz w:val="20"/>
          <w:szCs w:val="20"/>
        </w:rPr>
        <w:t>.</w:t>
      </w:r>
      <w:r>
        <w:rPr>
          <w:color w:val="0000FF"/>
          <w:sz w:val="20"/>
          <w:szCs w:val="20"/>
          <w:u w:val="single"/>
        </w:rPr>
        <w:t xml:space="preserve"> </w:t>
      </w:r>
      <w:hyperlink r:id="rId11">
        <w:r w:rsidR="00957269">
          <w:rPr>
            <w:color w:val="0000FF"/>
            <w:sz w:val="20"/>
            <w:szCs w:val="20"/>
            <w:u w:val="single"/>
          </w:rPr>
          <w:t>https://doi.org/10.1177/22308075166864</w:t>
        </w:r>
      </w:hyperlink>
    </w:p>
    <w:p w14:paraId="58DC4195"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Arora, P., Hora, M., Singhal, V., &amp; Subramanian, R. (2020). When do appointments of corporate sustainability executives affect shareholder value? </w:t>
      </w:r>
      <w:r>
        <w:rPr>
          <w:i/>
          <w:iCs/>
          <w:color w:val="000000"/>
          <w:sz w:val="20"/>
          <w:szCs w:val="20"/>
        </w:rPr>
        <w:t>Journal of Operations Management</w:t>
      </w:r>
      <w:r>
        <w:rPr>
          <w:color w:val="000000"/>
          <w:sz w:val="20"/>
          <w:szCs w:val="20"/>
        </w:rPr>
        <w:t>, 66(4), 464-487.</w:t>
      </w:r>
    </w:p>
    <w:p w14:paraId="14CCD04A" w14:textId="77777777" w:rsidR="00957269" w:rsidRDefault="00000000">
      <w:pPr>
        <w:pBdr>
          <w:top w:val="nil"/>
          <w:left w:val="nil"/>
          <w:bottom w:val="nil"/>
          <w:right w:val="nil"/>
          <w:between w:val="nil"/>
        </w:pBdr>
        <w:ind w:left="432" w:hanging="432"/>
        <w:jc w:val="both"/>
        <w:rPr>
          <w:sz w:val="20"/>
          <w:szCs w:val="20"/>
        </w:rPr>
      </w:pPr>
      <w:proofErr w:type="spellStart"/>
      <w:r>
        <w:rPr>
          <w:color w:val="000000"/>
          <w:sz w:val="20"/>
          <w:szCs w:val="20"/>
        </w:rPr>
        <w:lastRenderedPageBreak/>
        <w:t>Alshukri</w:t>
      </w:r>
      <w:proofErr w:type="spellEnd"/>
      <w:r>
        <w:rPr>
          <w:color w:val="000000"/>
          <w:sz w:val="20"/>
          <w:szCs w:val="20"/>
        </w:rPr>
        <w:t xml:space="preserve">, T., Seun Ojekemi, O., Öz, T., &amp; Alzubi, A. (2024). The Interplay of Corporate Social Responsibility, Innovation Capability, Organizational Learning, and Sustainable Value Creation: Does Stakeholder Engagement Matter? </w:t>
      </w:r>
      <w:r>
        <w:rPr>
          <w:i/>
          <w:iCs/>
          <w:color w:val="000000"/>
          <w:sz w:val="20"/>
          <w:szCs w:val="20"/>
        </w:rPr>
        <w:t>Sustainability</w:t>
      </w:r>
      <w:r>
        <w:rPr>
          <w:color w:val="000000"/>
          <w:sz w:val="20"/>
          <w:szCs w:val="20"/>
        </w:rPr>
        <w:t>, 16(13), 5511</w:t>
      </w:r>
      <w:r>
        <w:rPr>
          <w:sz w:val="20"/>
          <w:szCs w:val="20"/>
        </w:rPr>
        <w:t xml:space="preserve">. </w:t>
      </w:r>
      <w:hyperlink r:id="rId12">
        <w:r w:rsidR="00957269">
          <w:rPr>
            <w:color w:val="0000FF"/>
            <w:sz w:val="20"/>
            <w:szCs w:val="20"/>
            <w:u w:val="single"/>
          </w:rPr>
          <w:t>https://doi.org/10.3390/su16135511</w:t>
        </w:r>
      </w:hyperlink>
    </w:p>
    <w:p w14:paraId="105F7496"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Adidas (2016). </w:t>
      </w:r>
      <w:r>
        <w:rPr>
          <w:i/>
          <w:iCs/>
          <w:color w:val="000000"/>
          <w:sz w:val="20"/>
          <w:szCs w:val="20"/>
        </w:rPr>
        <w:t>Workplace standards</w:t>
      </w:r>
      <w:r>
        <w:rPr>
          <w:color w:val="000000"/>
          <w:sz w:val="20"/>
          <w:szCs w:val="20"/>
        </w:rPr>
        <w:t>. adidas. Retrieved August 1, 2024, from adidas supply-chain policies page. (adidas-group.com)</w:t>
      </w:r>
    </w:p>
    <w:p w14:paraId="39085FD5" w14:textId="77777777" w:rsidR="00957269" w:rsidRDefault="00000000">
      <w:pPr>
        <w:pBdr>
          <w:top w:val="nil"/>
          <w:left w:val="nil"/>
          <w:bottom w:val="nil"/>
          <w:right w:val="nil"/>
          <w:between w:val="nil"/>
        </w:pBdr>
        <w:ind w:left="432" w:hanging="432"/>
        <w:jc w:val="both"/>
        <w:rPr>
          <w:color w:val="0000FF"/>
          <w:sz w:val="20"/>
          <w:szCs w:val="20"/>
          <w:u w:val="single"/>
        </w:rPr>
      </w:pPr>
      <w:r>
        <w:rPr>
          <w:color w:val="000000"/>
          <w:sz w:val="20"/>
          <w:szCs w:val="20"/>
        </w:rPr>
        <w:t xml:space="preserve">Ampe-N’DA, L.D., Payne, B.A., Spake, R.I., Sharpe, S., Arora, A. (2019). Buyer-Supplier Relationships: Role of Collaboration, Sustainability, and Technology. In: Saxena Arora, A., </w:t>
      </w:r>
      <w:proofErr w:type="spellStart"/>
      <w:r>
        <w:rPr>
          <w:color w:val="000000"/>
          <w:sz w:val="20"/>
          <w:szCs w:val="20"/>
        </w:rPr>
        <w:t>Bacouel-Jentjens</w:t>
      </w:r>
      <w:proofErr w:type="spellEnd"/>
      <w:r>
        <w:rPr>
          <w:color w:val="000000"/>
          <w:sz w:val="20"/>
          <w:szCs w:val="20"/>
        </w:rPr>
        <w:t xml:space="preserve">, S., Sepehri, M., Arora, A. (eds) </w:t>
      </w:r>
      <w:r>
        <w:rPr>
          <w:i/>
          <w:iCs/>
          <w:color w:val="000000"/>
          <w:sz w:val="20"/>
          <w:szCs w:val="20"/>
        </w:rPr>
        <w:t>Sustainable Innovation</w:t>
      </w:r>
      <w:r>
        <w:rPr>
          <w:color w:val="000000"/>
          <w:sz w:val="20"/>
          <w:szCs w:val="20"/>
        </w:rPr>
        <w:t>. International Marketing and Management Research. Palgrave Pivot, Cham.</w:t>
      </w:r>
      <w:r>
        <w:rPr>
          <w:rFonts w:ascii="Arial" w:eastAsia="Arial" w:hAnsi="Arial" w:cs="Arial"/>
          <w:color w:val="000000"/>
          <w:highlight w:val="white"/>
        </w:rPr>
        <w:t xml:space="preserve"> </w:t>
      </w:r>
      <w:hyperlink r:id="rId13">
        <w:r w:rsidR="00957269">
          <w:rPr>
            <w:color w:val="1155CC"/>
            <w:sz w:val="20"/>
            <w:szCs w:val="20"/>
            <w:u w:val="single"/>
          </w:rPr>
          <w:t>https://doi.org/10.1007/978-3-030-30421-8_5</w:t>
        </w:r>
      </w:hyperlink>
    </w:p>
    <w:p w14:paraId="115130D8"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Adamo, D. (2019). </w:t>
      </w:r>
      <w:r>
        <w:rPr>
          <w:i/>
          <w:iCs/>
          <w:color w:val="000000"/>
          <w:sz w:val="20"/>
          <w:szCs w:val="20"/>
        </w:rPr>
        <w:t>Fashion’s Next Trend: Accelerating Supply Chain Transparency in the Apparel and Footwear Industry.</w:t>
      </w:r>
      <w:r>
        <w:rPr>
          <w:color w:val="000000"/>
          <w:sz w:val="20"/>
          <w:szCs w:val="20"/>
        </w:rPr>
        <w:t xml:space="preserve"> Human Rights Watch. Retrieved August 1, 2024, from </w:t>
      </w:r>
      <w:r>
        <w:rPr>
          <w:color w:val="1155CC"/>
          <w:sz w:val="20"/>
          <w:szCs w:val="20"/>
          <w:u w:val="single"/>
        </w:rPr>
        <w:t>https://www.hrw.org/report/2019/12/18/fashions-next-trend/accelerating-supply-chain-transparency-apparel-and-footwear</w:t>
      </w:r>
    </w:p>
    <w:p w14:paraId="72CB865D" w14:textId="77777777" w:rsidR="00957269" w:rsidRDefault="00000000">
      <w:pPr>
        <w:pBdr>
          <w:top w:val="nil"/>
          <w:left w:val="nil"/>
          <w:bottom w:val="nil"/>
          <w:right w:val="nil"/>
          <w:between w:val="nil"/>
        </w:pBdr>
        <w:ind w:left="432" w:hanging="432"/>
        <w:jc w:val="both"/>
        <w:rPr>
          <w:color w:val="1155CC"/>
          <w:sz w:val="20"/>
          <w:szCs w:val="20"/>
          <w:u w:val="single"/>
        </w:rPr>
      </w:pPr>
      <w:r>
        <w:rPr>
          <w:color w:val="000000"/>
          <w:sz w:val="20"/>
          <w:szCs w:val="20"/>
        </w:rPr>
        <w:t>Barrientos, S., Kabeer, N., &amp; Hossain, N. (2004). The Gender Dimensions of Globalization of Production. ILO Working Paper.</w:t>
      </w:r>
      <w:r>
        <w:rPr>
          <w:color w:val="000000"/>
          <w:sz w:val="20"/>
          <w:szCs w:val="20"/>
          <w:u w:val="single"/>
        </w:rPr>
        <w:t xml:space="preserve"> </w:t>
      </w:r>
      <w:hyperlink r:id="rId14">
        <w:r w:rsidR="00957269">
          <w:rPr>
            <w:color w:val="0000FF"/>
            <w:sz w:val="20"/>
            <w:szCs w:val="20"/>
            <w:u w:val="single"/>
          </w:rPr>
          <w:t>http://dx.doi.org/10.2139/ssrn.908162</w:t>
        </w:r>
      </w:hyperlink>
    </w:p>
    <w:p w14:paraId="04EE8AF6" w14:textId="77777777" w:rsidR="00957269" w:rsidRDefault="00000000">
      <w:pPr>
        <w:pBdr>
          <w:top w:val="nil"/>
          <w:left w:val="nil"/>
          <w:bottom w:val="nil"/>
          <w:right w:val="nil"/>
          <w:between w:val="nil"/>
        </w:pBdr>
        <w:spacing w:line="264" w:lineRule="auto"/>
        <w:ind w:left="432" w:hanging="432"/>
        <w:jc w:val="both"/>
        <w:rPr>
          <w:color w:val="000000"/>
          <w:sz w:val="20"/>
          <w:szCs w:val="20"/>
        </w:rPr>
      </w:pPr>
      <w:r>
        <w:rPr>
          <w:color w:val="000000"/>
          <w:sz w:val="20"/>
          <w:szCs w:val="20"/>
          <w:highlight w:val="white"/>
        </w:rPr>
        <w:t xml:space="preserve">Barrientos, S. (2019). </w:t>
      </w:r>
      <w:r>
        <w:rPr>
          <w:i/>
          <w:iCs/>
          <w:color w:val="000000"/>
          <w:sz w:val="20"/>
          <w:szCs w:val="20"/>
        </w:rPr>
        <w:t>Gender and work in global value chains: Capturing the gains?</w:t>
      </w:r>
      <w:r>
        <w:rPr>
          <w:color w:val="000000"/>
          <w:sz w:val="20"/>
          <w:szCs w:val="20"/>
        </w:rPr>
        <w:t>. Cambridge University Press.</w:t>
      </w:r>
    </w:p>
    <w:p w14:paraId="4E55A581" w14:textId="77777777" w:rsidR="00957269" w:rsidRDefault="00000000">
      <w:pPr>
        <w:pBdr>
          <w:top w:val="nil"/>
          <w:left w:val="nil"/>
          <w:bottom w:val="nil"/>
          <w:right w:val="nil"/>
          <w:between w:val="nil"/>
        </w:pBdr>
        <w:spacing w:line="264" w:lineRule="auto"/>
        <w:ind w:left="432" w:hanging="432"/>
        <w:jc w:val="both"/>
        <w:rPr>
          <w:sz w:val="20"/>
          <w:szCs w:val="20"/>
        </w:rPr>
      </w:pPr>
      <w:r>
        <w:rPr>
          <w:sz w:val="20"/>
          <w:szCs w:val="20"/>
        </w:rPr>
        <w:t>Bauman, Z. (1989). Modernity and the Holocaust. Ithaca, NY: Cornell University Press.</w:t>
      </w:r>
    </w:p>
    <w:p w14:paraId="46BB3129" w14:textId="77777777" w:rsidR="00957269" w:rsidRDefault="00000000">
      <w:pPr>
        <w:pBdr>
          <w:top w:val="nil"/>
          <w:left w:val="nil"/>
          <w:bottom w:val="nil"/>
          <w:right w:val="nil"/>
          <w:between w:val="nil"/>
        </w:pBdr>
        <w:ind w:left="432" w:hanging="432"/>
        <w:jc w:val="both"/>
        <w:rPr>
          <w:sz w:val="20"/>
          <w:szCs w:val="20"/>
        </w:rPr>
      </w:pPr>
      <w:r w:rsidRPr="00AF137A">
        <w:rPr>
          <w:color w:val="000000"/>
          <w:sz w:val="20"/>
          <w:szCs w:val="20"/>
          <w:lang w:val="es-ES"/>
        </w:rPr>
        <w:t xml:space="preserve">Berenguer, G., Costas Lorenzo, N., &amp; Sáez de Tejada Cuenca, A. (2024). </w:t>
      </w:r>
      <w:r>
        <w:rPr>
          <w:color w:val="000000"/>
          <w:sz w:val="20"/>
          <w:szCs w:val="20"/>
        </w:rPr>
        <w:t xml:space="preserve">The State of Supplier Diversity Initiatives by Large Corporations: The New Sustainable Supply Chain? </w:t>
      </w:r>
      <w:r>
        <w:rPr>
          <w:i/>
          <w:iCs/>
          <w:color w:val="000000"/>
          <w:sz w:val="20"/>
          <w:szCs w:val="20"/>
        </w:rPr>
        <w:t xml:space="preserve">Production and Operations Management, </w:t>
      </w:r>
      <w:r>
        <w:rPr>
          <w:color w:val="000000"/>
          <w:sz w:val="20"/>
          <w:szCs w:val="20"/>
        </w:rPr>
        <w:t xml:space="preserve">forthcoming and available online: </w:t>
      </w:r>
      <w:hyperlink r:id="rId15">
        <w:r w:rsidR="00957269">
          <w:rPr>
            <w:color w:val="0000FF"/>
            <w:sz w:val="20"/>
            <w:szCs w:val="20"/>
            <w:u w:val="single"/>
          </w:rPr>
          <w:t>https://journals.sagepub.com/doi/full/10.1177/10591478241240123</w:t>
        </w:r>
      </w:hyperlink>
      <w:r>
        <w:rPr>
          <w:sz w:val="20"/>
          <w:szCs w:val="20"/>
        </w:rPr>
        <w:t xml:space="preserve"> </w:t>
      </w:r>
    </w:p>
    <w:p w14:paraId="1659CFEF"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Bell, A., Fairbrother, M., &amp; Jones, K. (2019). Fixed and random effects models: making an informed choice. </w:t>
      </w:r>
      <w:r>
        <w:rPr>
          <w:i/>
          <w:iCs/>
          <w:color w:val="000000"/>
          <w:sz w:val="20"/>
          <w:szCs w:val="20"/>
        </w:rPr>
        <w:t>Quality and Quantity</w:t>
      </w:r>
      <w:r>
        <w:rPr>
          <w:color w:val="000000"/>
          <w:sz w:val="20"/>
          <w:szCs w:val="20"/>
        </w:rPr>
        <w:t xml:space="preserve">, </w:t>
      </w:r>
      <w:r>
        <w:rPr>
          <w:i/>
          <w:iCs/>
          <w:color w:val="000000"/>
          <w:sz w:val="20"/>
          <w:szCs w:val="20"/>
        </w:rPr>
        <w:t>53</w:t>
      </w:r>
      <w:r>
        <w:rPr>
          <w:color w:val="000000"/>
          <w:sz w:val="20"/>
          <w:szCs w:val="20"/>
        </w:rPr>
        <w:t>(2), 1051–1074.</w:t>
      </w:r>
    </w:p>
    <w:p w14:paraId="0E8AB5BB"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Besamusca</w:t>
      </w:r>
      <w:proofErr w:type="spellEnd"/>
      <w:r>
        <w:rPr>
          <w:color w:val="000000"/>
          <w:sz w:val="20"/>
          <w:szCs w:val="20"/>
        </w:rPr>
        <w:t xml:space="preserve">, J., </w:t>
      </w:r>
      <w:proofErr w:type="spellStart"/>
      <w:r>
        <w:rPr>
          <w:color w:val="000000"/>
          <w:sz w:val="20"/>
          <w:szCs w:val="20"/>
        </w:rPr>
        <w:t>Tijdens</w:t>
      </w:r>
      <w:proofErr w:type="spellEnd"/>
      <w:r>
        <w:rPr>
          <w:color w:val="000000"/>
          <w:sz w:val="20"/>
          <w:szCs w:val="20"/>
        </w:rPr>
        <w:t xml:space="preserve">, K., Keune, M., &amp; Steinmetz, S. (2015). Working women worldwide. Age effects in female </w:t>
      </w:r>
      <w:proofErr w:type="spellStart"/>
      <w:r>
        <w:rPr>
          <w:color w:val="000000"/>
          <w:sz w:val="20"/>
          <w:szCs w:val="20"/>
        </w:rPr>
        <w:t>labor</w:t>
      </w:r>
      <w:proofErr w:type="spellEnd"/>
      <w:r>
        <w:rPr>
          <w:color w:val="000000"/>
          <w:sz w:val="20"/>
          <w:szCs w:val="20"/>
        </w:rPr>
        <w:t xml:space="preserve"> force participation in 117 countries. </w:t>
      </w:r>
      <w:r>
        <w:rPr>
          <w:i/>
          <w:iCs/>
          <w:color w:val="000000"/>
          <w:sz w:val="20"/>
          <w:szCs w:val="20"/>
        </w:rPr>
        <w:t>World Development</w:t>
      </w:r>
      <w:r>
        <w:rPr>
          <w:color w:val="000000"/>
          <w:sz w:val="20"/>
          <w:szCs w:val="20"/>
        </w:rPr>
        <w:t xml:space="preserve">, </w:t>
      </w:r>
      <w:r>
        <w:rPr>
          <w:i/>
          <w:iCs/>
          <w:color w:val="000000"/>
          <w:sz w:val="20"/>
          <w:szCs w:val="20"/>
        </w:rPr>
        <w:t>74</w:t>
      </w:r>
      <w:r>
        <w:rPr>
          <w:color w:val="000000"/>
          <w:sz w:val="20"/>
          <w:szCs w:val="20"/>
        </w:rPr>
        <w:t>, 123-141.</w:t>
      </w:r>
    </w:p>
    <w:p w14:paraId="7A6A795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Bode, C., &amp; Wagner, S. M. (2015). Structural drivers of upstream supply chain complexity and the frequency of supply chain disruptions. </w:t>
      </w:r>
      <w:r>
        <w:rPr>
          <w:i/>
          <w:iCs/>
          <w:color w:val="000000"/>
          <w:sz w:val="20"/>
          <w:szCs w:val="20"/>
        </w:rPr>
        <w:t>Journal of Operations Management</w:t>
      </w:r>
      <w:r>
        <w:rPr>
          <w:color w:val="000000"/>
          <w:sz w:val="20"/>
          <w:szCs w:val="20"/>
        </w:rPr>
        <w:t>, 36, 215-228.</w:t>
      </w:r>
    </w:p>
    <w:p w14:paraId="61BEA1A0"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Brammer, S., Jackson, G., &amp; Matten, D. (2012). Corporate Social Responsibility and Institutional Theory: New Perspectives on Private Governance. </w:t>
      </w:r>
      <w:r>
        <w:rPr>
          <w:i/>
          <w:iCs/>
          <w:color w:val="000000"/>
          <w:sz w:val="20"/>
          <w:szCs w:val="20"/>
        </w:rPr>
        <w:t>Socio-Economic Review,</w:t>
      </w:r>
      <w:r>
        <w:rPr>
          <w:color w:val="000000"/>
          <w:sz w:val="20"/>
          <w:szCs w:val="20"/>
        </w:rPr>
        <w:t xml:space="preserve"> 10(1), 3-28.</w:t>
      </w:r>
    </w:p>
    <w:p w14:paraId="694B63D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Brincks, A. M., Enders, C. K., </w:t>
      </w:r>
      <w:proofErr w:type="spellStart"/>
      <w:r>
        <w:rPr>
          <w:color w:val="000000"/>
          <w:sz w:val="20"/>
          <w:szCs w:val="20"/>
        </w:rPr>
        <w:t>Llabre</w:t>
      </w:r>
      <w:proofErr w:type="spellEnd"/>
      <w:r>
        <w:rPr>
          <w:color w:val="000000"/>
          <w:sz w:val="20"/>
          <w:szCs w:val="20"/>
        </w:rPr>
        <w:t xml:space="preserve">, M. M., Bulotsky-Shearer, R. J., Prado, G., &amp; Feaster, D. J. (2017). </w:t>
      </w:r>
      <w:proofErr w:type="spellStart"/>
      <w:r>
        <w:rPr>
          <w:color w:val="000000"/>
          <w:sz w:val="20"/>
          <w:szCs w:val="20"/>
        </w:rPr>
        <w:t>Centering</w:t>
      </w:r>
      <w:proofErr w:type="spellEnd"/>
      <w:r>
        <w:rPr>
          <w:color w:val="000000"/>
          <w:sz w:val="20"/>
          <w:szCs w:val="20"/>
        </w:rPr>
        <w:t xml:space="preserve"> Predictor Variables in Three-Level Contextual Models. </w:t>
      </w:r>
      <w:r>
        <w:rPr>
          <w:i/>
          <w:iCs/>
          <w:color w:val="000000"/>
          <w:sz w:val="20"/>
          <w:szCs w:val="20"/>
        </w:rPr>
        <w:t xml:space="preserve">Multivariate </w:t>
      </w:r>
      <w:proofErr w:type="spellStart"/>
      <w:r>
        <w:rPr>
          <w:i/>
          <w:iCs/>
          <w:color w:val="000000"/>
          <w:sz w:val="20"/>
          <w:szCs w:val="20"/>
        </w:rPr>
        <w:t>Behavioral</w:t>
      </w:r>
      <w:proofErr w:type="spellEnd"/>
      <w:r>
        <w:rPr>
          <w:i/>
          <w:iCs/>
          <w:color w:val="000000"/>
          <w:sz w:val="20"/>
          <w:szCs w:val="20"/>
        </w:rPr>
        <w:t xml:space="preserve"> Research</w:t>
      </w:r>
      <w:r>
        <w:rPr>
          <w:color w:val="000000"/>
          <w:sz w:val="20"/>
          <w:szCs w:val="20"/>
        </w:rPr>
        <w:t xml:space="preserve">, </w:t>
      </w:r>
      <w:r>
        <w:rPr>
          <w:i/>
          <w:iCs/>
          <w:color w:val="000000"/>
          <w:sz w:val="20"/>
          <w:szCs w:val="20"/>
        </w:rPr>
        <w:t>52</w:t>
      </w:r>
      <w:r>
        <w:rPr>
          <w:color w:val="000000"/>
          <w:sz w:val="20"/>
          <w:szCs w:val="20"/>
        </w:rPr>
        <w:t>(2), 149-163.</w:t>
      </w:r>
    </w:p>
    <w:p w14:paraId="0C4244D1" w14:textId="77777777" w:rsidR="00957269" w:rsidRDefault="00000000">
      <w:pPr>
        <w:pBdr>
          <w:top w:val="nil"/>
          <w:left w:val="nil"/>
          <w:bottom w:val="nil"/>
          <w:right w:val="nil"/>
          <w:between w:val="nil"/>
        </w:pBdr>
        <w:ind w:left="432" w:hanging="432"/>
        <w:jc w:val="both"/>
        <w:rPr>
          <w:color w:val="1155CC"/>
          <w:sz w:val="20"/>
          <w:szCs w:val="20"/>
          <w:u w:val="single"/>
        </w:rPr>
      </w:pPr>
      <w:r>
        <w:rPr>
          <w:color w:val="000000"/>
          <w:sz w:val="20"/>
          <w:szCs w:val="20"/>
        </w:rPr>
        <w:t xml:space="preserve">BSR. (2017).  Empowering Female Workers in the Apparel Industry. Business Brief. Retrieved August 1, 2024, from </w:t>
      </w:r>
      <w:hyperlink r:id="rId16">
        <w:r w:rsidR="00957269">
          <w:rPr>
            <w:color w:val="1155CC"/>
            <w:sz w:val="20"/>
            <w:szCs w:val="20"/>
            <w:u w:val="single"/>
          </w:rPr>
          <w:t>https://www.bsr.org/reports/BSR_Empowering_Female_Workers_in_the_Apparel_Industry.pdf</w:t>
        </w:r>
      </w:hyperlink>
    </w:p>
    <w:p w14:paraId="6556B641" w14:textId="77777777" w:rsidR="00957269" w:rsidRDefault="00000000">
      <w:pPr>
        <w:pBdr>
          <w:top w:val="nil"/>
          <w:left w:val="nil"/>
          <w:bottom w:val="nil"/>
          <w:right w:val="nil"/>
          <w:between w:val="nil"/>
        </w:pBdr>
        <w:ind w:left="432" w:hanging="432"/>
        <w:jc w:val="both"/>
        <w:rPr>
          <w:color w:val="000000"/>
          <w:sz w:val="20"/>
          <w:szCs w:val="20"/>
        </w:rPr>
      </w:pPr>
      <w:r w:rsidRPr="00AF137A">
        <w:rPr>
          <w:color w:val="000000"/>
          <w:sz w:val="20"/>
          <w:szCs w:val="20"/>
          <w:lang w:val="es-ES"/>
        </w:rPr>
        <w:t>Bubicz, M. E., Barbosa-</w:t>
      </w:r>
      <w:proofErr w:type="spellStart"/>
      <w:r w:rsidRPr="00AF137A">
        <w:rPr>
          <w:color w:val="000000"/>
          <w:sz w:val="20"/>
          <w:szCs w:val="20"/>
          <w:lang w:val="es-ES"/>
        </w:rPr>
        <w:t>Póvoa</w:t>
      </w:r>
      <w:proofErr w:type="spellEnd"/>
      <w:r w:rsidRPr="00AF137A">
        <w:rPr>
          <w:color w:val="000000"/>
          <w:sz w:val="20"/>
          <w:szCs w:val="20"/>
          <w:lang w:val="es-ES"/>
        </w:rPr>
        <w:t xml:space="preserve">, A. P. F. D., &amp; Carvalho, A. (2021). </w:t>
      </w:r>
      <w:r>
        <w:rPr>
          <w:color w:val="000000"/>
          <w:sz w:val="20"/>
          <w:szCs w:val="20"/>
        </w:rPr>
        <w:t xml:space="preserve">Social sustainability management in the apparel supply chains. </w:t>
      </w:r>
      <w:r>
        <w:rPr>
          <w:i/>
          <w:iCs/>
          <w:color w:val="000000"/>
          <w:sz w:val="20"/>
          <w:szCs w:val="20"/>
        </w:rPr>
        <w:t>Journal of Cleaner Production</w:t>
      </w:r>
      <w:r>
        <w:rPr>
          <w:color w:val="000000"/>
          <w:sz w:val="20"/>
          <w:szCs w:val="20"/>
        </w:rPr>
        <w:t>, 280, 124214.</w:t>
      </w:r>
    </w:p>
    <w:p w14:paraId="4A9ABB85"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Bussemakers</w:t>
      </w:r>
      <w:proofErr w:type="spellEnd"/>
      <w:r>
        <w:rPr>
          <w:color w:val="000000"/>
          <w:sz w:val="20"/>
          <w:szCs w:val="20"/>
        </w:rPr>
        <w:t xml:space="preserve">, C., Van Oosterhout, K., </w:t>
      </w:r>
      <w:proofErr w:type="spellStart"/>
      <w:r>
        <w:rPr>
          <w:color w:val="000000"/>
          <w:sz w:val="20"/>
          <w:szCs w:val="20"/>
        </w:rPr>
        <w:t>Kraaykamp</w:t>
      </w:r>
      <w:proofErr w:type="spellEnd"/>
      <w:r>
        <w:rPr>
          <w:color w:val="000000"/>
          <w:sz w:val="20"/>
          <w:szCs w:val="20"/>
        </w:rPr>
        <w:t xml:space="preserve">, G., &amp; </w:t>
      </w:r>
      <w:proofErr w:type="spellStart"/>
      <w:r>
        <w:rPr>
          <w:color w:val="000000"/>
          <w:sz w:val="20"/>
          <w:szCs w:val="20"/>
        </w:rPr>
        <w:t>Spierings</w:t>
      </w:r>
      <w:proofErr w:type="spellEnd"/>
      <w:r>
        <w:rPr>
          <w:color w:val="000000"/>
          <w:sz w:val="20"/>
          <w:szCs w:val="20"/>
        </w:rPr>
        <w:t xml:space="preserve">, N. (2017). Women’s worldwide education–employment connection: a multilevel analysis of the moderating impact of economic, political, and cultural contexts. </w:t>
      </w:r>
      <w:r>
        <w:rPr>
          <w:i/>
          <w:iCs/>
          <w:color w:val="000000"/>
          <w:sz w:val="20"/>
          <w:szCs w:val="20"/>
        </w:rPr>
        <w:t>World Development</w:t>
      </w:r>
      <w:r>
        <w:rPr>
          <w:color w:val="000000"/>
          <w:sz w:val="20"/>
          <w:szCs w:val="20"/>
        </w:rPr>
        <w:t xml:space="preserve">, </w:t>
      </w:r>
      <w:r>
        <w:rPr>
          <w:i/>
          <w:iCs/>
          <w:color w:val="000000"/>
          <w:sz w:val="20"/>
          <w:szCs w:val="20"/>
        </w:rPr>
        <w:t>99</w:t>
      </w:r>
      <w:r>
        <w:rPr>
          <w:color w:val="000000"/>
          <w:sz w:val="20"/>
          <w:szCs w:val="20"/>
        </w:rPr>
        <w:t>, 28-41.</w:t>
      </w:r>
    </w:p>
    <w:p w14:paraId="2D18CA57" w14:textId="77777777" w:rsidR="00957269" w:rsidRDefault="00000000">
      <w:pPr>
        <w:pBdr>
          <w:top w:val="nil"/>
          <w:left w:val="nil"/>
          <w:bottom w:val="nil"/>
          <w:right w:val="nil"/>
          <w:between w:val="nil"/>
        </w:pBdr>
        <w:ind w:left="432" w:hanging="432"/>
        <w:jc w:val="both"/>
        <w:rPr>
          <w:sz w:val="20"/>
          <w:szCs w:val="20"/>
        </w:rPr>
      </w:pPr>
      <w:proofErr w:type="spellStart"/>
      <w:r>
        <w:rPr>
          <w:color w:val="000000"/>
          <w:sz w:val="20"/>
          <w:szCs w:val="20"/>
        </w:rPr>
        <w:t>Bussolo</w:t>
      </w:r>
      <w:proofErr w:type="spellEnd"/>
      <w:r>
        <w:rPr>
          <w:color w:val="000000"/>
          <w:sz w:val="20"/>
          <w:szCs w:val="20"/>
        </w:rPr>
        <w:t xml:space="preserve">, M., </w:t>
      </w:r>
      <w:proofErr w:type="spellStart"/>
      <w:r>
        <w:rPr>
          <w:color w:val="000000"/>
          <w:sz w:val="20"/>
          <w:szCs w:val="20"/>
        </w:rPr>
        <w:t>Ezebuihe</w:t>
      </w:r>
      <w:proofErr w:type="spellEnd"/>
      <w:r>
        <w:rPr>
          <w:color w:val="000000"/>
          <w:sz w:val="20"/>
          <w:szCs w:val="20"/>
        </w:rPr>
        <w:t xml:space="preserve">, J. A., Muñoz Boudet, A. M., Poupakis, S., Rahman, T., &amp; Sarma, N. (2023). Social Norms and Gender Disparities with a Focus on Female Labor Force Participation in South Asia. </w:t>
      </w:r>
      <w:r>
        <w:rPr>
          <w:i/>
          <w:iCs/>
          <w:color w:val="000000"/>
          <w:sz w:val="20"/>
          <w:szCs w:val="20"/>
        </w:rPr>
        <w:t>The World Bank Research Observer</w:t>
      </w:r>
      <w:r>
        <w:rPr>
          <w:color w:val="000000"/>
          <w:sz w:val="20"/>
          <w:szCs w:val="20"/>
        </w:rPr>
        <w:t xml:space="preserve">, 39 (1), 124-158. </w:t>
      </w:r>
      <w:hyperlink r:id="rId17">
        <w:r w:rsidR="00957269">
          <w:rPr>
            <w:color w:val="0000FF"/>
            <w:sz w:val="20"/>
            <w:szCs w:val="20"/>
            <w:u w:val="single"/>
          </w:rPr>
          <w:t>https://doi.org/10.1093/wbro/lkad010</w:t>
        </w:r>
      </w:hyperlink>
    </w:p>
    <w:p w14:paraId="2B172A1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Bogatyreva, K., Edelman, L. F., Manolova, T. S., </w:t>
      </w:r>
      <w:proofErr w:type="spellStart"/>
      <w:r>
        <w:rPr>
          <w:color w:val="000000"/>
          <w:sz w:val="20"/>
          <w:szCs w:val="20"/>
        </w:rPr>
        <w:t>Osiyevskyy</w:t>
      </w:r>
      <w:proofErr w:type="spellEnd"/>
      <w:r>
        <w:rPr>
          <w:color w:val="000000"/>
          <w:sz w:val="20"/>
          <w:szCs w:val="20"/>
        </w:rPr>
        <w:t>, O., &amp; Shirokova, G. (2019). When do entrepreneurial intentions lead to actions? The role of national culture. </w:t>
      </w:r>
      <w:r>
        <w:rPr>
          <w:i/>
          <w:iCs/>
          <w:color w:val="000000"/>
          <w:sz w:val="20"/>
          <w:szCs w:val="20"/>
        </w:rPr>
        <w:t>Journal of business research</w:t>
      </w:r>
      <w:r>
        <w:rPr>
          <w:color w:val="000000"/>
          <w:sz w:val="20"/>
          <w:szCs w:val="20"/>
        </w:rPr>
        <w:t>, 96, 309-321.</w:t>
      </w:r>
    </w:p>
    <w:p w14:paraId="32B6C74A"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Caniëls</w:t>
      </w:r>
      <w:proofErr w:type="spellEnd"/>
      <w:r>
        <w:rPr>
          <w:color w:val="000000"/>
          <w:sz w:val="20"/>
          <w:szCs w:val="20"/>
        </w:rPr>
        <w:t xml:space="preserve">, M. C., &amp; Gelderman, C. J. (2005). Purchasing strategies in the Kraljic matrix- A power and dependence perspective. </w:t>
      </w:r>
      <w:r>
        <w:rPr>
          <w:i/>
          <w:iCs/>
          <w:color w:val="000000"/>
          <w:sz w:val="20"/>
          <w:szCs w:val="20"/>
        </w:rPr>
        <w:t>Journal of Purchasing and Supply Management</w:t>
      </w:r>
      <w:r>
        <w:rPr>
          <w:color w:val="000000"/>
          <w:sz w:val="20"/>
          <w:szCs w:val="20"/>
        </w:rPr>
        <w:t>, 11(2-3), 141-155.</w:t>
      </w:r>
    </w:p>
    <w:p w14:paraId="2908434B"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Caniëls</w:t>
      </w:r>
      <w:proofErr w:type="spellEnd"/>
      <w:r>
        <w:rPr>
          <w:color w:val="000000"/>
          <w:sz w:val="20"/>
          <w:szCs w:val="20"/>
        </w:rPr>
        <w:t>, M. C., &amp; Gelderman, C. J. (2007). Power and interdependence in buyer supplier relationships: A purchasing portfolio approach.</w:t>
      </w:r>
      <w:r>
        <w:rPr>
          <w:i/>
          <w:iCs/>
          <w:color w:val="000000"/>
          <w:sz w:val="20"/>
          <w:szCs w:val="20"/>
        </w:rPr>
        <w:t xml:space="preserve"> Industrial marketing management</w:t>
      </w:r>
      <w:r>
        <w:rPr>
          <w:color w:val="000000"/>
          <w:sz w:val="20"/>
          <w:szCs w:val="20"/>
        </w:rPr>
        <w:t>, 36(2), 219-229.</w:t>
      </w:r>
    </w:p>
    <w:p w14:paraId="3D0A4CD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Carrasco, A., Francoeur, C., Labelle, R., </w:t>
      </w:r>
      <w:proofErr w:type="spellStart"/>
      <w:r>
        <w:rPr>
          <w:color w:val="000000"/>
          <w:sz w:val="20"/>
          <w:szCs w:val="20"/>
          <w:highlight w:val="white"/>
        </w:rPr>
        <w:t>Laffarga</w:t>
      </w:r>
      <w:proofErr w:type="spellEnd"/>
      <w:r>
        <w:rPr>
          <w:color w:val="000000"/>
          <w:sz w:val="20"/>
          <w:szCs w:val="20"/>
          <w:highlight w:val="white"/>
        </w:rPr>
        <w:t xml:space="preserve">, J., &amp; Ruiz-Barbadillo, E. (2015). Appointing women to boards: is there a cultural bias? </w:t>
      </w:r>
      <w:r>
        <w:rPr>
          <w:i/>
          <w:iCs/>
          <w:color w:val="000000"/>
          <w:sz w:val="20"/>
          <w:szCs w:val="20"/>
        </w:rPr>
        <w:t>Journal of Business Ethics</w:t>
      </w:r>
      <w:r>
        <w:rPr>
          <w:color w:val="000000"/>
          <w:sz w:val="20"/>
          <w:szCs w:val="20"/>
        </w:rPr>
        <w:t xml:space="preserve">, </w:t>
      </w:r>
      <w:r>
        <w:rPr>
          <w:i/>
          <w:iCs/>
          <w:color w:val="000000"/>
          <w:sz w:val="20"/>
          <w:szCs w:val="20"/>
        </w:rPr>
        <w:t>129</w:t>
      </w:r>
      <w:r>
        <w:rPr>
          <w:color w:val="000000"/>
          <w:sz w:val="20"/>
          <w:szCs w:val="20"/>
        </w:rPr>
        <w:t>, 429-444.</w:t>
      </w:r>
    </w:p>
    <w:p w14:paraId="4F31CD16"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Castillo-Castañeda, J., Tarazona-Lopez, B., Leon-Chavarri, C., &amp; Cardenas, L. (2021). Productivity Improvement of a Footwear Manufacturing Company Through Lean Tools. In Advances in Manufacturing, Production Management and Process Control: Proceedings of the AHFE 2021, July 25-29, 2021, USA (pp. 437-445). Springer International Publishing. </w:t>
      </w:r>
      <w:hyperlink r:id="rId18">
        <w:r w:rsidR="00957269">
          <w:rPr>
            <w:color w:val="1155CC"/>
            <w:sz w:val="20"/>
            <w:szCs w:val="20"/>
            <w:u w:val="single"/>
          </w:rPr>
          <w:t>https://doi.org/10.1007/978-3-030-80462-6_53</w:t>
        </w:r>
      </w:hyperlink>
      <w:r>
        <w:rPr>
          <w:sz w:val="20"/>
          <w:szCs w:val="20"/>
        </w:rPr>
        <w:t>.</w:t>
      </w:r>
    </w:p>
    <w:p w14:paraId="449592B1"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Cerchia, R. E., &amp; Piccolo, K. (2019). The ethical consumer and codes of ethics in the fashion industry. </w:t>
      </w:r>
      <w:r>
        <w:rPr>
          <w:i/>
          <w:iCs/>
          <w:color w:val="000000"/>
          <w:sz w:val="20"/>
          <w:szCs w:val="20"/>
        </w:rPr>
        <w:t>Laws</w:t>
      </w:r>
      <w:r>
        <w:rPr>
          <w:color w:val="000000"/>
          <w:sz w:val="20"/>
          <w:szCs w:val="20"/>
        </w:rPr>
        <w:t xml:space="preserve">, 8(4), 23. </w:t>
      </w:r>
      <w:hyperlink r:id="rId19">
        <w:r w:rsidR="00957269">
          <w:rPr>
            <w:color w:val="0000FF"/>
            <w:sz w:val="20"/>
            <w:szCs w:val="20"/>
            <w:u w:val="single"/>
          </w:rPr>
          <w:t>https://doi.org/10.3390/laws8040023</w:t>
        </w:r>
      </w:hyperlink>
    </w:p>
    <w:p w14:paraId="3929780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Childs, M., &amp; Jin, B. (2018). Nike: An innovation journey. </w:t>
      </w:r>
      <w:r>
        <w:rPr>
          <w:i/>
          <w:iCs/>
          <w:color w:val="000000"/>
          <w:sz w:val="20"/>
          <w:szCs w:val="20"/>
        </w:rPr>
        <w:t>Product innovation in the global fashion industry</w:t>
      </w:r>
      <w:r>
        <w:rPr>
          <w:color w:val="000000"/>
          <w:sz w:val="20"/>
          <w:szCs w:val="20"/>
        </w:rPr>
        <w:t xml:space="preserve"> (pp.79-111). Springer.</w:t>
      </w:r>
    </w:p>
    <w:p w14:paraId="06ED80D4" w14:textId="77777777" w:rsidR="00957269" w:rsidRDefault="00000000">
      <w:pPr>
        <w:pBdr>
          <w:top w:val="nil"/>
          <w:left w:val="nil"/>
          <w:bottom w:val="nil"/>
          <w:right w:val="nil"/>
          <w:between w:val="nil"/>
        </w:pBdr>
        <w:ind w:left="432" w:hanging="432"/>
        <w:jc w:val="both"/>
      </w:pPr>
      <w:r>
        <w:rPr>
          <w:color w:val="000000"/>
          <w:sz w:val="20"/>
          <w:szCs w:val="20"/>
        </w:rPr>
        <w:t xml:space="preserve">Chedid, F., </w:t>
      </w:r>
      <w:proofErr w:type="spellStart"/>
      <w:r>
        <w:rPr>
          <w:color w:val="000000"/>
          <w:sz w:val="20"/>
          <w:szCs w:val="20"/>
        </w:rPr>
        <w:t>Kocabasoglu</w:t>
      </w:r>
      <w:proofErr w:type="spellEnd"/>
      <w:r>
        <w:rPr>
          <w:color w:val="000000"/>
          <w:sz w:val="20"/>
          <w:szCs w:val="20"/>
        </w:rPr>
        <w:t xml:space="preserve">-Hillmer, C., &amp; Ries, J. M. (2021). The interaction between supply networks and internal networks: performance implications. </w:t>
      </w:r>
      <w:r>
        <w:rPr>
          <w:i/>
          <w:iCs/>
          <w:color w:val="000000"/>
          <w:sz w:val="20"/>
          <w:szCs w:val="20"/>
        </w:rPr>
        <w:t>International Journal of Operations and Production Management</w:t>
      </w:r>
      <w:r>
        <w:rPr>
          <w:color w:val="000000"/>
          <w:sz w:val="20"/>
          <w:szCs w:val="20"/>
        </w:rPr>
        <w:t>, 41(6), 860–881</w:t>
      </w:r>
      <w:r>
        <w:rPr>
          <w:sz w:val="20"/>
          <w:szCs w:val="20"/>
        </w:rPr>
        <w:t>.</w:t>
      </w:r>
      <w:r>
        <w:rPr>
          <w:color w:val="0000FF"/>
          <w:sz w:val="20"/>
          <w:szCs w:val="20"/>
          <w:u w:val="single"/>
        </w:rPr>
        <w:t xml:space="preserve"> </w:t>
      </w:r>
      <w:hyperlink r:id="rId20">
        <w:r w:rsidR="00957269">
          <w:rPr>
            <w:color w:val="0000FF"/>
            <w:sz w:val="20"/>
            <w:szCs w:val="20"/>
            <w:u w:val="single"/>
          </w:rPr>
          <w:t>https://doi.org/10.1108/IJOPM-10-2020-0710</w:t>
        </w:r>
      </w:hyperlink>
    </w:p>
    <w:p w14:paraId="6073FCE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lastRenderedPageBreak/>
        <w:t xml:space="preserve">Choi, T. Y., &amp; Krause, D. R. (2006). The supply base and its complexity: Implications for transaction costs, risks, responsiveness, and innovation. </w:t>
      </w:r>
      <w:r>
        <w:rPr>
          <w:i/>
          <w:iCs/>
          <w:color w:val="000000"/>
          <w:sz w:val="20"/>
          <w:szCs w:val="20"/>
        </w:rPr>
        <w:t>Journal of Operations Management,</w:t>
      </w:r>
      <w:r>
        <w:rPr>
          <w:color w:val="000000"/>
          <w:sz w:val="20"/>
          <w:szCs w:val="20"/>
        </w:rPr>
        <w:t xml:space="preserve"> 24(5), 637-652.</w:t>
      </w:r>
    </w:p>
    <w:p w14:paraId="5CBA63D0"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Connelly, B.L., Ketchen, D.J., Slater, S.F. (2011). Toward a “theoretical toolbox” for sustainability research in marketing. </w:t>
      </w:r>
      <w:r>
        <w:rPr>
          <w:i/>
          <w:iCs/>
          <w:color w:val="000000"/>
          <w:sz w:val="20"/>
          <w:szCs w:val="20"/>
        </w:rPr>
        <w:t>Journal of the Academy of Marketing Science</w:t>
      </w:r>
      <w:r>
        <w:rPr>
          <w:color w:val="000000"/>
          <w:sz w:val="20"/>
          <w:szCs w:val="20"/>
        </w:rPr>
        <w:t>, 39 (1), 86-100.</w:t>
      </w:r>
    </w:p>
    <w:p w14:paraId="7594155A"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Dai, R., Liang, H., &amp; Ng, L. (2021). Socially responsible corporate customers. </w:t>
      </w:r>
      <w:r>
        <w:rPr>
          <w:i/>
          <w:iCs/>
          <w:color w:val="000000"/>
          <w:sz w:val="20"/>
          <w:szCs w:val="20"/>
        </w:rPr>
        <w:t>Journal of Financial Economics</w:t>
      </w:r>
      <w:r>
        <w:rPr>
          <w:color w:val="000000"/>
          <w:sz w:val="20"/>
          <w:szCs w:val="20"/>
        </w:rPr>
        <w:t>, 142(2), 598–626.</w:t>
      </w:r>
    </w:p>
    <w:p w14:paraId="4D040206"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Damert, M., Baumgartner, R.J. (2018). External pressures or internal governance- what determines the extent of corporate responses to climate change? </w:t>
      </w:r>
      <w:r>
        <w:rPr>
          <w:i/>
          <w:iCs/>
          <w:color w:val="000000"/>
          <w:sz w:val="20"/>
          <w:szCs w:val="20"/>
        </w:rPr>
        <w:t>Corporate Social Responsibility &amp; Environmental Management</w:t>
      </w:r>
      <w:r>
        <w:rPr>
          <w:color w:val="000000"/>
          <w:sz w:val="20"/>
          <w:szCs w:val="20"/>
        </w:rPr>
        <w:t>, 25 (4), 473-488.</w:t>
      </w:r>
    </w:p>
    <w:p w14:paraId="2DCE826A"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Davis, L. S., &amp; Williamson, C. R. (2019). Does individualism promote gender equality? World Development, 123, 104627.</w:t>
      </w:r>
    </w:p>
    <w:p w14:paraId="666DD500"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Delbufalo</w:t>
      </w:r>
      <w:proofErr w:type="spellEnd"/>
      <w:r>
        <w:rPr>
          <w:color w:val="000000"/>
          <w:sz w:val="20"/>
          <w:szCs w:val="20"/>
        </w:rPr>
        <w:t xml:space="preserve">, E. (2022). Disentangling the multifaceted effects of supply base complexity on supply chain agility and resilience. </w:t>
      </w:r>
      <w:r>
        <w:rPr>
          <w:i/>
          <w:iCs/>
          <w:color w:val="000000"/>
          <w:sz w:val="20"/>
          <w:szCs w:val="20"/>
        </w:rPr>
        <w:t>International Journal of Physical Distribution &amp; Logistics Management</w:t>
      </w:r>
      <w:r>
        <w:rPr>
          <w:color w:val="000000"/>
          <w:sz w:val="20"/>
          <w:szCs w:val="20"/>
        </w:rPr>
        <w:t>, 52(8), 700-721.</w:t>
      </w:r>
    </w:p>
    <w:p w14:paraId="1E915F8E"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Deutsch, M. (1975). ‘Equity, Equality, and Need: What Determines Which Value Will Be Used as the Basis of Distributive Justice?’, </w:t>
      </w:r>
      <w:r>
        <w:rPr>
          <w:i/>
          <w:iCs/>
          <w:color w:val="000000"/>
          <w:sz w:val="20"/>
          <w:szCs w:val="20"/>
        </w:rPr>
        <w:t>Journal of Social Issues</w:t>
      </w:r>
      <w:r>
        <w:rPr>
          <w:color w:val="000000"/>
          <w:sz w:val="20"/>
          <w:szCs w:val="20"/>
        </w:rPr>
        <w:t>, 31(3), 137-149</w:t>
      </w:r>
    </w:p>
    <w:p w14:paraId="4A0B9C6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Dong, Y., Skowronski, K., Song, S., Venkataraman, S., &amp; Zou, F. (2020). Supply base innovation and firm financial performance. </w:t>
      </w:r>
      <w:r>
        <w:rPr>
          <w:i/>
          <w:iCs/>
          <w:color w:val="000000"/>
          <w:sz w:val="20"/>
          <w:szCs w:val="20"/>
        </w:rPr>
        <w:t>Journal of Operations Management</w:t>
      </w:r>
      <w:r>
        <w:rPr>
          <w:color w:val="000000"/>
          <w:sz w:val="20"/>
          <w:szCs w:val="20"/>
        </w:rPr>
        <w:t>, 66(7-8), 768-796</w:t>
      </w:r>
    </w:p>
    <w:p w14:paraId="3A7C291C"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Doorey, D. J. (2011). The transparent supply chain: From resistance to implementation at Nike and Levi–Strauss. </w:t>
      </w:r>
      <w:r>
        <w:rPr>
          <w:i/>
          <w:iCs/>
          <w:color w:val="000000"/>
          <w:sz w:val="20"/>
          <w:szCs w:val="20"/>
        </w:rPr>
        <w:t>Journal of Business Ethics</w:t>
      </w:r>
      <w:r>
        <w:rPr>
          <w:color w:val="000000"/>
          <w:sz w:val="20"/>
          <w:szCs w:val="20"/>
        </w:rPr>
        <w:t>, 103, 587–603.</w:t>
      </w:r>
    </w:p>
    <w:p w14:paraId="4841DD2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Dutta, N., Giddings, L., &amp; Sobel, R. S. (2022). Does trust always help gender role attitudes? The role of individualism and collectivism. </w:t>
      </w:r>
      <w:r>
        <w:rPr>
          <w:i/>
          <w:iCs/>
          <w:color w:val="000000"/>
          <w:sz w:val="20"/>
          <w:szCs w:val="20"/>
        </w:rPr>
        <w:t>Social Indicators Research</w:t>
      </w:r>
      <w:r>
        <w:rPr>
          <w:color w:val="000000"/>
          <w:sz w:val="20"/>
          <w:szCs w:val="20"/>
        </w:rPr>
        <w:t>, 1-30.</w:t>
      </w:r>
    </w:p>
    <w:p w14:paraId="21CE140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Elking, I., Paraskevas, J. P., Grimm, C., Corsi, T., &amp; Steven, A. (2017). Financial Dependence, Lean Inventory Strategy, and Firm Performance. </w:t>
      </w:r>
      <w:r>
        <w:rPr>
          <w:i/>
          <w:iCs/>
          <w:color w:val="000000"/>
          <w:sz w:val="20"/>
          <w:szCs w:val="20"/>
        </w:rPr>
        <w:t>Journal of Supply Chain Management</w:t>
      </w:r>
      <w:r>
        <w:rPr>
          <w:color w:val="000000"/>
          <w:sz w:val="20"/>
          <w:szCs w:val="20"/>
        </w:rPr>
        <w:t>, 53(2), 22-38.</w:t>
      </w:r>
    </w:p>
    <w:p w14:paraId="79E36233"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Emmelhainz</w:t>
      </w:r>
      <w:proofErr w:type="spellEnd"/>
      <w:r>
        <w:rPr>
          <w:color w:val="000000"/>
          <w:sz w:val="20"/>
          <w:szCs w:val="20"/>
        </w:rPr>
        <w:t xml:space="preserve">, M. A., &amp; Adams, R. J. (1999). The apparel industry response to “sweatshop” concerns: A review and analysis of codes of conduct. </w:t>
      </w:r>
      <w:r>
        <w:rPr>
          <w:i/>
          <w:iCs/>
          <w:color w:val="000000"/>
          <w:sz w:val="20"/>
          <w:szCs w:val="20"/>
        </w:rPr>
        <w:t>The Journal of Supply Chain Management</w:t>
      </w:r>
      <w:r>
        <w:rPr>
          <w:color w:val="000000"/>
          <w:sz w:val="20"/>
          <w:szCs w:val="20"/>
        </w:rPr>
        <w:t>, 35(3), 51-57.</w:t>
      </w:r>
    </w:p>
    <w:p w14:paraId="233B42ED"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Ethical Trading Initiative. (2023). </w:t>
      </w:r>
      <w:r>
        <w:rPr>
          <w:i/>
          <w:iCs/>
          <w:color w:val="000000"/>
          <w:sz w:val="20"/>
          <w:szCs w:val="20"/>
        </w:rPr>
        <w:t>Where are the women?</w:t>
      </w:r>
      <w:r>
        <w:rPr>
          <w:color w:val="000000"/>
          <w:sz w:val="20"/>
          <w:szCs w:val="20"/>
        </w:rPr>
        <w:t xml:space="preserve"> Retrieved August 6, 2024, from </w:t>
      </w:r>
      <w:r>
        <w:rPr>
          <w:sz w:val="20"/>
          <w:szCs w:val="20"/>
        </w:rPr>
        <w:t>https://www.ethicaltrade.org/sites/default/files/shared_resources/ETI_GIZ%20Study%20on%20Women%20Workers.pdf</w:t>
      </w:r>
    </w:p>
    <w:p w14:paraId="33835670"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Egels</w:t>
      </w:r>
      <w:proofErr w:type="spellEnd"/>
      <w:r>
        <w:rPr>
          <w:color w:val="000000"/>
          <w:sz w:val="20"/>
          <w:szCs w:val="20"/>
        </w:rPr>
        <w:t xml:space="preserve">-Zandén, N. (2014). Revisiting supplier compliance with MNC codes of conduct: Recoupling policy and practice at Chinese toy suppliers. </w:t>
      </w:r>
      <w:r>
        <w:rPr>
          <w:i/>
          <w:iCs/>
          <w:color w:val="000000"/>
          <w:sz w:val="20"/>
          <w:szCs w:val="20"/>
        </w:rPr>
        <w:t>Journal of Business Ethics</w:t>
      </w:r>
      <w:r>
        <w:rPr>
          <w:color w:val="000000"/>
          <w:sz w:val="20"/>
          <w:szCs w:val="20"/>
        </w:rPr>
        <w:t>, 119, 59-75.</w:t>
      </w:r>
    </w:p>
    <w:p w14:paraId="5097E672" w14:textId="77777777" w:rsidR="00957269" w:rsidRDefault="00000000">
      <w:pPr>
        <w:pBdr>
          <w:top w:val="nil"/>
          <w:left w:val="nil"/>
          <w:bottom w:val="nil"/>
          <w:right w:val="nil"/>
          <w:between w:val="nil"/>
        </w:pBdr>
        <w:ind w:left="432" w:hanging="432"/>
        <w:jc w:val="both"/>
        <w:rPr>
          <w:sz w:val="20"/>
          <w:szCs w:val="20"/>
        </w:rPr>
      </w:pPr>
      <w:proofErr w:type="spellStart"/>
      <w:r>
        <w:rPr>
          <w:color w:val="000000"/>
          <w:sz w:val="20"/>
          <w:szCs w:val="20"/>
          <w:highlight w:val="white"/>
        </w:rPr>
        <w:t>Egels</w:t>
      </w:r>
      <w:proofErr w:type="spellEnd"/>
      <w:r>
        <w:rPr>
          <w:color w:val="000000"/>
          <w:sz w:val="20"/>
          <w:szCs w:val="20"/>
          <w:highlight w:val="white"/>
        </w:rPr>
        <w:t xml:space="preserve">-Zandén, N., &amp; Merk, J. (2014). Private regulation and trade union rights: Why codes of conduct have limited impact on trade union rights. </w:t>
      </w:r>
      <w:r>
        <w:rPr>
          <w:i/>
          <w:iCs/>
          <w:color w:val="000000"/>
          <w:sz w:val="20"/>
          <w:szCs w:val="20"/>
        </w:rPr>
        <w:t>Journal of Business Ethics</w:t>
      </w:r>
      <w:r>
        <w:rPr>
          <w:color w:val="000000"/>
          <w:sz w:val="20"/>
          <w:szCs w:val="20"/>
        </w:rPr>
        <w:t xml:space="preserve">, </w:t>
      </w:r>
      <w:r>
        <w:rPr>
          <w:i/>
          <w:iCs/>
          <w:color w:val="000000"/>
          <w:sz w:val="20"/>
          <w:szCs w:val="20"/>
        </w:rPr>
        <w:t>123</w:t>
      </w:r>
      <w:r>
        <w:rPr>
          <w:color w:val="000000"/>
          <w:sz w:val="20"/>
          <w:szCs w:val="20"/>
        </w:rPr>
        <w:t>(3), 461-473.</w:t>
      </w:r>
    </w:p>
    <w:p w14:paraId="6E70827F" w14:textId="77777777" w:rsidR="00957269" w:rsidRDefault="00000000">
      <w:pPr>
        <w:ind w:left="432"/>
        <w:jc w:val="both"/>
        <w:rPr>
          <w:sz w:val="20"/>
          <w:szCs w:val="20"/>
        </w:rPr>
      </w:pPr>
      <w:r>
        <w:rPr>
          <w:sz w:val="20"/>
          <w:szCs w:val="20"/>
        </w:rPr>
        <w:t xml:space="preserve">Eriksson, D., &amp; Svensson, G. (2016). The process of responsibility, decoupling point, and disengagement of moral and social responsibility in supply chains: Empirical findings and prescriptive thoughts. </w:t>
      </w:r>
      <w:r>
        <w:rPr>
          <w:i/>
          <w:iCs/>
          <w:sz w:val="20"/>
          <w:szCs w:val="20"/>
        </w:rPr>
        <w:t>Journal of Business Ethics,</w:t>
      </w:r>
      <w:r>
        <w:rPr>
          <w:sz w:val="20"/>
          <w:szCs w:val="20"/>
        </w:rPr>
        <w:t xml:space="preserve"> </w:t>
      </w:r>
      <w:r>
        <w:rPr>
          <w:i/>
          <w:iCs/>
          <w:sz w:val="20"/>
          <w:szCs w:val="20"/>
        </w:rPr>
        <w:t>134</w:t>
      </w:r>
      <w:r>
        <w:rPr>
          <w:sz w:val="20"/>
          <w:szCs w:val="20"/>
        </w:rPr>
        <w:t>(2), 281-298.</w:t>
      </w:r>
    </w:p>
    <w:p w14:paraId="6D4B2F3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Frenkel, S.J., &amp; Scott, D. (2002). Compliance, collaboration, and codes of </w:t>
      </w:r>
      <w:proofErr w:type="spellStart"/>
      <w:r>
        <w:rPr>
          <w:color w:val="000000"/>
          <w:sz w:val="20"/>
          <w:szCs w:val="20"/>
        </w:rPr>
        <w:t>labor</w:t>
      </w:r>
      <w:proofErr w:type="spellEnd"/>
      <w:r>
        <w:rPr>
          <w:color w:val="000000"/>
          <w:sz w:val="20"/>
          <w:szCs w:val="20"/>
        </w:rPr>
        <w:t xml:space="preserve"> practice: The Adidas connection. </w:t>
      </w:r>
      <w:r>
        <w:rPr>
          <w:i/>
          <w:iCs/>
          <w:color w:val="000000"/>
          <w:sz w:val="20"/>
          <w:szCs w:val="20"/>
        </w:rPr>
        <w:t>California Management Review</w:t>
      </w:r>
      <w:r>
        <w:rPr>
          <w:color w:val="000000"/>
          <w:sz w:val="20"/>
          <w:szCs w:val="20"/>
        </w:rPr>
        <w:t>, 45(1), 29–49.</w:t>
      </w:r>
    </w:p>
    <w:p w14:paraId="785FD64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Frederick, S., Lopez-Acevedo, G., Robertson, R., &amp; Bahena, M. V. (2021). </w:t>
      </w:r>
      <w:r>
        <w:rPr>
          <w:i/>
          <w:iCs/>
          <w:color w:val="000000"/>
          <w:sz w:val="20"/>
          <w:szCs w:val="20"/>
        </w:rPr>
        <w:t>From jobs to careers: apparel exports and career paths for women in developing countries</w:t>
      </w:r>
      <w:r>
        <w:rPr>
          <w:color w:val="000000"/>
          <w:sz w:val="20"/>
          <w:szCs w:val="20"/>
        </w:rPr>
        <w:t>. World Bank Publications.</w:t>
      </w:r>
    </w:p>
    <w:p w14:paraId="0FAB6424"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Figlio, D., Giuliano, P., Özek, U., &amp; Sapienza, P. (2019). Long-term orientation and educational performance. </w:t>
      </w:r>
      <w:r>
        <w:rPr>
          <w:i/>
          <w:iCs/>
          <w:color w:val="000000"/>
          <w:sz w:val="20"/>
          <w:szCs w:val="20"/>
        </w:rPr>
        <w:t>American Economic Journal: Economic Policy,</w:t>
      </w:r>
      <w:r>
        <w:rPr>
          <w:color w:val="000000"/>
          <w:sz w:val="20"/>
          <w:szCs w:val="20"/>
        </w:rPr>
        <w:t xml:space="preserve"> 11(4), 272-309.</w:t>
      </w:r>
    </w:p>
    <w:p w14:paraId="3D2D7B8A"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Gazzola, P., </w:t>
      </w:r>
      <w:proofErr w:type="spellStart"/>
      <w:r>
        <w:rPr>
          <w:color w:val="000000"/>
          <w:sz w:val="20"/>
          <w:szCs w:val="20"/>
        </w:rPr>
        <w:t>Pavione</w:t>
      </w:r>
      <w:proofErr w:type="spellEnd"/>
      <w:r>
        <w:rPr>
          <w:color w:val="000000"/>
          <w:sz w:val="20"/>
          <w:szCs w:val="20"/>
        </w:rPr>
        <w:t xml:space="preserve">, E., Pezzetti, R., &amp; </w:t>
      </w:r>
      <w:proofErr w:type="spellStart"/>
      <w:r>
        <w:rPr>
          <w:color w:val="000000"/>
          <w:sz w:val="20"/>
          <w:szCs w:val="20"/>
        </w:rPr>
        <w:t>Grechi</w:t>
      </w:r>
      <w:proofErr w:type="spellEnd"/>
      <w:r>
        <w:rPr>
          <w:color w:val="000000"/>
          <w:sz w:val="20"/>
          <w:szCs w:val="20"/>
        </w:rPr>
        <w:t xml:space="preserve">, D. (2020). Trends in the fashion industry. The perception of sustainability and circular economy: A gender/generation quantitative approach. </w:t>
      </w:r>
      <w:r>
        <w:rPr>
          <w:i/>
          <w:iCs/>
          <w:color w:val="000000"/>
          <w:sz w:val="20"/>
          <w:szCs w:val="20"/>
        </w:rPr>
        <w:t>Sustainability</w:t>
      </w:r>
      <w:r>
        <w:rPr>
          <w:color w:val="000000"/>
          <w:sz w:val="20"/>
          <w:szCs w:val="20"/>
        </w:rPr>
        <w:t xml:space="preserve">, 12(7), 2809. </w:t>
      </w:r>
      <w:hyperlink r:id="rId21">
        <w:r w:rsidR="00957269">
          <w:rPr>
            <w:color w:val="1155CC"/>
            <w:sz w:val="20"/>
            <w:szCs w:val="20"/>
            <w:u w:val="single"/>
          </w:rPr>
          <w:t>https://doi.org/10.3390/su12072809</w:t>
        </w:r>
      </w:hyperlink>
    </w:p>
    <w:p w14:paraId="14E93B65"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Galor, O., &amp; </w:t>
      </w:r>
      <w:proofErr w:type="spellStart"/>
      <w:r>
        <w:rPr>
          <w:color w:val="000000"/>
          <w:sz w:val="20"/>
          <w:szCs w:val="20"/>
        </w:rPr>
        <w:t>Ozak</w:t>
      </w:r>
      <w:proofErr w:type="spellEnd"/>
      <w:r>
        <w:rPr>
          <w:color w:val="000000"/>
          <w:sz w:val="20"/>
          <w:szCs w:val="20"/>
        </w:rPr>
        <w:t xml:space="preserve">, O. (2016). “The Agricultural Origins of Time Preference.” </w:t>
      </w:r>
      <w:r>
        <w:rPr>
          <w:i/>
          <w:iCs/>
          <w:color w:val="000000"/>
          <w:sz w:val="20"/>
          <w:szCs w:val="20"/>
        </w:rPr>
        <w:t>American Economic Review,</w:t>
      </w:r>
      <w:r>
        <w:rPr>
          <w:color w:val="000000"/>
          <w:sz w:val="20"/>
          <w:szCs w:val="20"/>
        </w:rPr>
        <w:t xml:space="preserve"> 106(10), 3064-3103.</w:t>
      </w:r>
    </w:p>
    <w:p w14:paraId="5298587F"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Grosvold</w:t>
      </w:r>
      <w:proofErr w:type="spellEnd"/>
      <w:r>
        <w:rPr>
          <w:color w:val="000000"/>
          <w:sz w:val="20"/>
          <w:szCs w:val="20"/>
        </w:rPr>
        <w:t xml:space="preserve">, J. (2011). National Institutional Systems as Antecedents of Female Board Representation: An Empirical Study. </w:t>
      </w:r>
      <w:r>
        <w:rPr>
          <w:i/>
          <w:iCs/>
          <w:color w:val="000000"/>
          <w:sz w:val="20"/>
          <w:szCs w:val="20"/>
        </w:rPr>
        <w:t>Corporate Governance: An International Review,</w:t>
      </w:r>
      <w:r>
        <w:rPr>
          <w:color w:val="000000"/>
          <w:sz w:val="20"/>
          <w:szCs w:val="20"/>
        </w:rPr>
        <w:t xml:space="preserve"> 19(2), 116-135.</w:t>
      </w:r>
    </w:p>
    <w:p w14:paraId="3987F2ED"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Gupta, V. K., &amp; Sulaiman, M. (2015). The Impact of Individualism-Collectivism on Women’s Entrepreneurial Intentions: A Multi-Country Study. </w:t>
      </w:r>
      <w:r>
        <w:rPr>
          <w:i/>
          <w:iCs/>
          <w:color w:val="000000"/>
          <w:sz w:val="20"/>
          <w:szCs w:val="20"/>
        </w:rPr>
        <w:t xml:space="preserve">International Journal of Entrepreneurial </w:t>
      </w:r>
      <w:proofErr w:type="spellStart"/>
      <w:r>
        <w:rPr>
          <w:i/>
          <w:iCs/>
          <w:color w:val="000000"/>
          <w:sz w:val="20"/>
          <w:szCs w:val="20"/>
        </w:rPr>
        <w:t>Behavior</w:t>
      </w:r>
      <w:proofErr w:type="spellEnd"/>
      <w:r>
        <w:rPr>
          <w:i/>
          <w:iCs/>
          <w:color w:val="000000"/>
          <w:sz w:val="20"/>
          <w:szCs w:val="20"/>
        </w:rPr>
        <w:t xml:space="preserve"> &amp; Research, </w:t>
      </w:r>
      <w:r>
        <w:rPr>
          <w:color w:val="000000"/>
          <w:sz w:val="20"/>
          <w:szCs w:val="20"/>
        </w:rPr>
        <w:t>21(3), 364-381.</w:t>
      </w:r>
    </w:p>
    <w:p w14:paraId="2F7F526E"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Grosser, K., &amp; Moon, J. (2005). “Gender Mainstreaming and Corporate Social Responsibility: Reporting Workplace Issues.” </w:t>
      </w:r>
      <w:r>
        <w:rPr>
          <w:i/>
          <w:iCs/>
          <w:color w:val="000000"/>
          <w:sz w:val="20"/>
          <w:szCs w:val="20"/>
        </w:rPr>
        <w:t>Journal of Business Ethics</w:t>
      </w:r>
      <w:r>
        <w:rPr>
          <w:color w:val="000000"/>
          <w:sz w:val="20"/>
          <w:szCs w:val="20"/>
        </w:rPr>
        <w:t>, 62(4), 327-340.</w:t>
      </w:r>
    </w:p>
    <w:p w14:paraId="428A01C1"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Graafland</w:t>
      </w:r>
      <w:proofErr w:type="spellEnd"/>
      <w:r>
        <w:rPr>
          <w:color w:val="000000"/>
          <w:sz w:val="20"/>
          <w:szCs w:val="20"/>
        </w:rPr>
        <w:t xml:space="preserve">, J. (2020). When does economic freedom promote well being? On the moderating role of long-term orientation. </w:t>
      </w:r>
      <w:r>
        <w:rPr>
          <w:i/>
          <w:iCs/>
          <w:color w:val="000000"/>
          <w:sz w:val="20"/>
          <w:szCs w:val="20"/>
        </w:rPr>
        <w:t>Social Indicators Research,</w:t>
      </w:r>
      <w:r>
        <w:rPr>
          <w:color w:val="000000"/>
          <w:sz w:val="20"/>
          <w:szCs w:val="20"/>
        </w:rPr>
        <w:t xml:space="preserve"> 149(1), 127-153.</w:t>
      </w:r>
    </w:p>
    <w:p w14:paraId="4372210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Grimm, J. H., Hofstetter, J. S., &amp; Sarkis, J. (2016). Exploring </w:t>
      </w:r>
      <w:proofErr w:type="spellStart"/>
      <w:r>
        <w:rPr>
          <w:color w:val="000000"/>
          <w:sz w:val="20"/>
          <w:szCs w:val="20"/>
        </w:rPr>
        <w:t>subsuppliers</w:t>
      </w:r>
      <w:proofErr w:type="spellEnd"/>
      <w:r>
        <w:rPr>
          <w:color w:val="000000"/>
          <w:sz w:val="20"/>
          <w:szCs w:val="20"/>
        </w:rPr>
        <w:t xml:space="preserve">’ compliance with corporate sustainability standards. </w:t>
      </w:r>
      <w:r>
        <w:rPr>
          <w:i/>
          <w:iCs/>
          <w:color w:val="000000"/>
          <w:sz w:val="20"/>
          <w:szCs w:val="20"/>
        </w:rPr>
        <w:t>Journal of Cleaner Production</w:t>
      </w:r>
      <w:r>
        <w:rPr>
          <w:color w:val="000000"/>
          <w:sz w:val="20"/>
          <w:szCs w:val="20"/>
        </w:rPr>
        <w:t>, 112, 1971–1984.</w:t>
      </w:r>
    </w:p>
    <w:p w14:paraId="0C68FFAE"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Heath, J. (2006). Business Ethics without Stakeholders, </w:t>
      </w:r>
      <w:r>
        <w:rPr>
          <w:i/>
          <w:iCs/>
          <w:color w:val="000000"/>
          <w:sz w:val="20"/>
          <w:szCs w:val="20"/>
        </w:rPr>
        <w:t>Journal of Business Ethics</w:t>
      </w:r>
      <w:r>
        <w:rPr>
          <w:color w:val="000000"/>
          <w:sz w:val="20"/>
          <w:szCs w:val="20"/>
        </w:rPr>
        <w:t>, 66(4), 533–557.</w:t>
      </w:r>
    </w:p>
    <w:p w14:paraId="3325614C"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Hsieh, N., Toffel, M., &amp; Hull, O. (2019). "Global Sourcing at Nike." Harvard Business School Case 619-008, March 2019.</w:t>
      </w:r>
    </w:p>
    <w:p w14:paraId="3C12651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lastRenderedPageBreak/>
        <w:t xml:space="preserve">Hofstede, G. (2001). </w:t>
      </w:r>
      <w:r>
        <w:rPr>
          <w:i/>
          <w:iCs/>
          <w:color w:val="000000"/>
          <w:sz w:val="20"/>
          <w:szCs w:val="20"/>
        </w:rPr>
        <w:t xml:space="preserve">Culture's consequences: Comparing values, </w:t>
      </w:r>
      <w:proofErr w:type="spellStart"/>
      <w:r>
        <w:rPr>
          <w:i/>
          <w:iCs/>
          <w:color w:val="000000"/>
          <w:sz w:val="20"/>
          <w:szCs w:val="20"/>
        </w:rPr>
        <w:t>behaviors</w:t>
      </w:r>
      <w:proofErr w:type="spellEnd"/>
      <w:r>
        <w:rPr>
          <w:i/>
          <w:iCs/>
          <w:color w:val="000000"/>
          <w:sz w:val="20"/>
          <w:szCs w:val="20"/>
        </w:rPr>
        <w:t>, institutions and organizations across nations</w:t>
      </w:r>
      <w:r>
        <w:rPr>
          <w:color w:val="000000"/>
          <w:sz w:val="20"/>
          <w:szCs w:val="20"/>
        </w:rPr>
        <w:t>. Sage publications.</w:t>
      </w:r>
    </w:p>
    <w:p w14:paraId="28BD244F"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Hofstede, G., Hofstede, G. J., &amp; Minkov, M. (2010). </w:t>
      </w:r>
      <w:r>
        <w:rPr>
          <w:i/>
          <w:iCs/>
          <w:color w:val="000000"/>
          <w:sz w:val="20"/>
          <w:szCs w:val="20"/>
        </w:rPr>
        <w:t xml:space="preserve">Cultures and Organizations: Software of the Mind (3rd ed.). </w:t>
      </w:r>
      <w:r>
        <w:rPr>
          <w:color w:val="000000"/>
          <w:sz w:val="20"/>
          <w:szCs w:val="20"/>
        </w:rPr>
        <w:t>McGraw-Hill.</w:t>
      </w:r>
    </w:p>
    <w:p w14:paraId="7B26B553"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Hofstede, G., &amp; Minkov, M. (2010). Long-versus short-term orientation: new perspectives. </w:t>
      </w:r>
      <w:r>
        <w:rPr>
          <w:i/>
          <w:iCs/>
          <w:color w:val="000000"/>
          <w:sz w:val="20"/>
          <w:szCs w:val="20"/>
        </w:rPr>
        <w:t xml:space="preserve">Asia Pacific business review, </w:t>
      </w:r>
      <w:r>
        <w:rPr>
          <w:color w:val="000000"/>
          <w:sz w:val="20"/>
          <w:szCs w:val="20"/>
        </w:rPr>
        <w:t>16(4), 493-504.</w:t>
      </w:r>
    </w:p>
    <w:p w14:paraId="17072E10" w14:textId="77777777" w:rsidR="00957269" w:rsidRPr="00AF137A" w:rsidRDefault="00000000">
      <w:pPr>
        <w:pBdr>
          <w:top w:val="nil"/>
          <w:left w:val="nil"/>
          <w:bottom w:val="nil"/>
          <w:right w:val="nil"/>
          <w:between w:val="nil"/>
        </w:pBdr>
        <w:ind w:left="432" w:hanging="432"/>
        <w:jc w:val="both"/>
        <w:rPr>
          <w:color w:val="000000"/>
          <w:sz w:val="20"/>
          <w:szCs w:val="20"/>
          <w:lang w:val="es-ES"/>
        </w:rPr>
      </w:pPr>
      <w:proofErr w:type="spellStart"/>
      <w:r>
        <w:rPr>
          <w:color w:val="000000"/>
          <w:sz w:val="20"/>
          <w:szCs w:val="20"/>
        </w:rPr>
        <w:t>Hundschell</w:t>
      </w:r>
      <w:proofErr w:type="spellEnd"/>
      <w:r>
        <w:rPr>
          <w:color w:val="000000"/>
          <w:sz w:val="20"/>
          <w:szCs w:val="20"/>
        </w:rPr>
        <w:t xml:space="preserve">, A., </w:t>
      </w:r>
      <w:proofErr w:type="spellStart"/>
      <w:r>
        <w:rPr>
          <w:color w:val="000000"/>
          <w:sz w:val="20"/>
          <w:szCs w:val="20"/>
        </w:rPr>
        <w:t>Razinskas</w:t>
      </w:r>
      <w:proofErr w:type="spellEnd"/>
      <w:r>
        <w:rPr>
          <w:color w:val="000000"/>
          <w:sz w:val="20"/>
          <w:szCs w:val="20"/>
        </w:rPr>
        <w:t xml:space="preserve">, S., Backmann, J., &amp; </w:t>
      </w:r>
      <w:proofErr w:type="spellStart"/>
      <w:r>
        <w:rPr>
          <w:color w:val="000000"/>
          <w:sz w:val="20"/>
          <w:szCs w:val="20"/>
        </w:rPr>
        <w:t>Hoegl</w:t>
      </w:r>
      <w:proofErr w:type="spellEnd"/>
      <w:r>
        <w:rPr>
          <w:color w:val="000000"/>
          <w:sz w:val="20"/>
          <w:szCs w:val="20"/>
        </w:rPr>
        <w:t xml:space="preserve">, M. (2022). The effects of diversity on creativity: A literature review and synthesis. </w:t>
      </w:r>
      <w:proofErr w:type="spellStart"/>
      <w:r w:rsidRPr="00AF137A">
        <w:rPr>
          <w:i/>
          <w:iCs/>
          <w:color w:val="000000"/>
          <w:sz w:val="20"/>
          <w:szCs w:val="20"/>
          <w:lang w:val="es-ES"/>
        </w:rPr>
        <w:t>Applied</w:t>
      </w:r>
      <w:proofErr w:type="spellEnd"/>
      <w:r w:rsidRPr="00AF137A">
        <w:rPr>
          <w:i/>
          <w:iCs/>
          <w:color w:val="000000"/>
          <w:sz w:val="20"/>
          <w:szCs w:val="20"/>
          <w:lang w:val="es-ES"/>
        </w:rPr>
        <w:t xml:space="preserve"> </w:t>
      </w:r>
      <w:proofErr w:type="spellStart"/>
      <w:r w:rsidRPr="00AF137A">
        <w:rPr>
          <w:i/>
          <w:iCs/>
          <w:color w:val="000000"/>
          <w:sz w:val="20"/>
          <w:szCs w:val="20"/>
          <w:lang w:val="es-ES"/>
        </w:rPr>
        <w:t>Psychology</w:t>
      </w:r>
      <w:proofErr w:type="spellEnd"/>
      <w:r w:rsidRPr="00AF137A">
        <w:rPr>
          <w:color w:val="000000"/>
          <w:sz w:val="20"/>
          <w:szCs w:val="20"/>
          <w:lang w:val="es-ES"/>
        </w:rPr>
        <w:t>, 71(4), 1598-1634.</w:t>
      </w:r>
    </w:p>
    <w:p w14:paraId="097EC780" w14:textId="77777777" w:rsidR="00957269" w:rsidRDefault="00000000">
      <w:pPr>
        <w:pBdr>
          <w:top w:val="nil"/>
          <w:left w:val="nil"/>
          <w:bottom w:val="nil"/>
          <w:right w:val="nil"/>
          <w:between w:val="nil"/>
        </w:pBdr>
        <w:ind w:left="432" w:hanging="432"/>
        <w:jc w:val="both"/>
        <w:rPr>
          <w:color w:val="000000"/>
          <w:sz w:val="20"/>
          <w:szCs w:val="20"/>
        </w:rPr>
      </w:pPr>
      <w:r w:rsidRPr="00AF137A">
        <w:rPr>
          <w:color w:val="000000"/>
          <w:sz w:val="20"/>
          <w:szCs w:val="20"/>
          <w:lang w:val="es-ES"/>
        </w:rPr>
        <w:t xml:space="preserve">Hernández‐Espallardo, M., Rodríguez‐Orejuela, A., &amp; Sánchez‐Pérez, M. (2010). </w:t>
      </w:r>
      <w:r>
        <w:rPr>
          <w:color w:val="000000"/>
          <w:sz w:val="20"/>
          <w:szCs w:val="20"/>
        </w:rPr>
        <w:t xml:space="preserve">Inter‐organizational governance, learning and performance in supply chains. </w:t>
      </w:r>
      <w:r>
        <w:rPr>
          <w:i/>
          <w:iCs/>
          <w:color w:val="000000"/>
          <w:sz w:val="20"/>
          <w:szCs w:val="20"/>
        </w:rPr>
        <w:t>Supply Chain Management: An International Journal,</w:t>
      </w:r>
      <w:r>
        <w:rPr>
          <w:color w:val="000000"/>
          <w:sz w:val="20"/>
          <w:szCs w:val="20"/>
        </w:rPr>
        <w:t xml:space="preserve"> 15(2), 101-114.</w:t>
      </w:r>
    </w:p>
    <w:p w14:paraId="5FB8290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Hendricks, K. B., Singhal, V. R., &amp; Zhang, R. (2009). The Effect of Operational Slack, Diversification, and Vertical Relatedness on the Stock Market Reaction to Supply Chain Disruptions. </w:t>
      </w:r>
      <w:r>
        <w:rPr>
          <w:i/>
          <w:iCs/>
          <w:color w:val="000000"/>
          <w:sz w:val="20"/>
          <w:szCs w:val="20"/>
        </w:rPr>
        <w:t xml:space="preserve">Journal of Operations Management </w:t>
      </w:r>
      <w:r>
        <w:rPr>
          <w:color w:val="000000"/>
          <w:sz w:val="20"/>
          <w:szCs w:val="20"/>
        </w:rPr>
        <w:t>27 (3): 233–246.</w:t>
      </w:r>
    </w:p>
    <w:p w14:paraId="3709EB5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House, R. J., Hanges, P. J., Javidan, M., Dorfman, P. W., &amp; Gupta, V. (2004). </w:t>
      </w:r>
      <w:r>
        <w:rPr>
          <w:i/>
          <w:iCs/>
          <w:color w:val="000000"/>
          <w:sz w:val="20"/>
          <w:szCs w:val="20"/>
        </w:rPr>
        <w:t>Culture, leadership, and organizations: The GLOBE study of 62 societies</w:t>
      </w:r>
      <w:r>
        <w:rPr>
          <w:color w:val="000000"/>
          <w:sz w:val="20"/>
          <w:szCs w:val="20"/>
        </w:rPr>
        <w:t>. Cambridge: Sage Publications.</w:t>
      </w:r>
    </w:p>
    <w:p w14:paraId="129682F6"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Hrivíková, T. (2020). Consequences of gender conceptualizations in cultural context. </w:t>
      </w:r>
      <w:r>
        <w:rPr>
          <w:i/>
          <w:iCs/>
          <w:color w:val="000000"/>
          <w:sz w:val="20"/>
          <w:szCs w:val="20"/>
        </w:rPr>
        <w:t>Economic Review</w:t>
      </w:r>
      <w:r>
        <w:rPr>
          <w:color w:val="000000"/>
          <w:sz w:val="20"/>
          <w:szCs w:val="20"/>
        </w:rPr>
        <w:t>, 49(3), 318-342.</w:t>
      </w:r>
    </w:p>
    <w:p w14:paraId="332AD1BD" w14:textId="77777777" w:rsidR="00957269" w:rsidRDefault="00000000">
      <w:pPr>
        <w:pBdr>
          <w:top w:val="nil"/>
          <w:left w:val="nil"/>
          <w:bottom w:val="nil"/>
          <w:right w:val="nil"/>
          <w:between w:val="nil"/>
        </w:pBdr>
        <w:ind w:left="432" w:hanging="432"/>
        <w:jc w:val="both"/>
      </w:pPr>
      <w:r>
        <w:rPr>
          <w:color w:val="000000"/>
          <w:sz w:val="20"/>
          <w:szCs w:val="20"/>
        </w:rPr>
        <w:t xml:space="preserve">ILO (2023). </w:t>
      </w:r>
      <w:r>
        <w:rPr>
          <w:i/>
          <w:iCs/>
          <w:color w:val="000000"/>
          <w:sz w:val="20"/>
          <w:szCs w:val="20"/>
        </w:rPr>
        <w:t>How to achieve gender equality in global garment supply chains</w:t>
      </w:r>
      <w:r>
        <w:rPr>
          <w:color w:val="000000"/>
          <w:sz w:val="20"/>
          <w:szCs w:val="20"/>
        </w:rPr>
        <w:t xml:space="preserve">. Retrieved January 5, 2024, from </w:t>
      </w:r>
      <w:hyperlink r:id="rId22" w:anchor="introduction">
        <w:r w:rsidR="00957269">
          <w:rPr>
            <w:color w:val="0000FF"/>
            <w:sz w:val="20"/>
            <w:szCs w:val="20"/>
            <w:u w:val="single"/>
          </w:rPr>
          <w:t>https://www.ilo.org/infostories/en-GB/Stories/discrimination/garment-gender#introduction</w:t>
        </w:r>
      </w:hyperlink>
    </w:p>
    <w:p w14:paraId="0CBD063F" w14:textId="77777777" w:rsidR="00957269" w:rsidRDefault="00000000">
      <w:pPr>
        <w:pBdr>
          <w:top w:val="nil"/>
          <w:left w:val="nil"/>
          <w:bottom w:val="nil"/>
          <w:right w:val="nil"/>
          <w:between w:val="nil"/>
        </w:pBdr>
        <w:ind w:left="432" w:hanging="432"/>
        <w:jc w:val="both"/>
        <w:rPr>
          <w:color w:val="000000"/>
          <w:sz w:val="20"/>
          <w:szCs w:val="20"/>
        </w:rPr>
      </w:pPr>
      <w:r w:rsidRPr="00AF137A">
        <w:rPr>
          <w:color w:val="000000"/>
          <w:sz w:val="20"/>
          <w:szCs w:val="20"/>
          <w:lang w:val="es-ES"/>
        </w:rPr>
        <w:t xml:space="preserve">Jones, G., </w:t>
      </w:r>
      <w:hyperlink r:id="rId23">
        <w:r w:rsidR="00957269" w:rsidRPr="00AF137A">
          <w:rPr>
            <w:color w:val="000000"/>
            <w:sz w:val="20"/>
            <w:szCs w:val="20"/>
            <w:lang w:val="es-ES"/>
          </w:rPr>
          <w:t>Chirino Chace, B.</w:t>
        </w:r>
      </w:hyperlink>
      <w:r w:rsidRPr="00AF137A">
        <w:rPr>
          <w:color w:val="000000"/>
          <w:sz w:val="20"/>
          <w:szCs w:val="20"/>
          <w:lang w:val="es-ES"/>
        </w:rPr>
        <w:t xml:space="preserve"> </w:t>
      </w:r>
      <w:r>
        <w:rPr>
          <w:color w:val="000000"/>
          <w:sz w:val="20"/>
          <w:szCs w:val="20"/>
        </w:rPr>
        <w:t xml:space="preserve">&amp; </w:t>
      </w:r>
      <w:hyperlink r:id="rId24">
        <w:r w:rsidR="00957269">
          <w:rPr>
            <w:color w:val="000000"/>
            <w:sz w:val="20"/>
            <w:szCs w:val="20"/>
          </w:rPr>
          <w:t>Wright, J.</w:t>
        </w:r>
      </w:hyperlink>
      <w:r>
        <w:rPr>
          <w:color w:val="000000"/>
          <w:sz w:val="20"/>
          <w:szCs w:val="20"/>
        </w:rPr>
        <w:t xml:space="preserve"> (2020). Cultural diversity drives innovation: empowering teams for success. </w:t>
      </w:r>
      <w:hyperlink r:id="rId25">
        <w:r w:rsidR="00957269">
          <w:rPr>
            <w:i/>
            <w:iCs/>
            <w:color w:val="000000"/>
            <w:sz w:val="20"/>
            <w:szCs w:val="20"/>
          </w:rPr>
          <w:t>International Journal of Innovation Science</w:t>
        </w:r>
      </w:hyperlink>
      <w:r>
        <w:rPr>
          <w:color w:val="000000"/>
          <w:sz w:val="20"/>
          <w:szCs w:val="20"/>
        </w:rPr>
        <w:t>, 12(3), 323-343.</w:t>
      </w:r>
    </w:p>
    <w:p w14:paraId="4AA55669"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Kim, S., Wagner, S. M., &amp; </w:t>
      </w:r>
      <w:proofErr w:type="spellStart"/>
      <w:r>
        <w:rPr>
          <w:color w:val="000000"/>
          <w:sz w:val="20"/>
          <w:szCs w:val="20"/>
        </w:rPr>
        <w:t>Colicchia</w:t>
      </w:r>
      <w:proofErr w:type="spellEnd"/>
      <w:r>
        <w:rPr>
          <w:color w:val="000000"/>
          <w:sz w:val="20"/>
          <w:szCs w:val="20"/>
        </w:rPr>
        <w:t xml:space="preserve">, C. (2019). The impact of supplier sustainability risk on shareholder value. </w:t>
      </w:r>
      <w:r>
        <w:rPr>
          <w:i/>
          <w:iCs/>
          <w:color w:val="000000"/>
          <w:sz w:val="20"/>
          <w:szCs w:val="20"/>
        </w:rPr>
        <w:t>Journal of Supply Chain Management</w:t>
      </w:r>
      <w:r>
        <w:rPr>
          <w:color w:val="000000"/>
          <w:sz w:val="20"/>
          <w:szCs w:val="20"/>
        </w:rPr>
        <w:t>, 55(1), 71-87.</w:t>
      </w:r>
    </w:p>
    <w:p w14:paraId="43F0C479"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Kumar, C. &amp; Pandey, V. (2021). Access to Education and Gender Equality. In Leal Filho, W., Marisa Azul, A., Brandli, L., Lange Salvia, A., Wall, T. (Eds), </w:t>
      </w:r>
      <w:proofErr w:type="spellStart"/>
      <w:r>
        <w:rPr>
          <w:i/>
          <w:iCs/>
          <w:color w:val="000000"/>
          <w:sz w:val="20"/>
          <w:szCs w:val="20"/>
        </w:rPr>
        <w:t>Encyclopedia</w:t>
      </w:r>
      <w:proofErr w:type="spellEnd"/>
      <w:r>
        <w:rPr>
          <w:i/>
          <w:iCs/>
          <w:color w:val="000000"/>
          <w:sz w:val="20"/>
          <w:szCs w:val="20"/>
        </w:rPr>
        <w:t xml:space="preserve"> of the UN Sustainable Development Goals.</w:t>
      </w:r>
      <w:r>
        <w:rPr>
          <w:color w:val="000000"/>
          <w:sz w:val="20"/>
          <w:szCs w:val="20"/>
        </w:rPr>
        <w:t xml:space="preserve"> Springer, Cham. </w:t>
      </w:r>
    </w:p>
    <w:p w14:paraId="06AE36FE"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Konrad, A. M., Ritchie Jr, J. E., Lieb, P., &amp; Corrigall, E. (2000). Sex differences and similarities in job attribute preferences: a meta-analysis. </w:t>
      </w:r>
      <w:r>
        <w:rPr>
          <w:i/>
          <w:iCs/>
          <w:color w:val="000000"/>
          <w:sz w:val="20"/>
          <w:szCs w:val="20"/>
        </w:rPr>
        <w:t>Psychological bulletin</w:t>
      </w:r>
      <w:r>
        <w:rPr>
          <w:color w:val="000000"/>
          <w:sz w:val="20"/>
          <w:szCs w:val="20"/>
        </w:rPr>
        <w:t>, 126(4), 593.</w:t>
      </w:r>
    </w:p>
    <w:p w14:paraId="64806A5D" w14:textId="77777777" w:rsidR="00957269" w:rsidRDefault="00000000">
      <w:pPr>
        <w:pBdr>
          <w:top w:val="nil"/>
          <w:left w:val="nil"/>
          <w:bottom w:val="nil"/>
          <w:right w:val="nil"/>
          <w:between w:val="nil"/>
        </w:pBdr>
        <w:ind w:left="432" w:hanging="432"/>
        <w:jc w:val="both"/>
        <w:rPr>
          <w:color w:val="000000"/>
          <w:sz w:val="20"/>
          <w:szCs w:val="20"/>
          <w:highlight w:val="white"/>
        </w:rPr>
      </w:pPr>
      <w:r>
        <w:rPr>
          <w:color w:val="000000"/>
          <w:sz w:val="20"/>
          <w:szCs w:val="20"/>
          <w:highlight w:val="white"/>
        </w:rPr>
        <w:t xml:space="preserve">LeBaron, G., &amp; Lister, J. (2015). Benchmarking global supply chains: the power of the ‘ethical audit’ regime. </w:t>
      </w:r>
      <w:r>
        <w:rPr>
          <w:i/>
          <w:iCs/>
          <w:color w:val="000000"/>
          <w:sz w:val="20"/>
          <w:szCs w:val="20"/>
          <w:highlight w:val="white"/>
        </w:rPr>
        <w:t>Review of International Studies</w:t>
      </w:r>
      <w:r>
        <w:rPr>
          <w:color w:val="000000"/>
          <w:sz w:val="20"/>
          <w:szCs w:val="20"/>
          <w:highlight w:val="white"/>
        </w:rPr>
        <w:t xml:space="preserve">, </w:t>
      </w:r>
      <w:r>
        <w:rPr>
          <w:i/>
          <w:iCs/>
          <w:color w:val="000000"/>
          <w:sz w:val="20"/>
          <w:szCs w:val="20"/>
          <w:highlight w:val="white"/>
        </w:rPr>
        <w:t>41</w:t>
      </w:r>
      <w:r>
        <w:rPr>
          <w:color w:val="000000"/>
          <w:sz w:val="20"/>
          <w:szCs w:val="20"/>
          <w:highlight w:val="white"/>
        </w:rPr>
        <w:t>(5), 905-924.</w:t>
      </w:r>
    </w:p>
    <w:p w14:paraId="2D7D658D"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LeBaron, G., Lister, J., &amp; </w:t>
      </w:r>
      <w:proofErr w:type="spellStart"/>
      <w:r>
        <w:rPr>
          <w:color w:val="000000"/>
          <w:sz w:val="20"/>
          <w:szCs w:val="20"/>
          <w:highlight w:val="white"/>
        </w:rPr>
        <w:t>Dauvergne</w:t>
      </w:r>
      <w:proofErr w:type="spellEnd"/>
      <w:r>
        <w:rPr>
          <w:color w:val="000000"/>
          <w:sz w:val="20"/>
          <w:szCs w:val="20"/>
          <w:highlight w:val="white"/>
        </w:rPr>
        <w:t xml:space="preserve">, P. (2017). Governing global supply chain sustainability through the ethical audit regime. </w:t>
      </w:r>
      <w:r>
        <w:rPr>
          <w:i/>
          <w:iCs/>
          <w:color w:val="000000"/>
          <w:sz w:val="20"/>
          <w:szCs w:val="20"/>
        </w:rPr>
        <w:t>Globalizations, 14</w:t>
      </w:r>
      <w:r>
        <w:rPr>
          <w:color w:val="000000"/>
          <w:sz w:val="20"/>
          <w:szCs w:val="20"/>
        </w:rPr>
        <w:t>(6), 958-975.</w:t>
      </w:r>
    </w:p>
    <w:p w14:paraId="3EAD9E0D"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Lee, S.Y., Klassen, R.D., Furlan, A., &amp; Vinelli, A., (2014). The green bullwhip effect: transferring environmental requirements along a supply chain. </w:t>
      </w:r>
      <w:r>
        <w:rPr>
          <w:i/>
          <w:iCs/>
          <w:color w:val="000000"/>
          <w:sz w:val="20"/>
          <w:szCs w:val="20"/>
        </w:rPr>
        <w:t>International Journal of Production Economics</w:t>
      </w:r>
      <w:r>
        <w:rPr>
          <w:color w:val="000000"/>
          <w:sz w:val="20"/>
          <w:szCs w:val="20"/>
        </w:rPr>
        <w:t>, 156, 39-51.</w:t>
      </w:r>
    </w:p>
    <w:p w14:paraId="25952BAC"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Lee, S. H., </w:t>
      </w:r>
      <w:proofErr w:type="spellStart"/>
      <w:r>
        <w:rPr>
          <w:color w:val="000000"/>
          <w:sz w:val="20"/>
          <w:szCs w:val="20"/>
        </w:rPr>
        <w:t>Mellahi</w:t>
      </w:r>
      <w:proofErr w:type="spellEnd"/>
      <w:r>
        <w:rPr>
          <w:color w:val="000000"/>
          <w:sz w:val="20"/>
          <w:szCs w:val="20"/>
        </w:rPr>
        <w:t xml:space="preserve">, K., Mol, M. J., &amp; Pereira, V. (2020). No-size-fits-all: Collaborative governance as an alternative for addressing labour issues in global supply chains. </w:t>
      </w:r>
      <w:r>
        <w:rPr>
          <w:i/>
          <w:iCs/>
          <w:color w:val="000000"/>
          <w:sz w:val="20"/>
          <w:szCs w:val="20"/>
        </w:rPr>
        <w:t>Journal of Business Ethics</w:t>
      </w:r>
      <w:r>
        <w:rPr>
          <w:color w:val="000000"/>
          <w:sz w:val="20"/>
          <w:szCs w:val="20"/>
        </w:rPr>
        <w:t>, 162, 291-305.</w:t>
      </w:r>
    </w:p>
    <w:p w14:paraId="66B91BE1"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Lück, D. (2006). The impact of gender role attitudes on women’s life courses. In </w:t>
      </w:r>
      <w:r>
        <w:rPr>
          <w:i/>
          <w:iCs/>
          <w:color w:val="000000"/>
          <w:sz w:val="20"/>
          <w:szCs w:val="20"/>
        </w:rPr>
        <w:t>Globalization, Uncertainty and Women’s Careers</w:t>
      </w:r>
      <w:r>
        <w:rPr>
          <w:color w:val="000000"/>
          <w:sz w:val="20"/>
          <w:szCs w:val="20"/>
        </w:rPr>
        <w:t xml:space="preserve">. Edward Elgar Publishing. </w:t>
      </w:r>
    </w:p>
    <w:p w14:paraId="666F81FE" w14:textId="77777777" w:rsidR="00957269" w:rsidRDefault="00000000">
      <w:pPr>
        <w:pBdr>
          <w:top w:val="nil"/>
          <w:left w:val="nil"/>
          <w:bottom w:val="nil"/>
          <w:right w:val="nil"/>
          <w:between w:val="nil"/>
        </w:pBdr>
        <w:ind w:left="432" w:hanging="432"/>
        <w:jc w:val="both"/>
        <w:rPr>
          <w:color w:val="1155CC"/>
          <w:sz w:val="20"/>
          <w:szCs w:val="20"/>
          <w:u w:val="single"/>
        </w:rPr>
      </w:pPr>
      <w:r>
        <w:rPr>
          <w:color w:val="000000"/>
          <w:sz w:val="20"/>
          <w:szCs w:val="20"/>
        </w:rPr>
        <w:t>Leckie, G. (2013a). Cross-Classified Multilevel Models - Concepts. LEMMA</w:t>
      </w:r>
      <w:r>
        <w:rPr>
          <w:i/>
          <w:iCs/>
          <w:color w:val="000000"/>
          <w:sz w:val="20"/>
          <w:szCs w:val="20"/>
        </w:rPr>
        <w:t xml:space="preserve"> VLE </w:t>
      </w:r>
      <w:r>
        <w:rPr>
          <w:color w:val="000000"/>
          <w:sz w:val="20"/>
          <w:szCs w:val="20"/>
        </w:rPr>
        <w:t>Module</w:t>
      </w:r>
      <w:r>
        <w:rPr>
          <w:i/>
          <w:iCs/>
          <w:color w:val="000000"/>
          <w:sz w:val="20"/>
          <w:szCs w:val="20"/>
        </w:rPr>
        <w:t xml:space="preserve"> 12</w:t>
      </w:r>
      <w:r>
        <w:rPr>
          <w:color w:val="000000"/>
          <w:sz w:val="20"/>
          <w:szCs w:val="20"/>
        </w:rPr>
        <w:t xml:space="preserve">, 1-54. </w:t>
      </w:r>
      <w:hyperlink r:id="rId26">
        <w:r w:rsidR="00957269">
          <w:rPr>
            <w:color w:val="0000FF"/>
            <w:sz w:val="20"/>
            <w:szCs w:val="20"/>
            <w:u w:val="single"/>
          </w:rPr>
          <w:t>https://www.bristol.ac.uk/media-library/sites/cmm/migrated/documents/12-concepts-example.pdf</w:t>
        </w:r>
      </w:hyperlink>
    </w:p>
    <w:p w14:paraId="5EDAE5C2"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Leckie, G. (2013b). Cross-Classified Multilevel Models – Stata Practical. </w:t>
      </w:r>
      <w:r>
        <w:rPr>
          <w:i/>
          <w:iCs/>
          <w:color w:val="000000"/>
          <w:sz w:val="20"/>
          <w:szCs w:val="20"/>
        </w:rPr>
        <w:t>LEMMA VLE</w:t>
      </w:r>
      <w:r>
        <w:rPr>
          <w:color w:val="000000"/>
          <w:sz w:val="20"/>
          <w:szCs w:val="20"/>
        </w:rPr>
        <w:t xml:space="preserve"> Module 12, 1-46. </w:t>
      </w:r>
      <w:hyperlink r:id="rId27">
        <w:r w:rsidR="00957269">
          <w:rPr>
            <w:color w:val="0000FF"/>
            <w:sz w:val="20"/>
            <w:szCs w:val="20"/>
            <w:u w:val="single"/>
          </w:rPr>
          <w:t>http://www.bristol.ac.uk/cmm/learning/course.html</w:t>
        </w:r>
      </w:hyperlink>
      <w:r>
        <w:rPr>
          <w:sz w:val="20"/>
          <w:szCs w:val="20"/>
        </w:rPr>
        <w:t xml:space="preserve"> </w:t>
      </w:r>
    </w:p>
    <w:p w14:paraId="0EAD2051"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Macchiavello, R., Menzel, A., Rabbani, A., &amp; Woodruff, C. (2020). </w:t>
      </w:r>
      <w:r>
        <w:rPr>
          <w:i/>
          <w:iCs/>
          <w:color w:val="000000"/>
          <w:sz w:val="20"/>
          <w:szCs w:val="20"/>
        </w:rPr>
        <w:t xml:space="preserve">Challenges of change: An experiment promoting women to managerial roles in the </w:t>
      </w:r>
      <w:proofErr w:type="spellStart"/>
      <w:r>
        <w:rPr>
          <w:i/>
          <w:iCs/>
          <w:color w:val="000000"/>
          <w:sz w:val="20"/>
          <w:szCs w:val="20"/>
        </w:rPr>
        <w:t>bangladeshi</w:t>
      </w:r>
      <w:proofErr w:type="spellEnd"/>
      <w:r>
        <w:rPr>
          <w:i/>
          <w:iCs/>
          <w:color w:val="000000"/>
          <w:sz w:val="20"/>
          <w:szCs w:val="20"/>
        </w:rPr>
        <w:t xml:space="preserve"> garment sector (No. w27606)</w:t>
      </w:r>
      <w:r>
        <w:rPr>
          <w:color w:val="000000"/>
          <w:sz w:val="20"/>
          <w:szCs w:val="20"/>
        </w:rPr>
        <w:t>. National Bureau of Economic Research.</w:t>
      </w:r>
    </w:p>
    <w:p w14:paraId="22BD78ED"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Marano, V., Wilhelm, M., Kostova, T., Doh, J., &amp; </w:t>
      </w:r>
      <w:proofErr w:type="spellStart"/>
      <w:r>
        <w:rPr>
          <w:color w:val="000000"/>
          <w:sz w:val="20"/>
          <w:szCs w:val="20"/>
        </w:rPr>
        <w:t>Beugelsdijk</w:t>
      </w:r>
      <w:proofErr w:type="spellEnd"/>
      <w:r>
        <w:rPr>
          <w:color w:val="000000"/>
          <w:sz w:val="20"/>
          <w:szCs w:val="20"/>
        </w:rPr>
        <w:t xml:space="preserve">, S. (2024). Multinational firms and sustainability in global supply chains: scope and boundaries of responsibility. </w:t>
      </w:r>
      <w:r>
        <w:rPr>
          <w:i/>
          <w:iCs/>
          <w:color w:val="000000"/>
          <w:sz w:val="20"/>
          <w:szCs w:val="20"/>
        </w:rPr>
        <w:t>Journal of International Business Studies</w:t>
      </w:r>
      <w:r>
        <w:rPr>
          <w:color w:val="000000"/>
          <w:sz w:val="20"/>
          <w:szCs w:val="20"/>
        </w:rPr>
        <w:t>, 1-16.</w:t>
      </w:r>
    </w:p>
    <w:p w14:paraId="59D4EA19" w14:textId="77777777" w:rsidR="00957269" w:rsidRDefault="00000000">
      <w:pPr>
        <w:pBdr>
          <w:top w:val="nil"/>
          <w:left w:val="nil"/>
          <w:bottom w:val="nil"/>
          <w:right w:val="nil"/>
          <w:between w:val="nil"/>
        </w:pBdr>
        <w:ind w:left="432" w:hanging="432"/>
        <w:rPr>
          <w:color w:val="000000"/>
          <w:sz w:val="20"/>
          <w:szCs w:val="20"/>
        </w:rPr>
      </w:pPr>
      <w:proofErr w:type="spellStart"/>
      <w:r>
        <w:rPr>
          <w:color w:val="000000"/>
          <w:sz w:val="20"/>
          <w:szCs w:val="20"/>
        </w:rPr>
        <w:t>Maridal</w:t>
      </w:r>
      <w:proofErr w:type="spellEnd"/>
      <w:r>
        <w:rPr>
          <w:color w:val="000000"/>
          <w:sz w:val="20"/>
          <w:szCs w:val="20"/>
        </w:rPr>
        <w:t xml:space="preserve">, J. H. (2013). Cultural impact on national economic growth. </w:t>
      </w:r>
      <w:r>
        <w:rPr>
          <w:i/>
          <w:iCs/>
          <w:color w:val="000000"/>
          <w:sz w:val="20"/>
          <w:szCs w:val="20"/>
        </w:rPr>
        <w:t>The Journal of Socio-Economics</w:t>
      </w:r>
      <w:r>
        <w:rPr>
          <w:color w:val="000000"/>
          <w:sz w:val="20"/>
          <w:szCs w:val="20"/>
        </w:rPr>
        <w:t>, 47, 136-146.</w:t>
      </w:r>
    </w:p>
    <w:p w14:paraId="58259E4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Malach Pines, A., Lerner, M., &amp; Schwartz, D. (2010). Gender differences in entrepreneurship: equality, diversity and inclusion in times of global crisis. </w:t>
      </w:r>
      <w:r>
        <w:rPr>
          <w:i/>
          <w:iCs/>
          <w:color w:val="000000"/>
          <w:sz w:val="20"/>
          <w:szCs w:val="20"/>
        </w:rPr>
        <w:t>Equality, diversity and inclusion: An International journal</w:t>
      </w:r>
      <w:r>
        <w:rPr>
          <w:color w:val="000000"/>
          <w:sz w:val="20"/>
          <w:szCs w:val="20"/>
        </w:rPr>
        <w:t>, 29(2), 186-198.</w:t>
      </w:r>
    </w:p>
    <w:p w14:paraId="36367B96" w14:textId="77777777" w:rsidR="00957269" w:rsidRDefault="00000000">
      <w:pPr>
        <w:pBdr>
          <w:top w:val="nil"/>
          <w:left w:val="nil"/>
          <w:bottom w:val="nil"/>
          <w:right w:val="nil"/>
          <w:between w:val="nil"/>
        </w:pBdr>
        <w:ind w:left="432" w:hanging="432"/>
        <w:rPr>
          <w:color w:val="1155CC"/>
          <w:sz w:val="20"/>
          <w:szCs w:val="20"/>
          <w:u w:val="single"/>
        </w:rPr>
      </w:pPr>
      <w:r>
        <w:rPr>
          <w:color w:val="000000"/>
          <w:sz w:val="20"/>
          <w:szCs w:val="20"/>
        </w:rPr>
        <w:t xml:space="preserve">Masters, K. (2023). </w:t>
      </w:r>
      <w:r>
        <w:rPr>
          <w:i/>
          <w:iCs/>
          <w:color w:val="000000"/>
          <w:sz w:val="20"/>
          <w:szCs w:val="20"/>
        </w:rPr>
        <w:t>Nike urged to backpay garment workers ahead of annual meeting</w:t>
      </w:r>
      <w:r>
        <w:rPr>
          <w:color w:val="000000"/>
          <w:sz w:val="20"/>
          <w:szCs w:val="20"/>
        </w:rPr>
        <w:t xml:space="preserve">. Reuters. Retrieved May 19, 2024, from </w:t>
      </w:r>
      <w:hyperlink r:id="rId28">
        <w:r w:rsidR="00957269">
          <w:rPr>
            <w:color w:val="1155CC"/>
            <w:sz w:val="20"/>
            <w:szCs w:val="20"/>
            <w:u w:val="single"/>
          </w:rPr>
          <w:t>https://www.reuters.com/business/retail-consumer/nike-faces-calls-pay-garment-workers-ahead-annual-shareholder-meeting-2023-09-11/</w:t>
        </w:r>
      </w:hyperlink>
    </w:p>
    <w:p w14:paraId="63300940"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McCarthy, L. (2017). Empowering women through corporate social responsibility: A feminist Foucauldian critique. </w:t>
      </w:r>
      <w:r>
        <w:rPr>
          <w:i/>
          <w:iCs/>
          <w:color w:val="000000"/>
          <w:sz w:val="20"/>
          <w:szCs w:val="20"/>
        </w:rPr>
        <w:t>Business Ethics Quarterly</w:t>
      </w:r>
      <w:r>
        <w:rPr>
          <w:color w:val="000000"/>
          <w:sz w:val="20"/>
          <w:szCs w:val="20"/>
        </w:rPr>
        <w:t>, 27(4), 603-631.</w:t>
      </w:r>
    </w:p>
    <w:p w14:paraId="44DFBB56" w14:textId="77777777" w:rsidR="00957269" w:rsidRDefault="00000000">
      <w:pPr>
        <w:pBdr>
          <w:top w:val="nil"/>
          <w:left w:val="nil"/>
          <w:bottom w:val="nil"/>
          <w:right w:val="nil"/>
          <w:between w:val="nil"/>
        </w:pBdr>
        <w:ind w:left="432" w:hanging="432"/>
        <w:rPr>
          <w:sz w:val="20"/>
          <w:szCs w:val="20"/>
        </w:rPr>
      </w:pPr>
      <w:r>
        <w:rPr>
          <w:color w:val="000000"/>
          <w:sz w:val="20"/>
          <w:szCs w:val="20"/>
        </w:rPr>
        <w:lastRenderedPageBreak/>
        <w:t xml:space="preserve">McDonald, S. (2021). </w:t>
      </w:r>
      <w:r>
        <w:rPr>
          <w:i/>
          <w:iCs/>
          <w:color w:val="000000"/>
          <w:sz w:val="20"/>
          <w:szCs w:val="20"/>
        </w:rPr>
        <w:t>How Nike Is Faring With Its Bold Diversity Commitments - And the ‘Aggressive’ Plans It Will Pursue Next.</w:t>
      </w:r>
      <w:r>
        <w:rPr>
          <w:color w:val="000000"/>
          <w:sz w:val="20"/>
          <w:szCs w:val="20"/>
        </w:rPr>
        <w:t xml:space="preserve"> Retrieved March 2, 2024, from</w:t>
      </w:r>
      <w:r>
        <w:rPr>
          <w:i/>
          <w:iCs/>
          <w:color w:val="000000"/>
          <w:sz w:val="20"/>
          <w:szCs w:val="20"/>
        </w:rPr>
        <w:t xml:space="preserve"> </w:t>
      </w:r>
      <w:r>
        <w:rPr>
          <w:color w:val="000000"/>
          <w:sz w:val="20"/>
          <w:szCs w:val="20"/>
        </w:rPr>
        <w:t xml:space="preserve"> </w:t>
      </w:r>
      <w:hyperlink r:id="rId29">
        <w:r w:rsidR="00957269">
          <w:rPr>
            <w:color w:val="0000FF"/>
            <w:sz w:val="19"/>
            <w:szCs w:val="19"/>
            <w:u w:val="single"/>
          </w:rPr>
          <w:t>https://footwearnews.com/business/retail/nike-diversity-gender-equality-stats-2020-impact-report-1203118442</w:t>
        </w:r>
      </w:hyperlink>
    </w:p>
    <w:p w14:paraId="562298F9"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McGivney, V. (1993). </w:t>
      </w:r>
      <w:r>
        <w:rPr>
          <w:i/>
          <w:iCs/>
          <w:color w:val="000000"/>
          <w:sz w:val="20"/>
          <w:szCs w:val="20"/>
        </w:rPr>
        <w:t>Women, Education and Training. Barriers to Access, Informal Starting Points and Progression Routes</w:t>
      </w:r>
      <w:r>
        <w:rPr>
          <w:color w:val="000000"/>
          <w:sz w:val="20"/>
          <w:szCs w:val="20"/>
        </w:rPr>
        <w:t>. National Institute of Adult Continuing Education, 21 De Montfort Street, Leicester LE1 7GE, England, United Kingdom.</w:t>
      </w:r>
    </w:p>
    <w:p w14:paraId="08537448" w14:textId="77777777" w:rsidR="00957269" w:rsidRDefault="00000000">
      <w:pPr>
        <w:pBdr>
          <w:top w:val="nil"/>
          <w:left w:val="nil"/>
          <w:bottom w:val="nil"/>
          <w:right w:val="nil"/>
          <w:between w:val="nil"/>
        </w:pBdr>
        <w:ind w:left="432" w:hanging="432"/>
        <w:rPr>
          <w:color w:val="000000"/>
          <w:sz w:val="20"/>
          <w:szCs w:val="20"/>
        </w:rPr>
      </w:pPr>
      <w:proofErr w:type="spellStart"/>
      <w:r>
        <w:rPr>
          <w:color w:val="000000"/>
          <w:sz w:val="20"/>
          <w:szCs w:val="20"/>
        </w:rPr>
        <w:t>Misangyi</w:t>
      </w:r>
      <w:proofErr w:type="spellEnd"/>
      <w:r>
        <w:rPr>
          <w:color w:val="000000"/>
          <w:sz w:val="20"/>
          <w:szCs w:val="20"/>
        </w:rPr>
        <w:t xml:space="preserve">, V. F., </w:t>
      </w:r>
      <w:proofErr w:type="spellStart"/>
      <w:r>
        <w:rPr>
          <w:color w:val="000000"/>
          <w:sz w:val="20"/>
          <w:szCs w:val="20"/>
        </w:rPr>
        <w:t>Greckhamer</w:t>
      </w:r>
      <w:proofErr w:type="spellEnd"/>
      <w:r>
        <w:rPr>
          <w:color w:val="000000"/>
          <w:sz w:val="20"/>
          <w:szCs w:val="20"/>
        </w:rPr>
        <w:t xml:space="preserve">, T., Furnari, S., Fiss, P. C., Crilly, D., &amp; Aguilera, R. (2016). Embracing Causal Complexity: The Emergence of a Neo-Configurational Perspective. </w:t>
      </w:r>
      <w:r>
        <w:rPr>
          <w:i/>
          <w:iCs/>
          <w:color w:val="000000"/>
          <w:sz w:val="20"/>
          <w:szCs w:val="20"/>
        </w:rPr>
        <w:t>Journal of Managemen</w:t>
      </w:r>
      <w:r>
        <w:rPr>
          <w:color w:val="000000"/>
          <w:sz w:val="20"/>
          <w:szCs w:val="20"/>
        </w:rPr>
        <w:t>t, 43(1), 255-282.</w:t>
      </w:r>
    </w:p>
    <w:p w14:paraId="04A0B03F" w14:textId="77777777" w:rsidR="00957269" w:rsidRDefault="00000000">
      <w:pPr>
        <w:pBdr>
          <w:top w:val="nil"/>
          <w:left w:val="nil"/>
          <w:bottom w:val="nil"/>
          <w:right w:val="nil"/>
          <w:between w:val="nil"/>
        </w:pBdr>
        <w:ind w:left="432" w:hanging="432"/>
        <w:rPr>
          <w:color w:val="000000"/>
          <w:sz w:val="20"/>
          <w:szCs w:val="20"/>
        </w:rPr>
      </w:pPr>
      <w:proofErr w:type="spellStart"/>
      <w:r>
        <w:rPr>
          <w:color w:val="000000"/>
          <w:sz w:val="20"/>
          <w:szCs w:val="20"/>
        </w:rPr>
        <w:t>Moerbeek</w:t>
      </w:r>
      <w:proofErr w:type="spellEnd"/>
      <w:r>
        <w:rPr>
          <w:color w:val="000000"/>
          <w:sz w:val="20"/>
          <w:szCs w:val="20"/>
        </w:rPr>
        <w:t xml:space="preserve">, M. (2004). The Consequence of Ignoring a Level of Nesting in Multilevel Analysis. </w:t>
      </w:r>
      <w:r>
        <w:rPr>
          <w:i/>
          <w:iCs/>
          <w:color w:val="000000"/>
          <w:sz w:val="20"/>
          <w:szCs w:val="20"/>
        </w:rPr>
        <w:t xml:space="preserve">Multivariate </w:t>
      </w:r>
      <w:proofErr w:type="spellStart"/>
      <w:r>
        <w:rPr>
          <w:i/>
          <w:iCs/>
          <w:color w:val="000000"/>
          <w:sz w:val="20"/>
          <w:szCs w:val="20"/>
        </w:rPr>
        <w:t>Behavioral</w:t>
      </w:r>
      <w:proofErr w:type="spellEnd"/>
      <w:r>
        <w:rPr>
          <w:i/>
          <w:iCs/>
          <w:color w:val="000000"/>
          <w:sz w:val="20"/>
          <w:szCs w:val="20"/>
        </w:rPr>
        <w:t xml:space="preserve"> Research</w:t>
      </w:r>
      <w:r>
        <w:rPr>
          <w:color w:val="000000"/>
          <w:sz w:val="20"/>
          <w:szCs w:val="20"/>
        </w:rPr>
        <w:t>, 39, 129-149.</w:t>
      </w:r>
    </w:p>
    <w:p w14:paraId="23961C4F"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Mohr, J., &amp; </w:t>
      </w:r>
      <w:proofErr w:type="spellStart"/>
      <w:r>
        <w:rPr>
          <w:color w:val="000000"/>
          <w:sz w:val="20"/>
          <w:szCs w:val="20"/>
        </w:rPr>
        <w:t>Spekman</w:t>
      </w:r>
      <w:proofErr w:type="spellEnd"/>
      <w:r>
        <w:rPr>
          <w:color w:val="000000"/>
          <w:sz w:val="20"/>
          <w:szCs w:val="20"/>
        </w:rPr>
        <w:t xml:space="preserve">, R. (1994). Characteristics of partnership success: Partnership attributes, communication </w:t>
      </w:r>
      <w:proofErr w:type="spellStart"/>
      <w:r>
        <w:rPr>
          <w:color w:val="000000"/>
          <w:sz w:val="20"/>
          <w:szCs w:val="20"/>
        </w:rPr>
        <w:t>behavior</w:t>
      </w:r>
      <w:proofErr w:type="spellEnd"/>
      <w:r>
        <w:rPr>
          <w:color w:val="000000"/>
          <w:sz w:val="20"/>
          <w:szCs w:val="20"/>
        </w:rPr>
        <w:t xml:space="preserve">, and conflict resolution techniques. </w:t>
      </w:r>
      <w:r>
        <w:rPr>
          <w:i/>
          <w:iCs/>
          <w:color w:val="000000"/>
          <w:sz w:val="20"/>
          <w:szCs w:val="20"/>
        </w:rPr>
        <w:t>Strategic Management Journal</w:t>
      </w:r>
      <w:r>
        <w:rPr>
          <w:color w:val="000000"/>
          <w:sz w:val="20"/>
          <w:szCs w:val="20"/>
        </w:rPr>
        <w:t>, 15, 135– 152</w:t>
      </w:r>
    </w:p>
    <w:p w14:paraId="50C8B7BF"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 xml:space="preserve">Moore, G. (1999). Corporate Moral Agency: Review and Implications, </w:t>
      </w:r>
      <w:r>
        <w:rPr>
          <w:i/>
          <w:iCs/>
          <w:color w:val="000000"/>
          <w:sz w:val="20"/>
          <w:szCs w:val="20"/>
        </w:rPr>
        <w:t>Journal of Business Ethics</w:t>
      </w:r>
      <w:r>
        <w:rPr>
          <w:color w:val="000000"/>
          <w:sz w:val="20"/>
          <w:szCs w:val="20"/>
        </w:rPr>
        <w:t>, 21(4), 329-343.</w:t>
      </w:r>
    </w:p>
    <w:p w14:paraId="3F3E0B4E" w14:textId="77777777" w:rsidR="00957269" w:rsidRDefault="00000000">
      <w:pPr>
        <w:pBdr>
          <w:top w:val="nil"/>
          <w:left w:val="nil"/>
          <w:bottom w:val="nil"/>
          <w:right w:val="nil"/>
          <w:between w:val="nil"/>
        </w:pBdr>
        <w:ind w:left="432" w:hanging="432"/>
        <w:rPr>
          <w:sz w:val="20"/>
          <w:szCs w:val="20"/>
        </w:rPr>
      </w:pPr>
      <w:proofErr w:type="spellStart"/>
      <w:r>
        <w:rPr>
          <w:color w:val="000000"/>
          <w:sz w:val="20"/>
          <w:szCs w:val="20"/>
        </w:rPr>
        <w:t>Munerati</w:t>
      </w:r>
      <w:proofErr w:type="spellEnd"/>
      <w:r>
        <w:rPr>
          <w:color w:val="000000"/>
          <w:sz w:val="20"/>
          <w:szCs w:val="20"/>
        </w:rPr>
        <w:t xml:space="preserve">, R.L. (2018). </w:t>
      </w:r>
      <w:r>
        <w:rPr>
          <w:i/>
          <w:iCs/>
          <w:color w:val="000000"/>
          <w:sz w:val="20"/>
          <w:szCs w:val="20"/>
        </w:rPr>
        <w:t>The Zara Case in Brazil: Juridical Effectiveness of Soft Law Measures Concerning Decent Work in Global Supply Chains</w:t>
      </w:r>
      <w:r>
        <w:rPr>
          <w:sz w:val="20"/>
          <w:szCs w:val="20"/>
        </w:rPr>
        <w:t xml:space="preserve">. </w:t>
      </w:r>
      <w:hyperlink r:id="rId30">
        <w:r w:rsidR="00957269">
          <w:rPr>
            <w:color w:val="1155CC"/>
            <w:sz w:val="20"/>
            <w:szCs w:val="20"/>
            <w:u w:val="single"/>
          </w:rPr>
          <w:t>http://dx.doi.org/10.2139/ssrn.3411472</w:t>
        </w:r>
      </w:hyperlink>
    </w:p>
    <w:p w14:paraId="4A447EE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Neef, D. (2004). </w:t>
      </w:r>
      <w:r>
        <w:rPr>
          <w:i/>
          <w:iCs/>
          <w:color w:val="000000"/>
          <w:sz w:val="20"/>
          <w:szCs w:val="20"/>
        </w:rPr>
        <w:t xml:space="preserve">The Supply Chain </w:t>
      </w:r>
      <w:r>
        <w:rPr>
          <w:i/>
          <w:iCs/>
          <w:sz w:val="20"/>
          <w:szCs w:val="20"/>
        </w:rPr>
        <w:t>Imperative</w:t>
      </w:r>
      <w:r>
        <w:rPr>
          <w:color w:val="000000"/>
          <w:sz w:val="20"/>
          <w:szCs w:val="20"/>
        </w:rPr>
        <w:t>. American Management Association, New York.</w:t>
      </w:r>
    </w:p>
    <w:p w14:paraId="40C586BD"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Nanda, P., Mishra, A., Walia, S., Sharma, S., Weiss, E., &amp; Abrahamson, J. (2013). </w:t>
      </w:r>
      <w:r>
        <w:rPr>
          <w:i/>
          <w:iCs/>
          <w:color w:val="000000"/>
          <w:sz w:val="20"/>
          <w:szCs w:val="20"/>
        </w:rPr>
        <w:t>Advancing women, changing lives.</w:t>
      </w:r>
      <w:r>
        <w:rPr>
          <w:color w:val="000000"/>
          <w:sz w:val="20"/>
          <w:szCs w:val="20"/>
        </w:rPr>
        <w:t xml:space="preserve"> International </w:t>
      </w:r>
      <w:proofErr w:type="spellStart"/>
      <w:r>
        <w:rPr>
          <w:color w:val="000000"/>
          <w:sz w:val="20"/>
          <w:szCs w:val="20"/>
        </w:rPr>
        <w:t>Center</w:t>
      </w:r>
      <w:proofErr w:type="spellEnd"/>
      <w:r>
        <w:rPr>
          <w:color w:val="000000"/>
          <w:sz w:val="20"/>
          <w:szCs w:val="20"/>
        </w:rPr>
        <w:t xml:space="preserve"> for Research on Women. Retrieved August 1, 2024, from </w:t>
      </w:r>
      <w:hyperlink r:id="rId31">
        <w:r w:rsidR="00957269">
          <w:rPr>
            <w:color w:val="1155CC"/>
            <w:sz w:val="20"/>
            <w:szCs w:val="20"/>
            <w:u w:val="single"/>
          </w:rPr>
          <w:t>Advancing women, changing lives - ICRW</w:t>
        </w:r>
      </w:hyperlink>
    </w:p>
    <w:p w14:paraId="74CECF2F"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Ni, W., &amp; Sun, H. (2018). A contingent perspective on the synergistic effect of governance mechanisms on sustainable supply chain. </w:t>
      </w:r>
      <w:r>
        <w:rPr>
          <w:i/>
          <w:iCs/>
          <w:color w:val="000000"/>
          <w:sz w:val="20"/>
          <w:szCs w:val="20"/>
        </w:rPr>
        <w:t>Supply Chain Management</w:t>
      </w:r>
      <w:r>
        <w:rPr>
          <w:color w:val="000000"/>
          <w:sz w:val="20"/>
          <w:szCs w:val="20"/>
        </w:rPr>
        <w:t xml:space="preserve">, 23(3), 153-170. </w:t>
      </w:r>
    </w:p>
    <w:p w14:paraId="3CEF25B3" w14:textId="77777777" w:rsidR="00957269" w:rsidRDefault="00000000">
      <w:pPr>
        <w:pBdr>
          <w:top w:val="nil"/>
          <w:left w:val="nil"/>
          <w:bottom w:val="nil"/>
          <w:right w:val="nil"/>
          <w:between w:val="nil"/>
        </w:pBdr>
        <w:ind w:left="432" w:hanging="432"/>
        <w:jc w:val="both"/>
        <w:rPr>
          <w:color w:val="1155CC"/>
          <w:sz w:val="20"/>
          <w:szCs w:val="20"/>
          <w:u w:val="single"/>
        </w:rPr>
      </w:pPr>
      <w:r>
        <w:rPr>
          <w:color w:val="000000"/>
          <w:sz w:val="20"/>
          <w:szCs w:val="20"/>
        </w:rPr>
        <w:t>Nike. (2024). Form 10-K, ANNUAL REPORT 2024</w:t>
      </w:r>
      <w:r>
        <w:rPr>
          <w:i/>
          <w:iCs/>
          <w:color w:val="000000"/>
          <w:sz w:val="20"/>
          <w:szCs w:val="20"/>
        </w:rPr>
        <w:t>.</w:t>
      </w:r>
      <w:r>
        <w:rPr>
          <w:color w:val="000000"/>
          <w:sz w:val="20"/>
          <w:szCs w:val="20"/>
        </w:rPr>
        <w:t xml:space="preserve"> Retrieved on April 6, 2026 from: </w:t>
      </w:r>
      <w:r>
        <w:rPr>
          <w:color w:val="1155CC"/>
          <w:sz w:val="20"/>
          <w:szCs w:val="20"/>
          <w:u w:val="single"/>
        </w:rPr>
        <w:t>https://s1.q4cdn.com/806093406/files/doc_financials/2024/ar/427857-1-_7_Nike-2024-Combo_Form-10-K_WR.pdf</w:t>
      </w:r>
    </w:p>
    <w:p w14:paraId="3D8625F6"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Obloj</w:t>
      </w:r>
      <w:proofErr w:type="spellEnd"/>
      <w:r>
        <w:rPr>
          <w:color w:val="000000"/>
          <w:sz w:val="20"/>
          <w:szCs w:val="20"/>
        </w:rPr>
        <w:t xml:space="preserve">, T., &amp; Zemsky, P. (2015). Value creation and value capture under moral hazard: Exploring the micro-foundations of buyer–supplier relationships. </w:t>
      </w:r>
      <w:r>
        <w:rPr>
          <w:i/>
          <w:iCs/>
          <w:color w:val="000000"/>
          <w:sz w:val="20"/>
          <w:szCs w:val="20"/>
        </w:rPr>
        <w:t>Strategic Management Journal</w:t>
      </w:r>
      <w:r>
        <w:rPr>
          <w:color w:val="000000"/>
          <w:sz w:val="20"/>
          <w:szCs w:val="20"/>
        </w:rPr>
        <w:t>, 36(8), 1146–1163</w:t>
      </w:r>
    </w:p>
    <w:p w14:paraId="5E6B115A"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Oka, C., </w:t>
      </w:r>
      <w:proofErr w:type="spellStart"/>
      <w:r>
        <w:rPr>
          <w:color w:val="000000"/>
          <w:sz w:val="20"/>
          <w:szCs w:val="20"/>
          <w:highlight w:val="white"/>
        </w:rPr>
        <w:t>Egels</w:t>
      </w:r>
      <w:proofErr w:type="spellEnd"/>
      <w:r>
        <w:rPr>
          <w:color w:val="000000"/>
          <w:sz w:val="20"/>
          <w:szCs w:val="20"/>
          <w:highlight w:val="white"/>
        </w:rPr>
        <w:t>‐Zandén, N., &amp; Alexander, R. (2020). Buyer engagement and labour conditions in global supply chains: The Bangladesh accord and beyond. </w:t>
      </w:r>
      <w:r>
        <w:rPr>
          <w:i/>
          <w:iCs/>
          <w:color w:val="000000"/>
          <w:sz w:val="20"/>
          <w:szCs w:val="20"/>
          <w:highlight w:val="white"/>
        </w:rPr>
        <w:t>Development and Change</w:t>
      </w:r>
      <w:r>
        <w:rPr>
          <w:color w:val="000000"/>
          <w:sz w:val="20"/>
          <w:szCs w:val="20"/>
          <w:highlight w:val="white"/>
        </w:rPr>
        <w:t>, </w:t>
      </w:r>
      <w:r>
        <w:rPr>
          <w:i/>
          <w:iCs/>
          <w:color w:val="000000"/>
          <w:sz w:val="20"/>
          <w:szCs w:val="20"/>
          <w:highlight w:val="white"/>
        </w:rPr>
        <w:t>51</w:t>
      </w:r>
      <w:r>
        <w:rPr>
          <w:color w:val="000000"/>
          <w:sz w:val="20"/>
          <w:szCs w:val="20"/>
          <w:highlight w:val="white"/>
        </w:rPr>
        <w:t>(5), 1306-1330.</w:t>
      </w:r>
    </w:p>
    <w:p w14:paraId="4C85925F" w14:textId="77777777" w:rsidR="00957269" w:rsidRPr="00AF137A" w:rsidRDefault="00000000">
      <w:pPr>
        <w:pBdr>
          <w:top w:val="nil"/>
          <w:left w:val="nil"/>
          <w:bottom w:val="nil"/>
          <w:right w:val="nil"/>
          <w:between w:val="nil"/>
        </w:pBdr>
        <w:ind w:left="432" w:hanging="432"/>
        <w:jc w:val="both"/>
        <w:rPr>
          <w:color w:val="000000"/>
          <w:sz w:val="20"/>
          <w:szCs w:val="20"/>
          <w:lang w:val="es-ES"/>
        </w:rPr>
      </w:pPr>
      <w:r>
        <w:rPr>
          <w:color w:val="000000"/>
          <w:sz w:val="20"/>
          <w:szCs w:val="20"/>
        </w:rPr>
        <w:t xml:space="preserve">Ola, K.O. (2020). Micro-determinants of Women’s Participation in Agricultural Value Chain: Evidence from Rural Households in Nigeria. In </w:t>
      </w:r>
      <w:proofErr w:type="spellStart"/>
      <w:r>
        <w:rPr>
          <w:color w:val="000000"/>
          <w:sz w:val="20"/>
          <w:szCs w:val="20"/>
        </w:rPr>
        <w:t>Osabuohien</w:t>
      </w:r>
      <w:proofErr w:type="spellEnd"/>
      <w:r>
        <w:rPr>
          <w:color w:val="000000"/>
          <w:sz w:val="20"/>
          <w:szCs w:val="20"/>
        </w:rPr>
        <w:t xml:space="preserve">, E.S. (Eds.), </w:t>
      </w:r>
      <w:r>
        <w:rPr>
          <w:i/>
          <w:iCs/>
          <w:color w:val="000000"/>
          <w:sz w:val="20"/>
          <w:szCs w:val="20"/>
        </w:rPr>
        <w:t>The Palgrave Handbook of Agricultural and Rural Development in Africa</w:t>
      </w:r>
      <w:r>
        <w:rPr>
          <w:color w:val="000000"/>
          <w:sz w:val="20"/>
          <w:szCs w:val="20"/>
        </w:rPr>
        <w:t xml:space="preserve">. </w:t>
      </w:r>
      <w:proofErr w:type="spellStart"/>
      <w:r w:rsidRPr="00AF137A">
        <w:rPr>
          <w:color w:val="000000"/>
          <w:sz w:val="20"/>
          <w:szCs w:val="20"/>
          <w:lang w:val="es-ES"/>
        </w:rPr>
        <w:t>Palgrave</w:t>
      </w:r>
      <w:proofErr w:type="spellEnd"/>
      <w:r w:rsidRPr="00AF137A">
        <w:rPr>
          <w:color w:val="000000"/>
          <w:sz w:val="20"/>
          <w:szCs w:val="20"/>
          <w:lang w:val="es-ES"/>
        </w:rPr>
        <w:t xml:space="preserve"> Macmillan, Cham.</w:t>
      </w:r>
    </w:p>
    <w:p w14:paraId="3B4D16D6" w14:textId="77777777" w:rsidR="00957269" w:rsidRDefault="00000000">
      <w:pPr>
        <w:pBdr>
          <w:top w:val="nil"/>
          <w:left w:val="nil"/>
          <w:bottom w:val="nil"/>
          <w:right w:val="nil"/>
          <w:between w:val="nil"/>
        </w:pBdr>
        <w:ind w:left="432" w:hanging="432"/>
        <w:jc w:val="both"/>
        <w:rPr>
          <w:color w:val="1155CC"/>
          <w:sz w:val="20"/>
          <w:szCs w:val="20"/>
          <w:u w:val="single"/>
        </w:rPr>
      </w:pPr>
      <w:r w:rsidRPr="00AF137A">
        <w:rPr>
          <w:color w:val="000000"/>
          <w:sz w:val="20"/>
          <w:szCs w:val="20"/>
          <w:lang w:val="es-ES"/>
        </w:rPr>
        <w:t xml:space="preserve">Ortiz-Ospina, E., </w:t>
      </w:r>
      <w:proofErr w:type="spellStart"/>
      <w:r w:rsidRPr="00AF137A">
        <w:rPr>
          <w:color w:val="000000"/>
          <w:sz w:val="20"/>
          <w:szCs w:val="20"/>
          <w:lang w:val="es-ES"/>
        </w:rPr>
        <w:t>Tzvetkova</w:t>
      </w:r>
      <w:proofErr w:type="spellEnd"/>
      <w:r w:rsidRPr="00AF137A">
        <w:rPr>
          <w:color w:val="000000"/>
          <w:sz w:val="20"/>
          <w:szCs w:val="20"/>
          <w:lang w:val="es-ES"/>
        </w:rPr>
        <w:t xml:space="preserve"> S., &amp; Roser, M. (2024). </w:t>
      </w:r>
      <w:r>
        <w:rPr>
          <w:i/>
          <w:iCs/>
          <w:color w:val="000000"/>
          <w:sz w:val="20"/>
          <w:szCs w:val="20"/>
        </w:rPr>
        <w:t>Women’s Employment</w:t>
      </w:r>
      <w:r>
        <w:rPr>
          <w:color w:val="000000"/>
          <w:sz w:val="20"/>
          <w:szCs w:val="20"/>
        </w:rPr>
        <w:t>. Retrieved July 18, 2024, from</w:t>
      </w:r>
      <w:r>
        <w:rPr>
          <w:color w:val="000000"/>
          <w:sz w:val="20"/>
          <w:szCs w:val="20"/>
          <w:u w:val="single"/>
        </w:rPr>
        <w:t xml:space="preserve"> </w:t>
      </w:r>
      <w:r>
        <w:rPr>
          <w:color w:val="1155CC"/>
          <w:sz w:val="20"/>
          <w:szCs w:val="20"/>
          <w:u w:val="single"/>
        </w:rPr>
        <w:t xml:space="preserve">https://ourworldindata.org/female-labor-supply </w:t>
      </w:r>
    </w:p>
    <w:p w14:paraId="1771DEC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O’Connor, N. G., Du, Y., Yang, Z., &amp; Akbari, M. (2023). Managing from a distance in international purchasing and supply. </w:t>
      </w:r>
      <w:r>
        <w:rPr>
          <w:i/>
          <w:iCs/>
          <w:color w:val="000000"/>
          <w:sz w:val="20"/>
          <w:szCs w:val="20"/>
        </w:rPr>
        <w:t>Operations Management Research,</w:t>
      </w:r>
      <w:r>
        <w:rPr>
          <w:color w:val="000000"/>
          <w:sz w:val="20"/>
          <w:szCs w:val="20"/>
        </w:rPr>
        <w:t xml:space="preserve"> 16(2), 594-619.</w:t>
      </w:r>
    </w:p>
    <w:p w14:paraId="067CDD6D" w14:textId="77777777" w:rsidR="00957269" w:rsidRDefault="00000000">
      <w:pPr>
        <w:pBdr>
          <w:top w:val="nil"/>
          <w:left w:val="nil"/>
          <w:bottom w:val="nil"/>
          <w:right w:val="nil"/>
          <w:between w:val="nil"/>
        </w:pBdr>
        <w:ind w:left="432" w:hanging="432"/>
        <w:rPr>
          <w:color w:val="000000"/>
          <w:sz w:val="20"/>
          <w:szCs w:val="20"/>
        </w:rPr>
      </w:pPr>
      <w:r>
        <w:rPr>
          <w:color w:val="000000"/>
          <w:sz w:val="20"/>
          <w:szCs w:val="20"/>
        </w:rPr>
        <w:t>Oakley, J.G. (2000). Gender-based Barriers to Senior Management Positions: Understanding the Scarcity of Female CEOs. </w:t>
      </w:r>
      <w:r>
        <w:rPr>
          <w:i/>
          <w:iCs/>
          <w:color w:val="000000"/>
          <w:sz w:val="20"/>
          <w:szCs w:val="20"/>
        </w:rPr>
        <w:t>Journal of Business Ethics</w:t>
      </w:r>
      <w:r>
        <w:rPr>
          <w:color w:val="000000"/>
          <w:sz w:val="20"/>
          <w:szCs w:val="20"/>
        </w:rPr>
        <w:t>, 27, 321-334.</w:t>
      </w:r>
    </w:p>
    <w:p w14:paraId="7F47639A"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Park-</w:t>
      </w:r>
      <w:proofErr w:type="spellStart"/>
      <w:r>
        <w:rPr>
          <w:color w:val="000000"/>
          <w:sz w:val="20"/>
          <w:szCs w:val="20"/>
        </w:rPr>
        <w:t>Poaps</w:t>
      </w:r>
      <w:proofErr w:type="spellEnd"/>
      <w:r>
        <w:rPr>
          <w:color w:val="000000"/>
          <w:sz w:val="20"/>
          <w:szCs w:val="20"/>
        </w:rPr>
        <w:t xml:space="preserve">, H., &amp; Rees, K. (2010). Stakeholder forces of socially responsible supply chain management orientation. </w:t>
      </w:r>
      <w:r>
        <w:rPr>
          <w:i/>
          <w:iCs/>
          <w:color w:val="000000"/>
          <w:sz w:val="20"/>
          <w:szCs w:val="20"/>
        </w:rPr>
        <w:t>Journal of Business Ethics</w:t>
      </w:r>
      <w:r>
        <w:rPr>
          <w:color w:val="000000"/>
          <w:sz w:val="20"/>
          <w:szCs w:val="20"/>
        </w:rPr>
        <w:t>, 92(2), 305-322.</w:t>
      </w:r>
    </w:p>
    <w:p w14:paraId="70C5164F"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Pinnington</w:t>
      </w:r>
      <w:proofErr w:type="spellEnd"/>
      <w:r>
        <w:rPr>
          <w:color w:val="000000"/>
          <w:sz w:val="20"/>
          <w:szCs w:val="20"/>
        </w:rPr>
        <w:t xml:space="preserve">, B., Benstead, A., &amp; Meehan, J. (2023). Transparency in supply chains (TISC): Assessing and improving the quality of modern slavery statements. </w:t>
      </w:r>
      <w:r>
        <w:rPr>
          <w:i/>
          <w:iCs/>
          <w:color w:val="000000"/>
          <w:sz w:val="20"/>
          <w:szCs w:val="20"/>
        </w:rPr>
        <w:t>Journal of Business Ethics</w:t>
      </w:r>
      <w:r>
        <w:rPr>
          <w:color w:val="000000"/>
          <w:sz w:val="20"/>
          <w:szCs w:val="20"/>
        </w:rPr>
        <w:t>, 182(3), 619-636.</w:t>
      </w:r>
    </w:p>
    <w:p w14:paraId="53F5CF35"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Prieto-</w:t>
      </w:r>
      <w:proofErr w:type="spellStart"/>
      <w:r>
        <w:rPr>
          <w:color w:val="000000"/>
          <w:sz w:val="20"/>
          <w:szCs w:val="20"/>
        </w:rPr>
        <w:t>Carrón</w:t>
      </w:r>
      <w:proofErr w:type="spellEnd"/>
      <w:r>
        <w:rPr>
          <w:color w:val="000000"/>
          <w:sz w:val="20"/>
          <w:szCs w:val="20"/>
        </w:rPr>
        <w:t xml:space="preserve">, M. (2008). Women workers, industrialization, global supply chains and corporate codes of conduct. </w:t>
      </w:r>
      <w:r>
        <w:rPr>
          <w:i/>
          <w:iCs/>
          <w:color w:val="000000"/>
          <w:sz w:val="20"/>
          <w:szCs w:val="20"/>
        </w:rPr>
        <w:t>Journal of Business Ethics</w:t>
      </w:r>
      <w:r>
        <w:rPr>
          <w:color w:val="000000"/>
          <w:sz w:val="20"/>
          <w:szCs w:val="20"/>
        </w:rPr>
        <w:t>, 83, 5-17.</w:t>
      </w:r>
    </w:p>
    <w:p w14:paraId="181AFD7F" w14:textId="77777777" w:rsidR="00957269" w:rsidRDefault="00000000">
      <w:pPr>
        <w:pBdr>
          <w:top w:val="nil"/>
          <w:left w:val="nil"/>
          <w:bottom w:val="nil"/>
          <w:right w:val="nil"/>
          <w:between w:val="nil"/>
        </w:pBdr>
        <w:ind w:left="432" w:hanging="432"/>
        <w:jc w:val="both"/>
        <w:rPr>
          <w:color w:val="000000"/>
          <w:sz w:val="20"/>
          <w:szCs w:val="20"/>
        </w:rPr>
      </w:pPr>
      <w:r w:rsidRPr="00213537">
        <w:rPr>
          <w:color w:val="000000"/>
          <w:sz w:val="20"/>
          <w:szCs w:val="20"/>
          <w:lang w:val="es-ES"/>
        </w:rPr>
        <w:t xml:space="preserve">Paiva, E., Tonelli, M.J., Miguel, P., </w:t>
      </w:r>
      <w:proofErr w:type="spellStart"/>
      <w:r w:rsidRPr="00213537">
        <w:rPr>
          <w:color w:val="000000"/>
          <w:sz w:val="20"/>
          <w:szCs w:val="20"/>
          <w:lang w:val="es-ES"/>
        </w:rPr>
        <w:t>Biazzin</w:t>
      </w:r>
      <w:proofErr w:type="spellEnd"/>
      <w:r w:rsidRPr="00213537">
        <w:rPr>
          <w:color w:val="000000"/>
          <w:sz w:val="20"/>
          <w:szCs w:val="20"/>
          <w:lang w:val="es-ES"/>
        </w:rPr>
        <w:t xml:space="preserve">, C. (2020). </w:t>
      </w:r>
      <w:r>
        <w:rPr>
          <w:i/>
          <w:iCs/>
          <w:color w:val="000000"/>
          <w:sz w:val="20"/>
          <w:szCs w:val="20"/>
        </w:rPr>
        <w:t>Supply chain management and gender: challenges for a changing world</w:t>
      </w:r>
      <w:r>
        <w:rPr>
          <w:color w:val="000000"/>
          <w:sz w:val="20"/>
          <w:szCs w:val="20"/>
        </w:rPr>
        <w:t>. In: Choi, T., Li, J.J., Rogers, D., Schoenherr, T., Wagner, S.M. (Eds.), The Oxford Handbook of Supply Chain Management. Oxford University Press.</w:t>
      </w:r>
    </w:p>
    <w:p w14:paraId="5E7BB16C"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Perry, P., Osburg, V. S., Huq, F. A., &amp; Diallo, M. F. (2025). Fashionable ethics: exploring ethical perspectives in the production, marketing, and consumption of fashion. </w:t>
      </w:r>
      <w:r>
        <w:rPr>
          <w:i/>
          <w:iCs/>
          <w:color w:val="000000"/>
          <w:sz w:val="20"/>
          <w:szCs w:val="20"/>
        </w:rPr>
        <w:t>Journal of Business Ethics</w:t>
      </w:r>
      <w:r>
        <w:rPr>
          <w:color w:val="000000"/>
          <w:sz w:val="20"/>
          <w:szCs w:val="20"/>
        </w:rPr>
        <w:t xml:space="preserve">, </w:t>
      </w:r>
      <w:r>
        <w:rPr>
          <w:i/>
          <w:iCs/>
          <w:color w:val="000000"/>
          <w:sz w:val="20"/>
          <w:szCs w:val="20"/>
        </w:rPr>
        <w:t>196</w:t>
      </w:r>
      <w:r>
        <w:rPr>
          <w:color w:val="000000"/>
          <w:sz w:val="20"/>
          <w:szCs w:val="20"/>
        </w:rPr>
        <w:t xml:space="preserve">(4), 711-721. </w:t>
      </w:r>
    </w:p>
    <w:p w14:paraId="4A52769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Preuss</w:t>
      </w:r>
      <w:r>
        <w:rPr>
          <w:color w:val="000000"/>
          <w:sz w:val="20"/>
          <w:szCs w:val="20"/>
        </w:rPr>
        <w:t xml:space="preserve">, L. (2001). In dirty chains? Purchasing and greener manufacturing. </w:t>
      </w:r>
      <w:r>
        <w:rPr>
          <w:i/>
          <w:iCs/>
          <w:color w:val="000000"/>
          <w:sz w:val="20"/>
          <w:szCs w:val="20"/>
        </w:rPr>
        <w:t>Journal of Business Ethics</w:t>
      </w:r>
      <w:r>
        <w:rPr>
          <w:color w:val="000000"/>
          <w:sz w:val="20"/>
          <w:szCs w:val="20"/>
        </w:rPr>
        <w:t>, 34(3), 345-359.</w:t>
      </w:r>
    </w:p>
    <w:p w14:paraId="589C7072"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Prikshat</w:t>
      </w:r>
      <w:proofErr w:type="spellEnd"/>
      <w:r>
        <w:rPr>
          <w:color w:val="000000"/>
          <w:sz w:val="20"/>
          <w:szCs w:val="20"/>
        </w:rPr>
        <w:t xml:space="preserve">, V., Patel, P., Kumar, S., Gupta, S., &amp; Malik, A. (2024). Role of Socio-Cultural Capital and Country-Level Affluence in Ethical Consumerism. </w:t>
      </w:r>
      <w:r>
        <w:rPr>
          <w:i/>
          <w:iCs/>
          <w:color w:val="000000"/>
          <w:sz w:val="20"/>
          <w:szCs w:val="20"/>
        </w:rPr>
        <w:t>Journal of Business Ethics</w:t>
      </w:r>
      <w:r>
        <w:rPr>
          <w:color w:val="000000"/>
          <w:sz w:val="20"/>
          <w:szCs w:val="20"/>
        </w:rPr>
        <w:t xml:space="preserve">, 191, 697–711. </w:t>
      </w:r>
    </w:p>
    <w:p w14:paraId="0492AD58"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Radović-Marković, M., &amp; </w:t>
      </w:r>
      <w:proofErr w:type="spellStart"/>
      <w:r>
        <w:rPr>
          <w:color w:val="000000"/>
          <w:sz w:val="20"/>
          <w:szCs w:val="20"/>
        </w:rPr>
        <w:t>Achakpa</w:t>
      </w:r>
      <w:proofErr w:type="spellEnd"/>
      <w:r>
        <w:rPr>
          <w:color w:val="000000"/>
          <w:sz w:val="20"/>
          <w:szCs w:val="20"/>
        </w:rPr>
        <w:t xml:space="preserve">, P. (2018). Employment women through entrepreneurship development and education in developing countries. </w:t>
      </w:r>
      <w:r>
        <w:rPr>
          <w:i/>
          <w:iCs/>
          <w:color w:val="000000"/>
          <w:sz w:val="20"/>
          <w:szCs w:val="20"/>
        </w:rPr>
        <w:t>Journal of Women’s Entrepreneurship and Education</w:t>
      </w:r>
      <w:r>
        <w:rPr>
          <w:color w:val="000000"/>
          <w:sz w:val="20"/>
          <w:szCs w:val="20"/>
        </w:rPr>
        <w:t>, (1-2), 17-30.</w:t>
      </w:r>
    </w:p>
    <w:p w14:paraId="0A10B9FA"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Rasbash</w:t>
      </w:r>
      <w:proofErr w:type="spellEnd"/>
      <w:r>
        <w:rPr>
          <w:color w:val="000000"/>
          <w:sz w:val="20"/>
          <w:szCs w:val="20"/>
        </w:rPr>
        <w:t xml:space="preserve">, J. and Browne, W. (2001). Modelling non-hierarchical structures. In </w:t>
      </w:r>
      <w:r>
        <w:rPr>
          <w:i/>
          <w:iCs/>
          <w:color w:val="000000"/>
          <w:sz w:val="20"/>
          <w:szCs w:val="20"/>
        </w:rPr>
        <w:t xml:space="preserve">Multilevel Modelling of Health Statistics </w:t>
      </w:r>
      <w:r>
        <w:rPr>
          <w:color w:val="000000"/>
          <w:sz w:val="20"/>
          <w:szCs w:val="20"/>
        </w:rPr>
        <w:t>(eds. A. H. Leyland and H. Goldstein). Chichester: Wiley.</w:t>
      </w:r>
    </w:p>
    <w:p w14:paraId="3EBB575B"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Redini</w:t>
      </w:r>
      <w:proofErr w:type="spellEnd"/>
      <w:r>
        <w:rPr>
          <w:color w:val="000000"/>
          <w:sz w:val="20"/>
          <w:szCs w:val="20"/>
        </w:rPr>
        <w:t xml:space="preserve">, V. (2022). Gender and Labor in Supply Chains Capitalism: a Review. </w:t>
      </w:r>
      <w:r>
        <w:rPr>
          <w:i/>
          <w:iCs/>
          <w:color w:val="000000"/>
          <w:sz w:val="20"/>
          <w:szCs w:val="20"/>
        </w:rPr>
        <w:t>Current Sexual Health Reports</w:t>
      </w:r>
      <w:r>
        <w:rPr>
          <w:color w:val="000000"/>
          <w:sz w:val="20"/>
          <w:szCs w:val="20"/>
        </w:rPr>
        <w:t>, 14(4), 239-246.</w:t>
      </w:r>
    </w:p>
    <w:p w14:paraId="341305FE" w14:textId="77777777" w:rsidR="00957269" w:rsidRDefault="00000000">
      <w:pPr>
        <w:ind w:left="432"/>
        <w:jc w:val="both"/>
        <w:rPr>
          <w:color w:val="000000"/>
          <w:sz w:val="20"/>
          <w:szCs w:val="20"/>
        </w:rPr>
      </w:pPr>
      <w:r>
        <w:rPr>
          <w:color w:val="000000"/>
          <w:sz w:val="20"/>
          <w:szCs w:val="20"/>
        </w:rPr>
        <w:lastRenderedPageBreak/>
        <w:t xml:space="preserve">Reinecke, J., &amp; Ansari, S. (2015). When times collide: Temporal brokerage at the intersection of markets and developments. </w:t>
      </w:r>
      <w:r>
        <w:rPr>
          <w:i/>
          <w:iCs/>
          <w:color w:val="000000"/>
          <w:sz w:val="20"/>
          <w:szCs w:val="20"/>
        </w:rPr>
        <w:t>Academy of Management Journal</w:t>
      </w:r>
      <w:r>
        <w:rPr>
          <w:color w:val="000000"/>
          <w:sz w:val="20"/>
          <w:szCs w:val="20"/>
        </w:rPr>
        <w:t>, 58(2), 618-648.</w:t>
      </w:r>
    </w:p>
    <w:p w14:paraId="58D9A322"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Rindfleisch, A., &amp; Heide, J. B. (1997). Transaction cost analysis: Past, present, and future applications.</w:t>
      </w:r>
      <w:r>
        <w:rPr>
          <w:i/>
          <w:iCs/>
          <w:color w:val="000000"/>
          <w:sz w:val="20"/>
          <w:szCs w:val="20"/>
        </w:rPr>
        <w:t xml:space="preserve"> Journal of Marketing</w:t>
      </w:r>
      <w:r>
        <w:rPr>
          <w:color w:val="000000"/>
          <w:sz w:val="20"/>
          <w:szCs w:val="20"/>
        </w:rPr>
        <w:t>, 61(4), 30-54.</w:t>
      </w:r>
    </w:p>
    <w:p w14:paraId="30544298" w14:textId="77777777" w:rsidR="00957269" w:rsidRDefault="00000000">
      <w:pPr>
        <w:pBdr>
          <w:top w:val="nil"/>
          <w:left w:val="nil"/>
          <w:bottom w:val="nil"/>
          <w:right w:val="nil"/>
          <w:between w:val="nil"/>
        </w:pBdr>
        <w:ind w:left="432" w:hanging="432"/>
        <w:jc w:val="both"/>
        <w:rPr>
          <w:sz w:val="20"/>
          <w:szCs w:val="20"/>
        </w:rPr>
      </w:pPr>
      <w:proofErr w:type="spellStart"/>
      <w:r>
        <w:rPr>
          <w:color w:val="000000"/>
          <w:sz w:val="20"/>
          <w:szCs w:val="20"/>
        </w:rPr>
        <w:t>Roudi</w:t>
      </w:r>
      <w:proofErr w:type="spellEnd"/>
      <w:r>
        <w:rPr>
          <w:color w:val="000000"/>
          <w:sz w:val="20"/>
          <w:szCs w:val="20"/>
        </w:rPr>
        <w:t xml:space="preserve">-Fahimi, F., &amp; Moghadam, V. M. (2003). </w:t>
      </w:r>
      <w:r>
        <w:rPr>
          <w:i/>
          <w:iCs/>
          <w:color w:val="000000"/>
          <w:sz w:val="20"/>
          <w:szCs w:val="20"/>
        </w:rPr>
        <w:t>Empowering women, developing society: Female education in the Middle East and North Africa</w:t>
      </w:r>
      <w:r>
        <w:rPr>
          <w:color w:val="000000"/>
          <w:sz w:val="20"/>
          <w:szCs w:val="20"/>
        </w:rPr>
        <w:t xml:space="preserve">. Population Reference Bureau. Retrieved May 3, 2024, from </w:t>
      </w:r>
      <w:hyperlink r:id="rId32">
        <w:r w:rsidR="00957269">
          <w:rPr>
            <w:color w:val="1155CC"/>
            <w:sz w:val="20"/>
            <w:szCs w:val="20"/>
            <w:u w:val="single"/>
          </w:rPr>
          <w:t>https://www.prb.org/resources/empowering-women-developing-society-female-education-in-the-middle-east-and-north-africa/</w:t>
        </w:r>
      </w:hyperlink>
    </w:p>
    <w:p w14:paraId="2B8B82A2" w14:textId="77777777" w:rsidR="00957269" w:rsidRDefault="00000000">
      <w:pPr>
        <w:pBdr>
          <w:top w:val="nil"/>
          <w:left w:val="nil"/>
          <w:bottom w:val="nil"/>
          <w:right w:val="nil"/>
          <w:between w:val="nil"/>
        </w:pBdr>
        <w:ind w:left="432" w:hanging="432"/>
        <w:jc w:val="both"/>
        <w:rPr>
          <w:sz w:val="20"/>
          <w:szCs w:val="20"/>
        </w:rPr>
      </w:pPr>
      <w:r w:rsidRPr="00AF137A">
        <w:rPr>
          <w:color w:val="000000"/>
          <w:sz w:val="20"/>
          <w:szCs w:val="20"/>
          <w:lang w:val="es-ES"/>
        </w:rPr>
        <w:t xml:space="preserve">Ruel, S., Silva, M., Fritz, M., &amp; Jaegler, A. (2022). </w:t>
      </w:r>
      <w:hyperlink r:id="rId33">
        <w:r w:rsidR="00957269">
          <w:rPr>
            <w:i/>
            <w:iCs/>
            <w:color w:val="000000"/>
            <w:sz w:val="20"/>
            <w:szCs w:val="20"/>
          </w:rPr>
          <w:t>Gender Diversity for Supply Chain Sustainability</w:t>
        </w:r>
      </w:hyperlink>
      <w:hyperlink r:id="rId34">
        <w:r w:rsidR="00957269">
          <w:rPr>
            <w:color w:val="000000"/>
            <w:sz w:val="20"/>
            <w:szCs w:val="20"/>
          </w:rPr>
          <w:t>. In: Sarkis, J. (eds). The Palgrave Handbook of Supply Chain Management. Springer.</w:t>
        </w:r>
      </w:hyperlink>
      <w:r>
        <w:rPr>
          <w:sz w:val="20"/>
          <w:szCs w:val="20"/>
        </w:rPr>
        <w:t xml:space="preserve"> </w:t>
      </w:r>
      <w:r>
        <w:rPr>
          <w:color w:val="1155CC"/>
          <w:sz w:val="20"/>
          <w:szCs w:val="20"/>
          <w:u w:val="single"/>
        </w:rPr>
        <w:t>https://doi.org/10.1007/978-3-030-89822-9_14-1</w:t>
      </w:r>
    </w:p>
    <w:p w14:paraId="221F4A49"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Singh, S. (2022), ‘Role of Education in Inculcating the Value’, </w:t>
      </w:r>
      <w:r>
        <w:rPr>
          <w:i/>
          <w:iCs/>
          <w:color w:val="000000"/>
          <w:sz w:val="20"/>
          <w:szCs w:val="20"/>
        </w:rPr>
        <w:t>Values and Education</w:t>
      </w:r>
      <w:r>
        <w:rPr>
          <w:color w:val="000000"/>
          <w:sz w:val="20"/>
          <w:szCs w:val="20"/>
        </w:rPr>
        <w:t xml:space="preserve"> (1st ed., pp. 200-209). Neel Kamal Prakashan.</w:t>
      </w:r>
    </w:p>
    <w:p w14:paraId="2571864C"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Santos, H., &amp; Grossmann, I. (2017). </w:t>
      </w:r>
      <w:r>
        <w:rPr>
          <w:i/>
          <w:iCs/>
          <w:color w:val="000000"/>
          <w:sz w:val="20"/>
          <w:szCs w:val="20"/>
        </w:rPr>
        <w:t>Individualistic practices and values increasing around the world</w:t>
      </w:r>
      <w:r>
        <w:rPr>
          <w:color w:val="000000"/>
          <w:sz w:val="20"/>
          <w:szCs w:val="20"/>
        </w:rPr>
        <w:t>. Association for Psychological Sciences.</w:t>
      </w:r>
      <w:r>
        <w:rPr>
          <w:rFonts w:ascii="Arial" w:eastAsia="Arial" w:hAnsi="Arial" w:cs="Arial"/>
          <w:color w:val="000000"/>
          <w:sz w:val="20"/>
          <w:szCs w:val="20"/>
          <w:highlight w:val="white"/>
        </w:rPr>
        <w:t xml:space="preserve"> </w:t>
      </w:r>
      <w:r>
        <w:rPr>
          <w:color w:val="000000"/>
          <w:sz w:val="20"/>
          <w:szCs w:val="20"/>
        </w:rPr>
        <w:t xml:space="preserve">Retrieved July 26, 2024, from </w:t>
      </w:r>
      <w:hyperlink r:id="rId35">
        <w:r w:rsidR="00957269">
          <w:rPr>
            <w:color w:val="1155CC"/>
            <w:sz w:val="20"/>
            <w:szCs w:val="20"/>
            <w:u w:val="single"/>
          </w:rPr>
          <w:t>https://www.psychologicalscience.org/news/releases/individualistic-practices-and-values-increasing-around-the-world.html</w:t>
        </w:r>
      </w:hyperlink>
      <w:r>
        <w:rPr>
          <w:sz w:val="20"/>
          <w:szCs w:val="20"/>
        </w:rPr>
        <w:t xml:space="preserve"> </w:t>
      </w:r>
    </w:p>
    <w:p w14:paraId="0F39D8CB"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Scherer, A. G. and Palazzo, G. (2011). ‘The New Political Role of Business in a Globalized World: A Review of a New Perspective on CSR and its Implications for the Firm, Governance, and Democracy’, </w:t>
      </w:r>
      <w:r>
        <w:rPr>
          <w:i/>
          <w:iCs/>
          <w:color w:val="000000"/>
          <w:sz w:val="20"/>
          <w:szCs w:val="20"/>
        </w:rPr>
        <w:t>Journal of Management Studies</w:t>
      </w:r>
      <w:r>
        <w:rPr>
          <w:color w:val="000000"/>
          <w:sz w:val="20"/>
          <w:szCs w:val="20"/>
        </w:rPr>
        <w:t>, 48(4), 899-931.</w:t>
      </w:r>
    </w:p>
    <w:p w14:paraId="393EACA7" w14:textId="77777777" w:rsidR="00957269" w:rsidRDefault="00000000">
      <w:pPr>
        <w:pBdr>
          <w:top w:val="nil"/>
          <w:left w:val="nil"/>
          <w:bottom w:val="nil"/>
          <w:right w:val="nil"/>
          <w:between w:val="nil"/>
        </w:pBdr>
        <w:ind w:left="432" w:hanging="432"/>
        <w:jc w:val="both"/>
        <w:rPr>
          <w:sz w:val="20"/>
          <w:szCs w:val="20"/>
        </w:rPr>
      </w:pPr>
      <w:r>
        <w:rPr>
          <w:sz w:val="20"/>
          <w:szCs w:val="20"/>
        </w:rPr>
        <w:t xml:space="preserve">Schrempf-Stirling, J., &amp; Palazzo, G. (2016). Upstream corporate social responsibility: The evolution from contract responsibility to full producer responsibility. </w:t>
      </w:r>
      <w:r>
        <w:rPr>
          <w:i/>
          <w:iCs/>
          <w:sz w:val="20"/>
          <w:szCs w:val="20"/>
        </w:rPr>
        <w:t>Business &amp; Society, 55</w:t>
      </w:r>
      <w:r>
        <w:rPr>
          <w:sz w:val="20"/>
          <w:szCs w:val="20"/>
        </w:rPr>
        <w:t xml:space="preserve">(4), 491-527. </w:t>
      </w:r>
    </w:p>
    <w:p w14:paraId="34725265"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Soundararajan, V., &amp; Brammer, S. (2018). Developing country </w:t>
      </w:r>
      <w:proofErr w:type="spellStart"/>
      <w:r>
        <w:rPr>
          <w:color w:val="000000"/>
          <w:sz w:val="20"/>
          <w:szCs w:val="20"/>
        </w:rPr>
        <w:t>subsupplier</w:t>
      </w:r>
      <w:proofErr w:type="spellEnd"/>
      <w:r>
        <w:rPr>
          <w:color w:val="000000"/>
          <w:sz w:val="20"/>
          <w:szCs w:val="20"/>
        </w:rPr>
        <w:t xml:space="preserve"> responses to social sustainability requirements of intermediaries: Exploring the influence of framing on fairness perceptions and reciprocity. </w:t>
      </w:r>
      <w:r>
        <w:rPr>
          <w:i/>
          <w:iCs/>
          <w:color w:val="000000"/>
          <w:sz w:val="20"/>
          <w:szCs w:val="20"/>
        </w:rPr>
        <w:t>Journal of Operations Management</w:t>
      </w:r>
      <w:r>
        <w:rPr>
          <w:color w:val="000000"/>
          <w:sz w:val="20"/>
          <w:szCs w:val="20"/>
        </w:rPr>
        <w:t xml:space="preserve">, </w:t>
      </w:r>
      <w:r>
        <w:rPr>
          <w:i/>
          <w:iCs/>
          <w:color w:val="000000"/>
          <w:sz w:val="20"/>
          <w:szCs w:val="20"/>
        </w:rPr>
        <w:t>58,</w:t>
      </w:r>
      <w:r>
        <w:rPr>
          <w:color w:val="000000"/>
          <w:sz w:val="20"/>
          <w:szCs w:val="20"/>
        </w:rPr>
        <w:t xml:space="preserve"> 42-58.</w:t>
      </w:r>
    </w:p>
    <w:p w14:paraId="20CFAA5C"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Soundararajan, V., Wilhelm, M. M., &amp; Crane, A. (2021). Humanizing research on working conditions in supply chains: Building a path to decent work. </w:t>
      </w:r>
      <w:r>
        <w:rPr>
          <w:i/>
          <w:iCs/>
          <w:color w:val="000000"/>
          <w:sz w:val="20"/>
          <w:szCs w:val="20"/>
        </w:rPr>
        <w:t>Journal of Supply Chain Management</w:t>
      </w:r>
      <w:r>
        <w:rPr>
          <w:color w:val="000000"/>
          <w:sz w:val="20"/>
          <w:szCs w:val="20"/>
        </w:rPr>
        <w:t>, 57(2), 3-13.</w:t>
      </w:r>
    </w:p>
    <w:p w14:paraId="59C751B4"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Sousa, C. M., &amp; Bradley, F. (2008). Cultural distance and psychic distance: Refinements in conceptualisation and measurement. </w:t>
      </w:r>
      <w:r>
        <w:rPr>
          <w:i/>
          <w:iCs/>
          <w:color w:val="000000"/>
          <w:sz w:val="20"/>
          <w:szCs w:val="20"/>
        </w:rPr>
        <w:t>Journal of Marketing Management</w:t>
      </w:r>
      <w:r>
        <w:rPr>
          <w:color w:val="000000"/>
          <w:sz w:val="20"/>
          <w:szCs w:val="20"/>
        </w:rPr>
        <w:t>, 24(5-6), 467-488</w:t>
      </w:r>
    </w:p>
    <w:p w14:paraId="4E964EC4"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Soundararajan, V., &amp; Brown, J. A. (2016). Voluntary governance mechanisms in global supply chains: Beyond CSR to a stakeholder utility perspective. </w:t>
      </w:r>
      <w:r>
        <w:rPr>
          <w:i/>
          <w:iCs/>
          <w:color w:val="000000"/>
          <w:sz w:val="20"/>
          <w:szCs w:val="20"/>
        </w:rPr>
        <w:t>Journal of Business Ethics</w:t>
      </w:r>
      <w:r>
        <w:rPr>
          <w:color w:val="000000"/>
          <w:sz w:val="20"/>
          <w:szCs w:val="20"/>
        </w:rPr>
        <w:t xml:space="preserve">, </w:t>
      </w:r>
      <w:r>
        <w:rPr>
          <w:i/>
          <w:iCs/>
          <w:color w:val="000000"/>
          <w:sz w:val="20"/>
          <w:szCs w:val="20"/>
        </w:rPr>
        <w:t>134</w:t>
      </w:r>
      <w:r>
        <w:rPr>
          <w:color w:val="000000"/>
          <w:sz w:val="20"/>
          <w:szCs w:val="20"/>
        </w:rPr>
        <w:t>(1), 83-102.</w:t>
      </w:r>
    </w:p>
    <w:p w14:paraId="77589003"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highlight w:val="white"/>
        </w:rPr>
        <w:t xml:space="preserve">Stevenson, M., &amp; Cole, R. (2018). Modern slavery in supply chains: a secondary data analysis of detection, remediation and disclosure. </w:t>
      </w:r>
      <w:r>
        <w:rPr>
          <w:i/>
          <w:iCs/>
          <w:color w:val="000000"/>
          <w:sz w:val="20"/>
          <w:szCs w:val="20"/>
        </w:rPr>
        <w:t>Supply Chain Management: An International Journal</w:t>
      </w:r>
      <w:r>
        <w:rPr>
          <w:color w:val="000000"/>
          <w:sz w:val="20"/>
          <w:szCs w:val="20"/>
        </w:rPr>
        <w:t xml:space="preserve">, </w:t>
      </w:r>
      <w:r>
        <w:rPr>
          <w:i/>
          <w:iCs/>
          <w:color w:val="000000"/>
          <w:sz w:val="20"/>
          <w:szCs w:val="20"/>
        </w:rPr>
        <w:t>23</w:t>
      </w:r>
      <w:r>
        <w:rPr>
          <w:color w:val="000000"/>
          <w:sz w:val="20"/>
          <w:szCs w:val="20"/>
        </w:rPr>
        <w:t>(2), 81-99.</w:t>
      </w:r>
    </w:p>
    <w:p w14:paraId="1B99C8FD"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Stock, G. N., Greis, N. P. &amp; Kasarda, J. D. (2000). Enterprise Logistics and Supply Chain Structure: The Role of Fit. </w:t>
      </w:r>
      <w:r>
        <w:rPr>
          <w:i/>
          <w:iCs/>
          <w:color w:val="000000"/>
          <w:sz w:val="20"/>
          <w:szCs w:val="20"/>
        </w:rPr>
        <w:t>Journal of Operations Management</w:t>
      </w:r>
      <w:r>
        <w:rPr>
          <w:color w:val="000000"/>
          <w:sz w:val="20"/>
          <w:szCs w:val="20"/>
        </w:rPr>
        <w:t>, 18, 531-547.</w:t>
      </w:r>
    </w:p>
    <w:p w14:paraId="75C05C29" w14:textId="77777777" w:rsidR="00957269" w:rsidRDefault="00000000">
      <w:pPr>
        <w:pBdr>
          <w:top w:val="nil"/>
          <w:left w:val="nil"/>
          <w:bottom w:val="nil"/>
          <w:right w:val="nil"/>
          <w:between w:val="nil"/>
        </w:pBdr>
        <w:ind w:left="432" w:hanging="432"/>
        <w:jc w:val="both"/>
        <w:rPr>
          <w:sz w:val="20"/>
          <w:szCs w:val="20"/>
          <w:highlight w:val="white"/>
        </w:rPr>
      </w:pPr>
      <w:r>
        <w:rPr>
          <w:color w:val="000000"/>
          <w:sz w:val="20"/>
          <w:szCs w:val="20"/>
        </w:rPr>
        <w:t xml:space="preserve">Svarer, C., Meiers, R., &amp; Rothmeier, B. (2020). </w:t>
      </w:r>
      <w:r>
        <w:rPr>
          <w:i/>
          <w:iCs/>
          <w:color w:val="000000"/>
          <w:sz w:val="20"/>
          <w:szCs w:val="20"/>
        </w:rPr>
        <w:t>Empowering Female Workers in the Apparel Industry: Three Areas for Business Action: Reports.</w:t>
      </w:r>
      <w:r>
        <w:rPr>
          <w:color w:val="000000"/>
          <w:sz w:val="20"/>
          <w:szCs w:val="20"/>
        </w:rPr>
        <w:t xml:space="preserve"> Retrieved July 26, 2024, from </w:t>
      </w:r>
      <w:hyperlink r:id="rId36">
        <w:r w:rsidR="00957269">
          <w:rPr>
            <w:color w:val="1155CC"/>
            <w:sz w:val="20"/>
            <w:szCs w:val="20"/>
            <w:u w:val="single"/>
          </w:rPr>
          <w:t>BSR_Empowering_Female_Workers_in_the_Apparel_Industry.pdf</w:t>
        </w:r>
      </w:hyperlink>
    </w:p>
    <w:p w14:paraId="6F9C9152" w14:textId="77777777" w:rsidR="00957269" w:rsidRDefault="00000000">
      <w:pPr>
        <w:pBdr>
          <w:top w:val="nil"/>
          <w:left w:val="nil"/>
          <w:bottom w:val="nil"/>
          <w:right w:val="nil"/>
          <w:between w:val="nil"/>
        </w:pBdr>
        <w:ind w:left="432" w:hanging="432"/>
        <w:jc w:val="both"/>
        <w:rPr>
          <w:color w:val="000000"/>
          <w:sz w:val="20"/>
          <w:szCs w:val="20"/>
          <w:highlight w:val="white"/>
        </w:rPr>
      </w:pPr>
      <w:proofErr w:type="spellStart"/>
      <w:r>
        <w:rPr>
          <w:color w:val="000000"/>
          <w:sz w:val="20"/>
          <w:szCs w:val="20"/>
          <w:highlight w:val="white"/>
        </w:rPr>
        <w:t>Sidani</w:t>
      </w:r>
      <w:proofErr w:type="spellEnd"/>
      <w:r>
        <w:rPr>
          <w:color w:val="000000"/>
          <w:sz w:val="20"/>
          <w:szCs w:val="20"/>
          <w:highlight w:val="white"/>
        </w:rPr>
        <w:t xml:space="preserve">, Y. (2013). “Gender and leadership in the Arab world: A critical review.” </w:t>
      </w:r>
      <w:r>
        <w:rPr>
          <w:i/>
          <w:iCs/>
          <w:color w:val="000000"/>
          <w:sz w:val="20"/>
          <w:szCs w:val="20"/>
          <w:highlight w:val="white"/>
        </w:rPr>
        <w:t>Gender in Management: An International Journal</w:t>
      </w:r>
      <w:r>
        <w:rPr>
          <w:color w:val="000000"/>
          <w:sz w:val="20"/>
          <w:szCs w:val="20"/>
          <w:highlight w:val="white"/>
        </w:rPr>
        <w:t xml:space="preserve">, 28(7), 364-379. </w:t>
      </w:r>
    </w:p>
    <w:p w14:paraId="647FDD84" w14:textId="77777777" w:rsidR="00957269" w:rsidRDefault="00000000">
      <w:pPr>
        <w:pBdr>
          <w:top w:val="nil"/>
          <w:left w:val="nil"/>
          <w:bottom w:val="nil"/>
          <w:right w:val="nil"/>
          <w:between w:val="nil"/>
        </w:pBdr>
        <w:ind w:left="432" w:hanging="432"/>
        <w:jc w:val="both"/>
        <w:rPr>
          <w:color w:val="000000"/>
          <w:sz w:val="20"/>
          <w:szCs w:val="20"/>
          <w:highlight w:val="white"/>
        </w:rPr>
      </w:pPr>
      <w:r>
        <w:rPr>
          <w:color w:val="000000"/>
          <w:sz w:val="20"/>
          <w:szCs w:val="20"/>
          <w:highlight w:val="white"/>
        </w:rPr>
        <w:t xml:space="preserve">Samans, R., &amp; Nelson, J. (2022). </w:t>
      </w:r>
      <w:r>
        <w:rPr>
          <w:i/>
          <w:iCs/>
          <w:color w:val="000000"/>
          <w:sz w:val="20"/>
          <w:szCs w:val="20"/>
          <w:highlight w:val="white"/>
        </w:rPr>
        <w:t>Corporate governance and oversight.</w:t>
      </w:r>
      <w:r>
        <w:rPr>
          <w:color w:val="000000"/>
          <w:sz w:val="20"/>
          <w:szCs w:val="20"/>
          <w:highlight w:val="white"/>
        </w:rPr>
        <w:t xml:space="preserve"> In Sustainable Enterprise Value Creation: Implementing Stakeholder Capitalism through Full ESG Integration (pp. 103-140). Cham: Springer International Publishing.</w:t>
      </w:r>
    </w:p>
    <w:p w14:paraId="1861EBFE"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Sealy, R., </w:t>
      </w:r>
      <w:proofErr w:type="spellStart"/>
      <w:r>
        <w:rPr>
          <w:color w:val="000000"/>
          <w:sz w:val="20"/>
          <w:szCs w:val="20"/>
        </w:rPr>
        <w:t>Doldor</w:t>
      </w:r>
      <w:proofErr w:type="spellEnd"/>
      <w:r>
        <w:rPr>
          <w:color w:val="000000"/>
          <w:sz w:val="20"/>
          <w:szCs w:val="20"/>
        </w:rPr>
        <w:t xml:space="preserve">, E. &amp; </w:t>
      </w:r>
      <w:proofErr w:type="spellStart"/>
      <w:r>
        <w:rPr>
          <w:color w:val="000000"/>
          <w:sz w:val="20"/>
          <w:szCs w:val="20"/>
        </w:rPr>
        <w:t>Vinnicombe</w:t>
      </w:r>
      <w:proofErr w:type="spellEnd"/>
      <w:r>
        <w:rPr>
          <w:color w:val="000000"/>
          <w:sz w:val="20"/>
          <w:szCs w:val="20"/>
        </w:rPr>
        <w:t>, S. (2009). Increasing diversity on public and private sector boards - Part 2. What is being done to improve diversity on boards and how effective is this? Government Equalities Office, London.</w:t>
      </w:r>
    </w:p>
    <w:p w14:paraId="7FA73D58" w14:textId="77777777" w:rsidR="00957269" w:rsidRDefault="00000000">
      <w:pPr>
        <w:pBdr>
          <w:top w:val="nil"/>
          <w:left w:val="nil"/>
          <w:bottom w:val="nil"/>
          <w:right w:val="nil"/>
          <w:between w:val="nil"/>
        </w:pBdr>
        <w:ind w:left="432" w:hanging="432"/>
        <w:jc w:val="both"/>
        <w:rPr>
          <w:color w:val="000000"/>
          <w:sz w:val="20"/>
          <w:szCs w:val="20"/>
        </w:rPr>
      </w:pPr>
      <w:proofErr w:type="spellStart"/>
      <w:r>
        <w:rPr>
          <w:color w:val="000000"/>
          <w:sz w:val="20"/>
          <w:szCs w:val="20"/>
        </w:rPr>
        <w:t>StatInvestor</w:t>
      </w:r>
      <w:proofErr w:type="spellEnd"/>
      <w:r>
        <w:rPr>
          <w:color w:val="000000"/>
          <w:sz w:val="20"/>
          <w:szCs w:val="20"/>
        </w:rPr>
        <w:t>. (2024). </w:t>
      </w:r>
      <w:r>
        <w:rPr>
          <w:i/>
          <w:iCs/>
          <w:color w:val="000000"/>
          <w:sz w:val="20"/>
          <w:szCs w:val="20"/>
        </w:rPr>
        <w:t>Nike market share in athletic footwear</w:t>
      </w:r>
      <w:r>
        <w:rPr>
          <w:color w:val="000000"/>
          <w:sz w:val="20"/>
          <w:szCs w:val="20"/>
        </w:rPr>
        <w:t>. Retrieved August 16, 2024, from https://statinvestor.com/data/3394/nike-market-share-in-athletic-footwear/</w:t>
      </w:r>
    </w:p>
    <w:p w14:paraId="4DE96383" w14:textId="77777777" w:rsidR="00957269" w:rsidRDefault="00000000">
      <w:pPr>
        <w:pBdr>
          <w:top w:val="nil"/>
          <w:left w:val="nil"/>
          <w:bottom w:val="nil"/>
          <w:right w:val="nil"/>
          <w:between w:val="nil"/>
        </w:pBdr>
        <w:ind w:left="432" w:hanging="432"/>
        <w:jc w:val="both"/>
        <w:rPr>
          <w:color w:val="000000"/>
          <w:sz w:val="20"/>
          <w:szCs w:val="20"/>
          <w:highlight w:val="white"/>
        </w:rPr>
      </w:pPr>
      <w:r>
        <w:rPr>
          <w:color w:val="000000"/>
          <w:sz w:val="20"/>
          <w:szCs w:val="20"/>
          <w:highlight w:val="white"/>
        </w:rPr>
        <w:t xml:space="preserve">Tandon, A., Dhir, A., Kaur, P., &amp; Ogbonnaya, C. (2025). Ethical Sourcing and Decision Making in the Fashion Industry: A Longitudinal Qualitative Examination, </w:t>
      </w:r>
      <w:r>
        <w:rPr>
          <w:i/>
          <w:iCs/>
          <w:color w:val="000000"/>
          <w:sz w:val="20"/>
          <w:szCs w:val="20"/>
          <w:highlight w:val="white"/>
        </w:rPr>
        <w:t>Journal of Business Ethics</w:t>
      </w:r>
      <w:r>
        <w:rPr>
          <w:color w:val="000000"/>
          <w:sz w:val="20"/>
          <w:szCs w:val="20"/>
          <w:highlight w:val="white"/>
        </w:rPr>
        <w:t xml:space="preserve">, </w:t>
      </w:r>
      <w:r>
        <w:rPr>
          <w:i/>
          <w:iCs/>
          <w:color w:val="000000"/>
          <w:sz w:val="20"/>
          <w:szCs w:val="20"/>
          <w:highlight w:val="white"/>
        </w:rPr>
        <w:t>196</w:t>
      </w:r>
      <w:r>
        <w:rPr>
          <w:color w:val="000000"/>
          <w:sz w:val="20"/>
          <w:szCs w:val="20"/>
          <w:highlight w:val="white"/>
        </w:rPr>
        <w:t>(4), 723-751.</w:t>
      </w:r>
    </w:p>
    <w:p w14:paraId="0D9B6CE3" w14:textId="77777777" w:rsidR="00957269" w:rsidRDefault="00000000">
      <w:pPr>
        <w:pBdr>
          <w:top w:val="nil"/>
          <w:left w:val="nil"/>
          <w:bottom w:val="nil"/>
          <w:right w:val="nil"/>
          <w:between w:val="nil"/>
        </w:pBdr>
        <w:ind w:left="432" w:hanging="432"/>
        <w:jc w:val="both"/>
        <w:rPr>
          <w:color w:val="000000"/>
          <w:sz w:val="20"/>
          <w:szCs w:val="20"/>
          <w:highlight w:val="white"/>
        </w:rPr>
      </w:pPr>
      <w:r>
        <w:rPr>
          <w:color w:val="000000"/>
          <w:sz w:val="20"/>
          <w:szCs w:val="20"/>
          <w:highlight w:val="white"/>
        </w:rPr>
        <w:t xml:space="preserve">Tang, C.S. and Tomlin, B. (2008). The Power of flexibility for mitigating supply chain risks, </w:t>
      </w:r>
      <w:r>
        <w:rPr>
          <w:i/>
          <w:iCs/>
          <w:color w:val="000000"/>
          <w:sz w:val="20"/>
          <w:szCs w:val="20"/>
          <w:highlight w:val="white"/>
        </w:rPr>
        <w:t>International Journal of Production Economics</w:t>
      </w:r>
      <w:r>
        <w:rPr>
          <w:color w:val="000000"/>
          <w:sz w:val="20"/>
          <w:szCs w:val="20"/>
          <w:highlight w:val="white"/>
        </w:rPr>
        <w:t>, Vol. 116(1) 12-27.</w:t>
      </w:r>
    </w:p>
    <w:p w14:paraId="1EAD0135" w14:textId="77777777" w:rsidR="00957269" w:rsidRDefault="00000000">
      <w:pPr>
        <w:ind w:left="432" w:hanging="432"/>
        <w:jc w:val="both"/>
        <w:rPr>
          <w:sz w:val="20"/>
          <w:szCs w:val="20"/>
        </w:rPr>
      </w:pPr>
      <w:r>
        <w:rPr>
          <w:color w:val="000000"/>
          <w:sz w:val="20"/>
          <w:szCs w:val="20"/>
        </w:rPr>
        <w:t xml:space="preserve">Tang, H. &amp; Zhang, Y. (2021). Do multinationals transfer culture? Evidence on female employment in China. </w:t>
      </w:r>
      <w:r>
        <w:rPr>
          <w:i/>
          <w:iCs/>
          <w:color w:val="000000"/>
          <w:sz w:val="20"/>
          <w:szCs w:val="20"/>
        </w:rPr>
        <w:t>Journal of International Economics</w:t>
      </w:r>
      <w:r>
        <w:rPr>
          <w:color w:val="000000"/>
          <w:sz w:val="20"/>
          <w:szCs w:val="20"/>
        </w:rPr>
        <w:t xml:space="preserve">, </w:t>
      </w:r>
      <w:r>
        <w:rPr>
          <w:i/>
          <w:iCs/>
          <w:color w:val="000000"/>
          <w:sz w:val="20"/>
          <w:szCs w:val="20"/>
        </w:rPr>
        <w:t>133</w:t>
      </w:r>
      <w:r>
        <w:rPr>
          <w:color w:val="000000"/>
          <w:sz w:val="20"/>
          <w:szCs w:val="20"/>
        </w:rPr>
        <w:t>, 103518</w:t>
      </w:r>
      <w:r>
        <w:rPr>
          <w:sz w:val="20"/>
          <w:szCs w:val="20"/>
        </w:rPr>
        <w:t xml:space="preserve">. </w:t>
      </w:r>
      <w:hyperlink r:id="rId37">
        <w:r w:rsidR="00957269">
          <w:rPr>
            <w:color w:val="1155CC"/>
            <w:sz w:val="20"/>
            <w:szCs w:val="20"/>
            <w:u w:val="single"/>
          </w:rPr>
          <w:t>https://doi.org/10.1016/j.jinteco.2021.103518</w:t>
        </w:r>
      </w:hyperlink>
    </w:p>
    <w:p w14:paraId="6E13FF54" w14:textId="77777777" w:rsidR="00957269" w:rsidRDefault="00000000">
      <w:pPr>
        <w:ind w:left="432" w:hanging="432"/>
        <w:rPr>
          <w:color w:val="000000"/>
          <w:sz w:val="19"/>
          <w:szCs w:val="19"/>
          <w:u w:val="single"/>
        </w:rPr>
      </w:pPr>
      <w:r>
        <w:rPr>
          <w:color w:val="000000"/>
          <w:sz w:val="20"/>
          <w:szCs w:val="20"/>
        </w:rPr>
        <w:t xml:space="preserve">Terjesen, S., Sealy, R., &amp; Singh, V. (2009). Women Directors on Corporate Boards: A Review and Research Agenda. </w:t>
      </w:r>
      <w:r>
        <w:rPr>
          <w:i/>
          <w:iCs/>
          <w:color w:val="000000"/>
          <w:sz w:val="20"/>
          <w:szCs w:val="20"/>
        </w:rPr>
        <w:t xml:space="preserve">Corporate Governance: An International Review, </w:t>
      </w:r>
      <w:r>
        <w:rPr>
          <w:color w:val="000000"/>
          <w:sz w:val="20"/>
          <w:szCs w:val="20"/>
        </w:rPr>
        <w:t>17(3), 320-337.</w:t>
      </w:r>
    </w:p>
    <w:p w14:paraId="103738BF" w14:textId="77777777" w:rsidR="00957269" w:rsidRDefault="00000000">
      <w:pPr>
        <w:ind w:left="432" w:hanging="432"/>
        <w:rPr>
          <w:color w:val="000000"/>
          <w:sz w:val="20"/>
          <w:szCs w:val="20"/>
        </w:rPr>
      </w:pPr>
      <w:r>
        <w:rPr>
          <w:color w:val="000000"/>
          <w:sz w:val="20"/>
          <w:szCs w:val="20"/>
        </w:rPr>
        <w:t xml:space="preserve">Triana, M. del C. (2017). </w:t>
      </w:r>
      <w:r>
        <w:rPr>
          <w:i/>
          <w:iCs/>
          <w:color w:val="000000"/>
          <w:sz w:val="20"/>
          <w:szCs w:val="20"/>
        </w:rPr>
        <w:t>Managing Diversity in Organizations: A Corporate Communication Perspective</w:t>
      </w:r>
      <w:r>
        <w:rPr>
          <w:color w:val="000000"/>
          <w:sz w:val="20"/>
          <w:szCs w:val="20"/>
        </w:rPr>
        <w:t>. Routledge.</w:t>
      </w:r>
    </w:p>
    <w:p w14:paraId="3188BB59" w14:textId="77777777" w:rsidR="00957269" w:rsidRDefault="00000000">
      <w:pPr>
        <w:ind w:left="432" w:hanging="432"/>
        <w:rPr>
          <w:color w:val="1155CC"/>
          <w:sz w:val="19"/>
          <w:szCs w:val="19"/>
          <w:u w:val="single"/>
        </w:rPr>
      </w:pPr>
      <w:r>
        <w:rPr>
          <w:color w:val="000000"/>
          <w:sz w:val="20"/>
          <w:szCs w:val="20"/>
        </w:rPr>
        <w:t xml:space="preserve">The Guardian. (2020). </w:t>
      </w:r>
      <w:r>
        <w:rPr>
          <w:i/>
          <w:iCs/>
          <w:color w:val="000000"/>
          <w:sz w:val="20"/>
          <w:szCs w:val="20"/>
        </w:rPr>
        <w:t>Boohoo knew of Leicester factory failings, says report</w:t>
      </w:r>
      <w:r>
        <w:rPr>
          <w:color w:val="000000"/>
          <w:sz w:val="20"/>
          <w:szCs w:val="20"/>
        </w:rPr>
        <w:t xml:space="preserve">. Retrieved March 19,, 2024, from </w:t>
      </w:r>
      <w:hyperlink r:id="rId38">
        <w:r w:rsidR="00957269">
          <w:rPr>
            <w:color w:val="1155CC"/>
            <w:sz w:val="20"/>
            <w:szCs w:val="20"/>
            <w:u w:val="single"/>
          </w:rPr>
          <w:t>https://www.theguardian.com/business/2020/sep/25/boohoo-report-reveals-factory-fire-risk-among-supply-chain-failings</w:t>
        </w:r>
      </w:hyperlink>
    </w:p>
    <w:p w14:paraId="65881581" w14:textId="77777777" w:rsidR="00957269" w:rsidRDefault="00000000">
      <w:pPr>
        <w:ind w:left="432" w:hanging="432"/>
        <w:rPr>
          <w:color w:val="1155CC"/>
          <w:sz w:val="19"/>
          <w:szCs w:val="19"/>
          <w:u w:val="single"/>
        </w:rPr>
      </w:pPr>
      <w:r>
        <w:rPr>
          <w:color w:val="000000"/>
          <w:sz w:val="20"/>
          <w:szCs w:val="20"/>
        </w:rPr>
        <w:lastRenderedPageBreak/>
        <w:t xml:space="preserve">Thomas, L. (2021). </w:t>
      </w:r>
      <w:r>
        <w:rPr>
          <w:i/>
          <w:iCs/>
          <w:color w:val="000000"/>
          <w:sz w:val="20"/>
          <w:szCs w:val="20"/>
        </w:rPr>
        <w:t xml:space="preserve">Nike sets fresh diversity targets for 2025, and ties executive compensation to hitting them. </w:t>
      </w:r>
      <w:r>
        <w:rPr>
          <w:color w:val="000000"/>
          <w:sz w:val="20"/>
          <w:szCs w:val="20"/>
        </w:rPr>
        <w:t xml:space="preserve">Retrieved May 3, 2024, from </w:t>
      </w:r>
      <w:hyperlink r:id="rId39">
        <w:r w:rsidR="00957269">
          <w:rPr>
            <w:color w:val="1155CC"/>
            <w:sz w:val="19"/>
            <w:szCs w:val="19"/>
            <w:u w:val="single"/>
          </w:rPr>
          <w:t>https://www.cnbc.com/2021/03/11/nike-sets-diversity-goals-for-2025-ties-executive-comp-back-to-them.html</w:t>
        </w:r>
      </w:hyperlink>
    </w:p>
    <w:p w14:paraId="30ADDD57" w14:textId="77777777" w:rsidR="00957269" w:rsidRDefault="00000000">
      <w:pPr>
        <w:ind w:left="432" w:hanging="432"/>
        <w:rPr>
          <w:color w:val="000000"/>
          <w:sz w:val="19"/>
          <w:szCs w:val="19"/>
          <w:u w:val="single"/>
        </w:rPr>
      </w:pPr>
      <w:proofErr w:type="spellStart"/>
      <w:r>
        <w:rPr>
          <w:color w:val="000000"/>
          <w:sz w:val="20"/>
          <w:szCs w:val="20"/>
        </w:rPr>
        <w:t>Thye</w:t>
      </w:r>
      <w:proofErr w:type="spellEnd"/>
      <w:r>
        <w:rPr>
          <w:color w:val="000000"/>
          <w:sz w:val="20"/>
          <w:szCs w:val="20"/>
        </w:rPr>
        <w:t xml:space="preserve">, S. R., Lawler, E. J., &amp; Yoon, J. (2011). The emergence of embedded relations and group formation in networks of competition. </w:t>
      </w:r>
      <w:r>
        <w:rPr>
          <w:i/>
          <w:iCs/>
          <w:color w:val="000000"/>
          <w:sz w:val="20"/>
          <w:szCs w:val="20"/>
        </w:rPr>
        <w:t>Social Psychology Quarterly</w:t>
      </w:r>
      <w:r>
        <w:rPr>
          <w:color w:val="000000"/>
          <w:sz w:val="20"/>
          <w:szCs w:val="20"/>
        </w:rPr>
        <w:t>, 74, 387-413</w:t>
      </w:r>
    </w:p>
    <w:p w14:paraId="19112687" w14:textId="77777777" w:rsidR="00957269" w:rsidRDefault="00000000">
      <w:pPr>
        <w:ind w:left="432" w:hanging="432"/>
        <w:rPr>
          <w:color w:val="1155CC"/>
          <w:sz w:val="19"/>
          <w:szCs w:val="19"/>
          <w:highlight w:val="yellow"/>
          <w:u w:val="single"/>
        </w:rPr>
      </w:pPr>
      <w:r>
        <w:rPr>
          <w:color w:val="000000"/>
          <w:sz w:val="20"/>
          <w:szCs w:val="20"/>
        </w:rPr>
        <w:t xml:space="preserve">Tourigny, L., Han, J., Baba, V. V., &amp; Pan, P. (2019). Ethical leadership and corporate social responsibility in China: A multilevel study of their effects on trust and organizational citizenship </w:t>
      </w:r>
      <w:proofErr w:type="spellStart"/>
      <w:r>
        <w:rPr>
          <w:color w:val="000000"/>
          <w:sz w:val="20"/>
          <w:szCs w:val="20"/>
        </w:rPr>
        <w:t>behavior</w:t>
      </w:r>
      <w:proofErr w:type="spellEnd"/>
      <w:r>
        <w:rPr>
          <w:color w:val="000000"/>
          <w:sz w:val="20"/>
          <w:szCs w:val="20"/>
        </w:rPr>
        <w:t xml:space="preserve">. </w:t>
      </w:r>
      <w:r>
        <w:rPr>
          <w:i/>
          <w:iCs/>
          <w:color w:val="000000"/>
          <w:sz w:val="20"/>
          <w:szCs w:val="20"/>
        </w:rPr>
        <w:t xml:space="preserve">Journal of Business Ethics, </w:t>
      </w:r>
      <w:r>
        <w:rPr>
          <w:color w:val="000000"/>
          <w:sz w:val="20"/>
          <w:szCs w:val="20"/>
        </w:rPr>
        <w:t>158, 427-440</w:t>
      </w:r>
      <w:r>
        <w:rPr>
          <w:sz w:val="20"/>
          <w:szCs w:val="20"/>
        </w:rPr>
        <w:t xml:space="preserve">. </w:t>
      </w:r>
      <w:hyperlink r:id="rId40">
        <w:r w:rsidR="00957269">
          <w:rPr>
            <w:color w:val="1155CC"/>
            <w:sz w:val="20"/>
            <w:szCs w:val="20"/>
            <w:u w:val="single"/>
          </w:rPr>
          <w:t>https://doi.org/10.1007/s10551-017-3745-6</w:t>
        </w:r>
      </w:hyperlink>
    </w:p>
    <w:p w14:paraId="41FFCD4E" w14:textId="77777777" w:rsidR="00957269" w:rsidRDefault="00000000">
      <w:pPr>
        <w:ind w:left="432" w:hanging="432"/>
        <w:rPr>
          <w:color w:val="000000"/>
          <w:sz w:val="20"/>
          <w:szCs w:val="20"/>
        </w:rPr>
      </w:pPr>
      <w:proofErr w:type="spellStart"/>
      <w:r>
        <w:rPr>
          <w:color w:val="000000"/>
          <w:sz w:val="20"/>
          <w:szCs w:val="20"/>
          <w:highlight w:val="white"/>
        </w:rPr>
        <w:t>Touboulic</w:t>
      </w:r>
      <w:proofErr w:type="spellEnd"/>
      <w:r>
        <w:rPr>
          <w:color w:val="000000"/>
          <w:sz w:val="20"/>
          <w:szCs w:val="20"/>
          <w:highlight w:val="white"/>
        </w:rPr>
        <w:t xml:space="preserve">, A., &amp; Walker, H. (2015). Theories in sustainable supply chain management: a structured literature review. </w:t>
      </w:r>
      <w:r>
        <w:rPr>
          <w:i/>
          <w:iCs/>
          <w:color w:val="000000"/>
          <w:sz w:val="20"/>
          <w:szCs w:val="20"/>
          <w:highlight w:val="white"/>
        </w:rPr>
        <w:t>International journal of physical distribution &amp; logistics management</w:t>
      </w:r>
      <w:r>
        <w:rPr>
          <w:color w:val="000000"/>
          <w:sz w:val="20"/>
          <w:szCs w:val="20"/>
          <w:highlight w:val="white"/>
        </w:rPr>
        <w:t xml:space="preserve">, </w:t>
      </w:r>
      <w:r>
        <w:rPr>
          <w:i/>
          <w:iCs/>
          <w:color w:val="000000"/>
          <w:sz w:val="20"/>
          <w:szCs w:val="20"/>
          <w:highlight w:val="white"/>
        </w:rPr>
        <w:t>45</w:t>
      </w:r>
      <w:r>
        <w:rPr>
          <w:color w:val="000000"/>
          <w:sz w:val="20"/>
          <w:szCs w:val="20"/>
          <w:highlight w:val="white"/>
        </w:rPr>
        <w:t>(1-2), 16-42.</w:t>
      </w:r>
    </w:p>
    <w:p w14:paraId="0D73EF06"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Turban, S., Wu, D., &amp; Zhang, L. (2019). When gender diversity makes firms more productive. </w:t>
      </w:r>
      <w:r>
        <w:rPr>
          <w:i/>
          <w:iCs/>
          <w:color w:val="000000"/>
          <w:sz w:val="20"/>
          <w:szCs w:val="20"/>
        </w:rPr>
        <w:t xml:space="preserve">Harvard Business Review, </w:t>
      </w:r>
      <w:r>
        <w:rPr>
          <w:color w:val="000000"/>
          <w:sz w:val="20"/>
          <w:szCs w:val="20"/>
        </w:rPr>
        <w:t xml:space="preserve">11, 17. </w:t>
      </w:r>
    </w:p>
    <w:p w14:paraId="1421F021" w14:textId="77777777" w:rsidR="00D17086" w:rsidRDefault="00000000" w:rsidP="00D17086">
      <w:pPr>
        <w:pBdr>
          <w:top w:val="nil"/>
          <w:left w:val="nil"/>
          <w:bottom w:val="nil"/>
          <w:right w:val="nil"/>
          <w:between w:val="nil"/>
        </w:pBdr>
        <w:ind w:left="432" w:hanging="432"/>
        <w:jc w:val="both"/>
        <w:rPr>
          <w:color w:val="000000"/>
          <w:sz w:val="20"/>
          <w:szCs w:val="20"/>
        </w:rPr>
      </w:pPr>
      <w:r>
        <w:rPr>
          <w:color w:val="000000"/>
          <w:sz w:val="20"/>
          <w:szCs w:val="20"/>
        </w:rPr>
        <w:t>Toh, S. M., &amp; Leonardelli, G. J. (2012). Cultural constraints on the emergence of women as leaders. </w:t>
      </w:r>
      <w:r>
        <w:rPr>
          <w:i/>
          <w:iCs/>
          <w:color w:val="000000"/>
          <w:sz w:val="20"/>
          <w:szCs w:val="20"/>
        </w:rPr>
        <w:t>Journal of World Business, </w:t>
      </w:r>
      <w:r>
        <w:rPr>
          <w:color w:val="000000"/>
          <w:sz w:val="20"/>
          <w:szCs w:val="20"/>
        </w:rPr>
        <w:t>47(4), 604-611.</w:t>
      </w:r>
    </w:p>
    <w:p w14:paraId="7ED32CEE" w14:textId="73C6290E" w:rsidR="00957269" w:rsidRDefault="00000000" w:rsidP="00D17086">
      <w:pPr>
        <w:pBdr>
          <w:top w:val="nil"/>
          <w:left w:val="nil"/>
          <w:bottom w:val="nil"/>
          <w:right w:val="nil"/>
          <w:between w:val="nil"/>
        </w:pBdr>
        <w:ind w:left="432" w:hanging="432"/>
        <w:jc w:val="both"/>
        <w:rPr>
          <w:sz w:val="20"/>
          <w:szCs w:val="20"/>
        </w:rPr>
      </w:pPr>
      <w:r w:rsidRPr="00D17086">
        <w:rPr>
          <w:sz w:val="20"/>
          <w:szCs w:val="20"/>
        </w:rPr>
        <w:t xml:space="preserve">Van </w:t>
      </w:r>
      <w:proofErr w:type="spellStart"/>
      <w:r w:rsidRPr="00D17086">
        <w:rPr>
          <w:sz w:val="20"/>
          <w:szCs w:val="20"/>
        </w:rPr>
        <w:t>Landeghem</w:t>
      </w:r>
      <w:proofErr w:type="spellEnd"/>
      <w:r w:rsidRPr="00D17086">
        <w:rPr>
          <w:sz w:val="20"/>
          <w:szCs w:val="20"/>
        </w:rPr>
        <w:t xml:space="preserve">, G., De Fraine, B., &amp; Van Damme, J. (2005). </w:t>
      </w:r>
      <w:r>
        <w:rPr>
          <w:sz w:val="20"/>
          <w:szCs w:val="20"/>
        </w:rPr>
        <w:t xml:space="preserve">The Consequence of Ignoring a Level of Nesting in Multilevel Analysis: A Comment. </w:t>
      </w:r>
      <w:r>
        <w:rPr>
          <w:i/>
          <w:iCs/>
          <w:sz w:val="20"/>
          <w:szCs w:val="20"/>
        </w:rPr>
        <w:t xml:space="preserve">Multivariate </w:t>
      </w:r>
      <w:proofErr w:type="spellStart"/>
      <w:r>
        <w:rPr>
          <w:i/>
          <w:iCs/>
          <w:sz w:val="20"/>
          <w:szCs w:val="20"/>
        </w:rPr>
        <w:t>Behavioral</w:t>
      </w:r>
      <w:proofErr w:type="spellEnd"/>
      <w:r>
        <w:rPr>
          <w:i/>
          <w:iCs/>
          <w:sz w:val="20"/>
          <w:szCs w:val="20"/>
        </w:rPr>
        <w:t xml:space="preserve"> Research</w:t>
      </w:r>
      <w:r>
        <w:rPr>
          <w:sz w:val="20"/>
          <w:szCs w:val="20"/>
        </w:rPr>
        <w:t>, 40(4), 423-434.</w:t>
      </w:r>
    </w:p>
    <w:p w14:paraId="066FB341"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Verick, S. (2018). </w:t>
      </w:r>
      <w:r>
        <w:rPr>
          <w:i/>
          <w:iCs/>
          <w:color w:val="000000"/>
          <w:sz w:val="20"/>
          <w:szCs w:val="20"/>
        </w:rPr>
        <w:t xml:space="preserve">Female </w:t>
      </w:r>
      <w:proofErr w:type="spellStart"/>
      <w:r>
        <w:rPr>
          <w:i/>
          <w:iCs/>
          <w:color w:val="000000"/>
          <w:sz w:val="20"/>
          <w:szCs w:val="20"/>
        </w:rPr>
        <w:t>labor</w:t>
      </w:r>
      <w:proofErr w:type="spellEnd"/>
      <w:r>
        <w:rPr>
          <w:i/>
          <w:iCs/>
          <w:color w:val="000000"/>
          <w:sz w:val="20"/>
          <w:szCs w:val="20"/>
        </w:rPr>
        <w:t xml:space="preserve"> force participation and development</w:t>
      </w:r>
      <w:r>
        <w:rPr>
          <w:color w:val="000000"/>
          <w:sz w:val="20"/>
          <w:szCs w:val="20"/>
        </w:rPr>
        <w:t>. IZA World of Labor. Retrieved December 12, 2023, from</w:t>
      </w:r>
      <w:r>
        <w:rPr>
          <w:color w:val="000000"/>
          <w:sz w:val="20"/>
          <w:szCs w:val="20"/>
          <w:u w:val="single"/>
        </w:rPr>
        <w:t xml:space="preserve"> </w:t>
      </w:r>
      <w:hyperlink r:id="rId41">
        <w:r w:rsidR="00957269">
          <w:rPr>
            <w:color w:val="1155CC"/>
            <w:sz w:val="20"/>
            <w:szCs w:val="20"/>
            <w:u w:val="single"/>
          </w:rPr>
          <w:t>https://wol.iza.org/articles/female-labor-force-participation-in-developing-countries/long</w:t>
        </w:r>
      </w:hyperlink>
    </w:p>
    <w:p w14:paraId="063C83C8"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Vickery, S. K., </w:t>
      </w:r>
      <w:proofErr w:type="spellStart"/>
      <w:r>
        <w:rPr>
          <w:color w:val="000000"/>
          <w:sz w:val="20"/>
          <w:szCs w:val="20"/>
        </w:rPr>
        <w:t>Koufteros</w:t>
      </w:r>
      <w:proofErr w:type="spellEnd"/>
      <w:r>
        <w:rPr>
          <w:color w:val="000000"/>
          <w:sz w:val="20"/>
          <w:szCs w:val="20"/>
        </w:rPr>
        <w:t xml:space="preserve">, X., &amp; Droge, C. (2016). Does product complexity matter for supply chain management? The impact of product complexity on performance. </w:t>
      </w:r>
      <w:r>
        <w:rPr>
          <w:i/>
          <w:iCs/>
          <w:color w:val="000000"/>
          <w:sz w:val="20"/>
          <w:szCs w:val="20"/>
        </w:rPr>
        <w:t>Decision Sciences,</w:t>
      </w:r>
      <w:r>
        <w:rPr>
          <w:color w:val="000000"/>
          <w:sz w:val="20"/>
          <w:szCs w:val="20"/>
        </w:rPr>
        <w:t xml:space="preserve"> 47(1), 1-34. </w:t>
      </w:r>
    </w:p>
    <w:p w14:paraId="5A9847DA"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Villena, V.H.  &amp; Gioia, D.A. (2020). A More Sustainable Supply Chain. </w:t>
      </w:r>
      <w:r>
        <w:rPr>
          <w:i/>
          <w:iCs/>
          <w:color w:val="000000"/>
          <w:sz w:val="20"/>
          <w:szCs w:val="20"/>
        </w:rPr>
        <w:t>Harvard Business Review</w:t>
      </w:r>
      <w:r>
        <w:rPr>
          <w:color w:val="000000"/>
          <w:sz w:val="20"/>
          <w:szCs w:val="20"/>
        </w:rPr>
        <w:t xml:space="preserve">. </w:t>
      </w:r>
      <w:hyperlink r:id="rId42">
        <w:r w:rsidR="00957269">
          <w:rPr>
            <w:color w:val="1155CC"/>
            <w:sz w:val="20"/>
            <w:szCs w:val="20"/>
            <w:u w:val="single"/>
          </w:rPr>
          <w:t>https://hbr.org/2020/03/a-more-sustainable-supply-chain</w:t>
        </w:r>
      </w:hyperlink>
    </w:p>
    <w:p w14:paraId="1F0958E1" w14:textId="77777777" w:rsidR="00957269" w:rsidRDefault="00000000">
      <w:pPr>
        <w:pBdr>
          <w:top w:val="nil"/>
          <w:left w:val="nil"/>
          <w:bottom w:val="nil"/>
          <w:right w:val="nil"/>
          <w:between w:val="nil"/>
        </w:pBdr>
        <w:ind w:left="432" w:hanging="432"/>
        <w:jc w:val="both"/>
        <w:rPr>
          <w:sz w:val="20"/>
          <w:szCs w:val="20"/>
        </w:rPr>
      </w:pPr>
      <w:r>
        <w:rPr>
          <w:color w:val="000000"/>
          <w:sz w:val="20"/>
          <w:szCs w:val="20"/>
        </w:rPr>
        <w:t xml:space="preserve">World Bank. (2012). </w:t>
      </w:r>
      <w:r>
        <w:rPr>
          <w:i/>
          <w:iCs/>
          <w:color w:val="000000"/>
          <w:sz w:val="20"/>
          <w:szCs w:val="20"/>
        </w:rPr>
        <w:t>World Development Report 2012: Gender Equality and Development.</w:t>
      </w:r>
      <w:r>
        <w:rPr>
          <w:color w:val="000000"/>
          <w:sz w:val="20"/>
          <w:szCs w:val="20"/>
        </w:rPr>
        <w:t xml:space="preserve"> © World Bank. Retrieved January 7, 2024, from</w:t>
      </w:r>
      <w:r>
        <w:rPr>
          <w:color w:val="000000"/>
          <w:sz w:val="20"/>
          <w:szCs w:val="20"/>
          <w:u w:val="single"/>
        </w:rPr>
        <w:t xml:space="preserve"> </w:t>
      </w:r>
      <w:hyperlink r:id="rId43">
        <w:r w:rsidR="00957269">
          <w:rPr>
            <w:color w:val="1155CC"/>
            <w:sz w:val="20"/>
            <w:szCs w:val="20"/>
            <w:u w:val="single"/>
          </w:rPr>
          <w:t>http://hdl.handle.net/10986/4391</w:t>
        </w:r>
      </w:hyperlink>
    </w:p>
    <w:p w14:paraId="44A36BAE" w14:textId="77777777" w:rsidR="00957269" w:rsidRDefault="00000000">
      <w:pPr>
        <w:pBdr>
          <w:top w:val="nil"/>
          <w:left w:val="nil"/>
          <w:bottom w:val="nil"/>
          <w:right w:val="nil"/>
          <w:between w:val="nil"/>
        </w:pBdr>
        <w:ind w:left="432" w:hanging="432"/>
        <w:jc w:val="both"/>
        <w:rPr>
          <w:sz w:val="20"/>
          <w:szCs w:val="20"/>
        </w:rPr>
      </w:pPr>
      <w:r w:rsidRPr="00213537">
        <w:rPr>
          <w:color w:val="000000"/>
          <w:sz w:val="20"/>
          <w:szCs w:val="20"/>
          <w:lang w:val="es-ES"/>
        </w:rPr>
        <w:t xml:space="preserve">Yang, B., Subramanian, N., &amp; Al Harthy, S. (2024). </w:t>
      </w:r>
      <w:r>
        <w:rPr>
          <w:color w:val="000000"/>
          <w:sz w:val="20"/>
          <w:szCs w:val="20"/>
        </w:rPr>
        <w:t xml:space="preserve">Are gender diversity issues a hidden problem in logistics and supply chain management? Building research themes through a systematic literature review. </w:t>
      </w:r>
      <w:r>
        <w:rPr>
          <w:i/>
          <w:iCs/>
          <w:color w:val="000000"/>
          <w:sz w:val="20"/>
          <w:szCs w:val="20"/>
        </w:rPr>
        <w:t>Journal of Purchasing and Supply Management</w:t>
      </w:r>
      <w:r>
        <w:rPr>
          <w:i/>
          <w:iCs/>
          <w:sz w:val="20"/>
          <w:szCs w:val="20"/>
        </w:rPr>
        <w:t>.</w:t>
      </w:r>
      <w:r>
        <w:rPr>
          <w:sz w:val="20"/>
          <w:szCs w:val="20"/>
        </w:rPr>
        <w:t xml:space="preserve"> </w:t>
      </w:r>
      <w:hyperlink r:id="rId44">
        <w:r w:rsidR="00957269">
          <w:rPr>
            <w:color w:val="1155CC"/>
            <w:sz w:val="20"/>
            <w:szCs w:val="20"/>
            <w:u w:val="single"/>
          </w:rPr>
          <w:t>https://doi.org/10.1016/j.pursup.2024.100937</w:t>
        </w:r>
      </w:hyperlink>
      <w:r>
        <w:rPr>
          <w:sz w:val="20"/>
          <w:szCs w:val="20"/>
        </w:rPr>
        <w:t xml:space="preserve"> </w:t>
      </w:r>
    </w:p>
    <w:p w14:paraId="4C66D80A"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 xml:space="preserve">Yaremych, H. E., Preacher, K. J., &amp; Hedeker, D. (2023). </w:t>
      </w:r>
      <w:proofErr w:type="spellStart"/>
      <w:r>
        <w:rPr>
          <w:color w:val="000000"/>
          <w:sz w:val="20"/>
          <w:szCs w:val="20"/>
        </w:rPr>
        <w:t>Centering</w:t>
      </w:r>
      <w:proofErr w:type="spellEnd"/>
      <w:r>
        <w:rPr>
          <w:color w:val="000000"/>
          <w:sz w:val="20"/>
          <w:szCs w:val="20"/>
        </w:rPr>
        <w:t xml:space="preserve"> Categorical Predictors in Multilevel Models: Best Practices and Interpretation. </w:t>
      </w:r>
      <w:r>
        <w:rPr>
          <w:i/>
          <w:iCs/>
          <w:color w:val="000000"/>
          <w:sz w:val="20"/>
          <w:szCs w:val="20"/>
        </w:rPr>
        <w:t>Psychological Methods</w:t>
      </w:r>
      <w:r>
        <w:rPr>
          <w:color w:val="000000"/>
          <w:sz w:val="20"/>
          <w:szCs w:val="20"/>
        </w:rPr>
        <w:t xml:space="preserve">, </w:t>
      </w:r>
      <w:r>
        <w:rPr>
          <w:i/>
          <w:iCs/>
          <w:color w:val="000000"/>
          <w:sz w:val="20"/>
          <w:szCs w:val="20"/>
        </w:rPr>
        <w:t>28</w:t>
      </w:r>
      <w:r>
        <w:rPr>
          <w:color w:val="000000"/>
          <w:sz w:val="20"/>
          <w:szCs w:val="20"/>
        </w:rPr>
        <w:t>(3), 613-630.</w:t>
      </w:r>
    </w:p>
    <w:p w14:paraId="207ACBB4" w14:textId="77777777" w:rsidR="00957269" w:rsidRDefault="00000000">
      <w:pPr>
        <w:ind w:left="432"/>
        <w:jc w:val="both"/>
        <w:rPr>
          <w:sz w:val="20"/>
          <w:szCs w:val="20"/>
        </w:rPr>
      </w:pPr>
      <w:r>
        <w:rPr>
          <w:sz w:val="20"/>
          <w:szCs w:val="20"/>
        </w:rPr>
        <w:t xml:space="preserve">Young, I. M. (2006). Responsibility and global justice: A social connection model. </w:t>
      </w:r>
      <w:r>
        <w:rPr>
          <w:i/>
          <w:iCs/>
          <w:sz w:val="20"/>
          <w:szCs w:val="20"/>
        </w:rPr>
        <w:t>Social philosophy and policy, 23</w:t>
      </w:r>
      <w:r>
        <w:rPr>
          <w:sz w:val="20"/>
          <w:szCs w:val="20"/>
        </w:rPr>
        <w:t>(1), 102-130.</w:t>
      </w:r>
    </w:p>
    <w:p w14:paraId="21E58A97" w14:textId="77777777" w:rsidR="00957269" w:rsidRDefault="00000000">
      <w:pPr>
        <w:pBdr>
          <w:top w:val="nil"/>
          <w:left w:val="nil"/>
          <w:bottom w:val="nil"/>
          <w:right w:val="nil"/>
          <w:between w:val="nil"/>
        </w:pBdr>
        <w:ind w:left="432" w:hanging="432"/>
        <w:jc w:val="both"/>
        <w:rPr>
          <w:color w:val="000000"/>
          <w:sz w:val="20"/>
          <w:szCs w:val="20"/>
        </w:rPr>
      </w:pPr>
      <w:r>
        <w:rPr>
          <w:color w:val="000000"/>
          <w:sz w:val="20"/>
          <w:szCs w:val="20"/>
        </w:rPr>
        <w:t>Zhou, L. (2007). The effects of entrepreneurial proclivity and foreign market knowledge on early internationalization. Journal of World Business 42 (3), 281-293.</w:t>
      </w:r>
    </w:p>
    <w:p w14:paraId="7E02804B" w14:textId="77777777" w:rsidR="00957269" w:rsidRDefault="00000000">
      <w:pPr>
        <w:pBdr>
          <w:top w:val="nil"/>
          <w:left w:val="nil"/>
          <w:bottom w:val="nil"/>
          <w:right w:val="nil"/>
          <w:between w:val="nil"/>
        </w:pBdr>
        <w:ind w:left="432" w:hanging="432"/>
        <w:jc w:val="both"/>
        <w:rPr>
          <w:sz w:val="20"/>
          <w:szCs w:val="20"/>
        </w:rPr>
      </w:pPr>
      <w:proofErr w:type="spellStart"/>
      <w:r w:rsidRPr="00213537">
        <w:rPr>
          <w:sz w:val="20"/>
          <w:szCs w:val="20"/>
          <w:lang w:val="es-ES"/>
        </w:rPr>
        <w:t>Zyglidopoulos</w:t>
      </w:r>
      <w:proofErr w:type="spellEnd"/>
      <w:r w:rsidRPr="00213537">
        <w:rPr>
          <w:sz w:val="20"/>
          <w:szCs w:val="20"/>
          <w:lang w:val="es-ES"/>
        </w:rPr>
        <w:t xml:space="preserve">, S. C., &amp; Fleming, P. J. (2008). </w:t>
      </w:r>
      <w:r>
        <w:rPr>
          <w:sz w:val="20"/>
          <w:szCs w:val="20"/>
        </w:rPr>
        <w:t xml:space="preserve">Ethical distance in corrupt firms: How do innocent bystanders become guilty perpetrators?. </w:t>
      </w:r>
      <w:r>
        <w:rPr>
          <w:i/>
          <w:iCs/>
          <w:sz w:val="20"/>
          <w:szCs w:val="20"/>
        </w:rPr>
        <w:t>Journal of Business Ethics, 78</w:t>
      </w:r>
      <w:r>
        <w:rPr>
          <w:sz w:val="20"/>
          <w:szCs w:val="20"/>
        </w:rPr>
        <w:t xml:space="preserve">(1), 265-274. </w:t>
      </w:r>
    </w:p>
    <w:sectPr w:rsidR="00957269">
      <w:footerReference w:type="default" r:id="rId45"/>
      <w:footerReference w:type="first" r:id="rId46"/>
      <w:pgSz w:w="11906" w:h="16838"/>
      <w:pgMar w:top="1417" w:right="1417" w:bottom="1134"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64E0" w14:textId="77777777" w:rsidR="00D3504D" w:rsidRDefault="00D3504D">
      <w:r>
        <w:separator/>
      </w:r>
    </w:p>
  </w:endnote>
  <w:endnote w:type="continuationSeparator" w:id="0">
    <w:p w14:paraId="1EC6D837" w14:textId="77777777" w:rsidR="00D3504D" w:rsidRDefault="00D3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8CC0FA2-FB6B-4E23-A7EA-9572751878BE}"/>
    <w:embedBold r:id="rId2" w:fontKey="{75DA78FD-6910-49DE-8809-71437DF09342}"/>
    <w:embedItalic r:id="rId3" w:fontKey="{D9E6FD65-7B34-4722-95AC-DC4D99F6EA6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4E677A9-256E-4084-8C34-BF111A5E3B62}"/>
  </w:font>
  <w:font w:name="Roboto">
    <w:charset w:val="00"/>
    <w:family w:val="auto"/>
    <w:pitch w:val="variable"/>
    <w:sig w:usb0="E0000AFF" w:usb1="5000217F" w:usb2="00000021" w:usb3="00000000" w:csb0="0000019F" w:csb1="00000000"/>
    <w:embedRegular r:id="rId5" w:fontKey="{66CB725D-2C12-4656-A8E4-A88649BD4FB3}"/>
  </w:font>
  <w:font w:name="Cambria Math">
    <w:panose1 w:val="02040503050406030204"/>
    <w:charset w:val="00"/>
    <w:family w:val="roman"/>
    <w:pitch w:val="variable"/>
    <w:sig w:usb0="E00006FF" w:usb1="420024FF" w:usb2="02000000" w:usb3="00000000" w:csb0="0000019F" w:csb1="00000000"/>
    <w:embedRegular r:id="rId6" w:fontKey="{5CCB2198-9869-41D4-9FDA-DBE391805D1D}"/>
    <w:embedBold r:id="rId7" w:fontKey="{0604EDD4-D000-4683-8A52-48411C49F92C}"/>
    <w:embedItalic r:id="rId8" w:fontKey="{7A697E67-A15B-4D5D-BB92-BFE1B0D8E32C}"/>
    <w:embedBoldItalic r:id="rId9" w:fontKey="{597F2F72-6BCD-4817-AB27-F994C19EC082}"/>
  </w:font>
  <w:font w:name="Calibri">
    <w:panose1 w:val="020F0502020204030204"/>
    <w:charset w:val="00"/>
    <w:family w:val="swiss"/>
    <w:pitch w:val="variable"/>
    <w:sig w:usb0="E4002EFF" w:usb1="C000247B" w:usb2="00000009" w:usb3="00000000" w:csb0="000001FF" w:csb1="00000000"/>
    <w:embedRegular r:id="rId10" w:fontKey="{20FB7501-F818-4B95-BAFF-A1EDA775E5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E2EB" w14:textId="77777777" w:rsidR="00957269"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AF137A">
      <w:rPr>
        <w:noProof/>
        <w:color w:val="000000"/>
      </w:rPr>
      <w:t>2</w:t>
    </w:r>
    <w:r>
      <w:rPr>
        <w:color w:val="000000"/>
      </w:rPr>
      <w:fldChar w:fldCharType="end"/>
    </w:r>
  </w:p>
  <w:p w14:paraId="78FD1E52" w14:textId="77777777" w:rsidR="00957269" w:rsidRDefault="00957269">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333A" w14:textId="77777777" w:rsidR="00957269" w:rsidRDefault="00000000">
    <w:pPr>
      <w:jc w:val="center"/>
    </w:pPr>
    <w:r>
      <w:fldChar w:fldCharType="begin"/>
    </w:r>
    <w:r>
      <w:instrText>PAGE</w:instrText>
    </w:r>
    <w:r>
      <w:fldChar w:fldCharType="separate"/>
    </w:r>
    <w:r w:rsidR="00AF13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F6721" w14:textId="77777777" w:rsidR="00D3504D" w:rsidRDefault="00D3504D">
      <w:r>
        <w:separator/>
      </w:r>
    </w:p>
  </w:footnote>
  <w:footnote w:type="continuationSeparator" w:id="0">
    <w:p w14:paraId="49F2FBBA" w14:textId="77777777" w:rsidR="00D3504D" w:rsidRDefault="00D3504D">
      <w:r>
        <w:continuationSeparator/>
      </w:r>
    </w:p>
  </w:footnote>
  <w:footnote w:id="1">
    <w:p w14:paraId="2D675C92" w14:textId="52E479DA" w:rsidR="00824892" w:rsidRDefault="00824892" w:rsidP="00987885">
      <w:pPr>
        <w:pStyle w:val="FootnoteText"/>
        <w:jc w:val="both"/>
      </w:pPr>
      <w:r>
        <w:rPr>
          <w:rStyle w:val="FootnoteReference"/>
        </w:rPr>
        <w:footnoteRef/>
      </w:r>
      <w:r>
        <w:t xml:space="preserve"> </w:t>
      </w:r>
      <w:r w:rsidR="00987885">
        <w:t>Even though product complexity varies within-supplier only (since it is time-invariant at the factory level), it is a characteristic of the factory, so we add it in the first stage. This decision does not alter the substantive results in any way.</w:t>
      </w:r>
    </w:p>
  </w:footnote>
  <w:footnote w:id="2">
    <w:p w14:paraId="42160A50" w14:textId="77777777" w:rsidR="00957269" w:rsidRDefault="00000000">
      <w:pPr>
        <w:jc w:val="both"/>
        <w:rPr>
          <w:sz w:val="20"/>
          <w:szCs w:val="20"/>
        </w:rPr>
      </w:pPr>
      <w:r>
        <w:rPr>
          <w:vertAlign w:val="superscript"/>
        </w:rPr>
        <w:footnoteRef/>
      </w:r>
      <w:r>
        <w:rPr>
          <w:sz w:val="20"/>
          <w:szCs w:val="20"/>
        </w:rPr>
        <w:t xml:space="preserve"> This is obviously not a causal effect. It might be because, over time, relatively more females are recruited (or promoted) to fill in administrative or management positions.</w:t>
      </w:r>
    </w:p>
  </w:footnote>
  <w:footnote w:id="3">
    <w:p w14:paraId="62966857" w14:textId="77777777" w:rsidR="00957269" w:rsidRDefault="00000000">
      <w:pPr>
        <w:jc w:val="both"/>
        <w:rPr>
          <w:sz w:val="20"/>
          <w:szCs w:val="20"/>
        </w:rPr>
      </w:pPr>
      <w:r>
        <w:rPr>
          <w:vertAlign w:val="superscript"/>
        </w:rPr>
        <w:footnoteRef/>
      </w:r>
      <w:r>
        <w:rPr>
          <w:sz w:val="20"/>
          <w:szCs w:val="20"/>
        </w:rPr>
        <w:t xml:space="preserve"> A hardly surprising fact, since, in the footwear and apparel industries and especially in developing economies, females are much more likely to be employed as line workers than as supervisors, administrators or managers (e.g., Anwary, 2017; Macchiavello, et al., 2020)</w:t>
      </w:r>
    </w:p>
  </w:footnote>
  <w:footnote w:id="4">
    <w:p w14:paraId="3F2DC42C" w14:textId="77777777" w:rsidR="00957269" w:rsidRDefault="00000000">
      <w:pPr>
        <w:jc w:val="both"/>
        <w:rPr>
          <w:sz w:val="20"/>
          <w:szCs w:val="20"/>
        </w:rPr>
      </w:pPr>
      <w:r>
        <w:rPr>
          <w:vertAlign w:val="superscript"/>
        </w:rPr>
        <w:footnoteRef/>
      </w:r>
      <w:r>
        <w:rPr>
          <w:sz w:val="20"/>
          <w:szCs w:val="20"/>
        </w:rPr>
        <w:t xml:space="preserve"> Note that Model (8) is run on a restricted sample due to missing values. If Model (2), the variance components model, had been run on the same restricted sample, the corresponding reduction in total variance due the inclusion of the covariates would have been somewhat more modest (34.14%).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269"/>
    <w:rsid w:val="00155100"/>
    <w:rsid w:val="00213537"/>
    <w:rsid w:val="002A123B"/>
    <w:rsid w:val="002B0BB8"/>
    <w:rsid w:val="00542D48"/>
    <w:rsid w:val="00600C8E"/>
    <w:rsid w:val="00676C52"/>
    <w:rsid w:val="00824892"/>
    <w:rsid w:val="00914026"/>
    <w:rsid w:val="00957269"/>
    <w:rsid w:val="00987885"/>
    <w:rsid w:val="00A14738"/>
    <w:rsid w:val="00AF137A"/>
    <w:rsid w:val="00BA1E19"/>
    <w:rsid w:val="00C9281F"/>
    <w:rsid w:val="00CE389A"/>
    <w:rsid w:val="00D17086"/>
    <w:rsid w:val="00D27D3D"/>
    <w:rsid w:val="00D3504D"/>
    <w:rsid w:val="00DE44F5"/>
    <w:rsid w:val="00ED4702"/>
    <w:rsid w:val="00EF5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07BE"/>
  <w15:docId w15:val="{9A60A47F-7999-48B1-B6BC-081779D6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rFonts w:ascii="Cambria" w:eastAsia="Cambria" w:hAnsi="Cambria" w:cs="Cambria"/>
      <w:sz w:val="22"/>
      <w:szCs w:val="22"/>
    </w:rPr>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2">
    <w:basedOn w:val="TableNormal0"/>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24892"/>
    <w:rPr>
      <w:sz w:val="20"/>
      <w:szCs w:val="20"/>
    </w:rPr>
  </w:style>
  <w:style w:type="character" w:customStyle="1" w:styleId="FootnoteTextChar">
    <w:name w:val="Footnote Text Char"/>
    <w:basedOn w:val="DefaultParagraphFont"/>
    <w:link w:val="FootnoteText"/>
    <w:uiPriority w:val="99"/>
    <w:semiHidden/>
    <w:rsid w:val="00824892"/>
    <w:rPr>
      <w:sz w:val="20"/>
      <w:szCs w:val="20"/>
    </w:rPr>
  </w:style>
  <w:style w:type="character" w:styleId="FootnoteReference">
    <w:name w:val="footnote reference"/>
    <w:basedOn w:val="DefaultParagraphFont"/>
    <w:uiPriority w:val="99"/>
    <w:semiHidden/>
    <w:unhideWhenUsed/>
    <w:rsid w:val="008248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978-3-030-30421-8_5" TargetMode="External"/><Relationship Id="rId18" Type="http://schemas.openxmlformats.org/officeDocument/2006/relationships/hyperlink" Target="https://doi.org/10.1007/978-3-030-80462-6_53" TargetMode="External"/><Relationship Id="rId26" Type="http://schemas.openxmlformats.org/officeDocument/2006/relationships/hyperlink" Target="https://www.bristol.ac.uk/media-library/sites/cmm/migrated/documents/12-concepts-example.pdf" TargetMode="External"/><Relationship Id="rId39" Type="http://schemas.openxmlformats.org/officeDocument/2006/relationships/hyperlink" Target="https://www.cnbc.com/2021/03/11/nike-sets-diversity-goals-for-2025-ties-executive-comp-back-to-them.html" TargetMode="External"/><Relationship Id="rId21" Type="http://schemas.openxmlformats.org/officeDocument/2006/relationships/hyperlink" Target="https://doi.org/10.3390/su12072809" TargetMode="External"/><Relationship Id="rId34" Type="http://schemas.openxmlformats.org/officeDocument/2006/relationships/hyperlink" Target="https://link.springer.com/referenceworkentry/10.1007/978-3-030-89822-9_14-1" TargetMode="External"/><Relationship Id="rId42" Type="http://schemas.openxmlformats.org/officeDocument/2006/relationships/hyperlink" Target="https://hbr.org/2020/03/a-more-sustainable-supply-chain"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https://www.bsr.org/reports/BSR_Empowering_Female_Workers_in_the_Apparel_Industry.pdf" TargetMode="External"/><Relationship Id="rId29" Type="http://schemas.openxmlformats.org/officeDocument/2006/relationships/hyperlink" Target="https://footwearnews.com/business/retail/nike-diversity-gender-equality-stats-2020-impact-report-12031184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2230807516686419" TargetMode="External"/><Relationship Id="rId24" Type="http://schemas.openxmlformats.org/officeDocument/2006/relationships/hyperlink" Target="https://www.emerald.com/insight/search?q=Justin%20Wright" TargetMode="External"/><Relationship Id="rId32" Type="http://schemas.openxmlformats.org/officeDocument/2006/relationships/hyperlink" Target="https://www.prb.org/resources/empowering-women-developing-society-female-education-in-the-middle-east-and-north-africa/" TargetMode="External"/><Relationship Id="rId37" Type="http://schemas.openxmlformats.org/officeDocument/2006/relationships/hyperlink" Target="https://doi.org/10.1016/j.jinteco.2021.103518" TargetMode="External"/><Relationship Id="rId40" Type="http://schemas.openxmlformats.org/officeDocument/2006/relationships/hyperlink" Target="https://doi.org/10.1007/s10551-017-3745-6"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journals.sagepub.com/doi/full/10.1177/10591478241240123" TargetMode="External"/><Relationship Id="rId23" Type="http://schemas.openxmlformats.org/officeDocument/2006/relationships/hyperlink" Target="https://www.emerald.com/insight/search?q=Bernardita%20Chirino%20Chace" TargetMode="External"/><Relationship Id="rId28" Type="http://schemas.openxmlformats.org/officeDocument/2006/relationships/hyperlink" Target="https://www.reuters.com/business/retail-consumer/nike-faces-calls-pay-garment-workers-ahead-annual-shareholder-meeting-2023-09-11/" TargetMode="External"/><Relationship Id="rId36" Type="http://schemas.openxmlformats.org/officeDocument/2006/relationships/hyperlink" Target="https://www.bsr.org/reports/BSR_Empowering_Female_Workers_in_the_Apparel_Industry.pdf" TargetMode="External"/><Relationship Id="rId10" Type="http://schemas.openxmlformats.org/officeDocument/2006/relationships/image" Target="media/image2.jpg"/><Relationship Id="rId19" Type="http://schemas.openxmlformats.org/officeDocument/2006/relationships/hyperlink" Target="https://doi.org/10.3390/laws8040023" TargetMode="External"/><Relationship Id="rId31" Type="http://schemas.openxmlformats.org/officeDocument/2006/relationships/hyperlink" Target="https://www.icrw.org/publications/advancing-women-changing-lives/" TargetMode="External"/><Relationship Id="rId44" Type="http://schemas.openxmlformats.org/officeDocument/2006/relationships/hyperlink" Target="https://doi.org/10.1016/j.pursup.2024.100937" TargetMode="External"/><Relationship Id="rId4" Type="http://schemas.openxmlformats.org/officeDocument/2006/relationships/settings" Target="settings.xml"/><Relationship Id="rId9" Type="http://schemas.openxmlformats.org/officeDocument/2006/relationships/hyperlink" Target="https://manufacturingmap.nikeinc.com/" TargetMode="External"/><Relationship Id="rId14" Type="http://schemas.openxmlformats.org/officeDocument/2006/relationships/hyperlink" Target="https://dx.doi.org/10.2139/ssrn.908162" TargetMode="External"/><Relationship Id="rId22" Type="http://schemas.openxmlformats.org/officeDocument/2006/relationships/hyperlink" Target="https://www.ilo.org/infostories/en-GB/Stories/discrimination/garment-gender" TargetMode="External"/><Relationship Id="rId27" Type="http://schemas.openxmlformats.org/officeDocument/2006/relationships/hyperlink" Target="http://www.bristol.ac.uk/cmm/learning/course.html" TargetMode="External"/><Relationship Id="rId30" Type="http://schemas.openxmlformats.org/officeDocument/2006/relationships/hyperlink" Target="https://dx.doi.org/10.2139/ssrn.3411472" TargetMode="External"/><Relationship Id="rId35" Type="http://schemas.openxmlformats.org/officeDocument/2006/relationships/hyperlink" Target="https://www.psychologicalscience.org/news/releases/individualistic-practices-and-values-increasing-around-the-world.html" TargetMode="External"/><Relationship Id="rId43" Type="http://schemas.openxmlformats.org/officeDocument/2006/relationships/hyperlink" Target="http://hdl.handle.net/10986/4391"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3390/su16135511" TargetMode="External"/><Relationship Id="rId17" Type="http://schemas.openxmlformats.org/officeDocument/2006/relationships/hyperlink" Target="https://doi.org/10.1093/wbro/lkad010" TargetMode="External"/><Relationship Id="rId25" Type="http://schemas.openxmlformats.org/officeDocument/2006/relationships/hyperlink" Target="https://www.emerald.com/insight/publication/issn/1757-2223" TargetMode="External"/><Relationship Id="rId33" Type="http://schemas.openxmlformats.org/officeDocument/2006/relationships/hyperlink" Target="https://link.springer.com/referenceworkentry/10.1007/978-3-030-89822-9_14-1" TargetMode="External"/><Relationship Id="rId38" Type="http://schemas.openxmlformats.org/officeDocument/2006/relationships/hyperlink" Target="https://www.theguardian.com/business/2020/sep/25/boohoo-report-reveals-factory-fire-risk-among-supply-chain-failings" TargetMode="External"/><Relationship Id="rId46" Type="http://schemas.openxmlformats.org/officeDocument/2006/relationships/footer" Target="footer2.xml"/><Relationship Id="rId20" Type="http://schemas.openxmlformats.org/officeDocument/2006/relationships/hyperlink" Target="https://doi.org/10.1108/IJOPM-10-2020-0710" TargetMode="External"/><Relationship Id="rId41" Type="http://schemas.openxmlformats.org/officeDocument/2006/relationships/hyperlink" Target="https://wol.iza.org/articles/female-labor-force-participation-in-developing-countries/lo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H/zEPri/vNRrTrLAxPcdog/FaQ==">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C0B082-2018-4DE3-95B4-299BC85F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32</Pages>
  <Words>18707</Words>
  <Characters>106636</Characters>
  <Application>Microsoft Office Word</Application>
  <DocSecurity>0</DocSecurity>
  <Lines>888</Lines>
  <Paragraphs>250</Paragraphs>
  <ScaleCrop>false</ScaleCrop>
  <Company/>
  <LinksUpToDate>false</LinksUpToDate>
  <CharactersWithSpaces>125093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Antonios Karatzas (NBS - Staff)</cp:lastModifiedBy>
  <cp:revision>6</cp:revision>
  <dcterms:created xsi:type="dcterms:W3CDTF">2026-07-21T10:00:00Z</dcterms:created>
  <dcterms:modified xsi:type="dcterms:W3CDTF">2026-07-21T21:49:00Z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documentId_4877</vt:lpwstr>
  </property>
  <property fmtid="{D5CDD505-2E9C-101B-9397-08002B2CF9AE}" pid="3" name="grammarly_documentContext">
    <vt:lpwstr>{"goals":[],"domain":"general","emotions":[],"dialect":"british"}</vt:lpwstr>
  </property>
</Properties>
</file>