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E3AE" w14:textId="77777777" w:rsidR="00735ADE" w:rsidRPr="00E716B3" w:rsidRDefault="00735ADE" w:rsidP="00735ADE">
      <w:pPr>
        <w:jc w:val="center"/>
        <w:rPr>
          <w:rFonts w:ascii="Times New Roman" w:eastAsia="Calibri" w:hAnsi="Times New Roman" w:cs="Times New Roman"/>
          <w:b/>
          <w:bCs/>
          <w:color w:val="000000" w:themeColor="text1"/>
          <w:sz w:val="24"/>
          <w:szCs w:val="24"/>
        </w:rPr>
      </w:pPr>
    </w:p>
    <w:p w14:paraId="7CE92ED9" w14:textId="77777777" w:rsidR="00735ADE" w:rsidRDefault="00735ADE" w:rsidP="00735ADE">
      <w:pPr>
        <w:jc w:val="center"/>
        <w:rPr>
          <w:rFonts w:ascii="Times New Roman" w:eastAsia="Calibri" w:hAnsi="Times New Roman" w:cs="Times New Roman"/>
          <w:b/>
          <w:bCs/>
          <w:color w:val="000000" w:themeColor="text1"/>
          <w:sz w:val="24"/>
          <w:szCs w:val="24"/>
        </w:rPr>
      </w:pPr>
    </w:p>
    <w:p w14:paraId="18B73438" w14:textId="77777777" w:rsidR="00735ADE" w:rsidRDefault="00735ADE" w:rsidP="00735ADE">
      <w:pPr>
        <w:jc w:val="center"/>
        <w:rPr>
          <w:rFonts w:ascii="Times New Roman" w:eastAsia="Calibri" w:hAnsi="Times New Roman" w:cs="Times New Roman"/>
          <w:b/>
          <w:bCs/>
          <w:color w:val="000000" w:themeColor="text1"/>
          <w:sz w:val="24"/>
          <w:szCs w:val="24"/>
        </w:rPr>
      </w:pPr>
    </w:p>
    <w:p w14:paraId="475B05B6" w14:textId="77777777" w:rsidR="00735ADE" w:rsidRDefault="00735ADE" w:rsidP="00735ADE">
      <w:pPr>
        <w:jc w:val="center"/>
        <w:rPr>
          <w:rFonts w:ascii="Times New Roman" w:eastAsia="Calibri" w:hAnsi="Times New Roman" w:cs="Times New Roman"/>
          <w:b/>
          <w:bCs/>
          <w:color w:val="000000" w:themeColor="text1"/>
          <w:sz w:val="24"/>
          <w:szCs w:val="24"/>
        </w:rPr>
      </w:pPr>
    </w:p>
    <w:p w14:paraId="09F6E7E5" w14:textId="77777777" w:rsidR="00735ADE" w:rsidRPr="006B4560" w:rsidRDefault="00735ADE" w:rsidP="00735ADE">
      <w:pPr>
        <w:jc w:val="center"/>
        <w:rPr>
          <w:rFonts w:ascii="Times New Roman" w:eastAsia="Calibri" w:hAnsi="Times New Roman" w:cs="Times New Roman"/>
          <w:color w:val="000000" w:themeColor="text1"/>
          <w:sz w:val="24"/>
          <w:szCs w:val="24"/>
        </w:rPr>
      </w:pPr>
      <w:r w:rsidRPr="006B4560">
        <w:rPr>
          <w:rFonts w:ascii="Times New Roman" w:eastAsia="Calibri" w:hAnsi="Times New Roman" w:cs="Times New Roman"/>
          <w:b/>
          <w:bCs/>
          <w:color w:val="000000" w:themeColor="text1"/>
          <w:sz w:val="24"/>
          <w:szCs w:val="24"/>
        </w:rPr>
        <w:t xml:space="preserve">The Impact of Stigma and Diagnostic Term on Juror Decision-Making in a </w:t>
      </w:r>
      <w:r w:rsidRPr="006B4560">
        <w:rPr>
          <w:rFonts w:ascii="Times New Roman" w:hAnsi="Times New Roman" w:cs="Times New Roman"/>
        </w:rPr>
        <w:br/>
      </w:r>
      <w:r w:rsidRPr="006B4560">
        <w:rPr>
          <w:rFonts w:ascii="Times New Roman" w:eastAsia="Calibri" w:hAnsi="Times New Roman" w:cs="Times New Roman"/>
          <w:b/>
          <w:bCs/>
          <w:color w:val="000000" w:themeColor="text1"/>
          <w:sz w:val="24"/>
          <w:szCs w:val="24"/>
        </w:rPr>
        <w:t>Mock Criminal Trial.</w:t>
      </w:r>
    </w:p>
    <w:p w14:paraId="602AE853"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691F9177"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7B1C6FD9" w14:textId="77777777" w:rsidR="00735ADE" w:rsidRPr="006B4560" w:rsidRDefault="00735ADE" w:rsidP="00735ADE">
      <w:pPr>
        <w:jc w:val="center"/>
        <w:rPr>
          <w:rFonts w:ascii="Times New Roman" w:eastAsia="Calibri" w:hAnsi="Times New Roman" w:cs="Times New Roman"/>
          <w:color w:val="000000" w:themeColor="text1"/>
          <w:sz w:val="24"/>
          <w:szCs w:val="24"/>
        </w:rPr>
      </w:pPr>
      <w:r w:rsidRPr="006B4560">
        <w:rPr>
          <w:rFonts w:ascii="Times New Roman" w:eastAsia="Calibri" w:hAnsi="Times New Roman" w:cs="Times New Roman"/>
          <w:b/>
          <w:bCs/>
          <w:color w:val="000000" w:themeColor="text1"/>
          <w:sz w:val="24"/>
          <w:szCs w:val="24"/>
        </w:rPr>
        <w:t xml:space="preserve">Harriet L. </w:t>
      </w:r>
      <w:proofErr w:type="spellStart"/>
      <w:r w:rsidRPr="006B4560">
        <w:rPr>
          <w:rFonts w:ascii="Times New Roman" w:eastAsia="Calibri" w:hAnsi="Times New Roman" w:cs="Times New Roman"/>
          <w:b/>
          <w:bCs/>
          <w:color w:val="000000" w:themeColor="text1"/>
          <w:sz w:val="24"/>
          <w:szCs w:val="24"/>
        </w:rPr>
        <w:t>Holmes</w:t>
      </w:r>
      <w:r w:rsidRPr="006B4560">
        <w:rPr>
          <w:rFonts w:ascii="Times New Roman" w:eastAsia="Calibri" w:hAnsi="Times New Roman" w:cs="Times New Roman"/>
          <w:b/>
          <w:bCs/>
          <w:sz w:val="24"/>
          <w:szCs w:val="24"/>
          <w:vertAlign w:val="superscript"/>
        </w:rPr>
        <w:t>a</w:t>
      </w:r>
      <w:proofErr w:type="spellEnd"/>
      <w:r w:rsidRPr="006B4560">
        <w:rPr>
          <w:rFonts w:ascii="Times New Roman" w:eastAsia="Calibri" w:hAnsi="Times New Roman" w:cs="Times New Roman"/>
          <w:b/>
          <w:bCs/>
          <w:color w:val="000000" w:themeColor="text1"/>
          <w:sz w:val="24"/>
          <w:szCs w:val="24"/>
        </w:rPr>
        <w:t>, Lucy Fitton</w:t>
      </w:r>
      <w:r w:rsidRPr="006B4560">
        <w:rPr>
          <w:rFonts w:ascii="Times New Roman" w:eastAsia="Calibri" w:hAnsi="Times New Roman" w:cs="Times New Roman"/>
          <w:b/>
          <w:bCs/>
          <w:sz w:val="24"/>
          <w:szCs w:val="24"/>
          <w:vertAlign w:val="superscript"/>
        </w:rPr>
        <w:t>a</w:t>
      </w:r>
      <w:r w:rsidRPr="006B4560">
        <w:rPr>
          <w:rFonts w:ascii="Times New Roman" w:eastAsia="Calibri" w:hAnsi="Times New Roman" w:cs="Times New Roman"/>
          <w:b/>
          <w:bCs/>
          <w:sz w:val="24"/>
          <w:szCs w:val="24"/>
        </w:rPr>
        <w:t>,</w:t>
      </w:r>
      <w:r w:rsidRPr="006B4560">
        <w:rPr>
          <w:rFonts w:ascii="Times New Roman" w:eastAsia="Calibri" w:hAnsi="Times New Roman" w:cs="Times New Roman"/>
          <w:b/>
          <w:bCs/>
          <w:sz w:val="24"/>
          <w:szCs w:val="24"/>
          <w:vertAlign w:val="superscript"/>
        </w:rPr>
        <w:t xml:space="preserve"> </w:t>
      </w:r>
      <w:r w:rsidRPr="006B4560">
        <w:rPr>
          <w:rFonts w:ascii="Times New Roman" w:eastAsia="Calibri" w:hAnsi="Times New Roman" w:cs="Times New Roman"/>
          <w:b/>
          <w:bCs/>
          <w:color w:val="000000" w:themeColor="text1"/>
          <w:sz w:val="24"/>
          <w:szCs w:val="24"/>
        </w:rPr>
        <w:t>Ian Edwards</w:t>
      </w:r>
      <w:r w:rsidRPr="006B4560">
        <w:rPr>
          <w:rFonts w:ascii="Times New Roman" w:eastAsia="Calibri" w:hAnsi="Times New Roman" w:cs="Times New Roman"/>
          <w:b/>
          <w:bCs/>
          <w:sz w:val="24"/>
          <w:szCs w:val="24"/>
          <w:vertAlign w:val="superscript"/>
        </w:rPr>
        <w:t>b</w:t>
      </w:r>
      <w:r w:rsidRPr="006B4560">
        <w:rPr>
          <w:rFonts w:ascii="Times New Roman" w:eastAsia="Calibri" w:hAnsi="Times New Roman" w:cs="Times New Roman"/>
          <w:b/>
          <w:bCs/>
          <w:color w:val="000000" w:themeColor="text1"/>
          <w:sz w:val="24"/>
          <w:szCs w:val="24"/>
        </w:rPr>
        <w:t>, Rachel Metcalfe-</w:t>
      </w:r>
      <w:proofErr w:type="spellStart"/>
      <w:r w:rsidRPr="006B4560">
        <w:rPr>
          <w:rFonts w:ascii="Times New Roman" w:eastAsia="Calibri" w:hAnsi="Times New Roman" w:cs="Times New Roman"/>
          <w:b/>
          <w:bCs/>
          <w:color w:val="000000" w:themeColor="text1"/>
          <w:sz w:val="24"/>
          <w:szCs w:val="24"/>
        </w:rPr>
        <w:t>Hume</w:t>
      </w:r>
      <w:r w:rsidRPr="006B4560">
        <w:rPr>
          <w:rFonts w:ascii="Times New Roman" w:eastAsia="Calibri" w:hAnsi="Times New Roman" w:cs="Times New Roman"/>
          <w:b/>
          <w:bCs/>
          <w:sz w:val="24"/>
          <w:szCs w:val="24"/>
          <w:vertAlign w:val="superscript"/>
        </w:rPr>
        <w:t>c</w:t>
      </w:r>
      <w:proofErr w:type="spellEnd"/>
      <w:r w:rsidRPr="006B4560">
        <w:rPr>
          <w:rFonts w:ascii="Times New Roman" w:eastAsia="Calibri" w:hAnsi="Times New Roman" w:cs="Times New Roman"/>
          <w:b/>
          <w:bCs/>
          <w:sz w:val="24"/>
          <w:szCs w:val="24"/>
        </w:rPr>
        <w:t>,</w:t>
      </w:r>
      <w:r w:rsidRPr="006B4560">
        <w:rPr>
          <w:rFonts w:ascii="Times New Roman" w:eastAsia="Calibri" w:hAnsi="Times New Roman" w:cs="Times New Roman"/>
          <w:b/>
          <w:bCs/>
          <w:color w:val="000000" w:themeColor="text1"/>
          <w:sz w:val="24"/>
          <w:szCs w:val="24"/>
        </w:rPr>
        <w:t xml:space="preserve"> </w:t>
      </w:r>
      <w:r w:rsidRPr="006B4560">
        <w:rPr>
          <w:rFonts w:ascii="Times New Roman" w:eastAsia="Calibri" w:hAnsi="Times New Roman" w:cs="Times New Roman"/>
          <w:b/>
          <w:bCs/>
          <w:color w:val="000000" w:themeColor="text1"/>
          <w:sz w:val="24"/>
          <w:szCs w:val="24"/>
        </w:rPr>
        <w:br/>
        <w:t>and Peter Beazley</w:t>
      </w:r>
      <w:r w:rsidRPr="006B4560">
        <w:rPr>
          <w:rFonts w:ascii="Times New Roman" w:eastAsia="Calibri" w:hAnsi="Times New Roman" w:cs="Times New Roman"/>
          <w:b/>
          <w:bCs/>
          <w:sz w:val="24"/>
          <w:szCs w:val="24"/>
          <w:vertAlign w:val="superscript"/>
        </w:rPr>
        <w:t>a*</w:t>
      </w:r>
    </w:p>
    <w:p w14:paraId="0CFBCE13" w14:textId="77777777" w:rsidR="00735ADE" w:rsidRPr="006B4560" w:rsidRDefault="00735ADE" w:rsidP="00735ADE">
      <w:pPr>
        <w:jc w:val="center"/>
        <w:rPr>
          <w:rFonts w:ascii="Times New Roman" w:eastAsia="Calibri" w:hAnsi="Times New Roman" w:cs="Times New Roman"/>
          <w:color w:val="000000" w:themeColor="text1"/>
        </w:rPr>
      </w:pPr>
    </w:p>
    <w:p w14:paraId="331D544B" w14:textId="77777777" w:rsidR="00735ADE" w:rsidRPr="006B4560" w:rsidRDefault="00735ADE" w:rsidP="00735ADE">
      <w:pPr>
        <w:jc w:val="center"/>
        <w:rPr>
          <w:rFonts w:ascii="Times New Roman" w:eastAsia="Calibri" w:hAnsi="Times New Roman" w:cs="Times New Roman"/>
          <w:color w:val="000000" w:themeColor="text1"/>
        </w:rPr>
      </w:pPr>
    </w:p>
    <w:p w14:paraId="07378D3A" w14:textId="77777777" w:rsidR="00735ADE" w:rsidRPr="006B4560" w:rsidRDefault="00735ADE" w:rsidP="00735ADE">
      <w:pPr>
        <w:jc w:val="center"/>
        <w:rPr>
          <w:rFonts w:ascii="Times New Roman" w:eastAsia="Calibri" w:hAnsi="Times New Roman" w:cs="Times New Roman"/>
          <w:color w:val="000000" w:themeColor="text1"/>
          <w:sz w:val="24"/>
          <w:szCs w:val="24"/>
        </w:rPr>
      </w:pPr>
      <w:proofErr w:type="spellStart"/>
      <w:r w:rsidRPr="006B4560">
        <w:rPr>
          <w:rFonts w:ascii="Times New Roman" w:eastAsia="Calibri" w:hAnsi="Times New Roman" w:cs="Times New Roman"/>
          <w:color w:val="000000" w:themeColor="text1"/>
          <w:sz w:val="24"/>
          <w:szCs w:val="24"/>
          <w:vertAlign w:val="superscript"/>
        </w:rPr>
        <w:t>a</w:t>
      </w:r>
      <w:r w:rsidRPr="006B4560">
        <w:rPr>
          <w:rFonts w:ascii="Times New Roman" w:eastAsia="Calibri" w:hAnsi="Times New Roman" w:cs="Times New Roman"/>
          <w:color w:val="000000" w:themeColor="text1"/>
          <w:sz w:val="24"/>
          <w:szCs w:val="24"/>
        </w:rPr>
        <w:t>Department</w:t>
      </w:r>
      <w:proofErr w:type="spellEnd"/>
      <w:r w:rsidRPr="006B4560">
        <w:rPr>
          <w:rFonts w:ascii="Times New Roman" w:eastAsia="Calibri" w:hAnsi="Times New Roman" w:cs="Times New Roman"/>
          <w:color w:val="000000" w:themeColor="text1"/>
          <w:sz w:val="24"/>
          <w:szCs w:val="24"/>
        </w:rPr>
        <w:t xml:space="preserve"> of Clinical Psychology and Psychological Therapies, Norwich Medical School, University of East Anglia, Norwich, United Kingdom</w:t>
      </w:r>
    </w:p>
    <w:p w14:paraId="7931A496" w14:textId="77777777" w:rsidR="00735ADE" w:rsidRPr="006B4560" w:rsidRDefault="00735ADE" w:rsidP="00735ADE">
      <w:pPr>
        <w:jc w:val="center"/>
        <w:rPr>
          <w:rFonts w:ascii="Times New Roman" w:eastAsia="Calibri" w:hAnsi="Times New Roman" w:cs="Times New Roman"/>
          <w:color w:val="000000" w:themeColor="text1"/>
          <w:sz w:val="24"/>
          <w:szCs w:val="24"/>
        </w:rPr>
      </w:pPr>
      <w:proofErr w:type="spellStart"/>
      <w:r w:rsidRPr="006B4560">
        <w:rPr>
          <w:rFonts w:ascii="Times New Roman" w:eastAsia="Calibri" w:hAnsi="Times New Roman" w:cs="Times New Roman"/>
          <w:color w:val="000000" w:themeColor="text1"/>
          <w:sz w:val="24"/>
          <w:szCs w:val="24"/>
          <w:vertAlign w:val="superscript"/>
        </w:rPr>
        <w:t>b</w:t>
      </w:r>
      <w:r w:rsidRPr="006B4560">
        <w:rPr>
          <w:rFonts w:ascii="Times New Roman" w:eastAsia="Calibri" w:hAnsi="Times New Roman" w:cs="Times New Roman"/>
          <w:color w:val="000000" w:themeColor="text1"/>
          <w:sz w:val="24"/>
          <w:szCs w:val="24"/>
        </w:rPr>
        <w:t>UEA</w:t>
      </w:r>
      <w:proofErr w:type="spellEnd"/>
      <w:r w:rsidRPr="006B4560">
        <w:rPr>
          <w:rFonts w:ascii="Times New Roman" w:eastAsia="Calibri" w:hAnsi="Times New Roman" w:cs="Times New Roman"/>
          <w:color w:val="000000" w:themeColor="text1"/>
          <w:sz w:val="24"/>
          <w:szCs w:val="24"/>
        </w:rPr>
        <w:t xml:space="preserve"> Law School, University of East Anglia, Norwich, United Kingdom</w:t>
      </w:r>
    </w:p>
    <w:p w14:paraId="00840961" w14:textId="77777777" w:rsidR="00735ADE" w:rsidRPr="006B4560" w:rsidRDefault="00735ADE" w:rsidP="00735ADE">
      <w:pPr>
        <w:jc w:val="center"/>
        <w:rPr>
          <w:rFonts w:ascii="Times New Roman" w:eastAsia="Calibri" w:hAnsi="Times New Roman" w:cs="Times New Roman"/>
          <w:color w:val="000000" w:themeColor="text1"/>
          <w:sz w:val="24"/>
          <w:szCs w:val="24"/>
        </w:rPr>
      </w:pPr>
      <w:proofErr w:type="spellStart"/>
      <w:r w:rsidRPr="006B4560">
        <w:rPr>
          <w:rFonts w:ascii="Times New Roman" w:eastAsia="Calibri" w:hAnsi="Times New Roman" w:cs="Times New Roman"/>
          <w:color w:val="000000" w:themeColor="text1"/>
          <w:sz w:val="24"/>
          <w:szCs w:val="24"/>
          <w:vertAlign w:val="superscript"/>
        </w:rPr>
        <w:t>c</w:t>
      </w:r>
      <w:r w:rsidRPr="006B4560">
        <w:rPr>
          <w:rFonts w:ascii="Times New Roman" w:eastAsia="Calibri" w:hAnsi="Times New Roman" w:cs="Times New Roman"/>
          <w:color w:val="000000" w:themeColor="text1"/>
          <w:sz w:val="24"/>
          <w:szCs w:val="24"/>
        </w:rPr>
        <w:t>Queen</w:t>
      </w:r>
      <w:proofErr w:type="spellEnd"/>
      <w:r w:rsidRPr="006B4560">
        <w:rPr>
          <w:rFonts w:ascii="Times New Roman" w:eastAsia="Calibri" w:hAnsi="Times New Roman" w:cs="Times New Roman"/>
          <w:color w:val="000000" w:themeColor="text1"/>
          <w:sz w:val="24"/>
          <w:szCs w:val="24"/>
        </w:rPr>
        <w:t xml:space="preserve"> Elizabeth Hospital NHS Foundation Trust, King’s Lynn, Norfolk, United Kingdom (Present address: East of England Community Health and Care NHS Trust, Norwich Community Hospital, Bowthorpe Road, Norwich, NR2 3TU) </w:t>
      </w:r>
    </w:p>
    <w:p w14:paraId="64687D84"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17A42266"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0EC86226"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3869FD09"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551D02B5" w14:textId="77777777" w:rsidR="00735ADE" w:rsidRPr="006B4560" w:rsidRDefault="00735ADE" w:rsidP="00735ADE">
      <w:pPr>
        <w:jc w:val="center"/>
        <w:rPr>
          <w:rFonts w:ascii="Times New Roman" w:eastAsia="Calibri" w:hAnsi="Times New Roman" w:cs="Times New Roman"/>
          <w:color w:val="000000" w:themeColor="text1"/>
          <w:sz w:val="24"/>
          <w:szCs w:val="24"/>
        </w:rPr>
      </w:pPr>
      <w:r w:rsidRPr="006B4560">
        <w:rPr>
          <w:rFonts w:ascii="Times New Roman" w:eastAsia="Calibri" w:hAnsi="Times New Roman" w:cs="Times New Roman"/>
          <w:color w:val="000000" w:themeColor="text1"/>
          <w:sz w:val="24"/>
          <w:szCs w:val="24"/>
          <w:vertAlign w:val="superscript"/>
        </w:rPr>
        <w:t>*</w:t>
      </w:r>
      <w:r w:rsidRPr="006B4560">
        <w:rPr>
          <w:rFonts w:ascii="Times New Roman" w:eastAsia="Calibri" w:hAnsi="Times New Roman" w:cs="Times New Roman"/>
          <w:color w:val="000000" w:themeColor="text1"/>
          <w:sz w:val="24"/>
          <w:szCs w:val="24"/>
        </w:rPr>
        <w:t>Corresponding author:</w:t>
      </w:r>
      <w:r w:rsidRPr="006B4560">
        <w:rPr>
          <w:rFonts w:ascii="Times New Roman" w:hAnsi="Times New Roman" w:cs="Times New Roman"/>
        </w:rPr>
        <w:tab/>
      </w:r>
      <w:r w:rsidRPr="006B4560">
        <w:rPr>
          <w:rFonts w:ascii="Times New Roman" w:hAnsi="Times New Roman" w:cs="Times New Roman"/>
        </w:rPr>
        <w:tab/>
      </w:r>
      <w:hyperlink r:id="rId4" w:history="1">
        <w:r w:rsidRPr="006B4560">
          <w:rPr>
            <w:rStyle w:val="Hyperlink"/>
            <w:rFonts w:ascii="Times New Roman" w:hAnsi="Times New Roman" w:cs="Times New Roman"/>
            <w:color w:val="auto"/>
          </w:rPr>
          <w:t>p.beazley@uea.ac.uk</w:t>
        </w:r>
      </w:hyperlink>
      <w:r w:rsidRPr="006B4560">
        <w:rPr>
          <w:rFonts w:ascii="Times New Roman" w:hAnsi="Times New Roman" w:cs="Times New Roman"/>
        </w:rPr>
        <w:t xml:space="preserve"> </w:t>
      </w:r>
      <w:r w:rsidRPr="006B4560" w:rsidDel="008F3131">
        <w:t xml:space="preserve"> </w:t>
      </w:r>
      <w:hyperlink r:id="rId5" w:history="1"/>
    </w:p>
    <w:p w14:paraId="54FDBBAF"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251611ED"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5ABA7368"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3DEA5378" w14:textId="77777777" w:rsidR="00735ADE" w:rsidRPr="006B4560" w:rsidRDefault="00735ADE" w:rsidP="00735ADE">
      <w:pPr>
        <w:jc w:val="center"/>
        <w:rPr>
          <w:rFonts w:ascii="Times New Roman" w:eastAsia="Calibri" w:hAnsi="Times New Roman" w:cs="Times New Roman"/>
          <w:color w:val="000000" w:themeColor="text1"/>
          <w:sz w:val="24"/>
          <w:szCs w:val="24"/>
        </w:rPr>
      </w:pPr>
      <w:r w:rsidRPr="006B4560">
        <w:rPr>
          <w:rFonts w:ascii="Times New Roman" w:eastAsia="Calibri" w:hAnsi="Times New Roman" w:cs="Times New Roman"/>
          <w:color w:val="000000" w:themeColor="text1"/>
          <w:sz w:val="24"/>
          <w:szCs w:val="24"/>
        </w:rPr>
        <w:t xml:space="preserve">Word count (main text): </w:t>
      </w:r>
      <w:r w:rsidRPr="006B4560">
        <w:rPr>
          <w:rFonts w:ascii="Times New Roman" w:eastAsia="Calibri" w:hAnsi="Times New Roman" w:cs="Times New Roman"/>
          <w:color w:val="000000" w:themeColor="text1"/>
          <w:sz w:val="24"/>
          <w:szCs w:val="24"/>
        </w:rPr>
        <w:t>6278</w:t>
      </w:r>
    </w:p>
    <w:p w14:paraId="6190F1A4" w14:textId="77777777" w:rsidR="00735ADE" w:rsidRPr="006B4560" w:rsidRDefault="00735ADE" w:rsidP="00735ADE">
      <w:pPr>
        <w:jc w:val="center"/>
        <w:rPr>
          <w:rFonts w:ascii="Times New Roman" w:eastAsia="Calibri" w:hAnsi="Times New Roman" w:cs="Times New Roman"/>
          <w:color w:val="000000" w:themeColor="text1"/>
          <w:sz w:val="24"/>
          <w:szCs w:val="24"/>
        </w:rPr>
      </w:pPr>
      <w:r w:rsidRPr="006B4560">
        <w:rPr>
          <w:rFonts w:ascii="Times New Roman" w:eastAsia="Calibri" w:hAnsi="Times New Roman" w:cs="Times New Roman"/>
          <w:color w:val="000000" w:themeColor="text1"/>
          <w:sz w:val="24"/>
          <w:szCs w:val="24"/>
        </w:rPr>
        <w:t xml:space="preserve">References: </w:t>
      </w:r>
      <w:r w:rsidRPr="006B4560">
        <w:rPr>
          <w:rFonts w:ascii="Times New Roman" w:eastAsia="Calibri" w:hAnsi="Times New Roman" w:cs="Times New Roman"/>
          <w:color w:val="000000" w:themeColor="text1"/>
          <w:sz w:val="24"/>
          <w:szCs w:val="24"/>
        </w:rPr>
        <w:t>980</w:t>
      </w:r>
    </w:p>
    <w:p w14:paraId="1093129F"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753E22C5"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6BC8C491"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21D93B8D"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25CE51C9" w14:textId="77777777" w:rsidR="00735ADE" w:rsidRPr="006B4560" w:rsidRDefault="00735ADE" w:rsidP="00735ADE">
      <w:pPr>
        <w:rPr>
          <w:rFonts w:ascii="Times New Roman" w:hAnsi="Times New Roman" w:cs="Times New Roman"/>
          <w:b/>
          <w:bCs/>
        </w:rPr>
      </w:pPr>
      <w:r w:rsidRPr="006B4560">
        <w:rPr>
          <w:rFonts w:ascii="Times New Roman" w:hAnsi="Times New Roman" w:cs="Times New Roman"/>
          <w:b/>
          <w:bCs/>
        </w:rPr>
        <w:lastRenderedPageBreak/>
        <w:t>Ethical considerations</w:t>
      </w:r>
    </w:p>
    <w:p w14:paraId="77246362" w14:textId="77777777" w:rsidR="00735ADE" w:rsidRPr="006B4560" w:rsidRDefault="00735ADE" w:rsidP="00735ADE">
      <w:pPr>
        <w:rPr>
          <w:rFonts w:ascii="Times New Roman" w:hAnsi="Times New Roman" w:cs="Times New Roman"/>
          <w:b/>
          <w:bCs/>
        </w:rPr>
      </w:pPr>
      <w:r w:rsidRPr="006B4560">
        <w:rPr>
          <w:rFonts w:ascii="Times New Roman" w:eastAsia="Calibri" w:hAnsi="Times New Roman" w:cs="Times New Roman"/>
          <w:color w:val="000000" w:themeColor="text1"/>
        </w:rPr>
        <w:t>The study was granted ethical approval by the Faculty of Medicine</w:t>
      </w:r>
      <w:r w:rsidRPr="006B4560">
        <w:rPr>
          <w:rFonts w:ascii="Times New Roman" w:hAnsi="Times New Roman" w:cs="Times New Roman"/>
          <w:color w:val="000000" w:themeColor="text1"/>
        </w:rPr>
        <w:t xml:space="preserve"> and </w:t>
      </w:r>
      <w:r w:rsidRPr="006B4560">
        <w:rPr>
          <w:rFonts w:ascii="Times New Roman" w:eastAsia="Calibri" w:hAnsi="Times New Roman" w:cs="Times New Roman"/>
          <w:color w:val="000000" w:themeColor="text1"/>
        </w:rPr>
        <w:t>Health Science at the University of East Angla (ETH2223-0044).</w:t>
      </w:r>
    </w:p>
    <w:p w14:paraId="4A059EDC" w14:textId="77777777" w:rsidR="00735ADE" w:rsidRPr="006B4560" w:rsidRDefault="00735ADE" w:rsidP="00735ADE">
      <w:pPr>
        <w:rPr>
          <w:rFonts w:ascii="Times New Roman" w:hAnsi="Times New Roman" w:cs="Times New Roman"/>
          <w:b/>
          <w:bCs/>
        </w:rPr>
      </w:pPr>
      <w:r w:rsidRPr="006B4560">
        <w:rPr>
          <w:rFonts w:ascii="Times New Roman" w:hAnsi="Times New Roman" w:cs="Times New Roman"/>
        </w:rPr>
        <w:br/>
      </w:r>
      <w:r w:rsidRPr="006B4560">
        <w:rPr>
          <w:rFonts w:ascii="Times New Roman" w:hAnsi="Times New Roman" w:cs="Times New Roman"/>
          <w:b/>
          <w:bCs/>
        </w:rPr>
        <w:t>Consent to participate</w:t>
      </w:r>
    </w:p>
    <w:p w14:paraId="54AC4C4A" w14:textId="77777777" w:rsidR="00735ADE" w:rsidRPr="006B4560" w:rsidRDefault="00735ADE" w:rsidP="00735ADE">
      <w:pPr>
        <w:rPr>
          <w:rFonts w:ascii="Times New Roman" w:hAnsi="Times New Roman" w:cs="Times New Roman"/>
        </w:rPr>
      </w:pPr>
      <w:r w:rsidRPr="006B4560">
        <w:rPr>
          <w:rFonts w:ascii="Times New Roman" w:hAnsi="Times New Roman" w:cs="Times New Roman"/>
        </w:rPr>
        <w:t xml:space="preserve">All participants were required to provide informed consent to participate. A Participant Information Sheet reported information about the study prior to study commencement. </w:t>
      </w:r>
    </w:p>
    <w:p w14:paraId="70F7A213" w14:textId="77777777" w:rsidR="00735ADE" w:rsidRPr="006B4560" w:rsidRDefault="00735ADE" w:rsidP="00735ADE">
      <w:pPr>
        <w:rPr>
          <w:rFonts w:ascii="Times New Roman" w:hAnsi="Times New Roman" w:cs="Times New Roman"/>
          <w:b/>
          <w:bCs/>
        </w:rPr>
      </w:pPr>
      <w:r w:rsidRPr="006B4560">
        <w:rPr>
          <w:rFonts w:ascii="Times New Roman" w:hAnsi="Times New Roman" w:cs="Times New Roman"/>
        </w:rPr>
        <w:br/>
      </w:r>
      <w:r w:rsidRPr="006B4560">
        <w:rPr>
          <w:rFonts w:ascii="Times New Roman" w:hAnsi="Times New Roman" w:cs="Times New Roman"/>
          <w:b/>
          <w:bCs/>
        </w:rPr>
        <w:t>Consent for publication</w:t>
      </w:r>
    </w:p>
    <w:p w14:paraId="6711A205" w14:textId="77777777" w:rsidR="00735ADE" w:rsidRPr="006B4560" w:rsidRDefault="00735ADE" w:rsidP="00735ADE">
      <w:pPr>
        <w:rPr>
          <w:rFonts w:ascii="Times New Roman" w:hAnsi="Times New Roman" w:cs="Times New Roman"/>
        </w:rPr>
      </w:pPr>
      <w:r w:rsidRPr="006B4560">
        <w:rPr>
          <w:rFonts w:ascii="Times New Roman" w:hAnsi="Times New Roman" w:cs="Times New Roman"/>
        </w:rPr>
        <w:t xml:space="preserve">All participants consented to publication. The participation information sheet included a statement “Study findings may be published, but you will not be identified in these publications if you decide to participate in this study. You will not have the opportunity to review information generated about you prior to publication" </w:t>
      </w:r>
    </w:p>
    <w:p w14:paraId="2A81820B" w14:textId="77777777" w:rsidR="00735ADE" w:rsidRPr="006B4560" w:rsidRDefault="00735ADE" w:rsidP="00735ADE">
      <w:pPr>
        <w:rPr>
          <w:rFonts w:ascii="Times New Roman" w:hAnsi="Times New Roman" w:cs="Times New Roman"/>
          <w:b/>
          <w:bCs/>
        </w:rPr>
      </w:pPr>
      <w:r w:rsidRPr="006B4560">
        <w:rPr>
          <w:rFonts w:ascii="Times New Roman" w:hAnsi="Times New Roman" w:cs="Times New Roman"/>
        </w:rPr>
        <w:br/>
      </w:r>
      <w:r w:rsidRPr="006B4560">
        <w:rPr>
          <w:rFonts w:ascii="Times New Roman" w:hAnsi="Times New Roman" w:cs="Times New Roman"/>
          <w:b/>
          <w:bCs/>
        </w:rPr>
        <w:t xml:space="preserve">Declaration of conflicting interest </w:t>
      </w:r>
    </w:p>
    <w:p w14:paraId="4566ACDF" w14:textId="77777777" w:rsidR="00735ADE" w:rsidRPr="006B4560" w:rsidRDefault="00735ADE" w:rsidP="00735ADE">
      <w:pPr>
        <w:rPr>
          <w:rFonts w:ascii="Times New Roman" w:hAnsi="Times New Roman"/>
          <w:color w:val="000000" w:themeColor="text1"/>
          <w:sz w:val="24"/>
        </w:rPr>
      </w:pPr>
      <w:r w:rsidRPr="006B4560">
        <w:rPr>
          <w:rFonts w:ascii="Times New Roman" w:hAnsi="Times New Roman" w:cs="Times New Roman"/>
        </w:rPr>
        <w:t xml:space="preserve">The author(s) declared </w:t>
      </w:r>
      <w:r w:rsidRPr="006B4560">
        <w:rPr>
          <w:rFonts w:ascii="Times New Roman" w:hAnsi="Times New Roman" w:cs="Times New Roman"/>
        </w:rPr>
        <w:t xml:space="preserve">no </w:t>
      </w:r>
      <w:r w:rsidRPr="006B4560">
        <w:rPr>
          <w:rFonts w:ascii="Times New Roman" w:hAnsi="Times New Roman" w:cs="Times New Roman"/>
        </w:rPr>
        <w:t xml:space="preserve">potential </w:t>
      </w:r>
      <w:r w:rsidRPr="006B4560">
        <w:rPr>
          <w:rFonts w:ascii="Times New Roman" w:hAnsi="Times New Roman" w:cs="Times New Roman"/>
        </w:rPr>
        <w:t xml:space="preserve">conflicts of interest </w:t>
      </w:r>
      <w:r w:rsidRPr="006B4560">
        <w:rPr>
          <w:rFonts w:ascii="Times New Roman" w:hAnsi="Times New Roman" w:cs="Times New Roman"/>
        </w:rPr>
        <w:t>with respect to the research, authorship, and/or publication of this article</w:t>
      </w:r>
    </w:p>
    <w:p w14:paraId="0F02CECA" w14:textId="77777777" w:rsidR="00735ADE" w:rsidRPr="006B4560" w:rsidRDefault="00735ADE" w:rsidP="00735ADE">
      <w:pPr>
        <w:rPr>
          <w:rFonts w:ascii="Times New Roman" w:hAnsi="Times New Roman" w:cs="Times New Roman"/>
        </w:rPr>
      </w:pPr>
      <w:r w:rsidRPr="006B4560">
        <w:rPr>
          <w:rFonts w:ascii="Times New Roman" w:hAnsi="Times New Roman" w:cs="Times New Roman"/>
        </w:rPr>
        <w:br/>
      </w:r>
      <w:r w:rsidRPr="006B4560">
        <w:rPr>
          <w:rFonts w:ascii="Times New Roman" w:hAnsi="Times New Roman" w:cs="Times New Roman"/>
          <w:b/>
          <w:bCs/>
        </w:rPr>
        <w:t>Funding statement</w:t>
      </w:r>
    </w:p>
    <w:p w14:paraId="79C3E4CF" w14:textId="77777777" w:rsidR="00735ADE" w:rsidRPr="006B4560" w:rsidRDefault="00735ADE" w:rsidP="00735ADE">
      <w:pPr>
        <w:rPr>
          <w:rFonts w:ascii="Times New Roman" w:hAnsi="Times New Roman" w:cs="Times New Roman"/>
        </w:rPr>
      </w:pPr>
      <w:r w:rsidRPr="006B4560">
        <w:rPr>
          <w:rFonts w:ascii="Times New Roman" w:hAnsi="Times New Roman" w:cs="Times New Roman"/>
        </w:rPr>
        <w:t xml:space="preserve">There is no funding to report. The work was completed as part of a professional doctorate in Clinical Psychology at the University of East Anglia. </w:t>
      </w:r>
    </w:p>
    <w:p w14:paraId="6B2DD9B3" w14:textId="77777777" w:rsidR="00735ADE" w:rsidRPr="006B4560" w:rsidRDefault="00735ADE" w:rsidP="00735ADE">
      <w:pPr>
        <w:rPr>
          <w:rFonts w:ascii="Times New Roman" w:hAnsi="Times New Roman" w:cs="Times New Roman"/>
          <w:b/>
        </w:rPr>
      </w:pPr>
    </w:p>
    <w:p w14:paraId="590595A5" w14:textId="77777777" w:rsidR="00735ADE" w:rsidRPr="006B4560" w:rsidRDefault="00735ADE" w:rsidP="00735ADE">
      <w:pPr>
        <w:rPr>
          <w:rFonts w:ascii="Times New Roman" w:hAnsi="Times New Roman" w:cs="Times New Roman"/>
          <w:b/>
          <w:bCs/>
        </w:rPr>
      </w:pPr>
      <w:r w:rsidRPr="006B4560">
        <w:rPr>
          <w:rFonts w:ascii="Times New Roman" w:hAnsi="Times New Roman" w:cs="Times New Roman"/>
          <w:b/>
        </w:rPr>
        <w:t>Data availability</w:t>
      </w:r>
    </w:p>
    <w:p w14:paraId="464AD141" w14:textId="77777777" w:rsidR="00735ADE" w:rsidRPr="006B4560" w:rsidRDefault="00735ADE" w:rsidP="00735ADE">
      <w:pPr>
        <w:rPr>
          <w:rFonts w:ascii="Times New Roman" w:hAnsi="Times New Roman" w:cs="Times New Roman"/>
        </w:rPr>
      </w:pPr>
      <w:r w:rsidRPr="006B4560">
        <w:rPr>
          <w:rFonts w:ascii="Times New Roman" w:hAnsi="Times New Roman" w:cs="Times New Roman"/>
        </w:rPr>
        <w:t xml:space="preserve">Data and materials are available from the following link: </w:t>
      </w:r>
      <w:hyperlink r:id="rId6" w:history="1">
        <w:r w:rsidRPr="006B4560">
          <w:rPr>
            <w:rStyle w:val="Hyperlink"/>
            <w:rFonts w:ascii="Times New Roman" w:hAnsi="Times New Roman" w:cs="Times New Roman"/>
            <w:color w:val="auto"/>
          </w:rPr>
          <w:t>https://osf.io/uaxdj/overview?view_only=e7205a8fc6924b0a907f6ce3747dfbaa</w:t>
        </w:r>
      </w:hyperlink>
    </w:p>
    <w:p w14:paraId="3F4A7D2F" w14:textId="77777777" w:rsidR="00735ADE" w:rsidRPr="006B4560" w:rsidRDefault="00735ADE" w:rsidP="00735ADE">
      <w:pPr>
        <w:rPr>
          <w:rFonts w:ascii="Times New Roman" w:hAnsi="Times New Roman" w:cs="Times New Roman"/>
        </w:rPr>
      </w:pPr>
    </w:p>
    <w:p w14:paraId="27B1545C"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58FE108E"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25CE0E33"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6D03829B"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3AB66A79"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031F68AC"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66FF3140"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671148E1" w14:textId="77777777" w:rsidR="00735ADE" w:rsidRPr="006B4560" w:rsidRDefault="00735ADE" w:rsidP="00735ADE">
      <w:pPr>
        <w:jc w:val="center"/>
        <w:rPr>
          <w:rFonts w:ascii="Times New Roman" w:eastAsia="Calibri" w:hAnsi="Times New Roman" w:cs="Times New Roman"/>
          <w:color w:val="000000" w:themeColor="text1"/>
          <w:sz w:val="24"/>
          <w:szCs w:val="24"/>
        </w:rPr>
      </w:pPr>
    </w:p>
    <w:p w14:paraId="1D25CE69" w14:textId="77777777" w:rsidR="00735ADE" w:rsidRPr="006B4560" w:rsidRDefault="00735ADE" w:rsidP="00735ADE">
      <w:pPr>
        <w:rPr>
          <w:rFonts w:ascii="Times New Roman" w:eastAsia="Calibri" w:hAnsi="Times New Roman" w:cs="Times New Roman"/>
          <w:color w:val="000000" w:themeColor="text1"/>
          <w:sz w:val="24"/>
          <w:szCs w:val="24"/>
        </w:rPr>
      </w:pPr>
    </w:p>
    <w:p w14:paraId="4E6C507C" w14:textId="77777777" w:rsidR="00735ADE" w:rsidRPr="006B4560" w:rsidRDefault="00735ADE" w:rsidP="00735ADE">
      <w:pPr>
        <w:pStyle w:val="Heading2"/>
        <w:spacing w:line="480" w:lineRule="auto"/>
        <w:jc w:val="center"/>
        <w:rPr>
          <w:rFonts w:ascii="Times New Roman" w:eastAsia="Calibri" w:hAnsi="Times New Roman" w:cs="Times New Roman"/>
        </w:rPr>
      </w:pPr>
      <w:bookmarkStart w:id="0" w:name="_Toc160446729"/>
      <w:r w:rsidRPr="006B4560">
        <w:rPr>
          <w:rFonts w:ascii="Times New Roman" w:eastAsia="Calibri" w:hAnsi="Times New Roman" w:cs="Times New Roman"/>
          <w:b/>
          <w:bCs/>
          <w:color w:val="auto"/>
          <w:sz w:val="22"/>
          <w:szCs w:val="22"/>
        </w:rPr>
        <w:lastRenderedPageBreak/>
        <w:t>Abstract</w:t>
      </w:r>
      <w:bookmarkEnd w:id="0"/>
    </w:p>
    <w:p w14:paraId="2C5883AF" w14:textId="77777777" w:rsidR="00735ADE" w:rsidRPr="006B4560" w:rsidRDefault="00735ADE" w:rsidP="00735ADE">
      <w:pPr>
        <w:spacing w:line="480" w:lineRule="auto"/>
        <w:rPr>
          <w:rFonts w:ascii="Times New Roman" w:eastAsia="Calibri" w:hAnsi="Times New Roman" w:cs="Times New Roman"/>
          <w:color w:val="000000" w:themeColor="text1"/>
        </w:rPr>
      </w:pPr>
      <w:bookmarkStart w:id="1" w:name="_Hlk177724109"/>
      <w:r w:rsidRPr="006B4560">
        <w:rPr>
          <w:rFonts w:ascii="Times New Roman" w:eastAsia="Calibri" w:hAnsi="Times New Roman" w:cs="Times New Roman"/>
          <w:color w:val="000000" w:themeColor="text1"/>
        </w:rPr>
        <w:t>Public stigma</w:t>
      </w:r>
      <w:r w:rsidRPr="006B4560">
        <w:rPr>
          <w:rFonts w:ascii="Times New Roman" w:eastAsia="Calibri" w:hAnsi="Times New Roman" w:cs="Times New Roman"/>
          <w:color w:val="000000" w:themeColor="text1"/>
        </w:rPr>
        <w:t xml:space="preserve"> towards mental health conditions has been subject to considerable research. Whilst there is evidence to suggest that different psychiatric diagnoses </w:t>
      </w:r>
      <w:r w:rsidRPr="006B4560">
        <w:rPr>
          <w:rFonts w:ascii="Times New Roman" w:eastAsia="Calibri" w:hAnsi="Times New Roman" w:cs="Times New Roman"/>
          <w:color w:val="000000" w:themeColor="text1"/>
        </w:rPr>
        <w:t>may be</w:t>
      </w:r>
      <w:r w:rsidRPr="006B4560">
        <w:rPr>
          <w:rFonts w:ascii="Times New Roman" w:eastAsia="Calibri" w:hAnsi="Times New Roman" w:cs="Times New Roman"/>
          <w:color w:val="000000" w:themeColor="text1"/>
        </w:rPr>
        <w:t xml:space="preserve"> associated with varying levels of public stigma, </w:t>
      </w:r>
      <w:r w:rsidRPr="006B4560">
        <w:rPr>
          <w:rFonts w:ascii="Times New Roman" w:eastAsia="Calibri" w:hAnsi="Times New Roman" w:cs="Times New Roman"/>
          <w:color w:val="000000" w:themeColor="text1"/>
        </w:rPr>
        <w:t>research exploring the impact of such differences is limited. In the present study, we considered whether differences in diagnosis and baseline individual stigma towards mental health conditions influenced</w:t>
      </w:r>
      <w:r w:rsidRPr="006B4560">
        <w:rPr>
          <w:rFonts w:ascii="Times New Roman" w:eastAsia="Calibri" w:hAnsi="Times New Roman" w:cs="Times New Roman"/>
          <w:color w:val="000000" w:themeColor="text1"/>
        </w:rPr>
        <w:t xml:space="preserve"> juror decision-making in a mock criminal trial. </w:t>
      </w:r>
      <w:r w:rsidRPr="006B4560">
        <w:rPr>
          <w:rFonts w:ascii="Times New Roman" w:eastAsia="Calibri" w:hAnsi="Times New Roman" w:cs="Times New Roman"/>
          <w:color w:val="000000" w:themeColor="text1"/>
        </w:rPr>
        <w:t>We</w:t>
      </w:r>
      <w:r w:rsidRPr="006B4560">
        <w:rPr>
          <w:rFonts w:ascii="Times New Roman" w:eastAsia="Calibri" w:hAnsi="Times New Roman" w:cs="Times New Roman"/>
          <w:color w:val="000000" w:themeColor="text1"/>
        </w:rPr>
        <w:t xml:space="preserve"> used an online, between-groups experimental design</w:t>
      </w:r>
      <w:r w:rsidRPr="006B4560">
        <w:rPr>
          <w:rFonts w:ascii="Times New Roman" w:eastAsia="Calibri" w:hAnsi="Times New Roman" w:cs="Times New Roman"/>
          <w:color w:val="000000" w:themeColor="text1"/>
        </w:rPr>
        <w:t xml:space="preserve">, with n=150 participants being manipulated between three </w:t>
      </w:r>
      <w:r w:rsidRPr="006B4560">
        <w:rPr>
          <w:rFonts w:ascii="Times New Roman" w:eastAsia="Calibri" w:hAnsi="Times New Roman" w:cs="Times New Roman"/>
          <w:color w:val="000000" w:themeColor="text1"/>
        </w:rPr>
        <w:t xml:space="preserve">experimental </w:t>
      </w:r>
      <w:r w:rsidRPr="006B4560">
        <w:rPr>
          <w:rFonts w:ascii="Times New Roman" w:eastAsia="Calibri" w:hAnsi="Times New Roman" w:cs="Times New Roman"/>
          <w:color w:val="000000" w:themeColor="text1"/>
        </w:rPr>
        <w:t>conditions (‘Schizophrenia’</w:t>
      </w:r>
      <w:r w:rsidRPr="006B4560">
        <w:rPr>
          <w:rFonts w:ascii="Times New Roman" w:eastAsia="Calibri" w:hAnsi="Times New Roman" w:cs="Times New Roman"/>
          <w:color w:val="000000" w:themeColor="text1"/>
        </w:rPr>
        <w:t xml:space="preserve">, ‘Borderline Personality Disorder’ </w:t>
      </w:r>
      <w:r w:rsidRPr="006B4560">
        <w:rPr>
          <w:rFonts w:ascii="Times New Roman" w:eastAsia="Calibri" w:hAnsi="Times New Roman" w:cs="Times New Roman"/>
          <w:color w:val="000000" w:themeColor="text1"/>
        </w:rPr>
        <w:t>and</w:t>
      </w:r>
      <w:r w:rsidRPr="006B4560">
        <w:rPr>
          <w:rFonts w:ascii="Times New Roman" w:eastAsia="Calibri" w:hAnsi="Times New Roman" w:cs="Times New Roman"/>
          <w:color w:val="000000" w:themeColor="text1"/>
        </w:rPr>
        <w:t xml:space="preserve"> ‘Complex Mental Health Condition’</w:t>
      </w:r>
      <w:r w:rsidRPr="006B4560">
        <w:rPr>
          <w:rFonts w:ascii="Times New Roman" w:eastAsia="Calibri" w:hAnsi="Times New Roman" w:cs="Times New Roman"/>
          <w:color w:val="000000" w:themeColor="text1"/>
        </w:rPr>
        <w:t>), and measured stigma using</w:t>
      </w:r>
      <w:r w:rsidRPr="006B4560">
        <w:rPr>
          <w:rFonts w:ascii="Times New Roman" w:eastAsia="Calibri" w:hAnsi="Times New Roman" w:cs="Times New Roman"/>
          <w:color w:val="000000" w:themeColor="text1"/>
        </w:rPr>
        <w:t xml:space="preserve"> a validated measure</w:t>
      </w:r>
      <w:r w:rsidRPr="006B4560">
        <w:rPr>
          <w:rFonts w:ascii="Times New Roman" w:eastAsia="Calibri" w:hAnsi="Times New Roman" w:cs="Times New Roman"/>
          <w:color w:val="000000" w:themeColor="text1"/>
        </w:rPr>
        <w:t xml:space="preserve">. A </w:t>
      </w:r>
      <w:r w:rsidRPr="006B4560">
        <w:rPr>
          <w:rFonts w:ascii="Times New Roman" w:eastAsia="Calibri" w:hAnsi="Times New Roman" w:cs="Times New Roman"/>
          <w:color w:val="000000" w:themeColor="text1"/>
        </w:rPr>
        <w:t xml:space="preserve">video trial vignette </w:t>
      </w:r>
      <w:r w:rsidRPr="006B4560">
        <w:rPr>
          <w:rFonts w:ascii="Times New Roman" w:eastAsia="Calibri" w:hAnsi="Times New Roman" w:cs="Times New Roman"/>
          <w:color w:val="000000" w:themeColor="text1"/>
        </w:rPr>
        <w:t xml:space="preserve">depicting a case of </w:t>
      </w:r>
      <w:r w:rsidRPr="006B4560">
        <w:rPr>
          <w:rFonts w:ascii="Times New Roman" w:eastAsia="Calibri" w:hAnsi="Times New Roman" w:cs="Times New Roman"/>
          <w:color w:val="000000" w:themeColor="text1"/>
        </w:rPr>
        <w:t>alleged criminal damage</w:t>
      </w:r>
      <w:r w:rsidRPr="006B4560">
        <w:rPr>
          <w:rFonts w:ascii="Times New Roman" w:eastAsia="Calibri" w:hAnsi="Times New Roman" w:cs="Times New Roman"/>
          <w:color w:val="000000" w:themeColor="text1"/>
        </w:rPr>
        <w:t xml:space="preserve"> was presented where the </w:t>
      </w:r>
      <w:r w:rsidRPr="006B4560">
        <w:rPr>
          <w:rFonts w:ascii="Times New Roman" w:eastAsia="Calibri" w:hAnsi="Times New Roman" w:cs="Times New Roman"/>
          <w:color w:val="000000" w:themeColor="text1"/>
        </w:rPr>
        <w:t>only manipulation was the diagnostic term</w:t>
      </w:r>
      <w:r w:rsidRPr="006B4560">
        <w:rPr>
          <w:rFonts w:ascii="Times New Roman" w:eastAsia="Calibri" w:hAnsi="Times New Roman" w:cs="Times New Roman"/>
          <w:color w:val="000000" w:themeColor="text1"/>
        </w:rPr>
        <w:t>. Both logistic and linear hierarchical regressions were used to consider the effect of diagnosis and stigma on guilt, which was rated both as a binary and continuous measure</w:t>
      </w:r>
      <w:r w:rsidRPr="006B4560">
        <w:rPr>
          <w:rFonts w:ascii="Times New Roman" w:eastAsia="Calibri" w:hAnsi="Times New Roman" w:cs="Times New Roman"/>
          <w:color w:val="000000" w:themeColor="text1"/>
        </w:rPr>
        <w:t>. The results suggest that juror stigma, but not the exposure to different diagnostic terms, was a significant factor in the individual verdicts that jurors reached</w:t>
      </w:r>
      <w:r w:rsidRPr="006B4560">
        <w:rPr>
          <w:rFonts w:ascii="Times New Roman" w:eastAsia="Calibri" w:hAnsi="Times New Roman" w:cs="Times New Roman"/>
          <w:color w:val="000000" w:themeColor="text1"/>
        </w:rPr>
        <w:t>, associated with a medium/large standardised effect in the linear regression (β=0.54, p&lt;0.001). Heterogeneity between individual jurors in guilt ratings was high. Moreover, male</w:t>
      </w:r>
      <w:r w:rsidRPr="006B4560">
        <w:rPr>
          <w:rFonts w:ascii="Times New Roman" w:eastAsia="Calibri" w:hAnsi="Times New Roman" w:cs="Times New Roman"/>
          <w:color w:val="000000" w:themeColor="text1"/>
        </w:rPr>
        <w:t xml:space="preserve"> jurors were also more likely to give a guilty verdict than female jurors, contrary to previous research. Strengths and limitations of the study are discussed, along with implications for legal professionals and clinicians working within the criminal courts of England and Wales.</w:t>
      </w:r>
    </w:p>
    <w:bookmarkEnd w:id="1"/>
    <w:p w14:paraId="5AC093DC" w14:textId="77777777" w:rsidR="00735ADE" w:rsidRPr="006B4560" w:rsidRDefault="00735ADE" w:rsidP="00735ADE">
      <w:pPr>
        <w:spacing w:line="480" w:lineRule="auto"/>
        <w:rPr>
          <w:rFonts w:ascii="Times New Roman" w:eastAsia="Calibri" w:hAnsi="Times New Roman" w:cs="Times New Roman"/>
          <w:color w:val="000000" w:themeColor="text1"/>
        </w:rPr>
      </w:pPr>
    </w:p>
    <w:p w14:paraId="28F53D1C"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i/>
          <w:iCs/>
          <w:color w:val="000000" w:themeColor="text1"/>
        </w:rPr>
        <w:t>Keywords:</w:t>
      </w:r>
      <w:r w:rsidRPr="006B4560">
        <w:rPr>
          <w:rFonts w:ascii="Times New Roman" w:eastAsia="Calibri" w:hAnsi="Times New Roman" w:cs="Times New Roman"/>
          <w:color w:val="000000" w:themeColor="text1"/>
        </w:rPr>
        <w:t xml:space="preserve"> stigma, mock juror, diagnosis, mental health, criminal justice</w:t>
      </w:r>
    </w:p>
    <w:p w14:paraId="63361B02" w14:textId="77777777" w:rsidR="00735ADE" w:rsidRPr="006B4560" w:rsidRDefault="00735ADE" w:rsidP="00735ADE">
      <w:pPr>
        <w:spacing w:line="480" w:lineRule="auto"/>
        <w:rPr>
          <w:rFonts w:ascii="Times New Roman" w:eastAsia="Calibri" w:hAnsi="Times New Roman" w:cs="Times New Roman"/>
          <w:color w:val="000000" w:themeColor="text1"/>
        </w:rPr>
      </w:pPr>
    </w:p>
    <w:p w14:paraId="3CD89B6F" w14:textId="77777777" w:rsidR="00735ADE" w:rsidRPr="006B4560" w:rsidRDefault="00735ADE" w:rsidP="00735ADE">
      <w:pPr>
        <w:spacing w:line="480" w:lineRule="auto"/>
        <w:rPr>
          <w:rFonts w:ascii="Times New Roman" w:eastAsia="Calibri" w:hAnsi="Times New Roman" w:cs="Times New Roman"/>
          <w:i/>
          <w:iCs/>
          <w:color w:val="000000" w:themeColor="text1"/>
        </w:rPr>
      </w:pPr>
    </w:p>
    <w:p w14:paraId="2B83B27E" w14:textId="77777777" w:rsidR="00735ADE" w:rsidRPr="006B4560" w:rsidRDefault="00735ADE" w:rsidP="00735ADE">
      <w:pPr>
        <w:spacing w:line="480" w:lineRule="auto"/>
        <w:rPr>
          <w:rFonts w:ascii="Times New Roman" w:eastAsia="Calibri" w:hAnsi="Times New Roman" w:cs="Times New Roman"/>
          <w:i/>
          <w:iCs/>
          <w:color w:val="000000" w:themeColor="text1"/>
        </w:rPr>
      </w:pPr>
    </w:p>
    <w:p w14:paraId="5955E239" w14:textId="77777777" w:rsidR="00735ADE" w:rsidRPr="006B4560" w:rsidRDefault="00735ADE" w:rsidP="00735ADE">
      <w:pPr>
        <w:spacing w:line="480" w:lineRule="auto"/>
        <w:rPr>
          <w:rFonts w:ascii="Times New Roman" w:eastAsia="Calibri" w:hAnsi="Times New Roman" w:cs="Times New Roman"/>
          <w:i/>
          <w:iCs/>
          <w:color w:val="000000" w:themeColor="text1"/>
        </w:rPr>
      </w:pPr>
    </w:p>
    <w:p w14:paraId="48A5D6EE" w14:textId="77777777" w:rsidR="00735ADE" w:rsidRPr="006B4560" w:rsidRDefault="00735ADE" w:rsidP="00735ADE">
      <w:pPr>
        <w:spacing w:line="480" w:lineRule="auto"/>
        <w:rPr>
          <w:rFonts w:ascii="Times New Roman" w:eastAsia="Calibri" w:hAnsi="Times New Roman" w:cs="Times New Roman"/>
          <w:i/>
          <w:iCs/>
          <w:color w:val="000000" w:themeColor="text1"/>
        </w:rPr>
      </w:pPr>
    </w:p>
    <w:p w14:paraId="2DB712A4" w14:textId="4ED47BFF" w:rsidR="00735ADE" w:rsidRPr="006B4560" w:rsidRDefault="00735ADE" w:rsidP="00735ADE">
      <w:pPr>
        <w:spacing w:line="480" w:lineRule="auto"/>
        <w:rPr>
          <w:rFonts w:ascii="Times New Roman" w:eastAsia="Calibri" w:hAnsi="Times New Roman" w:cs="Times New Roman"/>
          <w:b/>
          <w:bCs/>
          <w:i/>
          <w:iCs/>
          <w:color w:val="000000" w:themeColor="text1"/>
        </w:rPr>
      </w:pPr>
      <w:r w:rsidRPr="006B4560">
        <w:rPr>
          <w:rFonts w:ascii="Times New Roman" w:eastAsia="Calibri" w:hAnsi="Times New Roman" w:cs="Times New Roman"/>
          <w:b/>
          <w:bCs/>
          <w:i/>
          <w:iCs/>
          <w:color w:val="000000" w:themeColor="text1"/>
        </w:rPr>
        <w:lastRenderedPageBreak/>
        <w:t>Plain language summary:</w:t>
      </w:r>
    </w:p>
    <w:p w14:paraId="6352DB2B"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This study looked at whether the name of a mental health condition affects how jurors decide a </w:t>
      </w:r>
      <w:r w:rsidRPr="006B4560">
        <w:rPr>
          <w:rFonts w:ascii="Times New Roman" w:eastAsia="Calibri" w:hAnsi="Times New Roman" w:cs="Times New Roman"/>
          <w:color w:val="000000" w:themeColor="text1"/>
        </w:rPr>
        <w:t xml:space="preserve">criminal </w:t>
      </w:r>
      <w:r w:rsidRPr="006B4560">
        <w:rPr>
          <w:rFonts w:ascii="Times New Roman" w:eastAsia="Calibri" w:hAnsi="Times New Roman" w:cs="Times New Roman"/>
          <w:color w:val="000000" w:themeColor="text1"/>
        </w:rPr>
        <w:t xml:space="preserve">case. </w:t>
      </w:r>
      <w:r w:rsidRPr="006B4560">
        <w:rPr>
          <w:rFonts w:ascii="Times New Roman" w:eastAsia="Calibri" w:hAnsi="Times New Roman" w:cs="Times New Roman"/>
          <w:color w:val="000000" w:themeColor="text1"/>
        </w:rPr>
        <w:t>We showed participants videos of</w:t>
      </w:r>
      <w:r w:rsidRPr="006B4560">
        <w:rPr>
          <w:rFonts w:ascii="Times New Roman" w:eastAsia="Calibri" w:hAnsi="Times New Roman" w:cs="Times New Roman"/>
          <w:color w:val="000000" w:themeColor="text1"/>
        </w:rPr>
        <w:t xml:space="preserve"> a mock trial where the defendant had a mental health issue, but the term used</w:t>
      </w:r>
      <w:r w:rsidRPr="006B4560">
        <w:rPr>
          <w:rFonts w:ascii="Times New Roman" w:eastAsia="Calibri" w:hAnsi="Times New Roman" w:cs="Times New Roman"/>
          <w:color w:val="000000" w:themeColor="text1"/>
        </w:rPr>
        <w:t xml:space="preserve"> to describe it</w:t>
      </w:r>
      <w:r w:rsidRPr="006B4560">
        <w:rPr>
          <w:rFonts w:ascii="Times New Roman" w:eastAsia="Calibri" w:hAnsi="Times New Roman" w:cs="Times New Roman"/>
          <w:color w:val="000000" w:themeColor="text1"/>
        </w:rPr>
        <w:t xml:space="preserve"> (like schizophrenia or borderline personality disorder) was changed. The results showed that the specific </w:t>
      </w:r>
      <w:r w:rsidRPr="006B4560">
        <w:rPr>
          <w:rFonts w:ascii="Times New Roman" w:eastAsia="Calibri" w:hAnsi="Times New Roman" w:cs="Times New Roman"/>
          <w:color w:val="000000" w:themeColor="text1"/>
        </w:rPr>
        <w:t>term</w:t>
      </w:r>
      <w:r w:rsidRPr="006B4560">
        <w:rPr>
          <w:rFonts w:ascii="Times New Roman" w:eastAsia="Calibri" w:hAnsi="Times New Roman" w:cs="Times New Roman"/>
          <w:color w:val="000000" w:themeColor="text1"/>
        </w:rPr>
        <w:t xml:space="preserve"> did not make much difference. Instead, what mattered more was the jurors’ own </w:t>
      </w:r>
      <w:r w:rsidRPr="006B4560">
        <w:rPr>
          <w:rFonts w:ascii="Times New Roman" w:eastAsia="Calibri" w:hAnsi="Times New Roman" w:cs="Times New Roman"/>
          <w:color w:val="000000" w:themeColor="text1"/>
        </w:rPr>
        <w:t xml:space="preserve">negative </w:t>
      </w:r>
      <w:r w:rsidRPr="006B4560">
        <w:rPr>
          <w:rFonts w:ascii="Times New Roman" w:eastAsia="Calibri" w:hAnsi="Times New Roman" w:cs="Times New Roman"/>
          <w:color w:val="000000" w:themeColor="text1"/>
        </w:rPr>
        <w:t xml:space="preserve">attitudes towards mental health. Jurors with more negative views were more likely to give a guilty verdict. The study also found that men were more likely than women to find the defendant guilty. This is important because it suggests that personal bias about mental health can influence legal decisions, even when the facts are the same. It highlights the need for better public education and awareness to reduce stigma, as these attitudes could affect fairness in court cases. It also suggests that legal professionals may need to consider how juror bias is addressed to help ensure </w:t>
      </w:r>
      <w:r w:rsidRPr="006B4560">
        <w:rPr>
          <w:rFonts w:ascii="Times New Roman" w:eastAsia="Calibri" w:hAnsi="Times New Roman" w:cs="Times New Roman"/>
          <w:color w:val="000000" w:themeColor="text1"/>
        </w:rPr>
        <w:t xml:space="preserve">the courts remain fair. </w:t>
      </w:r>
    </w:p>
    <w:p w14:paraId="7CAEE64C" w14:textId="77777777" w:rsidR="00735ADE" w:rsidRPr="006B4560" w:rsidRDefault="00735ADE" w:rsidP="00735ADE">
      <w:pPr>
        <w:spacing w:line="480" w:lineRule="auto"/>
        <w:rPr>
          <w:rFonts w:ascii="Times New Roman" w:eastAsia="Calibri" w:hAnsi="Times New Roman" w:cs="Times New Roman"/>
          <w:color w:val="000000" w:themeColor="text1"/>
        </w:rPr>
      </w:pPr>
    </w:p>
    <w:p w14:paraId="5CC5DE1B" w14:textId="77777777" w:rsidR="00735ADE" w:rsidRPr="006B4560" w:rsidRDefault="00735ADE" w:rsidP="00735ADE">
      <w:pPr>
        <w:spacing w:line="480" w:lineRule="auto"/>
        <w:rPr>
          <w:rFonts w:ascii="Times New Roman" w:eastAsia="Calibri" w:hAnsi="Times New Roman" w:cs="Times New Roman"/>
          <w:color w:val="000000" w:themeColor="text1"/>
        </w:rPr>
      </w:pPr>
    </w:p>
    <w:p w14:paraId="2DE68C40" w14:textId="77777777" w:rsidR="00735ADE" w:rsidRPr="006B4560" w:rsidRDefault="00735ADE" w:rsidP="00735ADE">
      <w:pPr>
        <w:spacing w:line="480" w:lineRule="auto"/>
        <w:rPr>
          <w:rFonts w:ascii="Times New Roman" w:eastAsia="Calibri" w:hAnsi="Times New Roman" w:cs="Times New Roman"/>
          <w:color w:val="000000" w:themeColor="text1"/>
        </w:rPr>
      </w:pPr>
    </w:p>
    <w:p w14:paraId="009F2FF2" w14:textId="77777777" w:rsidR="00735ADE" w:rsidRPr="006B4560" w:rsidRDefault="00735ADE" w:rsidP="00735ADE">
      <w:pPr>
        <w:spacing w:line="480" w:lineRule="auto"/>
        <w:rPr>
          <w:rFonts w:ascii="Times New Roman" w:eastAsia="Calibri" w:hAnsi="Times New Roman" w:cs="Times New Roman"/>
          <w:color w:val="000000" w:themeColor="text1"/>
        </w:rPr>
      </w:pPr>
    </w:p>
    <w:p w14:paraId="75FF0F55" w14:textId="77777777" w:rsidR="00735ADE" w:rsidRPr="006B4560" w:rsidRDefault="00735ADE" w:rsidP="00735ADE">
      <w:pPr>
        <w:spacing w:line="480" w:lineRule="auto"/>
        <w:rPr>
          <w:rFonts w:ascii="Times New Roman" w:eastAsia="Calibri" w:hAnsi="Times New Roman" w:cs="Times New Roman"/>
          <w:color w:val="000000" w:themeColor="text1"/>
        </w:rPr>
      </w:pPr>
    </w:p>
    <w:p w14:paraId="54FC2777" w14:textId="77777777" w:rsidR="00735ADE" w:rsidRPr="006B4560" w:rsidRDefault="00735ADE" w:rsidP="00735ADE">
      <w:pPr>
        <w:spacing w:line="480" w:lineRule="auto"/>
        <w:rPr>
          <w:rFonts w:ascii="Times New Roman" w:eastAsia="Calibri" w:hAnsi="Times New Roman" w:cs="Times New Roman"/>
          <w:color w:val="000000" w:themeColor="text1"/>
        </w:rPr>
      </w:pPr>
    </w:p>
    <w:p w14:paraId="6882E1B6" w14:textId="77777777" w:rsidR="00735ADE" w:rsidRPr="006B4560" w:rsidRDefault="00735ADE" w:rsidP="00735ADE">
      <w:pPr>
        <w:spacing w:line="480" w:lineRule="auto"/>
        <w:rPr>
          <w:rFonts w:ascii="Times New Roman" w:eastAsia="Calibri" w:hAnsi="Times New Roman" w:cs="Times New Roman"/>
          <w:color w:val="000000" w:themeColor="text1"/>
        </w:rPr>
      </w:pPr>
    </w:p>
    <w:p w14:paraId="0019E906" w14:textId="77777777" w:rsidR="00735ADE" w:rsidRPr="006B4560" w:rsidRDefault="00735ADE" w:rsidP="00735ADE">
      <w:pPr>
        <w:spacing w:line="480" w:lineRule="auto"/>
        <w:rPr>
          <w:rFonts w:ascii="Times New Roman" w:eastAsia="Calibri" w:hAnsi="Times New Roman" w:cs="Times New Roman"/>
          <w:color w:val="000000" w:themeColor="text1"/>
        </w:rPr>
      </w:pPr>
    </w:p>
    <w:p w14:paraId="7D0D3FDA" w14:textId="77777777" w:rsidR="00735ADE" w:rsidRPr="006B4560" w:rsidRDefault="00735ADE" w:rsidP="00735ADE">
      <w:pPr>
        <w:spacing w:line="480" w:lineRule="auto"/>
        <w:rPr>
          <w:rFonts w:ascii="Times New Roman" w:eastAsia="Calibri" w:hAnsi="Times New Roman" w:cs="Times New Roman"/>
          <w:color w:val="000000" w:themeColor="text1"/>
        </w:rPr>
      </w:pPr>
    </w:p>
    <w:p w14:paraId="005782A4" w14:textId="77777777" w:rsidR="00735ADE" w:rsidRPr="006B4560" w:rsidRDefault="00735ADE" w:rsidP="00735ADE">
      <w:pPr>
        <w:spacing w:line="480" w:lineRule="auto"/>
        <w:rPr>
          <w:rFonts w:ascii="Times New Roman" w:eastAsia="Calibri" w:hAnsi="Times New Roman" w:cs="Times New Roman"/>
          <w:color w:val="000000" w:themeColor="text1"/>
        </w:rPr>
      </w:pPr>
    </w:p>
    <w:p w14:paraId="4A86B2E5" w14:textId="77777777" w:rsidR="00735ADE" w:rsidRPr="006B4560" w:rsidRDefault="00735ADE" w:rsidP="00735ADE">
      <w:pPr>
        <w:spacing w:line="480" w:lineRule="auto"/>
        <w:rPr>
          <w:rFonts w:ascii="Times New Roman" w:eastAsia="Calibri" w:hAnsi="Times New Roman" w:cs="Times New Roman"/>
          <w:color w:val="000000" w:themeColor="text1"/>
        </w:rPr>
      </w:pPr>
    </w:p>
    <w:p w14:paraId="5BB0A054" w14:textId="77777777" w:rsidR="00735ADE" w:rsidRPr="006B4560" w:rsidRDefault="00735ADE" w:rsidP="00735ADE">
      <w:pPr>
        <w:pStyle w:val="Heading2"/>
        <w:spacing w:line="480" w:lineRule="auto"/>
        <w:jc w:val="center"/>
        <w:rPr>
          <w:rFonts w:ascii="Times New Roman" w:eastAsia="Calibri" w:hAnsi="Times New Roman" w:cs="Times New Roman"/>
        </w:rPr>
      </w:pPr>
      <w:bookmarkStart w:id="2" w:name="_Toc160446730"/>
      <w:r w:rsidRPr="006B4560">
        <w:rPr>
          <w:rFonts w:ascii="Times New Roman" w:eastAsia="Calibri" w:hAnsi="Times New Roman" w:cs="Times New Roman"/>
          <w:b/>
          <w:bCs/>
          <w:color w:val="auto"/>
          <w:sz w:val="22"/>
          <w:szCs w:val="22"/>
        </w:rPr>
        <w:lastRenderedPageBreak/>
        <w:t>Introduction</w:t>
      </w:r>
      <w:bookmarkEnd w:id="2"/>
    </w:p>
    <w:p w14:paraId="2203AE07" w14:textId="77777777" w:rsidR="00735ADE" w:rsidRPr="006B4560" w:rsidRDefault="00735ADE" w:rsidP="00735ADE">
      <w:pPr>
        <w:spacing w:line="480" w:lineRule="auto"/>
        <w:jc w:val="center"/>
        <w:rPr>
          <w:rFonts w:ascii="Times New Roman" w:eastAsia="Calibri" w:hAnsi="Times New Roman" w:cs="Times New Roman"/>
          <w:color w:val="000000" w:themeColor="text1"/>
        </w:rPr>
      </w:pPr>
    </w:p>
    <w:p w14:paraId="02381186"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Goffman (1963) wrote that "there is no country, society or culture where people with mental illness have the same societal value as people without mental illness". Despite much research and social change, public stigma towards people with mental health conditions remains a live issue. Existing literature has highlighted that schizophrenia (Read et al., 2006; Graves et al., 2005) and Borderline Personality Disorder (</w:t>
      </w:r>
      <w:proofErr w:type="spellStart"/>
      <w:r w:rsidRPr="006B4560">
        <w:rPr>
          <w:rFonts w:ascii="Times New Roman" w:eastAsia="Calibri" w:hAnsi="Times New Roman" w:cs="Times New Roman"/>
          <w:color w:val="000000" w:themeColor="text1"/>
        </w:rPr>
        <w:t>Catthoor</w:t>
      </w:r>
      <w:proofErr w:type="spellEnd"/>
      <w:r w:rsidRPr="006B4560">
        <w:rPr>
          <w:rFonts w:ascii="Times New Roman" w:eastAsia="Calibri" w:hAnsi="Times New Roman" w:cs="Times New Roman"/>
          <w:color w:val="000000" w:themeColor="text1"/>
        </w:rPr>
        <w:t xml:space="preserve"> et al., 2015; Lewis &amp; Appleby, 1988) are consistently found to be amongst the most highly stigmatised conditions</w:t>
      </w:r>
      <w:r w:rsidRPr="006B4560">
        <w:rPr>
          <w:rFonts w:ascii="Times New Roman" w:eastAsia="Calibri" w:hAnsi="Times New Roman" w:cs="Times New Roman"/>
          <w:color w:val="000000" w:themeColor="text1"/>
        </w:rPr>
        <w:t>. Moreover, o</w:t>
      </w:r>
      <w:r w:rsidRPr="006B4560">
        <w:rPr>
          <w:rFonts w:ascii="Times New Roman" w:eastAsia="Calibri" w:hAnsi="Times New Roman" w:cs="Times New Roman"/>
        </w:rPr>
        <w:t>ffending behaviour</w:t>
      </w:r>
      <w:r w:rsidRPr="006B4560">
        <w:rPr>
          <w:rFonts w:ascii="Times New Roman" w:hAnsi="Times New Roman"/>
        </w:rPr>
        <w:t xml:space="preserve"> and </w:t>
      </w:r>
      <w:r w:rsidRPr="006B4560">
        <w:rPr>
          <w:rFonts w:ascii="Times New Roman" w:eastAsia="Calibri" w:hAnsi="Times New Roman" w:cs="Times New Roman"/>
        </w:rPr>
        <w:t>criminal justice involvement is also heavily stigmatised, and an offender</w:t>
      </w:r>
      <w:r w:rsidRPr="006B4560">
        <w:rPr>
          <w:rFonts w:ascii="Times New Roman" w:hAnsi="Times New Roman"/>
        </w:rPr>
        <w:t xml:space="preserve"> with a </w:t>
      </w:r>
      <w:r w:rsidRPr="006B4560">
        <w:rPr>
          <w:rFonts w:ascii="Times New Roman" w:eastAsia="Calibri" w:hAnsi="Times New Roman" w:cs="Times New Roman"/>
        </w:rPr>
        <w:t>significant mental health condition may therefore be subject to two sources</w:t>
      </w:r>
      <w:r w:rsidRPr="006B4560">
        <w:rPr>
          <w:rFonts w:ascii="Times New Roman" w:hAnsi="Times New Roman"/>
        </w:rPr>
        <w:t xml:space="preserve"> of stigma</w:t>
      </w:r>
      <w:r w:rsidRPr="006B4560">
        <w:rPr>
          <w:rFonts w:ascii="Times New Roman" w:eastAsia="Calibri" w:hAnsi="Times New Roman" w:cs="Times New Roman"/>
        </w:rPr>
        <w:t xml:space="preserve"> (</w:t>
      </w:r>
      <w:proofErr w:type="spellStart"/>
      <w:r w:rsidRPr="006B4560">
        <w:rPr>
          <w:rFonts w:ascii="Times New Roman" w:eastAsia="Calibri" w:hAnsi="Times New Roman" w:cs="Times New Roman"/>
        </w:rPr>
        <w:t>Tremlin</w:t>
      </w:r>
      <w:proofErr w:type="spellEnd"/>
      <w:r w:rsidRPr="006B4560">
        <w:rPr>
          <w:rFonts w:ascii="Times New Roman" w:eastAsia="Calibri" w:hAnsi="Times New Roman" w:cs="Times New Roman"/>
        </w:rPr>
        <w:t xml:space="preserve"> &amp; Beazley, 2024), though understanding how stigma from these different sources interacts is complicated. A significant complicating factor in</w:t>
      </w:r>
      <w:r w:rsidRPr="006B4560">
        <w:rPr>
          <w:rFonts w:ascii="Times New Roman" w:eastAsia="Calibri" w:hAnsi="Times New Roman" w:cs="Times New Roman"/>
        </w:rPr>
        <w:t xml:space="preserve"> the underlying research is the </w:t>
      </w:r>
      <w:r w:rsidRPr="006B4560">
        <w:rPr>
          <w:rFonts w:ascii="Times New Roman" w:eastAsia="Calibri" w:hAnsi="Times New Roman" w:cs="Times New Roman"/>
        </w:rPr>
        <w:t xml:space="preserve">fact that a </w:t>
      </w:r>
      <w:r w:rsidRPr="006B4560">
        <w:rPr>
          <w:rFonts w:ascii="Times New Roman" w:eastAsia="Calibri" w:hAnsi="Times New Roman" w:cs="Times New Roman"/>
        </w:rPr>
        <w:t xml:space="preserve">plethora of </w:t>
      </w:r>
      <w:r w:rsidRPr="006B4560">
        <w:rPr>
          <w:rFonts w:ascii="Times New Roman" w:eastAsia="Calibri" w:hAnsi="Times New Roman" w:cs="Times New Roman"/>
        </w:rPr>
        <w:t xml:space="preserve">different </w:t>
      </w:r>
      <w:r w:rsidRPr="006B4560">
        <w:rPr>
          <w:rFonts w:ascii="Times New Roman" w:eastAsia="Calibri" w:hAnsi="Times New Roman" w:cs="Times New Roman"/>
        </w:rPr>
        <w:t xml:space="preserve">stigma measures used. Many of these measures have been developed based on different underlying theories to conceptualise stigma, measure different types of </w:t>
      </w:r>
      <w:proofErr w:type="gramStart"/>
      <w:r w:rsidRPr="006B4560">
        <w:rPr>
          <w:rFonts w:ascii="Times New Roman" w:eastAsia="Calibri" w:hAnsi="Times New Roman" w:cs="Times New Roman"/>
        </w:rPr>
        <w:t>stigma</w:t>
      </w:r>
      <w:proofErr w:type="gramEnd"/>
      <w:r w:rsidRPr="006B4560">
        <w:rPr>
          <w:rFonts w:ascii="Times New Roman" w:eastAsia="Calibri" w:hAnsi="Times New Roman" w:cs="Times New Roman"/>
        </w:rPr>
        <w:t xml:space="preserve"> (e.g. public stigma vs self-stigma), and are variable in the extent to which they have been validated. Almost all are self-report measures</w:t>
      </w:r>
      <w:r w:rsidRPr="006B4560">
        <w:rPr>
          <w:rFonts w:ascii="Times New Roman" w:eastAsia="Calibri" w:hAnsi="Times New Roman" w:cs="Times New Roman"/>
        </w:rPr>
        <w:t>, which is</w:t>
      </w:r>
      <w:r w:rsidRPr="006B4560">
        <w:rPr>
          <w:rFonts w:ascii="Times New Roman" w:eastAsia="Calibri" w:hAnsi="Times New Roman" w:cs="Times New Roman"/>
        </w:rPr>
        <w:t xml:space="preserve"> a particular challenge given the </w:t>
      </w:r>
      <w:r w:rsidRPr="006B4560">
        <w:rPr>
          <w:rFonts w:ascii="Times New Roman" w:eastAsia="Calibri" w:hAnsi="Times New Roman" w:cs="Times New Roman"/>
        </w:rPr>
        <w:t>inherent intersection between stigma and</w:t>
      </w:r>
      <w:r w:rsidRPr="006B4560">
        <w:rPr>
          <w:rFonts w:ascii="Times New Roman" w:eastAsia="Calibri" w:hAnsi="Times New Roman" w:cs="Times New Roman"/>
        </w:rPr>
        <w:t xml:space="preserve"> social desirability</w:t>
      </w:r>
      <w:r w:rsidRPr="006B4560">
        <w:rPr>
          <w:rFonts w:ascii="Times New Roman" w:eastAsia="Calibri" w:hAnsi="Times New Roman" w:cs="Times New Roman"/>
        </w:rPr>
        <w:t xml:space="preserve">, raising a need for research to ensure that stigma is researched alongside the corresponding discriminatory behaviour that might arise as a consequence. </w:t>
      </w:r>
    </w:p>
    <w:p w14:paraId="3C04E007"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At the heart of most criminal justice systems is the fundamental right to a fair trial. In England and Wales, jurors are selected at random in line with the Juries Act (1974, s.1). Briefly, this requires the person to be a registered voter, resident in the UK for at least five years, aged 18-75, and not subject to a small number of disqualification conditions. Research suggests that juror decision-making processes are not immune from a range of implicit biases and heuristics (Bornstein &amp; Greene, 2011) which may influence </w:t>
      </w:r>
      <w:r w:rsidRPr="006B4560">
        <w:rPr>
          <w:rFonts w:ascii="Times New Roman" w:eastAsia="Calibri" w:hAnsi="Times New Roman" w:cs="Times New Roman"/>
          <w:color w:val="000000" w:themeColor="text1"/>
        </w:rPr>
        <w:t xml:space="preserve">decision-making around </w:t>
      </w:r>
      <w:r w:rsidRPr="006B4560">
        <w:rPr>
          <w:rFonts w:ascii="Times New Roman" w:eastAsia="Calibri" w:hAnsi="Times New Roman" w:cs="Times New Roman"/>
          <w:color w:val="000000" w:themeColor="text1"/>
        </w:rPr>
        <w:t>verdicts</w:t>
      </w:r>
      <w:r w:rsidRPr="006B4560">
        <w:rPr>
          <w:rFonts w:ascii="Times New Roman" w:eastAsia="Calibri" w:hAnsi="Times New Roman" w:cs="Times New Roman"/>
          <w:color w:val="000000" w:themeColor="text1"/>
        </w:rPr>
        <w:t>. However, the</w:t>
      </w:r>
      <w:r w:rsidRPr="006B4560">
        <w:rPr>
          <w:rFonts w:ascii="Times New Roman" w:eastAsia="Calibri" w:hAnsi="Times New Roman" w:cs="Times New Roman"/>
          <w:color w:val="000000" w:themeColor="text1"/>
        </w:rPr>
        <w:t xml:space="preserve"> way in which jurors might be influenced by differing </w:t>
      </w:r>
      <w:r w:rsidRPr="006B4560">
        <w:rPr>
          <w:rFonts w:ascii="Times New Roman" w:eastAsia="Calibri" w:hAnsi="Times New Roman" w:cs="Times New Roman"/>
          <w:color w:val="000000" w:themeColor="text1"/>
        </w:rPr>
        <w:t>types</w:t>
      </w:r>
      <w:r w:rsidRPr="006B4560">
        <w:rPr>
          <w:rFonts w:ascii="Times New Roman" w:eastAsia="Calibri" w:hAnsi="Times New Roman" w:cs="Times New Roman"/>
          <w:color w:val="000000" w:themeColor="text1"/>
        </w:rPr>
        <w:t xml:space="preserve"> of mental health </w:t>
      </w:r>
      <w:r w:rsidRPr="006B4560">
        <w:rPr>
          <w:rFonts w:ascii="Times New Roman" w:eastAsia="Calibri" w:hAnsi="Times New Roman" w:cs="Times New Roman"/>
          <w:color w:val="000000" w:themeColor="text1"/>
        </w:rPr>
        <w:t>information</w:t>
      </w:r>
      <w:r w:rsidRPr="006B4560">
        <w:rPr>
          <w:rFonts w:ascii="Times New Roman" w:eastAsia="Calibri" w:hAnsi="Times New Roman" w:cs="Times New Roman"/>
          <w:color w:val="000000" w:themeColor="text1"/>
        </w:rPr>
        <w:t xml:space="preserve">, or indeed their own levels of public stigma, has received limited attention. Such research is important because clinicians are often instructed by the criminal courts to assess and offer expert witness testimony concerning the </w:t>
      </w:r>
      <w:r w:rsidRPr="006B4560">
        <w:rPr>
          <w:rFonts w:ascii="Times New Roman" w:eastAsia="Calibri" w:hAnsi="Times New Roman" w:cs="Times New Roman"/>
          <w:color w:val="000000" w:themeColor="text1"/>
        </w:rPr>
        <w:lastRenderedPageBreak/>
        <w:t xml:space="preserve">connection between a defendant’s offence and their mental health. It is therefore key that potential implications of the </w:t>
      </w:r>
      <w:r w:rsidRPr="006B4560">
        <w:rPr>
          <w:rFonts w:ascii="Times New Roman" w:eastAsia="Calibri" w:hAnsi="Times New Roman" w:cs="Times New Roman"/>
          <w:color w:val="000000" w:themeColor="text1"/>
        </w:rPr>
        <w:t xml:space="preserve">language and </w:t>
      </w:r>
      <w:r w:rsidRPr="006B4560">
        <w:rPr>
          <w:rFonts w:ascii="Times New Roman" w:eastAsia="Calibri" w:hAnsi="Times New Roman" w:cs="Times New Roman"/>
          <w:color w:val="000000" w:themeColor="text1"/>
        </w:rPr>
        <w:t xml:space="preserve">terminology </w:t>
      </w:r>
      <w:r w:rsidRPr="006B4560">
        <w:rPr>
          <w:rFonts w:ascii="Times New Roman" w:eastAsia="Calibri" w:hAnsi="Times New Roman" w:cs="Times New Roman"/>
          <w:color w:val="000000" w:themeColor="text1"/>
        </w:rPr>
        <w:t>to describe mental health conditions</w:t>
      </w:r>
      <w:r w:rsidRPr="006B4560">
        <w:rPr>
          <w:rFonts w:ascii="Times New Roman" w:eastAsia="Calibri" w:hAnsi="Times New Roman" w:cs="Times New Roman"/>
          <w:color w:val="000000" w:themeColor="text1"/>
        </w:rPr>
        <w:t xml:space="preserve"> on juror stigma and subsequent verdicts are understood to ensure a fair trial is given.</w:t>
      </w:r>
    </w:p>
    <w:p w14:paraId="221335AD" w14:textId="77777777" w:rsidR="00735ADE" w:rsidRPr="006B4560" w:rsidRDefault="00735ADE" w:rsidP="00735ADE">
      <w:pPr>
        <w:spacing w:line="480" w:lineRule="auto"/>
        <w:ind w:firstLine="720"/>
        <w:rPr>
          <w:rFonts w:ascii="Times New Roman" w:eastAsia="Calibri" w:hAnsi="Times New Roman" w:cs="Times New Roman"/>
          <w:i/>
          <w:iCs/>
          <w:color w:val="000000" w:themeColor="text1"/>
        </w:rPr>
      </w:pPr>
      <w:r w:rsidRPr="006B4560">
        <w:rPr>
          <w:rFonts w:ascii="Times New Roman" w:eastAsia="Calibri" w:hAnsi="Times New Roman" w:cs="Times New Roman"/>
          <w:color w:val="000000" w:themeColor="text1"/>
        </w:rPr>
        <w:t>One question which remains unclear is whether certain mental health diagnoses may have more or less of an impact on juror decision-making</w:t>
      </w:r>
      <w:r w:rsidRPr="006B4560">
        <w:rPr>
          <w:rFonts w:ascii="Times New Roman" w:eastAsia="Calibri" w:hAnsi="Times New Roman" w:cs="Times New Roman"/>
          <w:color w:val="000000" w:themeColor="text1"/>
        </w:rPr>
        <w:t xml:space="preserve"> or may be associated with differences in stigma.</w:t>
      </w:r>
      <w:r w:rsidRPr="006B4560">
        <w:rPr>
          <w:rFonts w:ascii="Times New Roman" w:eastAsia="Calibri" w:hAnsi="Times New Roman" w:cs="Times New Roman"/>
          <w:color w:val="000000" w:themeColor="text1"/>
        </w:rPr>
        <w:t xml:space="preserve"> Some studies suggest that labelling similar symptoms with different diagnostic terms is associated with differential decision-making by jurors (e.g. Sinclair-House, 2020; Baker et al 2021), with the research in this area appearing most advanced in relation to the use of the ‘psychopathy’ </w:t>
      </w:r>
      <w:r w:rsidRPr="006B4560">
        <w:rPr>
          <w:rFonts w:ascii="Times New Roman" w:eastAsia="Calibri" w:hAnsi="Times New Roman" w:cs="Times New Roman"/>
          <w:color w:val="000000" w:themeColor="text1"/>
        </w:rPr>
        <w:t xml:space="preserve">(Berryessa &amp; </w:t>
      </w:r>
      <w:proofErr w:type="spellStart"/>
      <w:r w:rsidRPr="006B4560">
        <w:rPr>
          <w:rFonts w:ascii="Times New Roman" w:eastAsia="Calibri" w:hAnsi="Times New Roman" w:cs="Times New Roman"/>
          <w:color w:val="000000" w:themeColor="text1"/>
        </w:rPr>
        <w:t>Wholstetter</w:t>
      </w:r>
      <w:proofErr w:type="spellEnd"/>
      <w:r w:rsidRPr="006B4560">
        <w:rPr>
          <w:rFonts w:ascii="Times New Roman" w:eastAsia="Calibri" w:hAnsi="Times New Roman" w:cs="Times New Roman"/>
          <w:color w:val="000000" w:themeColor="text1"/>
        </w:rPr>
        <w:t xml:space="preserve">, 2019) and ‘schizophrenia’ </w:t>
      </w:r>
      <w:r w:rsidRPr="006B4560">
        <w:rPr>
          <w:rFonts w:ascii="Times New Roman" w:eastAsia="Calibri" w:hAnsi="Times New Roman" w:cs="Times New Roman"/>
          <w:color w:val="000000" w:themeColor="text1"/>
        </w:rPr>
        <w:t>diagnosis</w:t>
      </w:r>
      <w:r w:rsidRPr="006B4560">
        <w:rPr>
          <w:rFonts w:ascii="Times New Roman" w:eastAsia="Calibri" w:hAnsi="Times New Roman" w:cs="Times New Roman"/>
          <w:color w:val="000000" w:themeColor="text1"/>
        </w:rPr>
        <w:t>, but is very limited in relation to diagnoses of other mental health conditions or indeed personality disorders (Holmes &amp; Beazley, 2025).</w:t>
      </w:r>
      <w:r w:rsidRPr="006B4560">
        <w:rPr>
          <w:rFonts w:ascii="Times New Roman" w:eastAsia="Calibri" w:hAnsi="Times New Roman" w:cs="Times New Roman"/>
          <w:color w:val="000000" w:themeColor="text1"/>
        </w:rPr>
        <w:t xml:space="preserve"> Outside of a court setting, experimental research has highlighted how </w:t>
      </w:r>
      <w:r w:rsidRPr="006B4560">
        <w:rPr>
          <w:rFonts w:ascii="Times New Roman" w:eastAsia="Calibri" w:hAnsi="Times New Roman" w:cs="Times New Roman"/>
          <w:color w:val="000000" w:themeColor="text1"/>
        </w:rPr>
        <w:t xml:space="preserve">some of the other diagnoses, in particular Borderline Personality Disorder (BPD), </w:t>
      </w:r>
      <w:r w:rsidRPr="006B4560">
        <w:rPr>
          <w:rFonts w:ascii="Times New Roman" w:eastAsia="Calibri" w:hAnsi="Times New Roman" w:cs="Times New Roman"/>
          <w:color w:val="000000" w:themeColor="text1"/>
        </w:rPr>
        <w:t>may lead to differences in attitudes or decision-making amongst mental</w:t>
      </w:r>
      <w:r w:rsidRPr="006B4560">
        <w:rPr>
          <w:rFonts w:ascii="Times New Roman" w:eastAsia="Calibri" w:hAnsi="Times New Roman" w:cs="Times New Roman"/>
          <w:color w:val="000000" w:themeColor="text1"/>
        </w:rPr>
        <w:t xml:space="preserve"> health</w:t>
      </w:r>
      <w:r w:rsidRPr="006B4560">
        <w:rPr>
          <w:rFonts w:ascii="Times New Roman" w:eastAsia="Calibri" w:hAnsi="Times New Roman" w:cs="Times New Roman"/>
          <w:color w:val="000000" w:themeColor="text1"/>
        </w:rPr>
        <w:t xml:space="preserve"> professionals (Lam et al., 2016; Forsyth, 2007; Gallop et al., 1989; Markham &amp; Trower, 2003), with each of these studies indicating a negative impact of a </w:t>
      </w:r>
      <w:r w:rsidRPr="006B4560">
        <w:rPr>
          <w:rFonts w:ascii="Times New Roman" w:eastAsia="Calibri" w:hAnsi="Times New Roman" w:cs="Times New Roman"/>
          <w:color w:val="000000" w:themeColor="text1"/>
        </w:rPr>
        <w:t>BPD</w:t>
      </w:r>
      <w:r w:rsidRPr="006B4560">
        <w:rPr>
          <w:rFonts w:ascii="Times New Roman" w:eastAsia="Calibri" w:hAnsi="Times New Roman" w:cs="Times New Roman"/>
          <w:color w:val="000000" w:themeColor="text1"/>
        </w:rPr>
        <w:t xml:space="preserve"> diagnosis compared to a range of control conditions including mood disorders and schizophrenia. </w:t>
      </w:r>
      <w:r w:rsidRPr="006B4560">
        <w:rPr>
          <w:rFonts w:ascii="Times New Roman" w:eastAsia="Calibri" w:hAnsi="Times New Roman" w:cs="Times New Roman"/>
          <w:color w:val="000000" w:themeColor="text1"/>
        </w:rPr>
        <w:t>There is little research considering differences in</w:t>
      </w:r>
      <w:r w:rsidRPr="006B4560">
        <w:rPr>
          <w:rFonts w:ascii="Times New Roman" w:eastAsia="Calibri" w:hAnsi="Times New Roman" w:cs="Times New Roman"/>
          <w:color w:val="000000" w:themeColor="text1"/>
        </w:rPr>
        <w:t xml:space="preserve"> the </w:t>
      </w:r>
      <w:r w:rsidRPr="006B4560">
        <w:rPr>
          <w:rFonts w:ascii="Times New Roman" w:eastAsia="Calibri" w:hAnsi="Times New Roman" w:cs="Times New Roman"/>
          <w:color w:val="000000" w:themeColor="text1"/>
        </w:rPr>
        <w:t>impact of differing mental health diagnoses in the criminal justice system, with the key</w:t>
      </w:r>
      <w:r w:rsidRPr="006B4560">
        <w:rPr>
          <w:rFonts w:ascii="Times New Roman" w:eastAsia="Calibri" w:hAnsi="Times New Roman" w:cs="Times New Roman"/>
          <w:color w:val="000000" w:themeColor="text1"/>
        </w:rPr>
        <w:t xml:space="preserve"> review </w:t>
      </w:r>
      <w:r w:rsidRPr="006B4560">
        <w:rPr>
          <w:rFonts w:ascii="Times New Roman" w:eastAsia="Calibri" w:hAnsi="Times New Roman" w:cs="Times New Roman"/>
          <w:color w:val="000000" w:themeColor="text1"/>
        </w:rPr>
        <w:t xml:space="preserve">in this area primarily contrasting psychopathy with other diagnoses (Berryessa &amp; </w:t>
      </w:r>
      <w:proofErr w:type="spellStart"/>
      <w:r w:rsidRPr="006B4560">
        <w:rPr>
          <w:rFonts w:ascii="Times New Roman" w:eastAsia="Calibri" w:hAnsi="Times New Roman" w:cs="Times New Roman"/>
          <w:color w:val="000000" w:themeColor="text1"/>
        </w:rPr>
        <w:t>Wholstetter</w:t>
      </w:r>
      <w:proofErr w:type="spellEnd"/>
      <w:r w:rsidRPr="006B4560">
        <w:rPr>
          <w:rFonts w:ascii="Times New Roman" w:eastAsia="Calibri" w:hAnsi="Times New Roman" w:cs="Times New Roman"/>
          <w:color w:val="000000" w:themeColor="text1"/>
        </w:rPr>
        <w:t>, 2019). Understanding how different</w:t>
      </w:r>
      <w:r w:rsidRPr="006B4560">
        <w:rPr>
          <w:rFonts w:ascii="Times New Roman" w:eastAsia="Calibri" w:hAnsi="Times New Roman" w:cs="Times New Roman"/>
          <w:color w:val="000000" w:themeColor="text1"/>
        </w:rPr>
        <w:t xml:space="preserve"> diagnostic </w:t>
      </w:r>
      <w:r w:rsidRPr="006B4560">
        <w:rPr>
          <w:rFonts w:ascii="Times New Roman" w:eastAsia="Calibri" w:hAnsi="Times New Roman" w:cs="Times New Roman"/>
          <w:color w:val="000000" w:themeColor="text1"/>
        </w:rPr>
        <w:t>descriptors might influence decision-making is</w:t>
      </w:r>
      <w:r w:rsidRPr="006B4560">
        <w:rPr>
          <w:rFonts w:ascii="Times New Roman" w:eastAsia="Calibri" w:hAnsi="Times New Roman" w:cs="Times New Roman"/>
          <w:color w:val="000000" w:themeColor="text1"/>
        </w:rPr>
        <w:t xml:space="preserve"> particularly warranted </w:t>
      </w:r>
      <w:r w:rsidRPr="006B4560">
        <w:rPr>
          <w:rFonts w:ascii="Times New Roman" w:eastAsia="Calibri" w:hAnsi="Times New Roman" w:cs="Times New Roman"/>
          <w:color w:val="000000" w:themeColor="text1"/>
        </w:rPr>
        <w:t>in</w:t>
      </w:r>
      <w:r w:rsidRPr="006B4560">
        <w:rPr>
          <w:rFonts w:ascii="Times New Roman" w:eastAsia="Calibri" w:hAnsi="Times New Roman" w:cs="Times New Roman"/>
          <w:color w:val="000000" w:themeColor="text1"/>
        </w:rPr>
        <w:t xml:space="preserve"> the </w:t>
      </w:r>
      <w:r w:rsidRPr="006B4560">
        <w:rPr>
          <w:rFonts w:ascii="Times New Roman" w:eastAsia="Calibri" w:hAnsi="Times New Roman" w:cs="Times New Roman"/>
          <w:color w:val="000000" w:themeColor="text1"/>
        </w:rPr>
        <w:t>context of blurred boundaries</w:t>
      </w:r>
      <w:r w:rsidRPr="006B4560">
        <w:rPr>
          <w:rFonts w:ascii="Times New Roman" w:eastAsia="Calibri" w:hAnsi="Times New Roman" w:cs="Times New Roman"/>
          <w:color w:val="000000" w:themeColor="text1"/>
        </w:rPr>
        <w:t xml:space="preserve"> between diagnostic categories, whereby shared symptoms occur across different diagnostic groups and could be diagnosed differently depending on the assessor or the prominent symptom profile (Laursen et al., 2009). At worst</w:t>
      </w:r>
      <w:r w:rsidRPr="006B4560">
        <w:rPr>
          <w:rFonts w:ascii="Times New Roman" w:eastAsia="Calibri" w:hAnsi="Times New Roman" w:cs="Times New Roman"/>
          <w:color w:val="000000" w:themeColor="text1"/>
        </w:rPr>
        <w:t>,</w:t>
      </w:r>
      <w:r w:rsidRPr="006B4560">
        <w:rPr>
          <w:rFonts w:ascii="Times New Roman" w:eastAsia="Calibri" w:hAnsi="Times New Roman" w:cs="Times New Roman"/>
          <w:color w:val="000000" w:themeColor="text1"/>
        </w:rPr>
        <w:t xml:space="preserve"> within a court setting, this could mean that two defendants, accused of committing the same offence but given a different diagnostic label, might receive different verdicts at trial.</w:t>
      </w:r>
    </w:p>
    <w:p w14:paraId="55FF031D" w14:textId="77777777" w:rsidR="00735ADE" w:rsidRPr="006B4560" w:rsidRDefault="00735ADE" w:rsidP="00735ADE">
      <w:pPr>
        <w:spacing w:line="480" w:lineRule="auto"/>
        <w:rPr>
          <w:rFonts w:ascii="Times New Roman" w:eastAsia="Calibri" w:hAnsi="Times New Roman" w:cs="Times New Roman"/>
          <w:i/>
          <w:iCs/>
          <w:color w:val="000000" w:themeColor="text1"/>
        </w:rPr>
      </w:pPr>
      <w:r w:rsidRPr="006B4560">
        <w:rPr>
          <w:rFonts w:ascii="Times New Roman" w:eastAsia="Calibri" w:hAnsi="Times New Roman" w:cs="Times New Roman"/>
          <w:i/>
          <w:iCs/>
          <w:color w:val="000000" w:themeColor="text1"/>
        </w:rPr>
        <w:t>The present study: rationale and aims</w:t>
      </w:r>
    </w:p>
    <w:p w14:paraId="33276480"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This study seeks to act as a partial replication and stepwise extension of a previous experimental mock juror study conducted by Metcalfe-Hume et al. (2026), which considered the role of mental health stigma and mental health literacy in juror decision-making in a </w:t>
      </w:r>
      <w:r w:rsidRPr="006B4560">
        <w:rPr>
          <w:rFonts w:ascii="Times New Roman" w:eastAsia="Calibri" w:hAnsi="Times New Roman" w:cs="Times New Roman"/>
          <w:color w:val="000000" w:themeColor="text1"/>
        </w:rPr>
        <w:t xml:space="preserve">mock </w:t>
      </w:r>
      <w:r w:rsidRPr="006B4560">
        <w:rPr>
          <w:rFonts w:ascii="Times New Roman" w:eastAsia="Calibri" w:hAnsi="Times New Roman" w:cs="Times New Roman"/>
          <w:color w:val="000000" w:themeColor="text1"/>
        </w:rPr>
        <w:t xml:space="preserve">criminal </w:t>
      </w:r>
      <w:r w:rsidRPr="006B4560">
        <w:rPr>
          <w:rFonts w:ascii="Times New Roman" w:eastAsia="Calibri" w:hAnsi="Times New Roman" w:cs="Times New Roman"/>
          <w:color w:val="000000" w:themeColor="text1"/>
        </w:rPr>
        <w:lastRenderedPageBreak/>
        <w:t>damage trial, through manipulating the mental health information presented in the case for the defence across three conditions</w:t>
      </w:r>
      <w:r w:rsidRPr="006B4560">
        <w:rPr>
          <w:rFonts w:ascii="Times New Roman" w:eastAsia="Calibri" w:hAnsi="Times New Roman" w:cs="Times New Roman"/>
          <w:color w:val="000000" w:themeColor="text1"/>
        </w:rPr>
        <w:t>, where a ‘</w:t>
      </w:r>
      <w:r w:rsidRPr="006B4560">
        <w:rPr>
          <w:rFonts w:ascii="Times New Roman" w:eastAsia="Calibri" w:hAnsi="Times New Roman" w:cs="Times New Roman"/>
          <w:color w:val="000000" w:themeColor="text1"/>
        </w:rPr>
        <w:t xml:space="preserve">no mental health </w:t>
      </w:r>
      <w:r w:rsidRPr="006B4560">
        <w:rPr>
          <w:rFonts w:ascii="Times New Roman" w:eastAsia="Calibri" w:hAnsi="Times New Roman" w:cs="Times New Roman"/>
          <w:color w:val="000000" w:themeColor="text1"/>
        </w:rPr>
        <w:t>information’ condition was compared to a</w:t>
      </w:r>
      <w:r w:rsidRPr="006B4560">
        <w:rPr>
          <w:rFonts w:ascii="Times New Roman" w:eastAsia="Calibri" w:hAnsi="Times New Roman" w:cs="Times New Roman"/>
          <w:color w:val="000000" w:themeColor="text1"/>
        </w:rPr>
        <w:t xml:space="preserve"> ‘symptoms only’ </w:t>
      </w:r>
      <w:r w:rsidRPr="006B4560">
        <w:rPr>
          <w:rFonts w:ascii="Times New Roman" w:eastAsia="Calibri" w:hAnsi="Times New Roman" w:cs="Times New Roman"/>
          <w:color w:val="000000" w:themeColor="text1"/>
        </w:rPr>
        <w:t xml:space="preserve">condition (where </w:t>
      </w:r>
      <w:r w:rsidRPr="006B4560">
        <w:rPr>
          <w:rFonts w:ascii="Times New Roman" w:eastAsia="Calibri" w:hAnsi="Times New Roman" w:cs="Times New Roman"/>
          <w:color w:val="000000" w:themeColor="text1"/>
        </w:rPr>
        <w:t xml:space="preserve">symptoms </w:t>
      </w:r>
      <w:r w:rsidRPr="006B4560">
        <w:rPr>
          <w:rFonts w:ascii="Times New Roman" w:eastAsia="Calibri" w:hAnsi="Times New Roman" w:cs="Times New Roman"/>
          <w:color w:val="000000" w:themeColor="text1"/>
        </w:rPr>
        <w:t>of paranoia and psychosis were described but not diagnosed) and a condition where, additionally, a</w:t>
      </w:r>
      <w:r w:rsidRPr="006B4560">
        <w:rPr>
          <w:rFonts w:ascii="Times New Roman" w:eastAsia="Calibri" w:hAnsi="Times New Roman" w:cs="Times New Roman"/>
          <w:color w:val="000000" w:themeColor="text1"/>
        </w:rPr>
        <w:t xml:space="preserve"> diagnosis of </w:t>
      </w:r>
      <w:r w:rsidRPr="006B4560">
        <w:rPr>
          <w:rFonts w:ascii="Times New Roman" w:eastAsia="Calibri" w:hAnsi="Times New Roman" w:cs="Times New Roman"/>
          <w:color w:val="000000" w:themeColor="text1"/>
        </w:rPr>
        <w:t>schizophrenia was given. Broadly, the</w:t>
      </w:r>
      <w:r w:rsidRPr="006B4560">
        <w:rPr>
          <w:rFonts w:ascii="Times New Roman" w:eastAsia="Calibri" w:hAnsi="Times New Roman" w:cs="Times New Roman"/>
          <w:color w:val="000000" w:themeColor="text1"/>
        </w:rPr>
        <w:t xml:space="preserve"> authors found that higher levels of mental health information were associated with lower ratings of guilt. Furthermore, participants’ baseline stigma towards mental health conditions was associated with more guilty verdicts. Whilst the conclusions of this study are important, there remain some clear limitations that form the basis for the partial replication in the present study. Firstly, by creating such a large manipulation</w:t>
      </w:r>
      <w:r w:rsidRPr="006B4560">
        <w:rPr>
          <w:rFonts w:ascii="Times New Roman" w:eastAsia="Calibri" w:hAnsi="Times New Roman" w:cs="Times New Roman"/>
          <w:color w:val="000000" w:themeColor="text1"/>
        </w:rPr>
        <w:t xml:space="preserve"> (particularly between the ‘control’ and ‘symptoms only’ condition),</w:t>
      </w:r>
      <w:r w:rsidRPr="006B4560">
        <w:rPr>
          <w:rFonts w:ascii="Times New Roman" w:eastAsia="Calibri" w:hAnsi="Times New Roman" w:cs="Times New Roman"/>
          <w:color w:val="000000" w:themeColor="text1"/>
        </w:rPr>
        <w:t xml:space="preserve"> it is possible that outcomes were influenced by factors other than the mental health information provided. To illustrate this, the discrepancy in the amount of information provided across the conditions meant that the video trial vignettes ranged from six to nine minutes in length, which in itself could have acted as a source of mitigation or explanation. Secondly, the study did not consider how diagnostic terms </w:t>
      </w:r>
      <w:r w:rsidRPr="006B4560">
        <w:rPr>
          <w:rFonts w:ascii="Times New Roman" w:eastAsia="Calibri" w:hAnsi="Times New Roman" w:cs="Times New Roman"/>
          <w:color w:val="000000" w:themeColor="text1"/>
        </w:rPr>
        <w:t xml:space="preserve">other than schizophrenia terms </w:t>
      </w:r>
      <w:r w:rsidRPr="006B4560">
        <w:rPr>
          <w:rFonts w:ascii="Times New Roman" w:eastAsia="Calibri" w:hAnsi="Times New Roman" w:cs="Times New Roman"/>
          <w:color w:val="000000" w:themeColor="text1"/>
        </w:rPr>
        <w:t>might exert different effects</w:t>
      </w:r>
      <w:r w:rsidRPr="006B4560">
        <w:rPr>
          <w:rFonts w:ascii="Times New Roman" w:eastAsia="Calibri" w:hAnsi="Times New Roman" w:cs="Times New Roman"/>
          <w:color w:val="000000" w:themeColor="text1"/>
        </w:rPr>
        <w:t>.</w:t>
      </w:r>
      <w:r w:rsidRPr="006B4560">
        <w:rPr>
          <w:rFonts w:ascii="Times New Roman" w:eastAsia="Calibri" w:hAnsi="Times New Roman" w:cs="Times New Roman"/>
          <w:color w:val="000000" w:themeColor="text1"/>
        </w:rPr>
        <w:t xml:space="preserve"> Moreover, it did not establish whether the impact </w:t>
      </w:r>
      <w:r w:rsidRPr="006B4560">
        <w:rPr>
          <w:rFonts w:ascii="Times New Roman" w:eastAsia="Calibri" w:hAnsi="Times New Roman" w:cs="Times New Roman"/>
          <w:color w:val="000000" w:themeColor="text1"/>
        </w:rPr>
        <w:t xml:space="preserve">of the diagnostic term </w:t>
      </w:r>
      <w:r w:rsidRPr="006B4560">
        <w:rPr>
          <w:rFonts w:ascii="Times New Roman" w:eastAsia="Calibri" w:hAnsi="Times New Roman" w:cs="Times New Roman"/>
          <w:color w:val="000000" w:themeColor="text1"/>
        </w:rPr>
        <w:t xml:space="preserve">was </w:t>
      </w:r>
      <w:r w:rsidRPr="006B4560">
        <w:rPr>
          <w:rFonts w:ascii="Times New Roman" w:eastAsia="Calibri" w:hAnsi="Times New Roman" w:cs="Times New Roman"/>
          <w:color w:val="000000" w:themeColor="text1"/>
        </w:rPr>
        <w:t xml:space="preserve">actually </w:t>
      </w:r>
      <w:r w:rsidRPr="006B4560">
        <w:rPr>
          <w:rFonts w:ascii="Times New Roman" w:eastAsia="Calibri" w:hAnsi="Times New Roman" w:cs="Times New Roman"/>
          <w:color w:val="000000" w:themeColor="text1"/>
        </w:rPr>
        <w:t xml:space="preserve">in relation to </w:t>
      </w:r>
      <w:r w:rsidRPr="006B4560">
        <w:rPr>
          <w:rFonts w:ascii="Times New Roman" w:eastAsia="Calibri" w:hAnsi="Times New Roman" w:cs="Times New Roman"/>
          <w:color w:val="000000" w:themeColor="text1"/>
        </w:rPr>
        <w:t>that diagnosis, or whether it</w:t>
      </w:r>
      <w:r w:rsidRPr="006B4560">
        <w:rPr>
          <w:rFonts w:ascii="Times New Roman" w:eastAsia="Calibri" w:hAnsi="Times New Roman" w:cs="Times New Roman"/>
          <w:color w:val="000000" w:themeColor="text1"/>
        </w:rPr>
        <w:t xml:space="preserve"> arose</w:t>
      </w:r>
      <w:r w:rsidRPr="006B4560">
        <w:rPr>
          <w:rFonts w:ascii="Times New Roman" w:eastAsia="Calibri" w:hAnsi="Times New Roman" w:cs="Times New Roman"/>
          <w:color w:val="000000" w:themeColor="text1"/>
        </w:rPr>
        <w:t xml:space="preserve"> simply</w:t>
      </w:r>
      <w:r w:rsidRPr="006B4560">
        <w:rPr>
          <w:rFonts w:ascii="Times New Roman" w:eastAsia="Calibri" w:hAnsi="Times New Roman" w:cs="Times New Roman"/>
          <w:color w:val="000000" w:themeColor="text1"/>
        </w:rPr>
        <w:t xml:space="preserve"> from simply being identified as formally having a mental health condition. More broadly, the need for replication of jury research is highlighted in the context of known challenges with a failure to replicate observed widely in psychological science (Open Science Collaboration, 2015).</w:t>
      </w:r>
    </w:p>
    <w:p w14:paraId="09474ABC" w14:textId="77777777" w:rsidR="00735ADE" w:rsidRPr="006B4560" w:rsidRDefault="00735ADE" w:rsidP="00735ADE">
      <w:pPr>
        <w:spacing w:after="0"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ab/>
      </w:r>
      <w:r w:rsidRPr="006B4560">
        <w:rPr>
          <w:rFonts w:ascii="Times New Roman" w:eastAsia="Calibri" w:hAnsi="Times New Roman" w:cs="Times New Roman"/>
          <w:color w:val="000000" w:themeColor="text1"/>
        </w:rPr>
        <w:t xml:space="preserve">The current study therefore aims to partially replicate the methodology employed by Metcalfe-Hume et al. (2026) to explore the impact of baseline stigma and a specific manipulation of mental health diagnosis on juror decision-making. We present two primary research questions. Firstly, whether the presence of different diagnostic terms affects the </w:t>
      </w:r>
      <w:r w:rsidRPr="006B4560">
        <w:rPr>
          <w:rFonts w:ascii="Times New Roman" w:eastAsia="Calibri" w:hAnsi="Times New Roman" w:cs="Times New Roman"/>
          <w:color w:val="000000" w:themeColor="text1"/>
        </w:rPr>
        <w:t xml:space="preserve">final </w:t>
      </w:r>
      <w:r w:rsidRPr="006B4560">
        <w:rPr>
          <w:rFonts w:ascii="Times New Roman" w:eastAsia="Calibri" w:hAnsi="Times New Roman" w:cs="Times New Roman"/>
          <w:color w:val="000000" w:themeColor="text1"/>
        </w:rPr>
        <w:t xml:space="preserve">verdicts </w:t>
      </w:r>
      <w:r w:rsidRPr="006B4560">
        <w:rPr>
          <w:rFonts w:ascii="Times New Roman" w:eastAsia="Calibri" w:hAnsi="Times New Roman" w:cs="Times New Roman"/>
          <w:color w:val="000000" w:themeColor="text1"/>
        </w:rPr>
        <w:t xml:space="preserve">assigned by </w:t>
      </w:r>
      <w:r w:rsidRPr="006B4560">
        <w:rPr>
          <w:rFonts w:ascii="Times New Roman" w:eastAsia="Calibri" w:hAnsi="Times New Roman" w:cs="Times New Roman"/>
          <w:color w:val="000000" w:themeColor="text1"/>
        </w:rPr>
        <w:t xml:space="preserve">mock jurors. Secondly, whether mock jurors' underlying stigma towards mental health conditions </w:t>
      </w:r>
      <w:r w:rsidRPr="006B4560">
        <w:rPr>
          <w:rFonts w:ascii="Times New Roman" w:eastAsia="Calibri" w:hAnsi="Times New Roman" w:cs="Times New Roman"/>
          <w:color w:val="000000" w:themeColor="text1"/>
        </w:rPr>
        <w:t>influences</w:t>
      </w:r>
      <w:r w:rsidRPr="006B4560">
        <w:rPr>
          <w:rFonts w:ascii="Times New Roman" w:eastAsia="Calibri" w:hAnsi="Times New Roman" w:cs="Times New Roman"/>
          <w:color w:val="000000" w:themeColor="text1"/>
        </w:rPr>
        <w:t xml:space="preserve"> such decision-making, and whether interaction effects exist between juror stigma and diagnostic condition.</w:t>
      </w:r>
    </w:p>
    <w:p w14:paraId="0F0AC5AC" w14:textId="77777777" w:rsidR="00735ADE" w:rsidRPr="006B4560" w:rsidRDefault="00735ADE" w:rsidP="00735ADE">
      <w:pPr>
        <w:spacing w:after="0"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To assess to what extent the impact of diagnosis on guilt ratings was specific to schizophrenia in the previous study, two additional diagnostic conditions were included in the present study: ‘Borderline Personality Disorder’ and ‘Complex Mental Health Condition’. Borderline Personality </w:t>
      </w:r>
      <w:r w:rsidRPr="006B4560">
        <w:rPr>
          <w:rFonts w:ascii="Times New Roman" w:eastAsia="Calibri" w:hAnsi="Times New Roman" w:cs="Times New Roman"/>
          <w:color w:val="000000" w:themeColor="text1"/>
        </w:rPr>
        <w:lastRenderedPageBreak/>
        <w:t xml:space="preserve">Disorder was chosen given its shared symptomatic overlap with schizophrenia, and their significant associated functional impairment. The ‘Complex Mental Health Condition’ term was designed to act as a diagnostic control which still offered jurors an ‘explanation by diagnosis’ but was intended to avoid any diagnosis-specific stigma effects. </w:t>
      </w:r>
    </w:p>
    <w:p w14:paraId="2B4E13E1" w14:textId="77777777" w:rsidR="00735ADE" w:rsidRPr="006B4560" w:rsidRDefault="00735ADE" w:rsidP="00735ADE">
      <w:pPr>
        <w:spacing w:after="0"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Because of the potential bi-directional effects between diagnosis and baseline stigma (i.e. with diagnosis potentially acting as both a mitigating factor explaining offending behaviour, or an aggravating factor contributing to stigma), directional hypotheses about the impact of diagnostic condition on guilt ratings were not made. We anticipated that higher baseline stigma would be associated with a higher likelihood of guilt judgements. Finally, to control for demographic effects, we </w:t>
      </w:r>
      <w:r w:rsidRPr="006B4560">
        <w:rPr>
          <w:rFonts w:ascii="Times New Roman" w:eastAsia="Calibri" w:hAnsi="Times New Roman" w:cs="Times New Roman"/>
          <w:color w:val="000000" w:themeColor="text1"/>
        </w:rPr>
        <w:t>also considered</w:t>
      </w:r>
      <w:r w:rsidRPr="006B4560">
        <w:rPr>
          <w:rFonts w:ascii="Times New Roman" w:eastAsia="Calibri" w:hAnsi="Times New Roman" w:cs="Times New Roman"/>
          <w:color w:val="000000" w:themeColor="text1"/>
        </w:rPr>
        <w:t xml:space="preserve"> whether age or gender also contributed to decision-making, although no prior hypotheses about the potential role of these variables were made.</w:t>
      </w:r>
    </w:p>
    <w:p w14:paraId="6D5D61A6" w14:textId="77777777" w:rsidR="00735ADE" w:rsidRPr="006B4560" w:rsidRDefault="00735ADE" w:rsidP="00735ADE">
      <w:pPr>
        <w:spacing w:after="0" w:line="480" w:lineRule="auto"/>
        <w:rPr>
          <w:rFonts w:ascii="Times New Roman" w:eastAsia="Calibri" w:hAnsi="Times New Roman" w:cs="Times New Roman"/>
          <w:color w:val="000000" w:themeColor="text1"/>
        </w:rPr>
      </w:pPr>
    </w:p>
    <w:p w14:paraId="3277FF03" w14:textId="77777777" w:rsidR="00735ADE" w:rsidRPr="006B4560" w:rsidRDefault="00735ADE" w:rsidP="00735ADE">
      <w:pPr>
        <w:pStyle w:val="Heading2"/>
        <w:spacing w:line="480" w:lineRule="auto"/>
        <w:jc w:val="center"/>
        <w:rPr>
          <w:rFonts w:ascii="Times New Roman" w:eastAsia="Calibri" w:hAnsi="Times New Roman" w:cs="Times New Roman"/>
        </w:rPr>
      </w:pPr>
      <w:bookmarkStart w:id="3" w:name="_Toc160446731"/>
      <w:r w:rsidRPr="006B4560">
        <w:rPr>
          <w:rFonts w:ascii="Times New Roman" w:eastAsia="Calibri" w:hAnsi="Times New Roman" w:cs="Times New Roman"/>
          <w:b/>
          <w:bCs/>
          <w:color w:val="auto"/>
          <w:sz w:val="22"/>
          <w:szCs w:val="22"/>
        </w:rPr>
        <w:t>Method</w:t>
      </w:r>
      <w:bookmarkEnd w:id="3"/>
      <w:r w:rsidRPr="006B4560">
        <w:rPr>
          <w:rFonts w:ascii="Times New Roman" w:eastAsia="Calibri" w:hAnsi="Times New Roman" w:cs="Times New Roman"/>
          <w:b/>
          <w:bCs/>
          <w:color w:val="auto"/>
          <w:sz w:val="22"/>
          <w:szCs w:val="22"/>
        </w:rPr>
        <w:br/>
      </w:r>
    </w:p>
    <w:p w14:paraId="407EEA89"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Design</w:t>
      </w:r>
    </w:p>
    <w:p w14:paraId="5FF85871" w14:textId="77777777" w:rsidR="00735ADE" w:rsidRPr="006B4560" w:rsidRDefault="00735ADE" w:rsidP="00735ADE">
      <w:pPr>
        <w:spacing w:after="0"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current study partially replicated the experimental, between-groups design previously adopted by Metcalfe-Hume et al. (2026). The dependent variable was juror verdict, measured both continuously (on a scale of 0-100, from least guilty to most guilty) and categorically (guilty or not guilty). The independent variables were condition, measured categorically with three levels: condition 1 (schizophrenia), condition 2 (Borderline Personality Disorder) or control (Complex Mental Health Condition), and juror baseline stigma, measured using the Attribution Questionnaire (AQ-27, Corrigan et al., </w:t>
      </w:r>
      <w:r w:rsidRPr="006B4560">
        <w:rPr>
          <w:rFonts w:ascii="Times New Roman" w:eastAsia="Calibri" w:hAnsi="Times New Roman" w:cs="Times New Roman"/>
          <w:color w:val="000000" w:themeColor="text1"/>
        </w:rPr>
        <w:t>2003). The diagnosis manipulated in the condition was the only difference in the vignettes.</w:t>
      </w:r>
      <w:r w:rsidRPr="006B4560">
        <w:rPr>
          <w:rFonts w:ascii="Times New Roman" w:eastAsia="Calibri" w:hAnsi="Times New Roman" w:cs="Times New Roman"/>
          <w:color w:val="000000" w:themeColor="text1"/>
        </w:rPr>
        <w:t xml:space="preserve"> </w:t>
      </w:r>
    </w:p>
    <w:p w14:paraId="5565DC9D" w14:textId="77777777" w:rsidR="00735ADE" w:rsidRPr="006B4560" w:rsidRDefault="00735ADE" w:rsidP="00735ADE">
      <w:pPr>
        <w:spacing w:after="0" w:line="480" w:lineRule="auto"/>
        <w:rPr>
          <w:rFonts w:ascii="Times New Roman" w:eastAsia="Calibri" w:hAnsi="Times New Roman" w:cs="Times New Roman"/>
          <w:color w:val="000000" w:themeColor="text1"/>
        </w:rPr>
      </w:pPr>
    </w:p>
    <w:p w14:paraId="3FCD4CA6" w14:textId="77777777" w:rsidR="00735ADE" w:rsidRPr="006B4560" w:rsidRDefault="00735ADE" w:rsidP="00735ADE">
      <w:pPr>
        <w:spacing w:after="0"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Participants</w:t>
      </w:r>
    </w:p>
    <w:p w14:paraId="42025F6F" w14:textId="77777777" w:rsidR="00735ADE" w:rsidRPr="006B4560" w:rsidRDefault="00735ADE" w:rsidP="00735ADE">
      <w:pPr>
        <w:spacing w:after="0"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lastRenderedPageBreak/>
        <w:t>A final sample of 150 participants was recruited via the online research paid participation platform, Prolific (Prolific.com). Inclusion criteria closely aligned with eligibility for jury service selection in England and Wales</w:t>
      </w:r>
      <w:r w:rsidRPr="006B4560">
        <w:rPr>
          <w:rFonts w:ascii="Times New Roman" w:eastAsia="Calibri" w:hAnsi="Times New Roman" w:cs="Times New Roman"/>
          <w:color w:val="000000" w:themeColor="text1"/>
        </w:rPr>
        <w:t>; those who did not meet these criteria were excluded.</w:t>
      </w:r>
      <w:r w:rsidRPr="006B4560">
        <w:rPr>
          <w:rFonts w:ascii="Times New Roman" w:eastAsia="Calibri" w:hAnsi="Times New Roman" w:cs="Times New Roman"/>
          <w:color w:val="000000" w:themeColor="text1"/>
        </w:rPr>
        <w:t xml:space="preserve"> The online survey was distributed to Prolific’s pool of eligible participants and completed on a first-come-first-served basis until the required sample size was achieved. Only participants who completed the study and passed a simple 3-item knowledge check were included in the final sample, with only one participant’s data being excluded on this basis. Knowledge checks asked participants what crime the defendant was accused of committing, what happened and where this took place. The mean time taken to complete the study was 18.3 minutes (SD=5.5, range=13-58), in line with our a-priori estimation of 15-20 minutes. Respondents were reimbursed according to Prolific’s payment guidance, receiving £2.07 on completion. </w:t>
      </w:r>
    </w:p>
    <w:p w14:paraId="70140B13" w14:textId="77777777" w:rsidR="00735ADE" w:rsidRPr="006B4560" w:rsidRDefault="00735ADE" w:rsidP="00735ADE">
      <w:pPr>
        <w:spacing w:after="0"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Table 1 details the demographics of the sample. Compared to wider UK demographics (Office of National Statistics, 2017), the sample was reasonably representative in terms of gender (57.3% female) and ethnicity, although somewhat more educated.</w:t>
      </w:r>
      <w:r w:rsidRPr="006B4560">
        <w:rPr>
          <w:rFonts w:ascii="Times New Roman" w:eastAsia="Calibri" w:hAnsi="Times New Roman" w:cs="Times New Roman"/>
          <w:color w:val="000000" w:themeColor="text1"/>
        </w:rPr>
        <w:t xml:space="preserve"> Post randomisation checks (see online repository </w:t>
      </w:r>
      <w:hyperlink r:id="rId7" w:history="1">
        <w:r w:rsidRPr="006B4560">
          <w:rPr>
            <w:rStyle w:val="Hyperlink"/>
            <w:rFonts w:ascii="Times New Roman" w:hAnsi="Times New Roman" w:cs="Times New Roman"/>
            <w:color w:val="auto"/>
          </w:rPr>
          <w:t>https://osf.io/uaxdj/overview?view_only=e7205a8fc6924b0a907f6ce3747dfbaa</w:t>
        </w:r>
      </w:hyperlink>
      <w:r w:rsidRPr="006B4560">
        <w:rPr>
          <w:rFonts w:ascii="Times New Roman" w:hAnsi="Times New Roman" w:cs="Times New Roman"/>
        </w:rPr>
        <w:t>) indicated no differences between condition on the key demographic variables.</w:t>
      </w:r>
    </w:p>
    <w:p w14:paraId="4BF9CB5E" w14:textId="77777777" w:rsidR="00735ADE" w:rsidRPr="006B4560" w:rsidRDefault="00735ADE" w:rsidP="00735ADE">
      <w:pPr>
        <w:rPr>
          <w:rFonts w:ascii="Times New Roman" w:eastAsia="Calibri" w:hAnsi="Times New Roman" w:cs="Times New Roman"/>
          <w:b/>
          <w:bCs/>
          <w:color w:val="000000" w:themeColor="text1"/>
        </w:rPr>
      </w:pPr>
    </w:p>
    <w:p w14:paraId="48FBAB8A" w14:textId="77777777" w:rsidR="00735ADE" w:rsidRPr="006B4560" w:rsidRDefault="00735ADE" w:rsidP="00735ADE">
      <w:pPr>
        <w:rPr>
          <w:rFonts w:ascii="Times New Roman" w:eastAsia="Calibri" w:hAnsi="Times New Roman" w:cs="Times New Roman"/>
          <w:b/>
          <w:bCs/>
          <w:i/>
          <w:iCs/>
          <w:color w:val="000000" w:themeColor="text1"/>
        </w:rPr>
      </w:pPr>
      <w:r w:rsidRPr="006B4560">
        <w:rPr>
          <w:rFonts w:ascii="Times New Roman" w:hAnsi="Times New Roman" w:cs="Times New Roman"/>
          <w:b/>
          <w:bCs/>
          <w:color w:val="242424"/>
          <w:shd w:val="clear" w:color="auto" w:fill="FFFFFF"/>
        </w:rPr>
        <w:t>[insert Table 1 here]</w:t>
      </w:r>
      <w:r w:rsidRPr="006B4560">
        <w:rPr>
          <w:rFonts w:ascii="Times New Roman" w:hAnsi="Times New Roman" w:cs="Times New Roman"/>
          <w:b/>
          <w:bCs/>
          <w:color w:val="242424"/>
          <w:shd w:val="clear" w:color="auto" w:fill="FFFFFF"/>
        </w:rPr>
        <w:br/>
      </w:r>
    </w:p>
    <w:p w14:paraId="79F0B787" w14:textId="77777777" w:rsidR="00735ADE" w:rsidRPr="006B4560" w:rsidRDefault="00735ADE" w:rsidP="00735ADE">
      <w:pPr>
        <w:spacing w:after="0" w:line="480" w:lineRule="auto"/>
        <w:rPr>
          <w:rFonts w:ascii="Times New Roman" w:eastAsia="Calibri" w:hAnsi="Times New Roman" w:cs="Times New Roman"/>
          <w:b/>
          <w:bCs/>
          <w:color w:val="000000" w:themeColor="text1"/>
        </w:rPr>
      </w:pPr>
    </w:p>
    <w:p w14:paraId="22BDB38D" w14:textId="77777777" w:rsidR="00735ADE" w:rsidRPr="006B4560" w:rsidRDefault="00735ADE" w:rsidP="00735ADE">
      <w:pPr>
        <w:spacing w:after="0"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Materials and Measures</w:t>
      </w:r>
    </w:p>
    <w:p w14:paraId="629DE54A" w14:textId="77777777" w:rsidR="00735ADE" w:rsidRPr="006B4560" w:rsidRDefault="00735ADE" w:rsidP="00735ADE">
      <w:pPr>
        <w:spacing w:after="0" w:line="480" w:lineRule="auto"/>
        <w:rPr>
          <w:rFonts w:ascii="Times New Roman" w:eastAsia="Calibri" w:hAnsi="Times New Roman" w:cs="Times New Roman"/>
          <w:color w:val="FF0000"/>
        </w:rPr>
      </w:pPr>
    </w:p>
    <w:p w14:paraId="5E722325" w14:textId="77777777" w:rsidR="00735ADE" w:rsidRPr="006B4560" w:rsidRDefault="00735ADE" w:rsidP="00735ADE">
      <w:pPr>
        <w:spacing w:after="0"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i/>
          <w:iCs/>
          <w:color w:val="000000" w:themeColor="text1"/>
        </w:rPr>
        <w:t>Stigma</w:t>
      </w:r>
    </w:p>
    <w:p w14:paraId="5BBB256C" w14:textId="77777777" w:rsidR="00735ADE" w:rsidRPr="006B4560" w:rsidRDefault="00735ADE" w:rsidP="00735ADE">
      <w:pPr>
        <w:spacing w:after="0"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Attribution Questionnaire (AQ-27) is a 27-item self-report measure, based upon the nine factors proposed in the attributional model of stigma (Corrigan et al., 2003). Participants </w:t>
      </w:r>
      <w:r w:rsidRPr="006B4560">
        <w:rPr>
          <w:rFonts w:ascii="Times New Roman" w:eastAsia="Calibri" w:hAnsi="Times New Roman" w:cs="Times New Roman"/>
          <w:color w:val="000000" w:themeColor="text1"/>
        </w:rPr>
        <w:t>are</w:t>
      </w:r>
      <w:r w:rsidRPr="006B4560">
        <w:rPr>
          <w:rFonts w:ascii="Times New Roman" w:eastAsia="Calibri" w:hAnsi="Times New Roman" w:cs="Times New Roman"/>
          <w:color w:val="000000" w:themeColor="text1"/>
        </w:rPr>
        <w:t xml:space="preserve"> first presented with a short vignette stating ‘Harry is a 30-year-old single man with schizophrenia. Sometimes he hears voices and becomes upset. He lives alone in an apartment and works as a clerk at a large law firm. He has been hospitalised six times because of his illness’ and asked to rate their </w:t>
      </w:r>
      <w:r w:rsidRPr="006B4560">
        <w:rPr>
          <w:rFonts w:ascii="Times New Roman" w:eastAsia="Calibri" w:hAnsi="Times New Roman" w:cs="Times New Roman"/>
          <w:color w:val="000000" w:themeColor="text1"/>
        </w:rPr>
        <w:lastRenderedPageBreak/>
        <w:t>agreement with each of the 27 statements relating to ‘Harry’ on a 9-point Likert scale. To ensure that all participants made their judgements about stigma on the same basis, the diagnosis of schizophrenia in the AQ-27 was not manipulated between conditions. As with the original study, a total stigma score was calculated by summing the relevant items from the AQ-27</w:t>
      </w:r>
      <w:r w:rsidRPr="006B4560">
        <w:rPr>
          <w:rFonts w:ascii="Times New Roman" w:eastAsia="Calibri" w:hAnsi="Times New Roman" w:cs="Times New Roman"/>
          <w:color w:val="000000" w:themeColor="text1"/>
        </w:rPr>
        <w:t>, some of which are reverse scored.</w:t>
      </w:r>
      <w:r w:rsidRPr="006B4560">
        <w:rPr>
          <w:rFonts w:ascii="Times New Roman" w:eastAsia="Calibri" w:hAnsi="Times New Roman" w:cs="Times New Roman"/>
          <w:color w:val="000000" w:themeColor="text1"/>
        </w:rPr>
        <w:t xml:space="preserve"> A respectable overall Cronbach’s alpha score of 0.77 was achieved for this total score. In addition, and for exploratory analyses only, factor scores were calculated using Brown’s (2008) alternative factor structure, which proposes the existence of six revised factors: ‘fear/dangerousness’ (‘fear of the mentally ill’; 7 items), ‘help/interact’ (‘willingness to help the mentally ill’; 6 items), ‘forcing treatment’ (‘forcing treatment on the mentally ill’; 4 items), ‘empathy’ (‘empathy towards the mentally ill’; 3 items), ‘responsibility’ (‘being primary responsible for one’s own mental illness’; 3 items) and ‘negative emotions’ (‘showing negative emotion towards the mentally ill’; 3 items). In all cases, higher scores relate to increased stigma. </w:t>
      </w:r>
      <w:r w:rsidRPr="006B4560">
        <w:rPr>
          <w:rFonts w:ascii="Times New Roman" w:eastAsia="Calibri" w:hAnsi="Times New Roman" w:cs="Times New Roman"/>
          <w:color w:val="000000" w:themeColor="text1"/>
        </w:rPr>
        <w:br/>
      </w:r>
    </w:p>
    <w:p w14:paraId="3597780D"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i/>
          <w:iCs/>
          <w:color w:val="000000" w:themeColor="text1"/>
        </w:rPr>
        <w:t>Vignettes</w:t>
      </w:r>
    </w:p>
    <w:p w14:paraId="0EE56012"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Trial vignettes depicting a fictional criminal damage case were adapted based on the vignettes used in the ‘Symptoms + Diagnosis’ condition in Metcalfe-Hume et al. (2026) study</w:t>
      </w:r>
      <w:r w:rsidRPr="006B4560">
        <w:rPr>
          <w:rFonts w:ascii="Times New Roman" w:eastAsia="Calibri" w:hAnsi="Times New Roman" w:cs="Times New Roman"/>
          <w:color w:val="000000" w:themeColor="text1"/>
        </w:rPr>
        <w:t xml:space="preserve">. </w:t>
      </w:r>
    </w:p>
    <w:p w14:paraId="10A341BF"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In brief, the vignette describes a male defendant causing criminal damage to the water pipes of a hospital. The criminal damage offence was once again chosen due to the </w:t>
      </w:r>
      <w:proofErr w:type="spellStart"/>
      <w:r w:rsidRPr="006B4560">
        <w:rPr>
          <w:rFonts w:ascii="Times New Roman" w:eastAsia="Calibri" w:hAnsi="Times New Roman" w:cs="Times New Roman"/>
          <w:i/>
          <w:iCs/>
          <w:color w:val="000000" w:themeColor="text1"/>
        </w:rPr>
        <w:t>mens</w:t>
      </w:r>
      <w:proofErr w:type="spellEnd"/>
      <w:r w:rsidRPr="006B4560">
        <w:rPr>
          <w:rFonts w:ascii="Times New Roman" w:eastAsia="Calibri" w:hAnsi="Times New Roman" w:cs="Times New Roman"/>
          <w:i/>
          <w:iCs/>
          <w:color w:val="000000" w:themeColor="text1"/>
        </w:rPr>
        <w:t xml:space="preserve"> rea</w:t>
      </w:r>
      <w:r w:rsidRPr="006B4560">
        <w:rPr>
          <w:rFonts w:ascii="Times New Roman" w:eastAsia="Calibri" w:hAnsi="Times New Roman" w:cs="Times New Roman"/>
          <w:color w:val="000000" w:themeColor="text1"/>
        </w:rPr>
        <w:t xml:space="preserve"> of ‘recklessness’ in English and Welsh criminal law, which provides a locus for considering the relationship between a mental health condition and offence. Moreover, it is a question that jurors could realistically be expected to address. The leading case law (</w:t>
      </w:r>
      <w:r w:rsidRPr="006B4560">
        <w:rPr>
          <w:rFonts w:ascii="Times New Roman" w:eastAsia="Calibri" w:hAnsi="Times New Roman" w:cs="Times New Roman"/>
          <w:i/>
          <w:iCs/>
          <w:color w:val="000000" w:themeColor="text1"/>
        </w:rPr>
        <w:t>R v. G, 2004</w:t>
      </w:r>
      <w:r w:rsidRPr="006B4560">
        <w:rPr>
          <w:rFonts w:ascii="Times New Roman" w:eastAsia="Calibri" w:hAnsi="Times New Roman" w:cs="Times New Roman"/>
          <w:color w:val="000000" w:themeColor="text1"/>
        </w:rPr>
        <w:t xml:space="preserve">) establishes the importance of the ability to foresee the consequences of one’s actions, with jurors instructed to find the person not guilty unless the person’s conduct in the offence is found to be reckless. The vignette included a case for the prosecution, the defence, and instructions from the judge. The defence position was that “he did not intend to cause the damage … and was not aware that the damage would result from his behaviour… due to his diagnosis of XXX”. The prosecution position was that “he was fully aware of what he was doing at the time of the crime and that he caused the damage intentionally or </w:t>
      </w:r>
      <w:r w:rsidRPr="006B4560">
        <w:rPr>
          <w:rFonts w:ascii="Times New Roman" w:eastAsia="Calibri" w:hAnsi="Times New Roman" w:cs="Times New Roman"/>
          <w:color w:val="000000" w:themeColor="text1"/>
        </w:rPr>
        <w:lastRenderedPageBreak/>
        <w:t>recklessly, being aware of a risk that damage would result from his behaviour”. The defence argument included reference to an expert witness report which confirmed the presence of mental illness and linked this to the defendant’s actions. There was a clear instruction by the judge to directly consider the motive behind the crime, with relevant case law outlined to help mock jurors determine whether ‘recklessness’ had occurred.</w:t>
      </w:r>
    </w:p>
    <w:p w14:paraId="621E007F" w14:textId="77777777" w:rsidR="00735ADE" w:rsidRPr="006B4560" w:rsidRDefault="00735ADE" w:rsidP="00735ADE">
      <w:pPr>
        <w:spacing w:line="480" w:lineRule="auto"/>
        <w:ind w:firstLine="720"/>
        <w:rPr>
          <w:rFonts w:ascii="Times New Roman" w:eastAsia="Calibri" w:hAnsi="Times New Roman" w:cs="Times New Roman"/>
          <w:color w:val="0078D4"/>
        </w:rPr>
      </w:pPr>
      <w:r w:rsidRPr="006B4560">
        <w:rPr>
          <w:rFonts w:ascii="Times New Roman" w:eastAsia="Calibri" w:hAnsi="Times New Roman" w:cs="Times New Roman"/>
          <w:color w:val="000000" w:themeColor="text1"/>
        </w:rPr>
        <w:t>The vignette was adapted to depict a symptomatic account which could reasonably be representative of either schizophrenia or Borderline Personality Disorder. For instance, a history of childhood trauma was introduced to the defence argument, as were symptoms of emotional and relational instability. The role of psychosis in explaining the offence was also modified somewhat; whilst delusions remained a component of the motivation (implying a potential benevolent intent), with prominence also given to symptoms of auditory hallucinations and paranoia. Reflecting the contemporary context, a reference to paranoid beliefs and the misuse of COVID-19 vaccinations was also introduced. Beyond the manipulation of the diagnosis, the contents of each condition’s vignette were otherwise identical. A copy of the full vignette</w:t>
      </w:r>
      <w:r w:rsidRPr="006B4560">
        <w:rPr>
          <w:rFonts w:ascii="Times New Roman" w:eastAsia="Calibri" w:hAnsi="Times New Roman" w:cs="Times New Roman"/>
          <w:color w:val="000000" w:themeColor="text1"/>
        </w:rPr>
        <w:t xml:space="preserve"> showing all adaptations</w:t>
      </w:r>
      <w:r w:rsidRPr="006B4560">
        <w:rPr>
          <w:rFonts w:ascii="Times New Roman" w:eastAsia="Calibri" w:hAnsi="Times New Roman" w:cs="Times New Roman"/>
          <w:color w:val="000000" w:themeColor="text1"/>
        </w:rPr>
        <w:t xml:space="preserve"> is included within Appendix.</w:t>
      </w:r>
    </w:p>
    <w:p w14:paraId="3405E63F"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Based on the written transcripts, videos were filmed at the </w:t>
      </w:r>
      <w:r w:rsidRPr="006B4560">
        <w:rPr>
          <w:rFonts w:ascii="Times New Roman" w:eastAsia="Calibri" w:hAnsi="Times New Roman" w:cs="Times New Roman"/>
          <w:color w:val="000000" w:themeColor="text1"/>
        </w:rPr>
        <w:t>University of East Anglia</w:t>
      </w:r>
      <w:r w:rsidRPr="006B4560">
        <w:rPr>
          <w:rFonts w:ascii="Times New Roman" w:eastAsia="Calibri" w:hAnsi="Times New Roman" w:cs="Times New Roman"/>
          <w:color w:val="000000" w:themeColor="text1"/>
        </w:rPr>
        <w:t xml:space="preserve"> Law School, with colleagues dressed in judicial clothing, playing the roles of barristers and a judge. The videos for each condition were equal in length (11 minutes).</w:t>
      </w:r>
    </w:p>
    <w:p w14:paraId="615EDE1E"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p>
    <w:p w14:paraId="0F7C1FEF"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Procedure</w:t>
      </w:r>
    </w:p>
    <w:p w14:paraId="27E1D10B"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Figure 1 illustrates the procedure that participants followed during the study, broadly mirroring that of Metcalfe-Hume et al. (2026). Responses were collected via </w:t>
      </w:r>
      <w:proofErr w:type="spellStart"/>
      <w:r w:rsidRPr="006B4560">
        <w:rPr>
          <w:rFonts w:ascii="Times New Roman" w:eastAsia="Calibri" w:hAnsi="Times New Roman" w:cs="Times New Roman"/>
          <w:color w:val="000000" w:themeColor="text1"/>
        </w:rPr>
        <w:t>PsyToolKit</w:t>
      </w:r>
      <w:proofErr w:type="spellEnd"/>
      <w:r w:rsidRPr="006B4560">
        <w:rPr>
          <w:rFonts w:ascii="Times New Roman" w:eastAsia="Calibri" w:hAnsi="Times New Roman" w:cs="Times New Roman"/>
          <w:color w:val="000000" w:themeColor="text1"/>
        </w:rPr>
        <w:t xml:space="preserve"> (</w:t>
      </w:r>
      <w:proofErr w:type="spellStart"/>
      <w:r w:rsidRPr="006B4560">
        <w:rPr>
          <w:rFonts w:ascii="Times New Roman" w:eastAsia="Calibri" w:hAnsi="Times New Roman" w:cs="Times New Roman"/>
          <w:color w:val="000000" w:themeColor="text1"/>
        </w:rPr>
        <w:t>Stoet</w:t>
      </w:r>
      <w:proofErr w:type="spellEnd"/>
      <w:r w:rsidRPr="006B4560">
        <w:rPr>
          <w:rFonts w:ascii="Times New Roman" w:eastAsia="Calibri" w:hAnsi="Times New Roman" w:cs="Times New Roman"/>
          <w:color w:val="000000" w:themeColor="text1"/>
        </w:rPr>
        <w:t>, 2010, 2017</w:t>
      </w:r>
      <w:r w:rsidRPr="006B4560">
        <w:rPr>
          <w:rFonts w:ascii="Times New Roman" w:eastAsia="Calibri" w:hAnsi="Times New Roman" w:cs="Times New Roman"/>
          <w:color w:val="000000" w:themeColor="text1"/>
        </w:rPr>
        <w:t>), which was also used to randomise participants into conditions.</w:t>
      </w:r>
      <w:r w:rsidRPr="006B4560">
        <w:rPr>
          <w:rFonts w:ascii="Times New Roman" w:eastAsia="Calibri" w:hAnsi="Times New Roman" w:cs="Times New Roman"/>
          <w:color w:val="000000" w:themeColor="text1"/>
        </w:rPr>
        <w:t xml:space="preserve"> </w:t>
      </w:r>
    </w:p>
    <w:p w14:paraId="1D1D55D6" w14:textId="77777777" w:rsidR="00735ADE" w:rsidRPr="006B4560" w:rsidRDefault="00735ADE" w:rsidP="00735ADE"/>
    <w:p w14:paraId="0972A71F" w14:textId="77777777" w:rsidR="00735ADE" w:rsidRPr="006B4560" w:rsidRDefault="00735ADE" w:rsidP="00735ADE">
      <w:r w:rsidRPr="006B4560">
        <w:rPr>
          <w:rFonts w:ascii="Times New Roman" w:hAnsi="Times New Roman" w:cs="Times New Roman"/>
          <w:b/>
          <w:bCs/>
          <w:color w:val="242424"/>
          <w:shd w:val="clear" w:color="auto" w:fill="FFFFFF"/>
        </w:rPr>
        <w:t>[insert Figure 1 here]</w:t>
      </w:r>
    </w:p>
    <w:p w14:paraId="0E820278" w14:textId="77777777" w:rsidR="00735ADE" w:rsidRPr="006B4560" w:rsidRDefault="00735ADE" w:rsidP="00735ADE"/>
    <w:p w14:paraId="2CA55D88"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lastRenderedPageBreak/>
        <w:t xml:space="preserve">To avoid missing data, survey questions were formatted to require a response before allowing participants to progress onto the next question. </w:t>
      </w:r>
    </w:p>
    <w:p w14:paraId="5F01FD20"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p>
    <w:p w14:paraId="6A58A2D8"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Analysis</w:t>
      </w:r>
    </w:p>
    <w:p w14:paraId="656C19B9"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Guidance for power analysis for logistic regression (Peduzzi et al., 1996) suggests that 10 events per variable are advised where binary outcomes are expected to be approximately equally likely (the overall balance of guilty/not guilty verdicts in the original study suggested this was not an unreasonable expectation). Ten events for each of the study variables indicated a requirement of approximately 60 participants per binary outcome (guilty or not guilty), therefore a sample of between 120-150 participants was sought.</w:t>
      </w:r>
    </w:p>
    <w:p w14:paraId="7F23C590"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Data were analysed using International Business Machines’ (IBM) Statistical Programme for the Social Sciences (SPSS), v.25. </w:t>
      </w:r>
    </w:p>
    <w:p w14:paraId="1A5F3314"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We</w:t>
      </w:r>
      <w:r w:rsidRPr="006B4560">
        <w:rPr>
          <w:rFonts w:ascii="Times New Roman" w:eastAsia="Calibri" w:hAnsi="Times New Roman" w:cs="Times New Roman"/>
          <w:color w:val="000000" w:themeColor="text1"/>
        </w:rPr>
        <w:t xml:space="preserve"> checked that the key dependent variables were approximately normal through inspection of histograms. </w:t>
      </w:r>
    </w:p>
    <w:p w14:paraId="51375337"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To address the first research question of whether the presence of different diagnostic terms is associated with juror verdicts, chi-square analyses were conducted using experimental condition as the categorical (3-level) independent variable and guilt verdict (guilty or not guilty) as a binary dependent variable. </w:t>
      </w:r>
      <w:r w:rsidRPr="006B4560">
        <w:rPr>
          <w:rFonts w:ascii="Times New Roman" w:eastAsia="Calibri" w:hAnsi="Times New Roman" w:cs="Times New Roman"/>
          <w:color w:val="000000" w:themeColor="text1"/>
        </w:rPr>
        <w:t>A one-way</w:t>
      </w:r>
      <w:r w:rsidRPr="006B4560">
        <w:rPr>
          <w:rFonts w:ascii="Times New Roman" w:eastAsia="Calibri" w:hAnsi="Times New Roman" w:cs="Times New Roman"/>
          <w:color w:val="000000" w:themeColor="text1"/>
        </w:rPr>
        <w:t xml:space="preserve"> Analysis of Variance (ANOVA) was conducted with the same independent variables but with guilt ratings recorded as a continuous variable. </w:t>
      </w:r>
    </w:p>
    <w:p w14:paraId="528053B9"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second research question was addressed using two regression equations. A logistic regression used the categorical verdict as the dependent variable, and a linear regression using the continuous version of the guilt variable. For both types of regression, variables were entered in the following steps. Firstly, the condition variable was entered (for the linear regression, this was dummy coded into three binary variables). The total AQ-27 score was entered in the next step. In the third step, two interaction terms (condition x AQ-27) were entered, and in the fourth and final step, age (as </w:t>
      </w:r>
      <w:r w:rsidRPr="006B4560">
        <w:rPr>
          <w:rFonts w:ascii="Times New Roman" w:eastAsia="Calibri" w:hAnsi="Times New Roman" w:cs="Times New Roman"/>
          <w:color w:val="000000" w:themeColor="text1"/>
        </w:rPr>
        <w:lastRenderedPageBreak/>
        <w:t xml:space="preserve">a continuous variable) and gender (all responses were male or female, thus a binary variable) were entered into the equation. </w:t>
      </w:r>
    </w:p>
    <w:p w14:paraId="2018CBE2"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Finally, exploratory </w:t>
      </w:r>
      <w:r w:rsidRPr="006B4560">
        <w:rPr>
          <w:rFonts w:ascii="Times New Roman" w:eastAsia="Calibri" w:hAnsi="Times New Roman" w:cs="Times New Roman"/>
          <w:color w:val="000000" w:themeColor="text1"/>
        </w:rPr>
        <w:t xml:space="preserve">analysis considering </w:t>
      </w:r>
      <w:r w:rsidRPr="006B4560">
        <w:rPr>
          <w:rFonts w:ascii="Times New Roman" w:eastAsia="Calibri" w:hAnsi="Times New Roman" w:cs="Times New Roman"/>
          <w:color w:val="000000" w:themeColor="text1"/>
        </w:rPr>
        <w:t xml:space="preserve">reliability </w:t>
      </w:r>
      <w:r w:rsidRPr="006B4560">
        <w:rPr>
          <w:rFonts w:ascii="Times New Roman" w:eastAsia="Calibri" w:hAnsi="Times New Roman" w:cs="Times New Roman"/>
          <w:color w:val="000000" w:themeColor="text1"/>
        </w:rPr>
        <w:t>(</w:t>
      </w:r>
      <w:r w:rsidRPr="006B4560">
        <w:rPr>
          <w:rFonts w:ascii="Times New Roman" w:eastAsia="Calibri" w:hAnsi="Times New Roman" w:cs="Times New Roman"/>
          <w:color w:val="000000" w:themeColor="text1"/>
        </w:rPr>
        <w:t>using Cronbach’s alpha</w:t>
      </w:r>
      <w:r w:rsidRPr="006B4560">
        <w:rPr>
          <w:rFonts w:ascii="Times New Roman" w:eastAsia="Calibri" w:hAnsi="Times New Roman" w:cs="Times New Roman"/>
          <w:color w:val="000000" w:themeColor="text1"/>
        </w:rPr>
        <w:t>)</w:t>
      </w:r>
      <w:r w:rsidRPr="006B4560">
        <w:rPr>
          <w:rFonts w:ascii="Times New Roman" w:eastAsia="Calibri" w:hAnsi="Times New Roman" w:cs="Times New Roman"/>
          <w:color w:val="000000" w:themeColor="text1"/>
        </w:rPr>
        <w:t xml:space="preserve"> and stepwise linear regression analyses were conducted to investigate the internal consistency of Brown’s (2008) alternative AQ-27 factor structure and whether certain factors were better able to predict guilt outcomes.</w:t>
      </w:r>
    </w:p>
    <w:p w14:paraId="72525140"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Ethical Considerations</w:t>
      </w:r>
    </w:p>
    <w:p w14:paraId="5B03EE46"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study was granted ethical approval by the Faculty of Medicine and Health Science at the </w:t>
      </w:r>
      <w:r w:rsidRPr="006B4560">
        <w:rPr>
          <w:rFonts w:ascii="Times New Roman" w:eastAsia="Calibri" w:hAnsi="Times New Roman" w:cs="Times New Roman"/>
          <w:color w:val="000000" w:themeColor="text1"/>
        </w:rPr>
        <w:t>University of East Angl</w:t>
      </w:r>
      <w:r w:rsidRPr="006B4560">
        <w:rPr>
          <w:rFonts w:ascii="Times New Roman" w:eastAsia="Calibri" w:hAnsi="Times New Roman" w:cs="Times New Roman"/>
          <w:color w:val="000000" w:themeColor="text1"/>
        </w:rPr>
        <w:t>i</w:t>
      </w:r>
      <w:r w:rsidRPr="006B4560">
        <w:rPr>
          <w:rFonts w:ascii="Times New Roman" w:eastAsia="Calibri" w:hAnsi="Times New Roman" w:cs="Times New Roman"/>
          <w:color w:val="000000" w:themeColor="text1"/>
        </w:rPr>
        <w:t>a</w:t>
      </w:r>
      <w:r w:rsidRPr="006B4560">
        <w:rPr>
          <w:rFonts w:ascii="Times New Roman" w:eastAsia="Calibri" w:hAnsi="Times New Roman" w:cs="Times New Roman"/>
          <w:color w:val="000000" w:themeColor="text1"/>
        </w:rPr>
        <w:t xml:space="preserve"> (ETH2223-0044). Participants were provided with a detailed information sheet, consent and debrief forms outlining sources of support, information about how their data would be stored and used, and how they could withdraw from the online study at any time by closing their browser window. </w:t>
      </w:r>
    </w:p>
    <w:p w14:paraId="40D8CE2B" w14:textId="77777777" w:rsidR="00735ADE" w:rsidRPr="006B4560" w:rsidRDefault="00735ADE" w:rsidP="00735ADE">
      <w:pPr>
        <w:spacing w:line="480" w:lineRule="auto"/>
        <w:rPr>
          <w:rFonts w:ascii="Times New Roman" w:eastAsia="Calibri" w:hAnsi="Times New Roman" w:cs="Times New Roman"/>
          <w:b/>
          <w:bCs/>
          <w:color w:val="000000" w:themeColor="text1"/>
        </w:rPr>
      </w:pPr>
      <w:r w:rsidRPr="006B4560">
        <w:rPr>
          <w:rFonts w:ascii="Times New Roman" w:eastAsia="Calibri" w:hAnsi="Times New Roman" w:cs="Times New Roman"/>
          <w:b/>
          <w:bCs/>
          <w:color w:val="000000" w:themeColor="text1"/>
        </w:rPr>
        <w:t>Open Science and Transparency</w:t>
      </w:r>
    </w:p>
    <w:p w14:paraId="586A202F"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No pre-registration of the study plan was conducted. However, all data and materials are publicly available on OSF.io through the following link: </w:t>
      </w:r>
      <w:hyperlink r:id="rId8" w:history="1">
        <w:r w:rsidRPr="006B4560">
          <w:rPr>
            <w:rStyle w:val="Hyperlink"/>
            <w:rFonts w:ascii="Times New Roman" w:hAnsi="Times New Roman" w:cs="Times New Roman"/>
            <w:color w:val="auto"/>
          </w:rPr>
          <w:t>https://osf.io/uaxdj/overview?view_only=e7205a8fc6924b0a907f6ce3747dfbaa</w:t>
        </w:r>
      </w:hyperlink>
      <w:r w:rsidRPr="006B4560">
        <w:rPr>
          <w:rFonts w:ascii="Times New Roman" w:hAnsi="Times New Roman" w:cs="Times New Roman"/>
        </w:rPr>
        <w:t xml:space="preserve"> </w:t>
      </w:r>
    </w:p>
    <w:p w14:paraId="7A619FBC" w14:textId="77777777" w:rsidR="00735ADE" w:rsidRPr="006B4560" w:rsidRDefault="00735ADE" w:rsidP="00735ADE">
      <w:pPr>
        <w:pStyle w:val="Heading2"/>
        <w:spacing w:line="480" w:lineRule="auto"/>
        <w:jc w:val="center"/>
        <w:rPr>
          <w:rFonts w:ascii="Times New Roman" w:eastAsia="Calibri" w:hAnsi="Times New Roman" w:cs="Times New Roman"/>
          <w:b/>
          <w:bCs/>
          <w:color w:val="auto"/>
          <w:sz w:val="22"/>
          <w:szCs w:val="22"/>
        </w:rPr>
      </w:pPr>
      <w:bookmarkStart w:id="4" w:name="_Toc160446732"/>
    </w:p>
    <w:p w14:paraId="0E39E862" w14:textId="77777777" w:rsidR="00735ADE" w:rsidRPr="006B4560" w:rsidRDefault="00735ADE" w:rsidP="00735ADE">
      <w:pPr>
        <w:pStyle w:val="Heading2"/>
        <w:spacing w:line="480" w:lineRule="auto"/>
        <w:jc w:val="center"/>
        <w:rPr>
          <w:rFonts w:ascii="Times New Roman" w:eastAsia="Calibri" w:hAnsi="Times New Roman" w:cs="Times New Roman"/>
        </w:rPr>
      </w:pPr>
      <w:r w:rsidRPr="006B4560">
        <w:rPr>
          <w:rFonts w:ascii="Times New Roman" w:eastAsia="Calibri" w:hAnsi="Times New Roman" w:cs="Times New Roman"/>
          <w:b/>
          <w:bCs/>
          <w:color w:val="auto"/>
          <w:sz w:val="22"/>
          <w:szCs w:val="22"/>
        </w:rPr>
        <w:t>Results</w:t>
      </w:r>
      <w:bookmarkEnd w:id="4"/>
      <w:r w:rsidRPr="006B4560">
        <w:rPr>
          <w:rFonts w:ascii="Times New Roman" w:eastAsia="Calibri" w:hAnsi="Times New Roman" w:cs="Times New Roman"/>
          <w:b/>
          <w:bCs/>
          <w:color w:val="auto"/>
          <w:sz w:val="22"/>
          <w:szCs w:val="22"/>
        </w:rPr>
        <w:br/>
      </w:r>
    </w:p>
    <w:p w14:paraId="5E94BF75"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Table 2 displays mean baseline stigma scores and guilt ratings across the three conditions.  Preliminary analyses explored differences in total baseline stigma scores and continuous levels of guilt between the three experimental conditions, which found no differences in baseline stigma scores between the three conditions (</w:t>
      </w:r>
      <w:r w:rsidRPr="006B4560">
        <w:rPr>
          <w:rFonts w:ascii="Times New Roman" w:eastAsia="Calibri" w:hAnsi="Times New Roman" w:cs="Times New Roman"/>
          <w:i/>
          <w:iCs/>
          <w:color w:val="000000" w:themeColor="text1"/>
        </w:rPr>
        <w:t>F</w:t>
      </w:r>
      <w:r w:rsidRPr="006B4560">
        <w:rPr>
          <w:rFonts w:ascii="Times New Roman" w:eastAsia="Calibri" w:hAnsi="Times New Roman" w:cs="Times New Roman"/>
          <w:color w:val="000000" w:themeColor="text1"/>
        </w:rPr>
        <w:t xml:space="preserve">(2, 147) = 0.165,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 xml:space="preserve">=.848). </w:t>
      </w:r>
    </w:p>
    <w:p w14:paraId="0B81CCC4"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p>
    <w:p w14:paraId="0D9925D7" w14:textId="77777777" w:rsidR="00735ADE" w:rsidRPr="006B4560" w:rsidRDefault="00735ADE" w:rsidP="00735ADE">
      <w:pPr>
        <w:spacing w:line="480" w:lineRule="auto"/>
        <w:rPr>
          <w:rFonts w:ascii="Times New Roman" w:eastAsia="Calibri" w:hAnsi="Times New Roman" w:cs="Times New Roman"/>
          <w:b/>
          <w:bCs/>
          <w:color w:val="000000" w:themeColor="text1"/>
        </w:rPr>
      </w:pPr>
      <w:r w:rsidRPr="006B4560">
        <w:rPr>
          <w:rFonts w:ascii="Times New Roman" w:eastAsia="Calibri" w:hAnsi="Times New Roman" w:cs="Times New Roman"/>
          <w:b/>
          <w:bCs/>
          <w:color w:val="000000" w:themeColor="text1"/>
        </w:rPr>
        <w:lastRenderedPageBreak/>
        <w:t>[insert Table 2 here]</w:t>
      </w:r>
    </w:p>
    <w:p w14:paraId="474D6A25" w14:textId="77777777" w:rsidR="00735ADE" w:rsidRPr="006B4560" w:rsidRDefault="00735ADE" w:rsidP="00735ADE">
      <w:pPr>
        <w:rPr>
          <w:rFonts w:ascii="Times New Roman" w:eastAsia="Calibri" w:hAnsi="Times New Roman" w:cs="Times New Roman"/>
          <w:i/>
          <w:iCs/>
          <w:color w:val="000000" w:themeColor="text1"/>
        </w:rPr>
      </w:pPr>
    </w:p>
    <w:p w14:paraId="7FEDDA64"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i/>
          <w:iCs/>
          <w:color w:val="000000" w:themeColor="text1"/>
        </w:rPr>
        <w:t>Does the presence of different diagnostic terms affect the decisions jurors make in a mock criminal trial?</w:t>
      </w:r>
    </w:p>
    <w:p w14:paraId="62E01D12"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The analysis showed that the between-group differences were not significant regardless of whether a categorical (</w:t>
      </w:r>
      <w:r w:rsidRPr="006B4560">
        <w:rPr>
          <w:rFonts w:ascii="Times New Roman" w:eastAsia="Calibri" w:hAnsi="Times New Roman" w:cs="Times New Roman"/>
          <w:i/>
          <w:iCs/>
          <w:color w:val="000000" w:themeColor="text1"/>
        </w:rPr>
        <w:t>X</w:t>
      </w:r>
      <w:r w:rsidRPr="006B4560">
        <w:rPr>
          <w:rFonts w:ascii="Times New Roman" w:eastAsia="Calibri" w:hAnsi="Times New Roman" w:cs="Times New Roman"/>
          <w:i/>
          <w:iCs/>
          <w:color w:val="000000" w:themeColor="text1"/>
          <w:vertAlign w:val="superscript"/>
        </w:rPr>
        <w:t>2</w:t>
      </w:r>
      <w:r w:rsidRPr="006B4560">
        <w:rPr>
          <w:rFonts w:ascii="Times New Roman" w:eastAsia="Calibri" w:hAnsi="Times New Roman" w:cs="Times New Roman"/>
          <w:color w:val="000000" w:themeColor="text1"/>
        </w:rPr>
        <w:t xml:space="preserve">(2, </w:t>
      </w:r>
      <w:r w:rsidRPr="006B4560">
        <w:rPr>
          <w:rFonts w:ascii="Times New Roman" w:eastAsia="Calibri" w:hAnsi="Times New Roman" w:cs="Times New Roman"/>
          <w:i/>
          <w:iCs/>
          <w:color w:val="000000" w:themeColor="text1"/>
        </w:rPr>
        <w:t>N</w:t>
      </w:r>
      <w:r w:rsidRPr="006B4560">
        <w:rPr>
          <w:rFonts w:ascii="Times New Roman" w:eastAsia="Calibri" w:hAnsi="Times New Roman" w:cs="Times New Roman"/>
          <w:color w:val="000000" w:themeColor="text1"/>
        </w:rPr>
        <w:t>=150)=</w:t>
      </w:r>
      <w:r w:rsidRPr="006B4560">
        <w:rPr>
          <w:rFonts w:ascii="Times New Roman" w:eastAsia="Calibri" w:hAnsi="Times New Roman" w:cs="Times New Roman"/>
          <w:color w:val="000000" w:themeColor="text1"/>
        </w:rPr>
        <w:t>2.36</w:t>
      </w:r>
      <w:r w:rsidRPr="006B4560">
        <w:rPr>
          <w:rFonts w:ascii="Times New Roman" w:eastAsia="Calibri" w:hAnsi="Times New Roman" w:cs="Times New Roman"/>
          <w:color w:val="000000" w:themeColor="text1"/>
        </w:rPr>
        <w:t xml:space="preserve">, </w:t>
      </w:r>
      <w:r w:rsidRPr="006B4560">
        <w:rPr>
          <w:rFonts w:ascii="Times New Roman" w:eastAsia="Calibri" w:hAnsi="Times New Roman" w:cs="Times New Roman"/>
          <w:i/>
          <w:iCs/>
          <w:color w:val="000000" w:themeColor="text1"/>
        </w:rPr>
        <w:t>p=0.31</w:t>
      </w:r>
      <w:r w:rsidRPr="006B4560">
        <w:rPr>
          <w:rFonts w:ascii="Times New Roman" w:eastAsia="Calibri" w:hAnsi="Times New Roman" w:cs="Times New Roman"/>
          <w:i/>
          <w:iCs/>
          <w:color w:val="000000" w:themeColor="text1"/>
        </w:rPr>
        <w:t>, V=0.13</w:t>
      </w:r>
      <w:r w:rsidRPr="006B4560">
        <w:rPr>
          <w:rFonts w:ascii="Times New Roman" w:eastAsia="Calibri" w:hAnsi="Times New Roman" w:cs="Times New Roman"/>
          <w:color w:val="000000" w:themeColor="text1"/>
        </w:rPr>
        <w:t>)) or continuous (</w:t>
      </w:r>
      <w:r w:rsidRPr="006B4560">
        <w:rPr>
          <w:rFonts w:ascii="Times New Roman" w:eastAsia="Calibri" w:hAnsi="Times New Roman" w:cs="Times New Roman"/>
          <w:i/>
          <w:iCs/>
          <w:color w:val="000000" w:themeColor="text1"/>
        </w:rPr>
        <w:t>F</w:t>
      </w:r>
      <w:r w:rsidRPr="006B4560">
        <w:rPr>
          <w:rFonts w:ascii="Times New Roman" w:eastAsia="Calibri" w:hAnsi="Times New Roman" w:cs="Times New Roman"/>
          <w:color w:val="000000" w:themeColor="text1"/>
        </w:rPr>
        <w:t xml:space="preserve">(2, 147)=1.46,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=.237</w:t>
      </w:r>
      <w:r w:rsidRPr="006B4560">
        <w:rPr>
          <w:rFonts w:ascii="Times New Roman" w:eastAsia="Calibri" w:hAnsi="Times New Roman" w:cs="Times New Roman"/>
          <w:color w:val="000000" w:themeColor="text1"/>
        </w:rPr>
        <w:t>, η</w:t>
      </w:r>
      <w:r w:rsidRPr="006B4560">
        <w:rPr>
          <w:rFonts w:ascii="Times New Roman" w:eastAsia="Calibri" w:hAnsi="Times New Roman" w:cs="Times New Roman"/>
          <w:color w:val="000000" w:themeColor="text1"/>
          <w:vertAlign w:val="superscript"/>
        </w:rPr>
        <w:t>2</w:t>
      </w:r>
      <w:r w:rsidRPr="006B4560">
        <w:rPr>
          <w:rFonts w:ascii="Times New Roman" w:eastAsia="Calibri" w:hAnsi="Times New Roman" w:cs="Times New Roman"/>
          <w:color w:val="000000" w:themeColor="text1"/>
        </w:rPr>
        <w:t>=0.019</w:t>
      </w:r>
      <w:r w:rsidRPr="006B4560">
        <w:rPr>
          <w:rFonts w:ascii="Times New Roman" w:eastAsia="Calibri" w:hAnsi="Times New Roman" w:cs="Times New Roman"/>
          <w:color w:val="000000" w:themeColor="text1"/>
        </w:rPr>
        <w:t>) measure of guilt was used.</w:t>
      </w:r>
      <w:r w:rsidRPr="006B4560">
        <w:rPr>
          <w:rFonts w:ascii="Times New Roman" w:eastAsia="Calibri" w:hAnsi="Times New Roman" w:cs="Times New Roman"/>
          <w:color w:val="000000" w:themeColor="text1"/>
        </w:rPr>
        <w:t xml:space="preserve"> None of the paired comparisons between conditions showed significant differences in post-hoc tests.</w:t>
      </w:r>
      <w:r w:rsidRPr="006B4560">
        <w:rPr>
          <w:rFonts w:ascii="Times New Roman" w:eastAsia="Calibri" w:hAnsi="Times New Roman" w:cs="Times New Roman"/>
          <w:color w:val="000000" w:themeColor="text1"/>
        </w:rPr>
        <w:t xml:space="preserve"> This was despite an 11-point difference between the highest (Complex Mental Health Condition) and lowest (Borderline Personality Disorder) continuous mean guilt scores (Table 2). This suggests that, in the current sample, the diagnostic term did not appear to affect the decisions mock jurors made about guilt, although the high standard deviations indicate that participants made a wide range of decisions about guilt in response to the vignettes.</w:t>
      </w:r>
    </w:p>
    <w:p w14:paraId="4AC8275C" w14:textId="77777777" w:rsidR="00735ADE" w:rsidRPr="006B4560" w:rsidRDefault="00735ADE" w:rsidP="00735ADE">
      <w:pPr>
        <w:spacing w:line="480" w:lineRule="auto"/>
        <w:rPr>
          <w:rFonts w:ascii="Times New Roman" w:eastAsia="Calibri" w:hAnsi="Times New Roman" w:cs="Times New Roman"/>
          <w:b/>
          <w:bCs/>
          <w:i/>
          <w:iCs/>
          <w:color w:val="000000" w:themeColor="text1"/>
        </w:rPr>
      </w:pPr>
    </w:p>
    <w:p w14:paraId="7B9ADCDE"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i/>
          <w:iCs/>
          <w:color w:val="000000" w:themeColor="text1"/>
        </w:rPr>
        <w:t>Do baseline levels of juror stigma have an influence on guilt outcomes or interact with condition to affect juror verdicts?</w:t>
      </w:r>
    </w:p>
    <w:p w14:paraId="7F1838CA" w14:textId="77777777" w:rsidR="00735ADE" w:rsidRPr="006B4560" w:rsidRDefault="00735ADE" w:rsidP="00735ADE">
      <w:pPr>
        <w:spacing w:line="480" w:lineRule="auto"/>
        <w:rPr>
          <w:rFonts w:ascii="Times New Roman" w:eastAsia="Calibri" w:hAnsi="Times New Roman" w:cs="Times New Roman"/>
          <w:color w:val="000000" w:themeColor="text1"/>
        </w:rPr>
      </w:pPr>
    </w:p>
    <w:p w14:paraId="5F479F3B"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i/>
          <w:iCs/>
          <w:color w:val="000000" w:themeColor="text1"/>
        </w:rPr>
        <w:t>Logistic regression</w:t>
      </w:r>
    </w:p>
    <w:p w14:paraId="59B49264"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As shown in Table 3, in block 1 of the binary logistic regression, the condition variable was not associated with significant effects on verdict, consistent with the chi-square results. The addition of the AQ-27 baseline stigma variable (total score) in block 2 did however make a statistically significant contribution to the model, indicating that baseline juror stigma, overall, was a significant factor in predicting guilt judgements </w:t>
      </w:r>
      <w:r w:rsidRPr="006B4560">
        <w:rPr>
          <w:rFonts w:ascii="Times New Roman" w:eastAsia="Calibri" w:hAnsi="Times New Roman" w:cs="Times New Roman"/>
          <w:color w:val="000000" w:themeColor="text1"/>
        </w:rPr>
        <w:t>(as predicted,</w:t>
      </w:r>
      <w:r w:rsidRPr="006B4560">
        <w:rPr>
          <w:rFonts w:ascii="Times New Roman" w:eastAsia="Calibri" w:hAnsi="Times New Roman" w:cs="Times New Roman"/>
          <w:color w:val="000000" w:themeColor="text1"/>
        </w:rPr>
        <w:t xml:space="preserve"> higher baseline stigma </w:t>
      </w:r>
      <w:r w:rsidRPr="006B4560">
        <w:rPr>
          <w:rFonts w:ascii="Times New Roman" w:eastAsia="Calibri" w:hAnsi="Times New Roman" w:cs="Times New Roman"/>
          <w:color w:val="000000" w:themeColor="text1"/>
        </w:rPr>
        <w:t>was</w:t>
      </w:r>
      <w:r w:rsidRPr="006B4560">
        <w:rPr>
          <w:rFonts w:ascii="Times New Roman" w:eastAsia="Calibri" w:hAnsi="Times New Roman" w:cs="Times New Roman"/>
          <w:color w:val="000000" w:themeColor="text1"/>
        </w:rPr>
        <w:t xml:space="preserve"> associated with greater guilt ratings</w:t>
      </w:r>
      <w:r w:rsidRPr="006B4560">
        <w:rPr>
          <w:rFonts w:ascii="Times New Roman" w:eastAsia="Calibri" w:hAnsi="Times New Roman" w:cs="Times New Roman"/>
          <w:color w:val="000000" w:themeColor="text1"/>
        </w:rPr>
        <w:t>).</w:t>
      </w:r>
      <w:r w:rsidRPr="006B4560">
        <w:rPr>
          <w:rFonts w:ascii="Times New Roman" w:eastAsia="Calibri" w:hAnsi="Times New Roman" w:cs="Times New Roman"/>
          <w:color w:val="000000" w:themeColor="text1"/>
        </w:rPr>
        <w:t xml:space="preserve"> Condition remained non-significant. In block 3, addition of the interaction terms resulted in no overall change to overall model. Finally, in block 4, age and gender were entered into the model. Here, whilst age was not a significant predictor, gender came close to but did not quite reach the accepted significance level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 xml:space="preserve">=.052). The direction of the effect obtained indicated that men </w:t>
      </w:r>
      <w:r w:rsidRPr="006B4560">
        <w:rPr>
          <w:rFonts w:ascii="Times New Roman" w:eastAsia="Calibri" w:hAnsi="Times New Roman" w:cs="Times New Roman"/>
          <w:color w:val="000000" w:themeColor="text1"/>
        </w:rPr>
        <w:lastRenderedPageBreak/>
        <w:t xml:space="preserve">were more likely to give a guilty verdict than women. Baseline stigma remained a significant predictor even after controlling for the interaction terms and demographic variables. </w:t>
      </w:r>
    </w:p>
    <w:p w14:paraId="7F60FF1C"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i/>
          <w:iCs/>
          <w:color w:val="000000" w:themeColor="text1"/>
        </w:rPr>
        <w:t>Linear regression</w:t>
      </w:r>
    </w:p>
    <w:p w14:paraId="4727CDE2"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The results of the linear regression (using guilt as the continuous dependent variable) closely resembled those of the logistic regression, with the only significant predictor being baseline stigma and no significant effect of the condition variable or interaction terms on verdicts. The only difference was that in block 4, gender was a highly significant predictor as opposed to a marginally significant one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=.003</w:t>
      </w:r>
      <w:r w:rsidRPr="006B4560">
        <w:rPr>
          <w:rFonts w:ascii="Times New Roman" w:eastAsia="Calibri" w:hAnsi="Times New Roman" w:cs="Times New Roman"/>
          <w:color w:val="000000" w:themeColor="text1"/>
        </w:rPr>
        <w:t xml:space="preserve"> vs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0.052</w:t>
      </w:r>
      <w:r w:rsidRPr="006B4560">
        <w:rPr>
          <w:rFonts w:ascii="Times New Roman" w:eastAsia="Calibri" w:hAnsi="Times New Roman" w:cs="Times New Roman"/>
          <w:color w:val="000000" w:themeColor="text1"/>
        </w:rPr>
        <w:t xml:space="preserve">). </w:t>
      </w:r>
    </w:p>
    <w:p w14:paraId="5D12228E" w14:textId="77777777" w:rsidR="00735ADE" w:rsidRPr="006B4560" w:rsidRDefault="00735ADE" w:rsidP="00735ADE">
      <w:pPr>
        <w:rPr>
          <w:rFonts w:ascii="Times New Roman" w:eastAsia="Calibri" w:hAnsi="Times New Roman" w:cs="Times New Roman"/>
          <w:i/>
          <w:iCs/>
          <w:color w:val="000000" w:themeColor="text1"/>
        </w:rPr>
      </w:pPr>
    </w:p>
    <w:p w14:paraId="1BC4780E" w14:textId="77777777" w:rsidR="00735ADE" w:rsidRPr="006B4560" w:rsidRDefault="00735ADE" w:rsidP="00735ADE">
      <w:pPr>
        <w:rPr>
          <w:rFonts w:ascii="Times New Roman" w:eastAsia="Calibri" w:hAnsi="Times New Roman" w:cs="Times New Roman"/>
          <w:b/>
          <w:bCs/>
          <w:color w:val="000000" w:themeColor="text1"/>
        </w:rPr>
      </w:pPr>
      <w:r w:rsidRPr="006B4560">
        <w:rPr>
          <w:rFonts w:ascii="Times New Roman" w:eastAsia="Calibri" w:hAnsi="Times New Roman" w:cs="Times New Roman"/>
          <w:b/>
          <w:bCs/>
          <w:color w:val="000000" w:themeColor="text1"/>
        </w:rPr>
        <w:t>[insert Table 3 here]</w:t>
      </w:r>
    </w:p>
    <w:p w14:paraId="5B3E7C16" w14:textId="77777777" w:rsidR="00735ADE" w:rsidRPr="006B4560" w:rsidRDefault="00735ADE" w:rsidP="00735ADE">
      <w:pPr>
        <w:rPr>
          <w:rFonts w:ascii="Calibri" w:eastAsia="Calibri" w:hAnsi="Calibri" w:cs="Calibri"/>
          <w:i/>
          <w:iCs/>
          <w:color w:val="000000" w:themeColor="text1"/>
        </w:rPr>
      </w:pPr>
    </w:p>
    <w:p w14:paraId="072B5161" w14:textId="77777777" w:rsidR="00735ADE" w:rsidRPr="006B4560" w:rsidRDefault="00735ADE" w:rsidP="00735ADE">
      <w:pPr>
        <w:spacing w:line="480" w:lineRule="auto"/>
        <w:rPr>
          <w:rFonts w:ascii="Times New Roman" w:eastAsia="Calibri" w:hAnsi="Times New Roman" w:cs="Times New Roman"/>
          <w:b/>
          <w:bCs/>
          <w:color w:val="000000" w:themeColor="text1"/>
        </w:rPr>
      </w:pPr>
      <w:r w:rsidRPr="006B4560">
        <w:rPr>
          <w:rFonts w:ascii="Times New Roman" w:eastAsia="Calibri" w:hAnsi="Times New Roman" w:cs="Times New Roman"/>
          <w:b/>
          <w:bCs/>
          <w:i/>
          <w:iCs/>
          <w:color w:val="000000" w:themeColor="text1"/>
        </w:rPr>
        <w:t>Exploratory analyses</w:t>
      </w:r>
    </w:p>
    <w:p w14:paraId="23DDB39B"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Post-hoc analysis was conducted to explore whether specific factors of baseline stigma were particularly important in predicting guilt, using Brown’s (2008) revised factor structure of the AQ-27 stigma measure. Prior to this analysis, the subscales were inspected for obtained internal consistency. Table 4 displays the Cronbach’s alpha coefficients, mean and standard deviation scores calculated against each of the six AQ-27 stigma subscales.</w:t>
      </w:r>
    </w:p>
    <w:p w14:paraId="0B401216" w14:textId="77777777" w:rsidR="00735ADE" w:rsidRPr="006B4560" w:rsidRDefault="00735ADE" w:rsidP="00735ADE">
      <w:pPr>
        <w:rPr>
          <w:rFonts w:ascii="Times New Roman" w:eastAsia="Calibri" w:hAnsi="Times New Roman" w:cs="Times New Roman"/>
          <w:b/>
          <w:bCs/>
          <w:color w:val="000000" w:themeColor="text1"/>
        </w:rPr>
      </w:pPr>
      <w:r w:rsidRPr="006B4560">
        <w:rPr>
          <w:rFonts w:ascii="Times New Roman" w:eastAsia="Calibri" w:hAnsi="Times New Roman" w:cs="Times New Roman"/>
          <w:b/>
          <w:bCs/>
          <w:color w:val="000000" w:themeColor="text1"/>
        </w:rPr>
        <w:t>[insert Table 4 here]</w:t>
      </w:r>
    </w:p>
    <w:p w14:paraId="34028220" w14:textId="77777777" w:rsidR="00735ADE" w:rsidRPr="006B4560" w:rsidRDefault="00735ADE" w:rsidP="00735ADE">
      <w:pPr>
        <w:rPr>
          <w:rFonts w:ascii="Times New Roman" w:eastAsia="Calibri" w:hAnsi="Times New Roman" w:cs="Times New Roman"/>
          <w:i/>
          <w:iCs/>
          <w:color w:val="000000" w:themeColor="text1"/>
        </w:rPr>
      </w:pPr>
    </w:p>
    <w:p w14:paraId="5F46DEF0" w14:textId="77777777" w:rsidR="00735ADE" w:rsidRPr="006B4560" w:rsidRDefault="00735ADE" w:rsidP="00735ADE">
      <w:pPr>
        <w:spacing w:line="480" w:lineRule="auto"/>
        <w:ind w:firstLine="720"/>
        <w:rPr>
          <w:rFonts w:ascii="Times New Roman" w:eastAsia="Calibri" w:hAnsi="Times New Roman" w:cs="Times New Roman"/>
        </w:rPr>
      </w:pPr>
      <w:r w:rsidRPr="006B4560">
        <w:rPr>
          <w:rFonts w:ascii="Times New Roman" w:eastAsia="Calibri" w:hAnsi="Times New Roman" w:cs="Times New Roman"/>
          <w:color w:val="000000" w:themeColor="text1"/>
        </w:rPr>
        <w:t xml:space="preserve">It was noted that Factor 3 (‘Responsibility’) showed particularly poor internal consistency (0.47) and was therefore excluded from further analyses. The remaining five factors were included into a stepwise linear </w:t>
      </w:r>
      <w:r w:rsidRPr="006B4560">
        <w:rPr>
          <w:rFonts w:ascii="Times New Roman" w:eastAsia="Calibri" w:hAnsi="Times New Roman" w:cs="Times New Roman"/>
        </w:rPr>
        <w:t>regression analysis. The results showed that the regression model reached statistical significance (</w:t>
      </w:r>
      <w:r w:rsidRPr="006B4560">
        <w:rPr>
          <w:rFonts w:ascii="Times New Roman" w:eastAsia="Calibri" w:hAnsi="Times New Roman" w:cs="Times New Roman"/>
          <w:i/>
          <w:iCs/>
        </w:rPr>
        <w:t>F</w:t>
      </w:r>
      <w:r w:rsidRPr="006B4560">
        <w:rPr>
          <w:rFonts w:ascii="Times New Roman" w:eastAsia="Calibri" w:hAnsi="Times New Roman" w:cs="Times New Roman"/>
        </w:rPr>
        <w:t xml:space="preserve">(1,148)=18.41, </w:t>
      </w:r>
      <w:r w:rsidRPr="006B4560">
        <w:rPr>
          <w:rFonts w:ascii="Times New Roman" w:eastAsia="Calibri" w:hAnsi="Times New Roman" w:cs="Times New Roman"/>
          <w:i/>
          <w:iCs/>
        </w:rPr>
        <w:t>p</w:t>
      </w:r>
      <w:r w:rsidRPr="006B4560">
        <w:rPr>
          <w:rFonts w:ascii="Times New Roman" w:eastAsia="Calibri" w:hAnsi="Times New Roman" w:cs="Times New Roman"/>
        </w:rPr>
        <w:t xml:space="preserve">&lt;.001; </w:t>
      </w:r>
      <w:r w:rsidRPr="006B4560">
        <w:rPr>
          <w:rFonts w:ascii="Times New Roman" w:eastAsia="Calibri" w:hAnsi="Times New Roman" w:cs="Times New Roman"/>
          <w:i/>
          <w:iCs/>
        </w:rPr>
        <w:t>R</w:t>
      </w:r>
      <w:r w:rsidRPr="006B4560">
        <w:rPr>
          <w:rFonts w:ascii="Times New Roman" w:eastAsia="Calibri" w:hAnsi="Times New Roman" w:cs="Times New Roman"/>
          <w:vertAlign w:val="superscript"/>
        </w:rPr>
        <w:t>2</w:t>
      </w:r>
      <w:r w:rsidRPr="006B4560">
        <w:rPr>
          <w:rFonts w:ascii="Times New Roman" w:eastAsia="Calibri" w:hAnsi="Times New Roman" w:cs="Times New Roman"/>
        </w:rPr>
        <w:t>=.11), with only Factor 4  (‘Forcing Treatment’) making a statistically significant contribution to the model (</w:t>
      </w:r>
      <w:r w:rsidRPr="006B4560">
        <w:rPr>
          <w:rFonts w:ascii="Times New Roman" w:eastAsia="Calibri" w:hAnsi="Times New Roman" w:cs="Times New Roman"/>
          <w:i/>
          <w:iCs/>
        </w:rPr>
        <w:t>β</w:t>
      </w:r>
      <w:r w:rsidRPr="006B4560">
        <w:rPr>
          <w:rFonts w:ascii="Times New Roman" w:eastAsia="Calibri" w:hAnsi="Times New Roman" w:cs="Times New Roman"/>
        </w:rPr>
        <w:t xml:space="preserve">=1.54, </w:t>
      </w:r>
      <w:r w:rsidRPr="006B4560">
        <w:rPr>
          <w:rFonts w:ascii="Times New Roman" w:eastAsia="Calibri" w:hAnsi="Times New Roman" w:cs="Times New Roman"/>
          <w:i/>
          <w:iCs/>
        </w:rPr>
        <w:t>SE</w:t>
      </w:r>
      <w:r w:rsidRPr="006B4560">
        <w:rPr>
          <w:rFonts w:ascii="Times New Roman" w:eastAsia="Calibri" w:hAnsi="Times New Roman" w:cs="Times New Roman"/>
        </w:rPr>
        <w:t xml:space="preserve">=0.36, </w:t>
      </w:r>
      <w:r w:rsidRPr="006B4560">
        <w:rPr>
          <w:rFonts w:ascii="Times New Roman" w:eastAsia="Calibri" w:hAnsi="Times New Roman" w:cs="Times New Roman"/>
          <w:i/>
          <w:iCs/>
        </w:rPr>
        <w:t>p</w:t>
      </w:r>
      <w:r w:rsidRPr="006B4560">
        <w:rPr>
          <w:rFonts w:ascii="Times New Roman" w:eastAsia="Calibri" w:hAnsi="Times New Roman" w:cs="Times New Roman"/>
        </w:rPr>
        <w:t>&lt;.001). When age and gender were entered (also using a stepwise methodology) in a second block, the model again reached statistical significance (</w:t>
      </w:r>
      <w:r w:rsidRPr="006B4560">
        <w:rPr>
          <w:rFonts w:ascii="Times New Roman" w:eastAsia="Calibri" w:hAnsi="Times New Roman" w:cs="Times New Roman"/>
          <w:i/>
          <w:iCs/>
        </w:rPr>
        <w:t>F</w:t>
      </w:r>
      <w:r w:rsidRPr="006B4560">
        <w:rPr>
          <w:rFonts w:ascii="Times New Roman" w:eastAsia="Calibri" w:hAnsi="Times New Roman" w:cs="Times New Roman"/>
        </w:rPr>
        <w:t xml:space="preserve">(2,147)=14.81, </w:t>
      </w:r>
      <w:r w:rsidRPr="006B4560">
        <w:rPr>
          <w:rFonts w:ascii="Times New Roman" w:eastAsia="Calibri" w:hAnsi="Times New Roman" w:cs="Times New Roman"/>
          <w:i/>
          <w:iCs/>
        </w:rPr>
        <w:t>p</w:t>
      </w:r>
      <w:r w:rsidRPr="006B4560">
        <w:rPr>
          <w:rFonts w:ascii="Times New Roman" w:eastAsia="Calibri" w:hAnsi="Times New Roman" w:cs="Times New Roman"/>
        </w:rPr>
        <w:t xml:space="preserve">&lt;.001; </w:t>
      </w:r>
      <w:r w:rsidRPr="006B4560">
        <w:rPr>
          <w:rFonts w:ascii="Times New Roman" w:eastAsia="Calibri" w:hAnsi="Times New Roman" w:cs="Times New Roman"/>
          <w:i/>
          <w:iCs/>
        </w:rPr>
        <w:t>R</w:t>
      </w:r>
      <w:r w:rsidRPr="006B4560">
        <w:rPr>
          <w:rFonts w:ascii="Times New Roman" w:eastAsia="Calibri" w:hAnsi="Times New Roman" w:cs="Times New Roman"/>
          <w:vertAlign w:val="superscript"/>
        </w:rPr>
        <w:t xml:space="preserve">2 </w:t>
      </w:r>
      <w:r w:rsidRPr="006B4560">
        <w:rPr>
          <w:rFonts w:ascii="Times New Roman" w:eastAsia="Calibri" w:hAnsi="Times New Roman" w:cs="Times New Roman"/>
        </w:rPr>
        <w:t>=.17). Gender, but not age, was selected as a significant predictor (</w:t>
      </w:r>
      <w:r w:rsidRPr="006B4560">
        <w:rPr>
          <w:rFonts w:ascii="Times New Roman" w:eastAsia="Calibri" w:hAnsi="Times New Roman" w:cs="Times New Roman"/>
          <w:i/>
          <w:iCs/>
        </w:rPr>
        <w:t>β</w:t>
      </w:r>
      <w:r w:rsidRPr="006B4560">
        <w:rPr>
          <w:rFonts w:ascii="Times New Roman" w:eastAsia="Calibri" w:hAnsi="Times New Roman" w:cs="Times New Roman"/>
        </w:rPr>
        <w:t xml:space="preserve">=15.40, </w:t>
      </w:r>
      <w:r w:rsidRPr="006B4560">
        <w:rPr>
          <w:rFonts w:ascii="Times New Roman" w:eastAsia="Calibri" w:hAnsi="Times New Roman" w:cs="Times New Roman"/>
          <w:i/>
          <w:iCs/>
        </w:rPr>
        <w:t>SE</w:t>
      </w:r>
      <w:r w:rsidRPr="006B4560">
        <w:rPr>
          <w:rFonts w:ascii="Times New Roman" w:eastAsia="Calibri" w:hAnsi="Times New Roman" w:cs="Times New Roman"/>
        </w:rPr>
        <w:t xml:space="preserve">=4.85, </w:t>
      </w:r>
      <w:r w:rsidRPr="006B4560">
        <w:rPr>
          <w:rFonts w:ascii="Times New Roman" w:eastAsia="Calibri" w:hAnsi="Times New Roman" w:cs="Times New Roman"/>
          <w:i/>
          <w:iCs/>
        </w:rPr>
        <w:t>p</w:t>
      </w:r>
      <w:r w:rsidRPr="006B4560">
        <w:rPr>
          <w:rFonts w:ascii="Times New Roman" w:eastAsia="Calibri" w:hAnsi="Times New Roman" w:cs="Times New Roman"/>
        </w:rPr>
        <w:t xml:space="preserve">=.002). Factor 4 remained an independent and statistically </w:t>
      </w:r>
      <w:r w:rsidRPr="006B4560">
        <w:rPr>
          <w:rFonts w:ascii="Times New Roman" w:eastAsia="Calibri" w:hAnsi="Times New Roman" w:cs="Times New Roman"/>
        </w:rPr>
        <w:lastRenderedPageBreak/>
        <w:t>significant predictor (</w:t>
      </w:r>
      <w:r w:rsidRPr="006B4560">
        <w:rPr>
          <w:rFonts w:ascii="Times New Roman" w:eastAsia="Calibri" w:hAnsi="Times New Roman" w:cs="Times New Roman"/>
          <w:i/>
          <w:iCs/>
        </w:rPr>
        <w:t>β</w:t>
      </w:r>
      <w:r w:rsidRPr="006B4560">
        <w:rPr>
          <w:rFonts w:ascii="Times New Roman" w:eastAsia="Calibri" w:hAnsi="Times New Roman" w:cs="Times New Roman"/>
        </w:rPr>
        <w:t xml:space="preserve">=1.35, </w:t>
      </w:r>
      <w:r w:rsidRPr="006B4560">
        <w:rPr>
          <w:rFonts w:ascii="Times New Roman" w:eastAsia="Calibri" w:hAnsi="Times New Roman" w:cs="Times New Roman"/>
          <w:i/>
          <w:iCs/>
        </w:rPr>
        <w:t>SE</w:t>
      </w:r>
      <w:r w:rsidRPr="006B4560">
        <w:rPr>
          <w:rFonts w:ascii="Times New Roman" w:eastAsia="Calibri" w:hAnsi="Times New Roman" w:cs="Times New Roman"/>
        </w:rPr>
        <w:t xml:space="preserve">=0.35, </w:t>
      </w:r>
      <w:r w:rsidRPr="006B4560">
        <w:rPr>
          <w:rFonts w:ascii="Times New Roman" w:eastAsia="Calibri" w:hAnsi="Times New Roman" w:cs="Times New Roman"/>
          <w:i/>
          <w:iCs/>
        </w:rPr>
        <w:t>p</w:t>
      </w:r>
      <w:r w:rsidRPr="006B4560">
        <w:rPr>
          <w:rFonts w:ascii="Times New Roman" w:eastAsia="Calibri" w:hAnsi="Times New Roman" w:cs="Times New Roman"/>
        </w:rPr>
        <w:t>&lt;.001). When a stepwise model was used to enter demographic variables and factor scores at the same time (rather than in two blocks), the model was constructed identically. This tentatively suggests that attitudes concerning ‘forcing treatment’ may be a particularly important component of stigma in understanding guilt judgements</w:t>
      </w:r>
      <w:r w:rsidRPr="006B4560">
        <w:rPr>
          <w:rFonts w:ascii="Times New Roman" w:eastAsia="Calibri" w:hAnsi="Times New Roman" w:cs="Times New Roman"/>
          <w:color w:val="000000" w:themeColor="text1"/>
        </w:rPr>
        <w:t xml:space="preserve">. </w:t>
      </w:r>
    </w:p>
    <w:p w14:paraId="3CE38ACF" w14:textId="77777777" w:rsidR="00735ADE" w:rsidRPr="006B4560" w:rsidRDefault="00735ADE" w:rsidP="00735ADE">
      <w:pPr>
        <w:spacing w:line="480" w:lineRule="auto"/>
        <w:rPr>
          <w:rFonts w:ascii="Times New Roman" w:eastAsia="Calibri" w:hAnsi="Times New Roman" w:cs="Times New Roman"/>
          <w:color w:val="000000" w:themeColor="text1"/>
        </w:rPr>
      </w:pPr>
    </w:p>
    <w:p w14:paraId="0050F714" w14:textId="77777777" w:rsidR="00735ADE" w:rsidRPr="006B4560" w:rsidRDefault="00735ADE" w:rsidP="00735ADE">
      <w:pPr>
        <w:pStyle w:val="Heading2"/>
        <w:spacing w:line="480" w:lineRule="auto"/>
        <w:jc w:val="center"/>
        <w:rPr>
          <w:rFonts w:ascii="Times New Roman" w:eastAsia="Calibri" w:hAnsi="Times New Roman" w:cs="Times New Roman"/>
        </w:rPr>
      </w:pPr>
      <w:bookmarkStart w:id="5" w:name="_Toc160446733"/>
      <w:r w:rsidRPr="006B4560">
        <w:rPr>
          <w:rFonts w:ascii="Times New Roman" w:eastAsia="Calibri" w:hAnsi="Times New Roman" w:cs="Times New Roman"/>
          <w:b/>
          <w:bCs/>
          <w:color w:val="auto"/>
          <w:sz w:val="22"/>
          <w:szCs w:val="22"/>
        </w:rPr>
        <w:t>Discussion</w:t>
      </w:r>
      <w:bookmarkEnd w:id="5"/>
      <w:r w:rsidRPr="006B4560">
        <w:rPr>
          <w:rFonts w:ascii="Times New Roman" w:eastAsia="Calibri" w:hAnsi="Times New Roman" w:cs="Times New Roman"/>
          <w:b/>
          <w:bCs/>
          <w:color w:val="auto"/>
          <w:sz w:val="22"/>
          <w:szCs w:val="22"/>
        </w:rPr>
        <w:br/>
      </w:r>
    </w:p>
    <w:p w14:paraId="3D235F81"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current study </w:t>
      </w:r>
      <w:r w:rsidRPr="006B4560">
        <w:rPr>
          <w:rFonts w:ascii="Times New Roman" w:eastAsia="Calibri" w:hAnsi="Times New Roman" w:cs="Times New Roman"/>
          <w:color w:val="000000" w:themeColor="text1"/>
        </w:rPr>
        <w:t>serves</w:t>
      </w:r>
      <w:r w:rsidRPr="006B4560">
        <w:rPr>
          <w:rFonts w:ascii="Times New Roman" w:eastAsia="Calibri" w:hAnsi="Times New Roman" w:cs="Times New Roman"/>
          <w:color w:val="000000" w:themeColor="text1"/>
        </w:rPr>
        <w:t xml:space="preserve"> as an extension of the work of Metcalfe-Hume et al. (2026), partially replicating their design, methodology and measures to explore whether the presence of different diagnostic terms and stigma impact juror decision making in an online, mock criminal trial experiment. When taken together, their findings suggested that presenting an increasing amount of information about the defendant’s mental health condition led to a reduction in mock jurors’ guilt ratings. The current study sought to develop this by </w:t>
      </w:r>
      <w:r w:rsidRPr="006B4560">
        <w:rPr>
          <w:rFonts w:ascii="Times New Roman" w:eastAsia="Calibri" w:hAnsi="Times New Roman" w:cs="Times New Roman"/>
          <w:color w:val="000000" w:themeColor="text1"/>
        </w:rPr>
        <w:t>only manipulating</w:t>
      </w:r>
      <w:r w:rsidRPr="006B4560">
        <w:rPr>
          <w:rFonts w:ascii="Times New Roman" w:eastAsia="Calibri" w:hAnsi="Times New Roman" w:cs="Times New Roman"/>
          <w:color w:val="000000" w:themeColor="text1"/>
        </w:rPr>
        <w:t xml:space="preserve"> the diagnostic term between vignettes. The results showed that the presentation of different diagnostic terms </w:t>
      </w:r>
      <w:r w:rsidRPr="006B4560">
        <w:rPr>
          <w:rFonts w:ascii="Times New Roman" w:eastAsia="Calibri" w:hAnsi="Times New Roman" w:cs="Times New Roman"/>
          <w:color w:val="000000" w:themeColor="text1"/>
        </w:rPr>
        <w:t xml:space="preserve">(schizophrenia vs BPD), or indeed whether a diagnosis was included at all, </w:t>
      </w:r>
      <w:r w:rsidRPr="006B4560">
        <w:rPr>
          <w:rFonts w:ascii="Times New Roman" w:eastAsia="Calibri" w:hAnsi="Times New Roman" w:cs="Times New Roman"/>
          <w:color w:val="000000" w:themeColor="text1"/>
        </w:rPr>
        <w:t xml:space="preserve">did not affect verdicts given. Interpreted alongside Metcalfe-Hume’s findings, this supports a view that the effect of diagnosis on guilt judgements </w:t>
      </w:r>
      <w:r w:rsidRPr="006B4560">
        <w:rPr>
          <w:rFonts w:ascii="Times New Roman" w:eastAsia="Calibri" w:hAnsi="Times New Roman" w:cs="Times New Roman"/>
          <w:color w:val="000000" w:themeColor="text1"/>
        </w:rPr>
        <w:t>may be</w:t>
      </w:r>
      <w:r w:rsidRPr="006B4560">
        <w:rPr>
          <w:rFonts w:ascii="Times New Roman" w:eastAsia="Calibri" w:hAnsi="Times New Roman" w:cs="Times New Roman"/>
          <w:color w:val="000000" w:themeColor="text1"/>
        </w:rPr>
        <w:t xml:space="preserve"> a general labelling effect, as opposed to that of a particular diagnosis. </w:t>
      </w:r>
    </w:p>
    <w:p w14:paraId="1113BC46"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 The results were consistent with the findings of the original study in relation to the potential role of baseline stigma, with a clear finding that mental health stigma was significant in influencing guilt judgements. Exploratory analysis suggested that some specific aspects of stigma, in particular a tendency to endorse views about the necessity of ‘forcing treatment’, may be particularly important in predicting guilt judgements. Moreover, analysis of the role of gender indicated some evidence of men being more likely to give a guilty verdict than women, even when baseline levels of stigma were controlled for. A secondary finding was that not all elements of the Brown (2008) factor structure of the AQ-27 demonstrated acceptable reliability (in particular, the ‘responsibility’ scale). We will consider the meaning and implications of each of these findings in turn.</w:t>
      </w:r>
    </w:p>
    <w:p w14:paraId="3D2A7437" w14:textId="77777777" w:rsidR="00735ADE" w:rsidRPr="006B4560" w:rsidRDefault="00735ADE" w:rsidP="00735ADE">
      <w:pPr>
        <w:spacing w:line="480" w:lineRule="auto"/>
        <w:ind w:firstLine="720"/>
        <w:rPr>
          <w:rFonts w:ascii="Times New Roman" w:eastAsia="Calibri" w:hAnsi="Times New Roman" w:cs="Times New Roman"/>
          <w:i/>
          <w:iCs/>
          <w:color w:val="000000" w:themeColor="text1"/>
        </w:rPr>
      </w:pPr>
    </w:p>
    <w:p w14:paraId="20B930F5" w14:textId="77777777" w:rsidR="00735ADE" w:rsidRPr="006B4560" w:rsidRDefault="00735ADE" w:rsidP="00735ADE">
      <w:pPr>
        <w:spacing w:line="480" w:lineRule="auto"/>
        <w:rPr>
          <w:rFonts w:ascii="Times New Roman" w:eastAsia="Calibri" w:hAnsi="Times New Roman" w:cs="Times New Roman"/>
          <w:i/>
          <w:iCs/>
          <w:color w:val="000000" w:themeColor="text1"/>
        </w:rPr>
      </w:pPr>
      <w:r w:rsidRPr="006B4560">
        <w:rPr>
          <w:rFonts w:ascii="Times New Roman" w:eastAsia="Calibri" w:hAnsi="Times New Roman" w:cs="Times New Roman"/>
          <w:i/>
          <w:iCs/>
          <w:color w:val="000000" w:themeColor="text1"/>
        </w:rPr>
        <w:t>Lack of impact of diagnostic manipulation on guilt judgements</w:t>
      </w:r>
    </w:p>
    <w:p w14:paraId="7B97EBB6"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The lack of impact of the diagnostic manipulation on guilt judgements appears to suggest that whilst mental health information may have the potential to influence guilt judgements (as in Metcalfe-Hume et al., 2026), any effect of a mental health diagnosis is via a general labelling effect, rather than the effect of a specific diagnostic condition. At face value, this appears to suggest that, at least in the context of an already stigmatising alleged offence, the additional stigma associated with a mental health diagnostic term does not have an impact on guilt judgements. However, there are a number of factors that must be considered when interpreting this finding.</w:t>
      </w:r>
    </w:p>
    <w:p w14:paraId="0E3A949D"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first issue is reflected in the very broad range of guilt judgements given in general by the participants. The high standard deviations of the continuous ratings of guilt (Table 2) suggests that, in general, there was much disagreement about whether the defendant should be considered guilty or not. Such variation could have arisen either from general individual differences between participants in reaching a verdict, or potentially because of the particular materials and vignette presented. Regardless, from a statistical perspective, such variation makes it harder for an experimental manipulation to detect any between-groups difference. This issue is borne out in the fact that there was an 11-point difference in mean continuous guilt ratings between the highest and lowest groups (see Table 2), which suggests the possibility that a specific labelling effect was simply lost amongst heterogeneity in guilt ratings caused by other factors. </w:t>
      </w:r>
    </w:p>
    <w:p w14:paraId="7864094C"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There are several potential explanations for such heterogeneity. An obvious starting point is that the materials were deliberately designed such that either a guilty or not-guilty verdict could be plausibly inferred. However, </w:t>
      </w:r>
      <w:r w:rsidRPr="006B4560">
        <w:rPr>
          <w:rFonts w:ascii="Times New Roman" w:eastAsia="Calibri" w:hAnsi="Times New Roman" w:cs="Times New Roman"/>
          <w:color w:val="000000" w:themeColor="text1"/>
        </w:rPr>
        <w:t xml:space="preserve">whilst this may have increased uncertainty, it is important to </w:t>
      </w:r>
      <w:r w:rsidRPr="006B4560">
        <w:rPr>
          <w:rFonts w:ascii="Times New Roman" w:eastAsia="Calibri" w:hAnsi="Times New Roman" w:cs="Times New Roman"/>
          <w:color w:val="000000" w:themeColor="text1"/>
        </w:rPr>
        <w:t xml:space="preserve">reflect </w:t>
      </w:r>
      <w:r w:rsidRPr="006B4560">
        <w:rPr>
          <w:rFonts w:ascii="Times New Roman" w:eastAsia="Calibri" w:hAnsi="Times New Roman" w:cs="Times New Roman"/>
          <w:color w:val="000000" w:themeColor="text1"/>
        </w:rPr>
        <w:t xml:space="preserve">that many criminal cases involving mental health issues are not straightforward, and involve weighing multiple factors running in different directions. Additionally, the </w:t>
      </w:r>
      <w:r w:rsidRPr="006B4560">
        <w:rPr>
          <w:rFonts w:ascii="Times New Roman" w:eastAsia="Calibri" w:hAnsi="Times New Roman" w:cs="Times New Roman"/>
          <w:color w:val="000000" w:themeColor="text1"/>
        </w:rPr>
        <w:t xml:space="preserve">judicial instructions required the jurors to </w:t>
      </w:r>
      <w:r w:rsidRPr="006B4560">
        <w:rPr>
          <w:rFonts w:ascii="Times New Roman" w:eastAsia="Calibri" w:hAnsi="Times New Roman" w:cs="Times New Roman"/>
          <w:color w:val="000000" w:themeColor="text1"/>
        </w:rPr>
        <w:t>engage in cognitively effortful processes of considering</w:t>
      </w:r>
      <w:r w:rsidRPr="006B4560">
        <w:rPr>
          <w:rFonts w:ascii="Times New Roman" w:eastAsia="Calibri" w:hAnsi="Times New Roman" w:cs="Times New Roman"/>
          <w:color w:val="000000" w:themeColor="text1"/>
        </w:rPr>
        <w:t xml:space="preserve"> the issues of intention and recklessness. Although efforts were made to ensure that jurors attended to the materials (e.g. </w:t>
      </w:r>
      <w:r w:rsidRPr="006B4560">
        <w:rPr>
          <w:rFonts w:ascii="Times New Roman" w:eastAsia="Calibri" w:hAnsi="Times New Roman" w:cs="Times New Roman"/>
          <w:color w:val="000000" w:themeColor="text1"/>
        </w:rPr>
        <w:lastRenderedPageBreak/>
        <w:t xml:space="preserve">preventing participants moving onto the next screen without sufficient time elapsing, and including a knowledge check), it is possible that </w:t>
      </w:r>
      <w:r w:rsidRPr="006B4560">
        <w:rPr>
          <w:rFonts w:ascii="Times New Roman" w:eastAsia="Calibri" w:hAnsi="Times New Roman" w:cs="Times New Roman"/>
          <w:color w:val="000000" w:themeColor="text1"/>
        </w:rPr>
        <w:t>high task complexity either led to participants disengaging with the material content (perhaps to a degree that might not have occurred in a real trial), or led</w:t>
      </w:r>
      <w:r w:rsidRPr="006B4560">
        <w:rPr>
          <w:rFonts w:ascii="Times New Roman" w:eastAsia="Calibri" w:hAnsi="Times New Roman" w:cs="Times New Roman"/>
          <w:color w:val="000000" w:themeColor="text1"/>
        </w:rPr>
        <w:t xml:space="preserve"> them to rely on more cognitively automatic strategies described in Dual Process theories (Wason &amp; Evans, 1974; Evans 2008). </w:t>
      </w:r>
      <w:r w:rsidRPr="006B4560">
        <w:rPr>
          <w:rFonts w:ascii="Times New Roman" w:eastAsia="Calibri" w:hAnsi="Times New Roman" w:cs="Times New Roman"/>
          <w:color w:val="000000" w:themeColor="text1"/>
        </w:rPr>
        <w:t>Additionally, this</w:t>
      </w:r>
      <w:r w:rsidRPr="006B4560">
        <w:rPr>
          <w:rFonts w:ascii="Times New Roman" w:eastAsia="Calibri" w:hAnsi="Times New Roman" w:cs="Times New Roman"/>
          <w:color w:val="000000" w:themeColor="text1"/>
        </w:rPr>
        <w:t xml:space="preserve"> may have </w:t>
      </w:r>
      <w:r w:rsidRPr="006B4560">
        <w:rPr>
          <w:rFonts w:ascii="Times New Roman" w:eastAsia="Calibri" w:hAnsi="Times New Roman" w:cs="Times New Roman"/>
          <w:color w:val="000000" w:themeColor="text1"/>
        </w:rPr>
        <w:t>also made participants more able</w:t>
      </w:r>
      <w:r w:rsidRPr="006B4560">
        <w:rPr>
          <w:rFonts w:ascii="Times New Roman" w:eastAsia="Calibri" w:hAnsi="Times New Roman" w:cs="Times New Roman"/>
          <w:color w:val="000000" w:themeColor="text1"/>
        </w:rPr>
        <w:t xml:space="preserve"> to </w:t>
      </w:r>
      <w:r w:rsidRPr="006B4560">
        <w:rPr>
          <w:rFonts w:ascii="Times New Roman" w:eastAsia="Calibri" w:hAnsi="Times New Roman" w:cs="Times New Roman"/>
          <w:color w:val="000000" w:themeColor="text1"/>
        </w:rPr>
        <w:t>be influenced by</w:t>
      </w:r>
      <w:r w:rsidRPr="006B4560">
        <w:rPr>
          <w:rFonts w:ascii="Times New Roman" w:eastAsia="Calibri" w:hAnsi="Times New Roman" w:cs="Times New Roman"/>
          <w:color w:val="000000" w:themeColor="text1"/>
        </w:rPr>
        <w:t xml:space="preserve"> pre-existing stigmatic attitudes. </w:t>
      </w:r>
    </w:p>
    <w:p w14:paraId="30C5A6A4"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With this in mind, it</w:t>
      </w:r>
      <w:r w:rsidRPr="006B4560">
        <w:rPr>
          <w:rFonts w:ascii="Times New Roman" w:eastAsia="Calibri" w:hAnsi="Times New Roman" w:cs="Times New Roman"/>
          <w:color w:val="000000" w:themeColor="text1"/>
        </w:rPr>
        <w:t xml:space="preserve"> is </w:t>
      </w:r>
      <w:r w:rsidRPr="006B4560">
        <w:rPr>
          <w:rFonts w:ascii="Times New Roman" w:eastAsia="Calibri" w:hAnsi="Times New Roman" w:cs="Times New Roman"/>
          <w:color w:val="000000" w:themeColor="text1"/>
        </w:rPr>
        <w:t xml:space="preserve">important to state </w:t>
      </w:r>
      <w:r w:rsidRPr="006B4560">
        <w:rPr>
          <w:rFonts w:ascii="Times New Roman" w:eastAsia="Calibri" w:hAnsi="Times New Roman" w:cs="Times New Roman"/>
          <w:color w:val="000000" w:themeColor="text1"/>
        </w:rPr>
        <w:t xml:space="preserve">that the study cannot tell us whether </w:t>
      </w:r>
      <w:r w:rsidRPr="006B4560">
        <w:rPr>
          <w:rFonts w:ascii="Times New Roman" w:eastAsia="Calibri" w:hAnsi="Times New Roman" w:cs="Times New Roman"/>
          <w:color w:val="000000" w:themeColor="text1"/>
        </w:rPr>
        <w:t>diagnostic information</w:t>
      </w:r>
      <w:r w:rsidRPr="006B4560">
        <w:rPr>
          <w:rFonts w:ascii="Times New Roman" w:eastAsia="Calibri" w:hAnsi="Times New Roman" w:cs="Times New Roman"/>
          <w:color w:val="000000" w:themeColor="text1"/>
        </w:rPr>
        <w:t xml:space="preserve"> could potentially become </w:t>
      </w:r>
      <w:r w:rsidRPr="006B4560">
        <w:rPr>
          <w:rFonts w:ascii="Times New Roman" w:eastAsia="Calibri" w:hAnsi="Times New Roman" w:cs="Times New Roman"/>
          <w:color w:val="000000" w:themeColor="text1"/>
        </w:rPr>
        <w:t>more</w:t>
      </w:r>
      <w:r w:rsidRPr="006B4560">
        <w:rPr>
          <w:rFonts w:ascii="Times New Roman" w:eastAsia="Calibri" w:hAnsi="Times New Roman" w:cs="Times New Roman"/>
          <w:color w:val="000000" w:themeColor="text1"/>
        </w:rPr>
        <w:t xml:space="preserve"> important in decision-making under different conditions. These potentially include a scenario where there is not as much other mental health information available (i.e. so that </w:t>
      </w:r>
      <w:r w:rsidRPr="006B4560">
        <w:rPr>
          <w:rFonts w:ascii="Times New Roman" w:eastAsia="Calibri" w:hAnsi="Times New Roman" w:cs="Times New Roman"/>
          <w:color w:val="000000" w:themeColor="text1"/>
        </w:rPr>
        <w:t xml:space="preserve">without a </w:t>
      </w:r>
      <w:r w:rsidRPr="006B4560">
        <w:rPr>
          <w:rFonts w:ascii="Times New Roman" w:eastAsia="Calibri" w:hAnsi="Times New Roman" w:cs="Times New Roman"/>
          <w:color w:val="000000" w:themeColor="text1"/>
        </w:rPr>
        <w:t xml:space="preserve">diagnosis </w:t>
      </w:r>
      <w:r w:rsidRPr="006B4560">
        <w:rPr>
          <w:rFonts w:ascii="Times New Roman" w:eastAsia="Calibri" w:hAnsi="Times New Roman" w:cs="Times New Roman"/>
          <w:color w:val="000000" w:themeColor="text1"/>
        </w:rPr>
        <w:t>there was much less clarity whether a</w:t>
      </w:r>
      <w:r w:rsidRPr="006B4560">
        <w:rPr>
          <w:rFonts w:ascii="Times New Roman" w:eastAsia="Calibri" w:hAnsi="Times New Roman" w:cs="Times New Roman"/>
          <w:color w:val="000000" w:themeColor="text1"/>
        </w:rPr>
        <w:t xml:space="preserve"> mental health condition</w:t>
      </w:r>
      <w:r w:rsidRPr="006B4560">
        <w:rPr>
          <w:rFonts w:ascii="Times New Roman" w:eastAsia="Calibri" w:hAnsi="Times New Roman" w:cs="Times New Roman"/>
          <w:color w:val="000000" w:themeColor="text1"/>
        </w:rPr>
        <w:t xml:space="preserve"> might be present</w:t>
      </w:r>
      <w:r w:rsidRPr="006B4560">
        <w:rPr>
          <w:rFonts w:ascii="Times New Roman" w:eastAsia="Calibri" w:hAnsi="Times New Roman" w:cs="Times New Roman"/>
          <w:color w:val="000000" w:themeColor="text1"/>
        </w:rPr>
        <w:t xml:space="preserve">), if the decision required active consideration or attention towards the diagnosis itself (for instance, in the case of Diminished Responsibility, where in England and Wales the defendant must prove that their psychiatric presentation arose ‘from a recognised medical condition’), or potentially in a scenario where the juror’s task involved broader consideration of the connection between </w:t>
      </w:r>
      <w:r w:rsidRPr="006B4560">
        <w:rPr>
          <w:rFonts w:ascii="Times New Roman" w:eastAsia="Calibri" w:hAnsi="Times New Roman" w:cs="Times New Roman"/>
          <w:color w:val="000000" w:themeColor="text1"/>
        </w:rPr>
        <w:t xml:space="preserve">the </w:t>
      </w:r>
      <w:r w:rsidRPr="006B4560">
        <w:rPr>
          <w:rFonts w:ascii="Times New Roman" w:eastAsia="Calibri" w:hAnsi="Times New Roman" w:cs="Times New Roman"/>
          <w:color w:val="000000" w:themeColor="text1"/>
        </w:rPr>
        <w:t xml:space="preserve">mental </w:t>
      </w:r>
      <w:r w:rsidRPr="006B4560">
        <w:rPr>
          <w:rFonts w:ascii="Times New Roman" w:eastAsia="Calibri" w:hAnsi="Times New Roman" w:cs="Times New Roman"/>
          <w:color w:val="000000" w:themeColor="text1"/>
        </w:rPr>
        <w:t>health condition</w:t>
      </w:r>
      <w:r w:rsidRPr="006B4560">
        <w:rPr>
          <w:rFonts w:ascii="Times New Roman" w:eastAsia="Calibri" w:hAnsi="Times New Roman" w:cs="Times New Roman"/>
          <w:color w:val="000000" w:themeColor="text1"/>
        </w:rPr>
        <w:t xml:space="preserve"> and offending </w:t>
      </w:r>
      <w:r w:rsidRPr="006B4560">
        <w:rPr>
          <w:rFonts w:ascii="Times New Roman" w:eastAsia="Calibri" w:hAnsi="Times New Roman" w:cs="Times New Roman"/>
          <w:color w:val="000000" w:themeColor="text1"/>
        </w:rPr>
        <w:t xml:space="preserve">behaviour </w:t>
      </w:r>
      <w:r w:rsidRPr="006B4560">
        <w:rPr>
          <w:rFonts w:ascii="Times New Roman" w:eastAsia="Calibri" w:hAnsi="Times New Roman" w:cs="Times New Roman"/>
          <w:color w:val="000000" w:themeColor="text1"/>
        </w:rPr>
        <w:t xml:space="preserve">than the rather specific requirements of recklessness and intent. Moreover, the study cannot infer the potential role of diagnosis in other courtroom decisions (e.g., a defence team running a particular defence with a particular diagnosis, to instruct a mental health expert, or the judge’s ultimate sentencing decision). </w:t>
      </w:r>
    </w:p>
    <w:p w14:paraId="2996A923"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A more general, albeit related point, is that much of the rationale for anticipating a between-diagnosis difference arises from research conducted in samples of healthcare staff (e.g. Baker &amp; Beazley, 2022; Lewis &amp; Appleby, 1988; Markham &amp; Trower, 2003) and it is possible that paradoxical effects in professionals occur, whereby repeated exposure to diagnostic terms associated with more negative connotations (Klein et al., 2022; McKenzie et al., 2022) provides a route by which professionals may develop stigma towards particular diagnostic terms, relative to the general population. </w:t>
      </w:r>
      <w:r w:rsidRPr="006B4560">
        <w:rPr>
          <w:rFonts w:ascii="Times New Roman" w:eastAsia="Calibri" w:hAnsi="Times New Roman" w:cs="Times New Roman"/>
          <w:color w:val="000000" w:themeColor="text1"/>
        </w:rPr>
        <w:t xml:space="preserve">One implication of the present research may be to imply caution in assuming that stigma effects identified in professionals frequently within with people with mental health conditions may not be so prominent in the wider public. </w:t>
      </w:r>
    </w:p>
    <w:p w14:paraId="13E3691A"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lastRenderedPageBreak/>
        <w:t xml:space="preserve">A final consideration must be of the actual diagnostic terms, with only two formally defined diagnoses explored within the study. Of note, we chose not to include a condition without a diagnostic term at all, and instead used a ‘dummy’ diagnosis – ‘Complex Mental Health Condition’ – intending to convey that a diagnostic threshold had been reached without utilising a particular established diagnostic term. Whilst it is possible that this term actually conveyed a degree of stigma itself, the results are consistent with those of the original study and Berryessa &amp; </w:t>
      </w:r>
      <w:proofErr w:type="spellStart"/>
      <w:r w:rsidRPr="006B4560">
        <w:rPr>
          <w:rFonts w:ascii="Times New Roman" w:eastAsia="Calibri" w:hAnsi="Times New Roman" w:cs="Times New Roman"/>
          <w:color w:val="000000" w:themeColor="text1"/>
        </w:rPr>
        <w:t>Wohlstetter’s</w:t>
      </w:r>
      <w:proofErr w:type="spellEnd"/>
      <w:r w:rsidRPr="006B4560">
        <w:rPr>
          <w:rFonts w:ascii="Times New Roman" w:eastAsia="Calibri" w:hAnsi="Times New Roman" w:cs="Times New Roman"/>
          <w:color w:val="000000" w:themeColor="text1"/>
        </w:rPr>
        <w:t xml:space="preserve"> (2019) meta-analysis, which suggests that a general effect of a diagnostic term may be important, but a specific diagnosis less so.</w:t>
      </w:r>
    </w:p>
    <w:p w14:paraId="1643C591"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   </w:t>
      </w:r>
    </w:p>
    <w:p w14:paraId="40FF0B37" w14:textId="77777777" w:rsidR="00735ADE" w:rsidRPr="006B4560" w:rsidRDefault="00735ADE" w:rsidP="00735ADE">
      <w:pPr>
        <w:spacing w:line="480" w:lineRule="auto"/>
        <w:rPr>
          <w:rFonts w:ascii="Times New Roman" w:eastAsia="Calibri" w:hAnsi="Times New Roman" w:cs="Times New Roman"/>
          <w:i/>
          <w:iCs/>
          <w:color w:val="000000" w:themeColor="text1"/>
        </w:rPr>
      </w:pPr>
      <w:r w:rsidRPr="006B4560">
        <w:rPr>
          <w:rFonts w:ascii="Times New Roman" w:eastAsia="Calibri" w:hAnsi="Times New Roman" w:cs="Times New Roman"/>
          <w:i/>
          <w:iCs/>
          <w:color w:val="000000" w:themeColor="text1"/>
        </w:rPr>
        <w:t>Findings in relation to Stigmatic Attitudes towards Mental Health Conditions</w:t>
      </w:r>
    </w:p>
    <w:p w14:paraId="135E1805"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There was clear evidence that stigma towards mental health conditions influenced juror decisions about guilt, with higher rates of baseline stigma being associated with greater guilt ratings. This finding is broadly in line with Metcalfe-Hume et al (2026). One observation, however, is that the present sample appeared to have higher baseline levels of stigma than that obtained by Metcalfe-Hume (mean score of 94.28 (</w:t>
      </w:r>
      <w:r w:rsidRPr="006B4560">
        <w:rPr>
          <w:rFonts w:ascii="Times New Roman" w:eastAsia="Calibri" w:hAnsi="Times New Roman" w:cs="Times New Roman"/>
          <w:i/>
          <w:iCs/>
          <w:color w:val="000000" w:themeColor="text1"/>
        </w:rPr>
        <w:t xml:space="preserve">SD </w:t>
      </w:r>
      <w:r w:rsidRPr="006B4560">
        <w:rPr>
          <w:rFonts w:ascii="Times New Roman" w:eastAsia="Calibri" w:hAnsi="Times New Roman" w:cs="Times New Roman"/>
          <w:color w:val="000000" w:themeColor="text1"/>
        </w:rPr>
        <w:t>= 31.16) vs. 81.11 (</w:t>
      </w:r>
      <w:r w:rsidRPr="006B4560">
        <w:rPr>
          <w:rFonts w:ascii="Times New Roman" w:eastAsia="Calibri" w:hAnsi="Times New Roman" w:cs="Times New Roman"/>
          <w:i/>
          <w:iCs/>
          <w:color w:val="000000" w:themeColor="text1"/>
        </w:rPr>
        <w:t xml:space="preserve">SD </w:t>
      </w:r>
      <w:r w:rsidRPr="006B4560">
        <w:rPr>
          <w:rFonts w:ascii="Times New Roman" w:eastAsia="Calibri" w:hAnsi="Times New Roman" w:cs="Times New Roman"/>
          <w:color w:val="000000" w:themeColor="text1"/>
        </w:rPr>
        <w:t xml:space="preserve">= 28.37); </w:t>
      </w:r>
      <w:r w:rsidRPr="006B4560">
        <w:rPr>
          <w:rFonts w:ascii="Times New Roman" w:eastAsia="Calibri" w:hAnsi="Times New Roman" w:cs="Times New Roman"/>
          <w:i/>
          <w:iCs/>
          <w:color w:val="000000" w:themeColor="text1"/>
        </w:rPr>
        <w:t>t</w:t>
      </w:r>
      <w:r w:rsidRPr="006B4560">
        <w:rPr>
          <w:rFonts w:ascii="Times New Roman" w:eastAsia="Calibri" w:hAnsi="Times New Roman" w:cs="Times New Roman"/>
          <w:color w:val="000000" w:themeColor="text1"/>
        </w:rPr>
        <w:t xml:space="preserve">(391)=4.30, </w:t>
      </w:r>
      <w:r w:rsidRPr="006B4560">
        <w:rPr>
          <w:rFonts w:ascii="Times New Roman" w:eastAsia="Calibri" w:hAnsi="Times New Roman" w:cs="Times New Roman"/>
          <w:i/>
          <w:iCs/>
          <w:color w:val="000000" w:themeColor="text1"/>
        </w:rPr>
        <w:t xml:space="preserve">p </w:t>
      </w:r>
      <w:r w:rsidRPr="006B4560">
        <w:rPr>
          <w:rFonts w:ascii="Times New Roman" w:eastAsia="Calibri" w:hAnsi="Times New Roman" w:cs="Times New Roman"/>
          <w:color w:val="000000" w:themeColor="text1"/>
        </w:rPr>
        <w:t xml:space="preserve">&lt;.00001)). This perhaps reflects the different recruitment approaches in the samples, with Metcalfe-Hume’s sample having a greater proportion of university students than the present study. This emphasises a key point for juror decision-making research, namely that recruitment and sampling approaches can lead to real differences in baseline sample characteristics and perhaps highlights a relative advantage of the present study’s methodological approach. </w:t>
      </w:r>
      <w:r w:rsidRPr="006B4560">
        <w:rPr>
          <w:rFonts w:ascii="Times New Roman" w:eastAsia="Calibri" w:hAnsi="Times New Roman" w:cs="Times New Roman"/>
          <w:color w:val="000000" w:themeColor="text1"/>
        </w:rPr>
        <w:t xml:space="preserve">Nonetheless, taking the findings together, these point to an important effect of stigma across samples. </w:t>
      </w:r>
    </w:p>
    <w:p w14:paraId="1BCC45E5"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Our exploratory findings using stepwise regression analyses suggest that certain aspects of baseline stigma may be particularly relevant in decision-making about guilt. Somewhat surprisingly, only the factor relating to ‘Forcing Treatment’ was significant in predicting continuous ratings of guilt. The direction of effect suggested that higher endorsement of these items was related to higher ratings of guilt. The collection of items that make up this factor include questions such as “I think it </w:t>
      </w:r>
      <w:r w:rsidRPr="006B4560">
        <w:rPr>
          <w:rFonts w:ascii="Times New Roman" w:eastAsia="Calibri" w:hAnsi="Times New Roman" w:cs="Times New Roman"/>
          <w:color w:val="000000" w:themeColor="text1"/>
        </w:rPr>
        <w:lastRenderedPageBreak/>
        <w:t xml:space="preserve">would be best for Harry’s community if he were put away in a psychiatric hospital”, so it is not necessarily obvious why a greater tendency to endorse such items would be particularly relevant for guilt ratings (one might, for instance, have imagined that items relating to fear and dangerousness (i.e. Factor 1) would have been even more relevant). Of course, it is important not to make too much of this finding; it was intentionally an exploratory analysis, and the limitations of stepwise methodologies are well known (e.g. Henderson &amp; Denison, 1989). Further research is needed to establish, from a more solid and ideally theoretical basis, whether particular aspects of stigma are particularly important for guilt ratings. </w:t>
      </w:r>
    </w:p>
    <w:p w14:paraId="06A22003"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In making sense of the findings concerning stigma, there are several important considerations. The first has already been alluded to; in line with a dual-process model, stigma may become particularly important under conditions of more automatic processing. It is quite possible that the seriousness and importance of a real courtroom environment would provide a counterbalance to such automatic processing, and thus the role of baseline stigma established in the present study may be less important in a real trial; although equally, it is possible that complex material induces such processing regardless of the environment. </w:t>
      </w:r>
    </w:p>
    <w:p w14:paraId="14B2C0F3"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Another consideration is the approach to measuring stigma. The AQ-27 provides a separate vignette relating to ‘Harry’, completed prior to exposure to the main vignettes. There are, however, a plethora of other measures that might have been chosen (Fox et al., 2018). Moreover, we could have chosen to use the AQ-27 in a different way; either asking participants to make ratings on the AQ-27 questions in relation to the study vignette, manipulating the diagnosis in the AQ-27 vignette to match the condition of exposure, or indeed administering the AQ-27 after the main vignettes. However, </w:t>
      </w:r>
      <w:r w:rsidRPr="006B4560">
        <w:rPr>
          <w:rFonts w:ascii="Times New Roman" w:eastAsia="Calibri" w:hAnsi="Times New Roman" w:cs="Times New Roman"/>
          <w:color w:val="000000" w:themeColor="text1"/>
        </w:rPr>
        <w:t>each of these choices</w:t>
      </w:r>
      <w:r w:rsidRPr="006B4560">
        <w:rPr>
          <w:rFonts w:ascii="Times New Roman" w:eastAsia="Calibri" w:hAnsi="Times New Roman" w:cs="Times New Roman"/>
          <w:color w:val="000000" w:themeColor="text1"/>
        </w:rPr>
        <w:t xml:space="preserve"> would </w:t>
      </w:r>
      <w:r w:rsidRPr="006B4560">
        <w:rPr>
          <w:rFonts w:ascii="Times New Roman" w:eastAsia="Calibri" w:hAnsi="Times New Roman" w:cs="Times New Roman"/>
          <w:color w:val="000000" w:themeColor="text1"/>
        </w:rPr>
        <w:t>have had other costs in methodological quality, and would have made it</w:t>
      </w:r>
      <w:r w:rsidRPr="006B4560">
        <w:rPr>
          <w:rFonts w:ascii="Times New Roman" w:eastAsia="Calibri" w:hAnsi="Times New Roman" w:cs="Times New Roman"/>
          <w:color w:val="000000" w:themeColor="text1"/>
        </w:rPr>
        <w:t xml:space="preserve"> harder to view the stigma ratings as a baseline personal characteristic. Of course, this means that in the present study there is some assumption that ratings on the AQ-27 made towards ‘Harry’ - a man with schizophrenia, do indeed reflect public stigma towards mental health conditions more widely, and this is arguably a limitation. Alternatively, it could be considered a strength that stigmatic attitudes, rated </w:t>
      </w:r>
      <w:r w:rsidRPr="006B4560">
        <w:rPr>
          <w:rFonts w:ascii="Times New Roman" w:eastAsia="Calibri" w:hAnsi="Times New Roman" w:cs="Times New Roman"/>
          <w:color w:val="000000" w:themeColor="text1"/>
        </w:rPr>
        <w:lastRenderedPageBreak/>
        <w:t xml:space="preserve">separately and in relation to a different vignette, were so important in predicting guilt ratings on the main vignette. </w:t>
      </w:r>
    </w:p>
    <w:p w14:paraId="28A0E40C" w14:textId="77777777" w:rsidR="00735ADE" w:rsidRPr="006B4560" w:rsidRDefault="00735ADE" w:rsidP="00735ADE">
      <w:pPr>
        <w:spacing w:line="480" w:lineRule="auto"/>
        <w:rPr>
          <w:rFonts w:ascii="Times New Roman" w:eastAsia="Calibri" w:hAnsi="Times New Roman" w:cs="Times New Roman"/>
          <w:i/>
          <w:iCs/>
          <w:color w:val="000000" w:themeColor="text1"/>
        </w:rPr>
      </w:pPr>
      <w:r w:rsidRPr="006B4560">
        <w:rPr>
          <w:rFonts w:ascii="Times New Roman" w:eastAsia="Calibri" w:hAnsi="Times New Roman" w:cs="Times New Roman"/>
          <w:i/>
          <w:iCs/>
          <w:color w:val="000000" w:themeColor="text1"/>
        </w:rPr>
        <w:t>Role of Gender in Predicting Guilt Verdicts</w:t>
      </w:r>
    </w:p>
    <w:p w14:paraId="3F597BEC"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The analysis also indicated that male gender was associated with greater ratings of guilt, even after controlling for baseline stigma. No a-priori hypotheses were made about the role of gender, and this was only entered into the regression to control for any potential effects. However, the observed findings appear to run in the opposite direction to effects observed in the literature; arguably the most comprehensive meta-analysis to have addressed this issue (Devine &amp; Caughlin, 2014) concluded there was no evidence for an overall relationship between juror gender and guilt ratings, and evidence which was suggestive of a relationship tended to be in the context of sex crimes (particularly those involving children), in which female jurors were more likely to give guilty verdicts. Similarly, Thomas (2010) found that female jurors were more likely than male jurors to accord a guilty verdict in their initial deliberations. In the present case, however, we found the opposite, and on closer inspection, noted an 18 point difference in continuous guilt ratings (Female x̄(</w:t>
      </w:r>
      <w:r w:rsidRPr="006B4560">
        <w:rPr>
          <w:rFonts w:ascii="Times New Roman" w:eastAsia="Calibri" w:hAnsi="Times New Roman" w:cs="Times New Roman"/>
          <w:i/>
          <w:iCs/>
          <w:color w:val="000000" w:themeColor="text1"/>
        </w:rPr>
        <w:t>n</w:t>
      </w:r>
      <w:r w:rsidRPr="006B4560">
        <w:rPr>
          <w:rFonts w:ascii="Times New Roman" w:eastAsia="Calibri" w:hAnsi="Times New Roman" w:cs="Times New Roman"/>
          <w:color w:val="000000" w:themeColor="text1"/>
        </w:rPr>
        <w:t xml:space="preserve">=86)=39.49, </w:t>
      </w:r>
      <w:r w:rsidRPr="006B4560">
        <w:rPr>
          <w:rFonts w:ascii="Times New Roman" w:eastAsia="Calibri" w:hAnsi="Times New Roman" w:cs="Times New Roman"/>
          <w:i/>
          <w:iCs/>
          <w:color w:val="000000" w:themeColor="text1"/>
        </w:rPr>
        <w:t>SD</w:t>
      </w:r>
      <w:r w:rsidRPr="006B4560">
        <w:rPr>
          <w:rFonts w:ascii="Times New Roman" w:eastAsia="Calibri" w:hAnsi="Times New Roman" w:cs="Times New Roman"/>
          <w:color w:val="000000" w:themeColor="text1"/>
        </w:rPr>
        <w:t>=29.67; Male x̄(</w:t>
      </w:r>
      <w:r w:rsidRPr="006B4560">
        <w:rPr>
          <w:rFonts w:ascii="Times New Roman" w:eastAsia="Calibri" w:hAnsi="Times New Roman" w:cs="Times New Roman"/>
          <w:i/>
          <w:iCs/>
          <w:color w:val="000000" w:themeColor="text1"/>
        </w:rPr>
        <w:t>n</w:t>
      </w:r>
      <w:r w:rsidRPr="006B4560">
        <w:rPr>
          <w:rFonts w:ascii="Times New Roman" w:eastAsia="Calibri" w:hAnsi="Times New Roman" w:cs="Times New Roman"/>
          <w:color w:val="000000" w:themeColor="text1"/>
        </w:rPr>
        <w:t xml:space="preserve">=64)= 57.95, </w:t>
      </w:r>
      <w:r w:rsidRPr="006B4560">
        <w:rPr>
          <w:rFonts w:ascii="Times New Roman" w:eastAsia="Calibri" w:hAnsi="Times New Roman" w:cs="Times New Roman"/>
          <w:i/>
          <w:iCs/>
          <w:color w:val="000000" w:themeColor="text1"/>
        </w:rPr>
        <w:t>SD</w:t>
      </w:r>
      <w:r w:rsidRPr="006B4560">
        <w:rPr>
          <w:rFonts w:ascii="Times New Roman" w:eastAsia="Calibri" w:hAnsi="Times New Roman" w:cs="Times New Roman"/>
          <w:color w:val="000000" w:themeColor="text1"/>
        </w:rPr>
        <w:t xml:space="preserve">=31.08; </w:t>
      </w:r>
      <w:r w:rsidRPr="006B4560">
        <w:rPr>
          <w:rFonts w:ascii="Times New Roman" w:eastAsia="Calibri" w:hAnsi="Times New Roman" w:cs="Times New Roman"/>
          <w:i/>
          <w:iCs/>
          <w:color w:val="000000" w:themeColor="text1"/>
        </w:rPr>
        <w:t>t</w:t>
      </w:r>
      <w:r w:rsidRPr="006B4560">
        <w:rPr>
          <w:rFonts w:ascii="Times New Roman" w:eastAsia="Calibri" w:hAnsi="Times New Roman" w:cs="Times New Roman"/>
          <w:color w:val="000000" w:themeColor="text1"/>
        </w:rPr>
        <w:t xml:space="preserve">(148)=-3.69,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 xml:space="preserve">&lt; .001, Cohen’s d=0.61), and a similar difference in categorical guilt ratings (33.7% of females and 53.1% of males selected a guilty verdict (χ(1)=5.67, </w:t>
      </w:r>
      <w:r w:rsidRPr="006B4560">
        <w:rPr>
          <w:rFonts w:ascii="Times New Roman" w:eastAsia="Calibri" w:hAnsi="Times New Roman" w:cs="Times New Roman"/>
          <w:i/>
          <w:iCs/>
          <w:color w:val="000000" w:themeColor="text1"/>
        </w:rPr>
        <w:t>p</w:t>
      </w:r>
      <w:r w:rsidRPr="006B4560">
        <w:rPr>
          <w:rFonts w:ascii="Times New Roman" w:eastAsia="Calibri" w:hAnsi="Times New Roman" w:cs="Times New Roman"/>
          <w:color w:val="000000" w:themeColor="text1"/>
        </w:rPr>
        <w:t xml:space="preserve">=.017)). It is hard to see an obvious explanation for these results, except perhaps that it suggests that the relationship between gender and decision-making in jury studies is contingent on other variables, potentially suggesting that males may respond </w:t>
      </w:r>
      <w:r w:rsidRPr="006B4560">
        <w:rPr>
          <w:rFonts w:ascii="Times New Roman" w:eastAsia="Calibri" w:hAnsi="Times New Roman" w:cs="Times New Roman"/>
          <w:color w:val="000000" w:themeColor="text1"/>
        </w:rPr>
        <w:t>more punitively</w:t>
      </w:r>
      <w:r w:rsidRPr="006B4560">
        <w:rPr>
          <w:rFonts w:ascii="Times New Roman" w:eastAsia="Calibri" w:hAnsi="Times New Roman" w:cs="Times New Roman"/>
          <w:color w:val="000000" w:themeColor="text1"/>
        </w:rPr>
        <w:t xml:space="preserve"> to mental health information in a vignette than females. Regardless, this finding provides an interesting platform for further research, at least suggesting that future decision-making studies should be careful to control for the potential role of gender in their analyses. </w:t>
      </w:r>
    </w:p>
    <w:p w14:paraId="66F3E539"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p>
    <w:p w14:paraId="35ADA967"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Strengths and Limitations</w:t>
      </w:r>
    </w:p>
    <w:p w14:paraId="6248AB42"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lastRenderedPageBreak/>
        <w:t xml:space="preserve">The partial replication approach allowed us to address some of the limitations highlighted by the previous authors, and therefore progress the research in a systematic manner with an incremental change to the research question. </w:t>
      </w:r>
    </w:p>
    <w:p w14:paraId="18DEF0D3"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 </w:t>
      </w:r>
      <w:r w:rsidRPr="006B4560">
        <w:rPr>
          <w:rFonts w:ascii="Times New Roman" w:hAnsi="Times New Roman" w:cs="Times New Roman"/>
        </w:rPr>
        <w:tab/>
        <w:t xml:space="preserve">Many of the limitations of the present study reflect the wider difficulty in conducting mock jury research and choices made in attempting to balance practicality and validity. </w:t>
      </w:r>
      <w:r w:rsidRPr="006B4560">
        <w:rPr>
          <w:rFonts w:ascii="Times New Roman" w:eastAsia="Calibri" w:hAnsi="Times New Roman" w:cs="Times New Roman"/>
          <w:color w:val="000000" w:themeColor="text1"/>
        </w:rPr>
        <w:t xml:space="preserve">The online nature of the study could be framed as both a methodological strength and a limitation. As a limitation, one might argue that the conditions of completing a study online are considerably different to those that occur in a real jury, where jurors must make decisions in a real courtroom, alongside other jurors, and with a much longer opportunity for deliberation. However, given the near impossibility of conducting research with ‘real’ juries (Ross, 2023), </w:t>
      </w:r>
      <w:r w:rsidRPr="006B4560">
        <w:rPr>
          <w:rFonts w:ascii="Times New Roman" w:eastAsia="Calibri" w:hAnsi="Times New Roman" w:cs="Times New Roman"/>
          <w:color w:val="000000" w:themeColor="text1"/>
        </w:rPr>
        <w:t>and despite the fact that</w:t>
      </w:r>
      <w:r w:rsidRPr="006B4560">
        <w:rPr>
          <w:rFonts w:ascii="Times New Roman" w:eastAsia="Calibri" w:hAnsi="Times New Roman" w:cs="Times New Roman"/>
          <w:color w:val="000000" w:themeColor="text1"/>
        </w:rPr>
        <w:t xml:space="preserve"> the sample was self-selecting, the recruitment approach was arguably more likely to result in a population-representative sample than a sample consisting primarily of students, as is the case with many mock jury studies. </w:t>
      </w:r>
    </w:p>
    <w:p w14:paraId="3BC98D11" w14:textId="77777777" w:rsidR="00735ADE" w:rsidRPr="006B4560" w:rsidRDefault="00735ADE" w:rsidP="00735ADE">
      <w:pPr>
        <w:spacing w:line="480" w:lineRule="auto"/>
        <w:rPr>
          <w:rFonts w:ascii="Times New Roman" w:eastAsia="Calibri" w:hAnsi="Times New Roman" w:cs="Times New Roman"/>
          <w:color w:val="000000" w:themeColor="text1"/>
        </w:rPr>
      </w:pPr>
      <w:r w:rsidRPr="006B4560">
        <w:rPr>
          <w:rFonts w:ascii="Times New Roman" w:eastAsia="Calibri" w:hAnsi="Times New Roman" w:cs="Times New Roman"/>
          <w:b/>
          <w:bCs/>
          <w:color w:val="000000" w:themeColor="text1"/>
        </w:rPr>
        <w:t>Future research</w:t>
      </w:r>
    </w:p>
    <w:p w14:paraId="3E35AAC7"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The findings of this study give rise to several potential directions for further research, drawing on the learning and limitations outlined. Firstly, there is a need to try to better understand what mental health information </w:t>
      </w:r>
      <w:r w:rsidRPr="006B4560">
        <w:rPr>
          <w:rFonts w:ascii="Times New Roman" w:eastAsia="Calibri" w:hAnsi="Times New Roman" w:cs="Times New Roman"/>
          <w:i/>
          <w:iCs/>
          <w:color w:val="000000" w:themeColor="text1"/>
        </w:rPr>
        <w:t>is</w:t>
      </w:r>
      <w:r w:rsidRPr="006B4560">
        <w:rPr>
          <w:rFonts w:ascii="Times New Roman" w:eastAsia="Calibri" w:hAnsi="Times New Roman" w:cs="Times New Roman"/>
          <w:color w:val="000000" w:themeColor="text1"/>
        </w:rPr>
        <w:t xml:space="preserve"> relevant to decision-making by jurors and juries. Metcalfe-Hume et al. (2026)’s study indicates that large manipulations in mental health information can make a considerable difference, whilst the present study indicates that much smaller manipulations might not. Where is the tipping point? Under what conditions does mental health information become relevant? A wider range of studies, adopting different vignettes with different types of offences, different linkages between mental health information and behaviour, and with different types of legal questions, are warranted. Establishing and confirming general vs specific diagnostic labelling effects in diagnoses beyond psychopathy would be beneficial, possibly considering more specific descriptions of symptoms combined with or without an associated diagnosis (as opposed to using a ‘dummy’ diagnosis). </w:t>
      </w:r>
    </w:p>
    <w:p w14:paraId="2BE579D3"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Another area for further investigation could relate to better understanding the role of the </w:t>
      </w:r>
      <w:r w:rsidRPr="006B4560">
        <w:rPr>
          <w:rFonts w:ascii="Times New Roman" w:eastAsia="Calibri" w:hAnsi="Times New Roman" w:cs="Times New Roman"/>
          <w:color w:val="000000" w:themeColor="text1"/>
        </w:rPr>
        <w:t>offence</w:t>
      </w:r>
      <w:r w:rsidRPr="006B4560">
        <w:rPr>
          <w:rFonts w:ascii="Times New Roman" w:eastAsia="Calibri" w:hAnsi="Times New Roman" w:cs="Times New Roman"/>
          <w:color w:val="000000" w:themeColor="text1"/>
        </w:rPr>
        <w:t xml:space="preserve"> type and its interaction with mental health information. In the present study, the criminal </w:t>
      </w:r>
      <w:r w:rsidRPr="006B4560">
        <w:rPr>
          <w:rFonts w:ascii="Times New Roman" w:eastAsia="Calibri" w:hAnsi="Times New Roman" w:cs="Times New Roman"/>
          <w:color w:val="000000" w:themeColor="text1"/>
        </w:rPr>
        <w:lastRenderedPageBreak/>
        <w:t xml:space="preserve">damage charge may have evoked less stigma than may be directed towards an offender who had committed an act of interpersonal violence. Future research could therefore extend the scope to explore sentencing decisions, other legal frameworks or include an offence with different requirements and case-law behind the relevant </w:t>
      </w:r>
      <w:proofErr w:type="spellStart"/>
      <w:r w:rsidRPr="006B4560">
        <w:rPr>
          <w:rFonts w:ascii="Times New Roman" w:eastAsia="Calibri" w:hAnsi="Times New Roman" w:cs="Times New Roman"/>
          <w:i/>
          <w:iCs/>
          <w:color w:val="000000" w:themeColor="text1"/>
        </w:rPr>
        <w:t>mens</w:t>
      </w:r>
      <w:proofErr w:type="spellEnd"/>
      <w:r w:rsidRPr="006B4560">
        <w:rPr>
          <w:rFonts w:ascii="Times New Roman" w:eastAsia="Calibri" w:hAnsi="Times New Roman" w:cs="Times New Roman"/>
          <w:i/>
          <w:iCs/>
          <w:color w:val="000000" w:themeColor="text1"/>
        </w:rPr>
        <w:t xml:space="preserve"> rea. </w:t>
      </w:r>
    </w:p>
    <w:p w14:paraId="1D7F4BDA"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Consistent with much of the previous experimental research, the current study explored decision making on an individual level, with no group deliberations occurring. Given the significant role that baseline stigma appeared to play in the verdicts made, it would be important to explore how baseline stigma might influence subsequent collective decision-making in a </w:t>
      </w:r>
      <w:r w:rsidRPr="006B4560">
        <w:rPr>
          <w:rFonts w:ascii="Times New Roman" w:eastAsia="Calibri" w:hAnsi="Times New Roman" w:cs="Times New Roman"/>
          <w:i/>
          <w:iCs/>
          <w:color w:val="000000" w:themeColor="text1"/>
        </w:rPr>
        <w:t>jury</w:t>
      </w:r>
      <w:r w:rsidRPr="006B4560">
        <w:rPr>
          <w:rFonts w:ascii="Times New Roman" w:eastAsia="Calibri" w:hAnsi="Times New Roman" w:cs="Times New Roman"/>
          <w:color w:val="000000" w:themeColor="text1"/>
        </w:rPr>
        <w:t xml:space="preserve">. One could imagine that such attitudes could be either diminished or amplified, perhaps depending on the nature and characteristics of the wider jury. Methodologically, this could be tested where, after initial individual verdicts were reached, jurors were tasked to engage in a discussion with a juror where key baseline characteristics were manipulated. </w:t>
      </w:r>
    </w:p>
    <w:p w14:paraId="378DA683"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Of course, there is also a need to consider the role of other variables that may be relevant to decision-making and stigma. Prior exposure and personal experience of mental health conditions could, for instance, be variables which potentially interacted with stigma and/or influenced guilt ratings. For example, mock jurors who personally disclosed having a mental illness have been found to have a more favourable impression of the defendant (</w:t>
      </w:r>
      <w:proofErr w:type="spellStart"/>
      <w:r w:rsidRPr="006B4560">
        <w:rPr>
          <w:rFonts w:ascii="Times New Roman" w:eastAsia="Calibri" w:hAnsi="Times New Roman" w:cs="Times New Roman"/>
          <w:color w:val="000000" w:themeColor="text1"/>
        </w:rPr>
        <w:t>Mossière</w:t>
      </w:r>
      <w:proofErr w:type="spellEnd"/>
      <w:r w:rsidRPr="006B4560">
        <w:rPr>
          <w:rFonts w:ascii="Times New Roman" w:eastAsia="Calibri" w:hAnsi="Times New Roman" w:cs="Times New Roman"/>
          <w:color w:val="000000" w:themeColor="text1"/>
        </w:rPr>
        <w:t xml:space="preserve"> &amp; Maeder, 2015).</w:t>
      </w:r>
      <w:r w:rsidRPr="006B4560">
        <w:rPr>
          <w:rFonts w:ascii="Times New Roman" w:eastAsia="Calibri" w:hAnsi="Times New Roman" w:cs="Times New Roman"/>
          <w:i/>
          <w:iCs/>
          <w:color w:val="000000" w:themeColor="text1"/>
        </w:rPr>
        <w:t xml:space="preserve"> </w:t>
      </w:r>
      <w:r w:rsidRPr="006B4560">
        <w:rPr>
          <w:rFonts w:ascii="Times New Roman" w:eastAsia="Calibri" w:hAnsi="Times New Roman" w:cs="Times New Roman"/>
          <w:color w:val="000000" w:themeColor="text1"/>
        </w:rPr>
        <w:t>Similarly, other personal and personality characteristics, such as trait authoritarianism, could well be of relevance. The finding of male gender being predictive of guilt ratings also indicates the need for future research to explore the complexities and contingencies of the relationship between juror gender and verdict.</w:t>
      </w:r>
    </w:p>
    <w:p w14:paraId="5039D1E5"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Finally, the findings of the exploratory analysis appear to suggest that certain subscales of the AQ-27 (Brown, 2008) have poorer internal consistency than others. Further examination of Brown’s factor structure would be beneficial, in line with a wider recognition of the need to improve existing measures of stigma, and in particular, to gain better research consensus about the best measures to use, and how best to use them. </w:t>
      </w:r>
    </w:p>
    <w:p w14:paraId="55362405" w14:textId="77777777" w:rsidR="00735ADE" w:rsidRPr="006B4560" w:rsidRDefault="00735ADE" w:rsidP="00735ADE">
      <w:pPr>
        <w:spacing w:line="480" w:lineRule="auto"/>
        <w:rPr>
          <w:rFonts w:ascii="Times New Roman" w:eastAsia="Calibri" w:hAnsi="Times New Roman" w:cs="Times New Roman"/>
          <w:color w:val="000000" w:themeColor="text1"/>
        </w:rPr>
      </w:pPr>
    </w:p>
    <w:p w14:paraId="1910A7E3" w14:textId="77777777" w:rsidR="00735ADE" w:rsidRPr="006B4560" w:rsidRDefault="00735ADE" w:rsidP="00735ADE">
      <w:pPr>
        <w:tabs>
          <w:tab w:val="center" w:pos="4873"/>
        </w:tabs>
        <w:spacing w:line="480" w:lineRule="auto"/>
        <w:rPr>
          <w:rFonts w:ascii="Times New Roman" w:hAnsi="Times New Roman"/>
          <w:b/>
          <w:color w:val="000000" w:themeColor="text1"/>
        </w:rPr>
      </w:pPr>
      <w:r w:rsidRPr="006B4560">
        <w:rPr>
          <w:rFonts w:ascii="Times New Roman" w:eastAsia="Calibri" w:hAnsi="Times New Roman" w:cs="Times New Roman"/>
          <w:b/>
          <w:bCs/>
          <w:color w:val="000000" w:themeColor="text1"/>
        </w:rPr>
        <w:lastRenderedPageBreak/>
        <w:t>Practice</w:t>
      </w:r>
      <w:r w:rsidRPr="006B4560">
        <w:rPr>
          <w:rFonts w:ascii="Times New Roman" w:hAnsi="Times New Roman"/>
          <w:b/>
          <w:color w:val="000000" w:themeColor="text1"/>
        </w:rPr>
        <w:t xml:space="preserve"> and </w:t>
      </w:r>
      <w:r w:rsidRPr="006B4560">
        <w:rPr>
          <w:rFonts w:ascii="Times New Roman" w:eastAsia="Calibri" w:hAnsi="Times New Roman" w:cs="Times New Roman"/>
          <w:b/>
          <w:bCs/>
          <w:color w:val="000000" w:themeColor="text1"/>
        </w:rPr>
        <w:t>Policy Impact</w:t>
      </w:r>
      <w:r w:rsidRPr="006B4560">
        <w:rPr>
          <w:rFonts w:ascii="Times New Roman" w:eastAsia="Calibri" w:hAnsi="Times New Roman" w:cs="Times New Roman"/>
          <w:b/>
          <w:bCs/>
          <w:color w:val="000000" w:themeColor="text1"/>
        </w:rPr>
        <w:tab/>
      </w:r>
    </w:p>
    <w:p w14:paraId="2F0581AA" w14:textId="77777777" w:rsidR="00735ADE" w:rsidRPr="006B4560" w:rsidRDefault="00735ADE" w:rsidP="00735ADE">
      <w:pPr>
        <w:spacing w:line="480" w:lineRule="auto"/>
        <w:ind w:firstLine="720"/>
        <w:rPr>
          <w:rFonts w:ascii="Times New Roman" w:eastAsia="Calibri" w:hAnsi="Times New Roman" w:cs="Times New Roman"/>
          <w:color w:val="000000" w:themeColor="text1"/>
        </w:rPr>
      </w:pPr>
      <w:r w:rsidRPr="006B4560">
        <w:rPr>
          <w:rFonts w:ascii="Times New Roman" w:eastAsia="Calibri" w:hAnsi="Times New Roman" w:cs="Times New Roman"/>
          <w:color w:val="000000" w:themeColor="text1"/>
        </w:rPr>
        <w:t xml:space="preserve">This research contributes to a limited body of experimental research attempting to further the understanding of how lay people selected for jury service in criminal trials make sense of mental health information presented to them in court to reach decisions about guilt and criminal responsibility. The results highlight the influential role that baseline stigma may play in the decision-making process, a finding which may challenge the integrity of a fair trial. Whilst it is important for legal professionals and clinicians acting as expert witnesses in court to be mindful of this and exercise caution in the way they present psychiatric information, questions remain about how clinicians may mitigate against potential high levels of juror stigma in the courtroom. </w:t>
      </w:r>
      <w:r w:rsidRPr="006B4560">
        <w:rPr>
          <w:rFonts w:ascii="Times New Roman" w:eastAsia="Calibri" w:hAnsi="Times New Roman" w:cs="Times New Roman"/>
          <w:color w:val="000000" w:themeColor="text1"/>
        </w:rPr>
        <w:t xml:space="preserve">Future research along the lines suggested above would support development of a policy agenda that more effectively mitigates the unwanted role of individual characteristics on juror and jury decision-making. </w:t>
      </w:r>
    </w:p>
    <w:p w14:paraId="014C1434" w14:textId="77777777" w:rsidR="00735ADE" w:rsidRPr="006B4560" w:rsidRDefault="00735ADE" w:rsidP="00735ADE">
      <w:pPr>
        <w:spacing w:line="276" w:lineRule="auto"/>
        <w:ind w:left="-20" w:right="-20"/>
        <w:rPr>
          <w:rFonts w:ascii="Times New Roman" w:eastAsia="Calibri" w:hAnsi="Times New Roman" w:cs="Times New Roman"/>
        </w:rPr>
      </w:pPr>
      <w:bookmarkStart w:id="6" w:name="_Toc160446734"/>
    </w:p>
    <w:p w14:paraId="247D2314"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6D882B5A"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7DBFA53B"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02C68CDC"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7A663971"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7C3BCC39"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09B7A2D7"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3732D5E5"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4618B0EE"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4294204B"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056D1818"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112EDDC3" w14:textId="77777777" w:rsidR="00735ADE" w:rsidRPr="006B4560" w:rsidRDefault="00735ADE" w:rsidP="00735ADE">
      <w:pPr>
        <w:spacing w:line="480" w:lineRule="auto"/>
        <w:ind w:left="-20" w:right="-20"/>
        <w:jc w:val="center"/>
        <w:rPr>
          <w:rFonts w:ascii="Times New Roman" w:eastAsia="Calibri" w:hAnsi="Times New Roman" w:cs="Times New Roman"/>
          <w:b/>
          <w:bCs/>
        </w:rPr>
      </w:pPr>
    </w:p>
    <w:p w14:paraId="5EAFC044" w14:textId="41B163DC" w:rsidR="00735ADE" w:rsidRPr="006B4560" w:rsidRDefault="00735ADE" w:rsidP="00735ADE">
      <w:pPr>
        <w:spacing w:line="480" w:lineRule="auto"/>
        <w:ind w:left="-20" w:right="-20"/>
        <w:jc w:val="center"/>
        <w:rPr>
          <w:rFonts w:ascii="Times New Roman" w:eastAsia="Calibri" w:hAnsi="Times New Roman" w:cs="Times New Roman"/>
        </w:rPr>
      </w:pPr>
      <w:r w:rsidRPr="006B4560">
        <w:rPr>
          <w:rFonts w:ascii="Times New Roman" w:eastAsia="Calibri" w:hAnsi="Times New Roman" w:cs="Times New Roman"/>
          <w:b/>
          <w:bCs/>
        </w:rPr>
        <w:lastRenderedPageBreak/>
        <w:t>References</w:t>
      </w:r>
      <w:bookmarkEnd w:id="6"/>
      <w:r w:rsidRPr="006B4560">
        <w:rPr>
          <w:rFonts w:ascii="Times New Roman" w:hAnsi="Times New Roman" w:cs="Times New Roman"/>
        </w:rPr>
        <w:br/>
      </w:r>
    </w:p>
    <w:p w14:paraId="176FE572" w14:textId="77777777" w:rsidR="00735ADE" w:rsidRPr="006B4560" w:rsidRDefault="00735ADE" w:rsidP="00735ADE">
      <w:pPr>
        <w:spacing w:line="480" w:lineRule="auto"/>
        <w:ind w:left="720" w:hanging="720"/>
        <w:rPr>
          <w:rFonts w:ascii="Times New Roman" w:eastAsia="Segoe UI" w:hAnsi="Times New Roman" w:cs="Times New Roman"/>
        </w:rPr>
      </w:pPr>
      <w:r w:rsidRPr="006B4560">
        <w:rPr>
          <w:rFonts w:ascii="Times New Roman" w:eastAsia="Segoe UI" w:hAnsi="Times New Roman" w:cs="Times New Roman"/>
        </w:rPr>
        <w:t xml:space="preserve">Baker, J. &amp; Beazley, P. (2022). Judging Personality Disorder: A Systematic Review of Clinician Attitudes and Responses to Borderline Personality Disorder. </w:t>
      </w:r>
      <w:r w:rsidRPr="006B4560">
        <w:rPr>
          <w:rFonts w:ascii="Times New Roman" w:eastAsia="Segoe UI" w:hAnsi="Times New Roman" w:cs="Times New Roman"/>
          <w:i/>
          <w:iCs/>
        </w:rPr>
        <w:t>Journal of Psychiatric Practice,</w:t>
      </w:r>
      <w:r w:rsidRPr="006B4560">
        <w:rPr>
          <w:rFonts w:ascii="Times New Roman" w:eastAsia="Segoe UI" w:hAnsi="Times New Roman" w:cs="Times New Roman"/>
        </w:rPr>
        <w:t>28(4), 275-293. https://doi.org/10.1097/PRA.0000000000000642</w:t>
      </w:r>
    </w:p>
    <w:p w14:paraId="3AC20534"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Baker, J., Edwards, I., &amp; Beazley, P. (2021). Juror decision-making regarding a defendant diagnosed with Borderline Personality Disorder. </w:t>
      </w:r>
      <w:r w:rsidRPr="006B4560">
        <w:rPr>
          <w:rFonts w:ascii="Times New Roman" w:eastAsia="Calibri" w:hAnsi="Times New Roman" w:cs="Times New Roman"/>
          <w:i/>
          <w:iCs/>
        </w:rPr>
        <w:t>Psychiatry, Psychology and Law</w:t>
      </w:r>
      <w:r w:rsidRPr="006B4560">
        <w:rPr>
          <w:rFonts w:ascii="Times New Roman" w:eastAsia="Calibri" w:hAnsi="Times New Roman" w:cs="Times New Roman"/>
        </w:rPr>
        <w:t xml:space="preserve">. </w:t>
      </w:r>
      <w:hyperlink r:id="rId9">
        <w:r w:rsidRPr="006B4560">
          <w:rPr>
            <w:rStyle w:val="Hyperlink"/>
            <w:rFonts w:ascii="Times New Roman" w:eastAsia="Calibri" w:hAnsi="Times New Roman" w:cs="Times New Roman"/>
            <w:color w:val="auto"/>
          </w:rPr>
          <w:t>https://doi.org/10.1080/13218719.2021.1938273</w:t>
        </w:r>
      </w:hyperlink>
      <w:r w:rsidRPr="006B4560">
        <w:rPr>
          <w:rFonts w:ascii="Times New Roman" w:eastAsia="Calibri" w:hAnsi="Times New Roman" w:cs="Times New Roman"/>
        </w:rPr>
        <w:t xml:space="preserve"> </w:t>
      </w:r>
    </w:p>
    <w:p w14:paraId="404E7DF9"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Berryessa, C. M &amp; </w:t>
      </w:r>
      <w:proofErr w:type="spellStart"/>
      <w:r w:rsidRPr="006B4560">
        <w:rPr>
          <w:rFonts w:ascii="Times New Roman" w:eastAsia="Calibri" w:hAnsi="Times New Roman" w:cs="Times New Roman"/>
        </w:rPr>
        <w:t>Wohlstetter</w:t>
      </w:r>
      <w:proofErr w:type="spellEnd"/>
      <w:r w:rsidRPr="006B4560">
        <w:rPr>
          <w:rFonts w:ascii="Times New Roman" w:eastAsia="Calibri" w:hAnsi="Times New Roman" w:cs="Times New Roman"/>
        </w:rPr>
        <w:t xml:space="preserve">, B. (2019). The Psychopathic “Label” and Effects on Punishment Outcomes: a Meta Analysis. </w:t>
      </w:r>
      <w:r w:rsidRPr="006B4560">
        <w:rPr>
          <w:rFonts w:ascii="Times New Roman" w:eastAsia="Calibri" w:hAnsi="Times New Roman" w:cs="Times New Roman"/>
          <w:i/>
          <w:iCs/>
        </w:rPr>
        <w:t xml:space="preserve">Law and Human Behaviour, </w:t>
      </w:r>
      <w:r w:rsidRPr="006B4560">
        <w:rPr>
          <w:rFonts w:ascii="Times New Roman" w:eastAsia="Calibri" w:hAnsi="Times New Roman" w:cs="Times New Roman"/>
        </w:rPr>
        <w:t xml:space="preserve">43(1), 9-25. </w:t>
      </w:r>
      <w:hyperlink r:id="rId10" w:history="1">
        <w:r w:rsidRPr="006B4560">
          <w:rPr>
            <w:rStyle w:val="Hyperlink"/>
            <w:rFonts w:ascii="Times New Roman" w:eastAsia="Calibri" w:hAnsi="Times New Roman" w:cs="Times New Roman"/>
            <w:color w:val="auto"/>
          </w:rPr>
          <w:t>https://doi.org/10.1037/lhb0000317</w:t>
        </w:r>
      </w:hyperlink>
      <w:r w:rsidRPr="006B4560">
        <w:rPr>
          <w:rFonts w:ascii="Times New Roman" w:eastAsia="Calibri" w:hAnsi="Times New Roman" w:cs="Times New Roman"/>
        </w:rPr>
        <w:t xml:space="preserve">Bornstein, B. H., &amp; Greene, E. (2011). Jury Decision Making: Implications For and From Psychology. </w:t>
      </w:r>
      <w:r w:rsidRPr="006B4560">
        <w:rPr>
          <w:rFonts w:ascii="Times New Roman" w:eastAsia="Calibri" w:hAnsi="Times New Roman" w:cs="Times New Roman"/>
          <w:i/>
          <w:iCs/>
        </w:rPr>
        <w:t>Current Directions in Psychological Science, 20</w:t>
      </w:r>
      <w:r w:rsidRPr="006B4560">
        <w:rPr>
          <w:rFonts w:ascii="Times New Roman" w:eastAsia="Calibri" w:hAnsi="Times New Roman" w:cs="Times New Roman"/>
        </w:rPr>
        <w:t xml:space="preserve">, 63-67. </w:t>
      </w:r>
      <w:hyperlink r:id="rId11" w:history="1">
        <w:r w:rsidRPr="006B4560">
          <w:rPr>
            <w:rStyle w:val="Hyperlink"/>
            <w:rFonts w:ascii="Times New Roman" w:eastAsia="Calibri" w:hAnsi="Times New Roman" w:cs="Times New Roman"/>
            <w:color w:val="auto"/>
          </w:rPr>
          <w:t>https://doi.org/10.1177%2F0963721410397282</w:t>
        </w:r>
      </w:hyperlink>
    </w:p>
    <w:p w14:paraId="1E438A62"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Brown, S. A. (2008). Factors and measurement of mental illness stigma: A psychometric examination of the Attribution Questionnaire. </w:t>
      </w:r>
      <w:r w:rsidRPr="006B4560">
        <w:rPr>
          <w:rFonts w:ascii="Times New Roman" w:eastAsia="Calibri" w:hAnsi="Times New Roman" w:cs="Times New Roman"/>
          <w:i/>
          <w:iCs/>
        </w:rPr>
        <w:t>Psychiatric Rehabilitation Journal, 32</w:t>
      </w:r>
      <w:r w:rsidRPr="006B4560">
        <w:rPr>
          <w:rFonts w:ascii="Times New Roman" w:eastAsia="Calibri" w:hAnsi="Times New Roman" w:cs="Times New Roman"/>
        </w:rPr>
        <w:t xml:space="preserve">(2), 89–94. </w:t>
      </w:r>
      <w:hyperlink r:id="rId12">
        <w:r w:rsidRPr="006B4560">
          <w:rPr>
            <w:rStyle w:val="Hyperlink"/>
            <w:rFonts w:ascii="Times New Roman" w:eastAsia="Calibri" w:hAnsi="Times New Roman" w:cs="Times New Roman"/>
            <w:color w:val="auto"/>
          </w:rPr>
          <w:t>https://doi.org/10.2975/32.2.2008.89.94</w:t>
        </w:r>
      </w:hyperlink>
      <w:r w:rsidRPr="006B4560">
        <w:rPr>
          <w:rFonts w:ascii="Times New Roman" w:eastAsia="Calibri" w:hAnsi="Times New Roman" w:cs="Times New Roman"/>
        </w:rPr>
        <w:t xml:space="preserve"> </w:t>
      </w:r>
    </w:p>
    <w:p w14:paraId="20208BAC" w14:textId="77777777" w:rsidR="00735ADE" w:rsidRPr="006B4560" w:rsidRDefault="00735ADE" w:rsidP="00735ADE">
      <w:pPr>
        <w:spacing w:line="480" w:lineRule="auto"/>
        <w:ind w:left="720" w:hanging="720"/>
        <w:rPr>
          <w:rFonts w:ascii="Times New Roman" w:eastAsia="Calibri" w:hAnsi="Times New Roman" w:cs="Times New Roman"/>
        </w:rPr>
      </w:pPr>
      <w:proofErr w:type="spellStart"/>
      <w:r w:rsidRPr="006B4560">
        <w:rPr>
          <w:rFonts w:ascii="Times New Roman" w:eastAsia="Calibri" w:hAnsi="Times New Roman" w:cs="Times New Roman"/>
        </w:rPr>
        <w:t>Catthoor</w:t>
      </w:r>
      <w:proofErr w:type="spellEnd"/>
      <w:r w:rsidRPr="006B4560">
        <w:rPr>
          <w:rFonts w:ascii="Times New Roman" w:eastAsia="Calibri" w:hAnsi="Times New Roman" w:cs="Times New Roman"/>
        </w:rPr>
        <w:t xml:space="preserve">, K., Feenstra, D. J., </w:t>
      </w:r>
      <w:proofErr w:type="spellStart"/>
      <w:r w:rsidRPr="006B4560">
        <w:rPr>
          <w:rFonts w:ascii="Times New Roman" w:eastAsia="Calibri" w:hAnsi="Times New Roman" w:cs="Times New Roman"/>
        </w:rPr>
        <w:t>Hutsebaut</w:t>
      </w:r>
      <w:proofErr w:type="spellEnd"/>
      <w:r w:rsidRPr="006B4560">
        <w:rPr>
          <w:rFonts w:ascii="Times New Roman" w:eastAsia="Calibri" w:hAnsi="Times New Roman" w:cs="Times New Roman"/>
        </w:rPr>
        <w:t xml:space="preserve">, J., </w:t>
      </w:r>
      <w:proofErr w:type="spellStart"/>
      <w:r w:rsidRPr="006B4560">
        <w:rPr>
          <w:rFonts w:ascii="Times New Roman" w:eastAsia="Calibri" w:hAnsi="Times New Roman" w:cs="Times New Roman"/>
        </w:rPr>
        <w:t>Schrijvers</w:t>
      </w:r>
      <w:proofErr w:type="spellEnd"/>
      <w:r w:rsidRPr="006B4560">
        <w:rPr>
          <w:rFonts w:ascii="Times New Roman" w:eastAsia="Calibri" w:hAnsi="Times New Roman" w:cs="Times New Roman"/>
        </w:rPr>
        <w:t xml:space="preserve">, D., &amp; Sabbe, B. (2015). Adolescents with personality disorders suffer from severe psychiatric stigma: evidence from a sample of 131 patients. </w:t>
      </w:r>
      <w:r w:rsidRPr="006B4560">
        <w:rPr>
          <w:rFonts w:ascii="Times New Roman" w:eastAsia="Calibri" w:hAnsi="Times New Roman" w:cs="Times New Roman"/>
          <w:i/>
          <w:iCs/>
        </w:rPr>
        <w:t>Adolescent Health, Medicine &amp; Therapeutics, 6</w:t>
      </w:r>
      <w:r w:rsidRPr="006B4560">
        <w:rPr>
          <w:rFonts w:ascii="Times New Roman" w:eastAsia="Calibri" w:hAnsi="Times New Roman" w:cs="Times New Roman"/>
        </w:rPr>
        <w:t xml:space="preserve">, 81-89. </w:t>
      </w:r>
      <w:hyperlink r:id="rId13">
        <w:r w:rsidRPr="006B4560">
          <w:rPr>
            <w:rStyle w:val="Hyperlink"/>
            <w:rFonts w:ascii="Times New Roman" w:eastAsia="Calibri" w:hAnsi="Times New Roman" w:cs="Times New Roman"/>
            <w:color w:val="auto"/>
          </w:rPr>
          <w:t>https://doi.org/10.2147/AHMT.S76916</w:t>
        </w:r>
      </w:hyperlink>
      <w:r w:rsidRPr="006B4560">
        <w:rPr>
          <w:rFonts w:ascii="Times New Roman" w:eastAsia="Calibri" w:hAnsi="Times New Roman" w:cs="Times New Roman"/>
        </w:rPr>
        <w:t xml:space="preserve"> </w:t>
      </w:r>
    </w:p>
    <w:p w14:paraId="1B9B168F"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Corrigan, P. W., Markowitz, F. E., Watson, A. C., Rowan, D., &amp; Kubiak, M. A. (2003). An attribution model of public discrimination towards persons with mental illness. </w:t>
      </w:r>
      <w:r w:rsidRPr="006B4560">
        <w:rPr>
          <w:rFonts w:ascii="Times New Roman" w:eastAsia="Calibri" w:hAnsi="Times New Roman" w:cs="Times New Roman"/>
          <w:i/>
          <w:iCs/>
        </w:rPr>
        <w:t xml:space="preserve">Journal of health and Social </w:t>
      </w:r>
      <w:proofErr w:type="spellStart"/>
      <w:r w:rsidRPr="006B4560">
        <w:rPr>
          <w:rFonts w:ascii="Times New Roman" w:eastAsia="Calibri" w:hAnsi="Times New Roman" w:cs="Times New Roman"/>
          <w:i/>
          <w:iCs/>
        </w:rPr>
        <w:t>Behavior</w:t>
      </w:r>
      <w:proofErr w:type="spellEnd"/>
      <w:r w:rsidRPr="006B4560">
        <w:rPr>
          <w:rFonts w:ascii="Times New Roman" w:eastAsia="Calibri" w:hAnsi="Times New Roman" w:cs="Times New Roman"/>
          <w:i/>
          <w:iCs/>
        </w:rPr>
        <w:t>, 44</w:t>
      </w:r>
      <w:r w:rsidRPr="006B4560">
        <w:rPr>
          <w:rFonts w:ascii="Times New Roman" w:eastAsia="Calibri" w:hAnsi="Times New Roman" w:cs="Times New Roman"/>
        </w:rPr>
        <w:t xml:space="preserve">(2), 162-179. </w:t>
      </w:r>
      <w:hyperlink r:id="rId14">
        <w:r w:rsidRPr="006B4560">
          <w:rPr>
            <w:rStyle w:val="Hyperlink"/>
            <w:rFonts w:ascii="Times New Roman" w:eastAsia="Calibri" w:hAnsi="Times New Roman" w:cs="Times New Roman"/>
            <w:color w:val="auto"/>
          </w:rPr>
          <w:t>https://doi.org/10.2307/1519806</w:t>
        </w:r>
      </w:hyperlink>
      <w:r w:rsidRPr="006B4560">
        <w:rPr>
          <w:rFonts w:ascii="Times New Roman" w:eastAsia="Calibri" w:hAnsi="Times New Roman" w:cs="Times New Roman"/>
          <w:u w:val="single"/>
        </w:rPr>
        <w:t xml:space="preserve"> </w:t>
      </w:r>
    </w:p>
    <w:p w14:paraId="27BD33F5"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lastRenderedPageBreak/>
        <w:t xml:space="preserve">Devine, D.J. &amp; Caughlin, D.E. (2014). Do They Matter? A Meta-Analytic Investigation of Individual Characteristics and Guilt Judgments. </w:t>
      </w:r>
      <w:r w:rsidRPr="006B4560">
        <w:rPr>
          <w:rFonts w:ascii="Times New Roman" w:eastAsia="Calibri" w:hAnsi="Times New Roman" w:cs="Times New Roman"/>
          <w:i/>
          <w:iCs/>
        </w:rPr>
        <w:t>Psychology, Public Policy and Law, 20</w:t>
      </w:r>
      <w:r w:rsidRPr="006B4560">
        <w:rPr>
          <w:rFonts w:ascii="Times New Roman" w:eastAsia="Calibri" w:hAnsi="Times New Roman" w:cs="Times New Roman"/>
        </w:rPr>
        <w:t xml:space="preserve">(2), 109-134. </w:t>
      </w:r>
      <w:hyperlink r:id="rId15" w:history="1">
        <w:r w:rsidRPr="006B4560">
          <w:rPr>
            <w:rStyle w:val="Hyperlink"/>
            <w:rFonts w:ascii="Times New Roman" w:eastAsia="Calibri" w:hAnsi="Times New Roman" w:cs="Times New Roman"/>
            <w:color w:val="auto"/>
          </w:rPr>
          <w:t>https://doi.org/10.1037/law0000006</w:t>
        </w:r>
      </w:hyperlink>
      <w:r w:rsidRPr="006B4560">
        <w:rPr>
          <w:rFonts w:ascii="Times New Roman" w:eastAsia="Calibri" w:hAnsi="Times New Roman" w:cs="Times New Roman"/>
        </w:rPr>
        <w:t xml:space="preserve"> </w:t>
      </w:r>
    </w:p>
    <w:p w14:paraId="207F06D6"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Evans, J. St. B. T. (2008). Dual-Processing Accounts of Reasoning, Judgment, and Social Cognition. </w:t>
      </w:r>
      <w:r w:rsidRPr="006B4560">
        <w:rPr>
          <w:rFonts w:ascii="Times New Roman" w:eastAsia="Calibri" w:hAnsi="Times New Roman" w:cs="Times New Roman"/>
          <w:i/>
          <w:iCs/>
        </w:rPr>
        <w:t xml:space="preserve">Annual Review of Psychology, </w:t>
      </w:r>
      <w:r w:rsidRPr="006B4560">
        <w:rPr>
          <w:rFonts w:ascii="Times New Roman" w:eastAsia="Calibri" w:hAnsi="Times New Roman" w:cs="Times New Roman"/>
        </w:rPr>
        <w:t xml:space="preserve">59, 255-278. </w:t>
      </w:r>
      <w:hyperlink r:id="rId16" w:history="1">
        <w:r w:rsidRPr="006B4560">
          <w:rPr>
            <w:rStyle w:val="Hyperlink"/>
            <w:rFonts w:ascii="Times New Roman" w:eastAsia="Calibri" w:hAnsi="Times New Roman" w:cs="Times New Roman"/>
            <w:color w:val="auto"/>
          </w:rPr>
          <w:t>https://doi.org/10.1146/annurev.psych.59.103006.093629</w:t>
        </w:r>
      </w:hyperlink>
    </w:p>
    <w:p w14:paraId="4436087F"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Forsyth, A. (2007). The effects of diagnosis and non-compliance attributions on therapeutic alliance processes in adult acute psychiatric settings. </w:t>
      </w:r>
      <w:r w:rsidRPr="006B4560">
        <w:rPr>
          <w:rFonts w:ascii="Times New Roman" w:eastAsia="Calibri" w:hAnsi="Times New Roman" w:cs="Times New Roman"/>
          <w:i/>
          <w:iCs/>
        </w:rPr>
        <w:t xml:space="preserve">Journal of Psychiatric and Mental Health Nursing, 14(1), </w:t>
      </w:r>
      <w:r w:rsidRPr="006B4560">
        <w:rPr>
          <w:rFonts w:ascii="Times New Roman" w:eastAsia="Calibri" w:hAnsi="Times New Roman" w:cs="Times New Roman"/>
        </w:rPr>
        <w:t xml:space="preserve">33-40. </w:t>
      </w:r>
      <w:hyperlink r:id="rId17" w:history="1">
        <w:r w:rsidRPr="006B4560">
          <w:rPr>
            <w:rStyle w:val="Hyperlink"/>
            <w:rFonts w:ascii="Times New Roman" w:eastAsia="Calibri" w:hAnsi="Times New Roman" w:cs="Times New Roman"/>
            <w:color w:val="auto"/>
          </w:rPr>
          <w:t>https://doi.org/10.1111/j.1365-2850.2007.01036.x</w:t>
        </w:r>
      </w:hyperlink>
      <w:r w:rsidRPr="006B4560">
        <w:rPr>
          <w:rFonts w:ascii="Times New Roman" w:eastAsia="Calibri" w:hAnsi="Times New Roman" w:cs="Times New Roman"/>
        </w:rPr>
        <w:t>.</w:t>
      </w:r>
    </w:p>
    <w:p w14:paraId="67F0D849"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Fox, A. B., Earnshaw, V. A., Taverna, E. C., &amp; Vogt, D. (2018). Conceptualizing and measuring mental illness stigma: The mental illness stigma framework and critical review of measures. </w:t>
      </w:r>
      <w:r w:rsidRPr="006B4560">
        <w:rPr>
          <w:rFonts w:ascii="Times New Roman" w:eastAsia="Calibri" w:hAnsi="Times New Roman" w:cs="Times New Roman"/>
          <w:i/>
          <w:iCs/>
        </w:rPr>
        <w:t>Stigma and Health</w:t>
      </w:r>
      <w:r w:rsidRPr="006B4560">
        <w:rPr>
          <w:rFonts w:ascii="Times New Roman" w:eastAsia="Calibri" w:hAnsi="Times New Roman" w:cs="Times New Roman"/>
        </w:rPr>
        <w:t xml:space="preserve">, </w:t>
      </w:r>
      <w:r w:rsidRPr="006B4560">
        <w:rPr>
          <w:rFonts w:ascii="Times New Roman" w:eastAsia="Calibri" w:hAnsi="Times New Roman" w:cs="Times New Roman"/>
          <w:i/>
          <w:iCs/>
        </w:rPr>
        <w:t>3</w:t>
      </w:r>
      <w:r w:rsidRPr="006B4560">
        <w:rPr>
          <w:rFonts w:ascii="Times New Roman" w:eastAsia="Calibri" w:hAnsi="Times New Roman" w:cs="Times New Roman"/>
        </w:rPr>
        <w:t xml:space="preserve">(4), 348–376. </w:t>
      </w:r>
      <w:hyperlink r:id="rId18">
        <w:r w:rsidRPr="006B4560">
          <w:rPr>
            <w:rStyle w:val="Hyperlink"/>
            <w:rFonts w:ascii="Times New Roman" w:eastAsia="Calibri" w:hAnsi="Times New Roman" w:cs="Times New Roman"/>
            <w:color w:val="auto"/>
          </w:rPr>
          <w:t>https://doi.org/10.1037/sah0000104</w:t>
        </w:r>
      </w:hyperlink>
    </w:p>
    <w:p w14:paraId="1DA654CB"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Gallop, R., </w:t>
      </w:r>
      <w:proofErr w:type="spellStart"/>
      <w:r w:rsidRPr="006B4560">
        <w:rPr>
          <w:rFonts w:ascii="Times New Roman" w:eastAsia="Calibri" w:hAnsi="Times New Roman" w:cs="Times New Roman"/>
        </w:rPr>
        <w:t>Lancee</w:t>
      </w:r>
      <w:proofErr w:type="spellEnd"/>
      <w:r w:rsidRPr="006B4560">
        <w:rPr>
          <w:rFonts w:ascii="Times New Roman" w:eastAsia="Calibri" w:hAnsi="Times New Roman" w:cs="Times New Roman"/>
        </w:rPr>
        <w:t xml:space="preserve">, W.J., Garfinkel, P. (1989). How nursing staff respond to the label "borderline personality disorder", </w:t>
      </w:r>
      <w:r w:rsidRPr="006B4560">
        <w:rPr>
          <w:rFonts w:ascii="Times New Roman" w:eastAsia="Calibri" w:hAnsi="Times New Roman" w:cs="Times New Roman"/>
          <w:i/>
          <w:iCs/>
        </w:rPr>
        <w:t>Hosp Community Psychiatry, 40</w:t>
      </w:r>
      <w:r w:rsidRPr="006B4560">
        <w:rPr>
          <w:rFonts w:ascii="Times New Roman" w:eastAsia="Calibri" w:hAnsi="Times New Roman" w:cs="Times New Roman"/>
        </w:rPr>
        <w:t>(8),815-19. https://doi.org/</w:t>
      </w:r>
      <w:r w:rsidRPr="006B4560">
        <w:rPr>
          <w:rFonts w:ascii="Segoe UI" w:hAnsi="Segoe UI" w:cs="Segoe UI"/>
          <w:shd w:val="clear" w:color="auto" w:fill="FFFFFF"/>
        </w:rPr>
        <w:t xml:space="preserve"> </w:t>
      </w:r>
      <w:r w:rsidRPr="006B4560">
        <w:rPr>
          <w:rFonts w:ascii="Times New Roman" w:eastAsia="Calibri" w:hAnsi="Times New Roman" w:cs="Times New Roman"/>
        </w:rPr>
        <w:t>10.1176/ps.40.8.815</w:t>
      </w:r>
    </w:p>
    <w:p w14:paraId="110FB548"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Goffman, E. (1963). </w:t>
      </w:r>
      <w:r w:rsidRPr="006B4560">
        <w:rPr>
          <w:rFonts w:ascii="Times New Roman" w:eastAsia="Calibri" w:hAnsi="Times New Roman" w:cs="Times New Roman"/>
          <w:i/>
          <w:iCs/>
        </w:rPr>
        <w:t>Stigma: Notes on the Management of Spoiled Identity</w:t>
      </w:r>
      <w:r w:rsidRPr="006B4560">
        <w:rPr>
          <w:rFonts w:ascii="Times New Roman" w:eastAsia="Calibri" w:hAnsi="Times New Roman" w:cs="Times New Roman"/>
        </w:rPr>
        <w:t>. Simon &amp; Schuster.</w:t>
      </w:r>
    </w:p>
    <w:p w14:paraId="22AA5437"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Graves, R. E., Cassisi, J. E., &amp; Penn, D, L. (2005). Psychophysiological evaluation of stigma towards Schizophrenia. </w:t>
      </w:r>
      <w:r w:rsidRPr="006B4560">
        <w:rPr>
          <w:rFonts w:ascii="Times New Roman" w:eastAsia="Calibri" w:hAnsi="Times New Roman" w:cs="Times New Roman"/>
          <w:i/>
          <w:iCs/>
        </w:rPr>
        <w:t>Schizophrenia Research, 76</w:t>
      </w:r>
      <w:r w:rsidRPr="006B4560">
        <w:rPr>
          <w:rFonts w:ascii="Times New Roman" w:eastAsia="Calibri" w:hAnsi="Times New Roman" w:cs="Times New Roman"/>
        </w:rPr>
        <w:t xml:space="preserve">(2-3), 317-327. </w:t>
      </w:r>
      <w:hyperlink r:id="rId19">
        <w:r w:rsidRPr="006B4560">
          <w:rPr>
            <w:rStyle w:val="Hyperlink"/>
            <w:rFonts w:ascii="Times New Roman" w:eastAsia="Calibri" w:hAnsi="Times New Roman" w:cs="Times New Roman"/>
            <w:color w:val="auto"/>
          </w:rPr>
          <w:t>https://doi.org/10.1016/j.schres.2005.02.003</w:t>
        </w:r>
      </w:hyperlink>
      <w:r w:rsidRPr="006B4560">
        <w:rPr>
          <w:rFonts w:ascii="Times New Roman" w:eastAsia="Calibri" w:hAnsi="Times New Roman" w:cs="Times New Roman"/>
        </w:rPr>
        <w:t xml:space="preserve"> </w:t>
      </w:r>
    </w:p>
    <w:p w14:paraId="7B6D7946"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Holmes, H. L., &amp; Beazley, P. (2025). Juror decision-making concerning defendants with mental health conditions – a systematic review of experimental studies. </w:t>
      </w:r>
      <w:r w:rsidRPr="006B4560">
        <w:rPr>
          <w:rFonts w:ascii="Times New Roman" w:eastAsia="Calibri" w:hAnsi="Times New Roman" w:cs="Times New Roman"/>
          <w:i/>
          <w:iCs/>
        </w:rPr>
        <w:t>Psychology, Crime &amp; Law</w:t>
      </w:r>
      <w:r w:rsidRPr="006B4560">
        <w:rPr>
          <w:rFonts w:ascii="Times New Roman" w:eastAsia="Calibri" w:hAnsi="Times New Roman" w:cs="Times New Roman"/>
        </w:rPr>
        <w:t xml:space="preserve">, 1–36. </w:t>
      </w:r>
      <w:hyperlink r:id="rId20" w:history="1">
        <w:r w:rsidRPr="006B4560">
          <w:rPr>
            <w:rStyle w:val="Hyperlink"/>
            <w:rFonts w:ascii="Times New Roman" w:eastAsia="Calibri" w:hAnsi="Times New Roman" w:cs="Times New Roman"/>
            <w:color w:val="auto"/>
          </w:rPr>
          <w:t>https://doi.org/10.1080/1068316X.2025.2574904</w:t>
        </w:r>
      </w:hyperlink>
      <w:r w:rsidRPr="006B4560">
        <w:rPr>
          <w:rFonts w:ascii="Times New Roman" w:eastAsia="Calibri" w:hAnsi="Times New Roman" w:cs="Times New Roman"/>
        </w:rPr>
        <w:t xml:space="preserve"> </w:t>
      </w:r>
    </w:p>
    <w:p w14:paraId="31D27495"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Henderson, D. &amp; Denison, D.R. (1989). Stepwise Regression in Social and Psychological Research. </w:t>
      </w:r>
      <w:r w:rsidRPr="006B4560">
        <w:rPr>
          <w:rFonts w:ascii="Times New Roman" w:eastAsia="Calibri" w:hAnsi="Times New Roman" w:cs="Times New Roman"/>
          <w:i/>
          <w:iCs/>
        </w:rPr>
        <w:t xml:space="preserve">Psychological Reports, </w:t>
      </w:r>
      <w:r w:rsidRPr="006B4560">
        <w:rPr>
          <w:rFonts w:ascii="Times New Roman" w:eastAsia="Calibri" w:hAnsi="Times New Roman" w:cs="Times New Roman"/>
        </w:rPr>
        <w:t xml:space="preserve">64(1), 251-257. </w:t>
      </w:r>
      <w:hyperlink r:id="rId21" w:history="1">
        <w:r w:rsidRPr="006B4560">
          <w:rPr>
            <w:rStyle w:val="Hyperlink"/>
            <w:rFonts w:ascii="Times New Roman" w:eastAsia="Calibri" w:hAnsi="Times New Roman" w:cs="Times New Roman"/>
            <w:color w:val="auto"/>
          </w:rPr>
          <w:t>https://doi.org/10.2466/pr0.1989.64.1.251</w:t>
        </w:r>
      </w:hyperlink>
      <w:r w:rsidRPr="006B4560">
        <w:rPr>
          <w:rFonts w:ascii="Times New Roman" w:eastAsia="Calibri" w:hAnsi="Times New Roman" w:cs="Times New Roman"/>
        </w:rPr>
        <w:t xml:space="preserve"> </w:t>
      </w:r>
    </w:p>
    <w:p w14:paraId="71CF3F3C"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i/>
          <w:iCs/>
        </w:rPr>
        <w:lastRenderedPageBreak/>
        <w:t>Juries Act</w:t>
      </w:r>
      <w:r w:rsidRPr="006B4560">
        <w:rPr>
          <w:rFonts w:ascii="Times New Roman" w:eastAsia="Calibri" w:hAnsi="Times New Roman" w:cs="Times New Roman"/>
        </w:rPr>
        <w:t xml:space="preserve"> </w:t>
      </w:r>
      <w:r w:rsidRPr="006B4560">
        <w:rPr>
          <w:rFonts w:ascii="Times New Roman" w:eastAsia="Calibri" w:hAnsi="Times New Roman" w:cs="Times New Roman"/>
          <w:i/>
          <w:iCs/>
        </w:rPr>
        <w:t>1974 s.1.</w:t>
      </w:r>
      <w:r w:rsidRPr="006B4560">
        <w:rPr>
          <w:rFonts w:ascii="Times New Roman" w:eastAsia="Calibri" w:hAnsi="Times New Roman" w:cs="Times New Roman"/>
        </w:rPr>
        <w:t xml:space="preserve"> (UK.). Retrieved June 15, 2022, from </w:t>
      </w:r>
      <w:hyperlink r:id="rId22">
        <w:r w:rsidRPr="006B4560">
          <w:rPr>
            <w:rStyle w:val="Hyperlink"/>
            <w:rFonts w:ascii="Times New Roman" w:eastAsia="Calibri" w:hAnsi="Times New Roman" w:cs="Times New Roman"/>
            <w:color w:val="auto"/>
          </w:rPr>
          <w:t>https://www.legislation.gov.uk/ukpga/1974/23/schedule/1</w:t>
        </w:r>
      </w:hyperlink>
      <w:r w:rsidRPr="006B4560">
        <w:rPr>
          <w:rFonts w:ascii="Times New Roman" w:eastAsia="Calibri" w:hAnsi="Times New Roman" w:cs="Times New Roman"/>
        </w:rPr>
        <w:t xml:space="preserve"> </w:t>
      </w:r>
    </w:p>
    <w:p w14:paraId="36B9C919"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Klein, P., Fairweather, A.K. &amp; Lawn, S. (2022). Structural stigma and its impact on healthcare for borderline personality disorder: a scoping review. </w:t>
      </w:r>
      <w:r w:rsidRPr="006B4560">
        <w:rPr>
          <w:rFonts w:ascii="Times New Roman" w:eastAsia="Calibri" w:hAnsi="Times New Roman" w:cs="Times New Roman"/>
          <w:i/>
          <w:iCs/>
        </w:rPr>
        <w:t>International Journal of Mental Health Systems,16</w:t>
      </w:r>
      <w:r w:rsidRPr="006B4560">
        <w:rPr>
          <w:rFonts w:ascii="Times New Roman" w:eastAsia="Calibri" w:hAnsi="Times New Roman" w:cs="Times New Roman"/>
        </w:rPr>
        <w:t xml:space="preserve">(48), 1-41. </w:t>
      </w:r>
      <w:hyperlink r:id="rId23">
        <w:r w:rsidRPr="006B4560">
          <w:rPr>
            <w:rStyle w:val="Hyperlink"/>
            <w:rFonts w:ascii="Times New Roman" w:eastAsia="Calibri" w:hAnsi="Times New Roman" w:cs="Times New Roman"/>
            <w:color w:val="auto"/>
          </w:rPr>
          <w:t>https://doi.org/10.1186/s13033-022-00558-3</w:t>
        </w:r>
      </w:hyperlink>
      <w:r w:rsidRPr="006B4560">
        <w:rPr>
          <w:rFonts w:ascii="Times New Roman" w:eastAsia="Calibri" w:hAnsi="Times New Roman" w:cs="Times New Roman"/>
        </w:rPr>
        <w:t xml:space="preserve"> </w:t>
      </w:r>
    </w:p>
    <w:p w14:paraId="106497EE"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Lam, D. C., </w:t>
      </w:r>
      <w:proofErr w:type="spellStart"/>
      <w:r w:rsidRPr="006B4560">
        <w:rPr>
          <w:rFonts w:ascii="Times New Roman" w:eastAsia="Calibri" w:hAnsi="Times New Roman" w:cs="Times New Roman"/>
        </w:rPr>
        <w:t>Poplavskaya</w:t>
      </w:r>
      <w:proofErr w:type="spellEnd"/>
      <w:r w:rsidRPr="006B4560">
        <w:rPr>
          <w:rFonts w:ascii="Times New Roman" w:eastAsia="Calibri" w:hAnsi="Times New Roman" w:cs="Times New Roman"/>
        </w:rPr>
        <w:t xml:space="preserve">, E. V., Salkovskis, P. M., Hogg, L. I., &amp; Panting, H. (2016). An experimental Investigation of the Impact of Personality Disorder Diagnosis on Clinicians: Can We See Past the Borderline? </w:t>
      </w:r>
      <w:proofErr w:type="spellStart"/>
      <w:r w:rsidRPr="006B4560">
        <w:rPr>
          <w:rFonts w:ascii="Times New Roman" w:eastAsia="Calibri" w:hAnsi="Times New Roman" w:cs="Times New Roman"/>
          <w:i/>
          <w:iCs/>
        </w:rPr>
        <w:t>Behav</w:t>
      </w:r>
      <w:proofErr w:type="spellEnd"/>
      <w:r w:rsidRPr="006B4560">
        <w:rPr>
          <w:rFonts w:ascii="Times New Roman" w:eastAsia="Calibri" w:hAnsi="Times New Roman" w:cs="Times New Roman"/>
          <w:i/>
          <w:iCs/>
        </w:rPr>
        <w:t xml:space="preserve"> </w:t>
      </w:r>
      <w:proofErr w:type="spellStart"/>
      <w:r w:rsidRPr="006B4560">
        <w:rPr>
          <w:rFonts w:ascii="Times New Roman" w:eastAsia="Calibri" w:hAnsi="Times New Roman" w:cs="Times New Roman"/>
          <w:i/>
          <w:iCs/>
        </w:rPr>
        <w:t>Cogn</w:t>
      </w:r>
      <w:proofErr w:type="spellEnd"/>
      <w:r w:rsidRPr="006B4560">
        <w:rPr>
          <w:rFonts w:ascii="Times New Roman" w:eastAsia="Calibri" w:hAnsi="Times New Roman" w:cs="Times New Roman"/>
          <w:i/>
          <w:iCs/>
        </w:rPr>
        <w:t xml:space="preserve"> </w:t>
      </w:r>
      <w:proofErr w:type="spellStart"/>
      <w:r w:rsidRPr="006B4560">
        <w:rPr>
          <w:rFonts w:ascii="Times New Roman" w:eastAsia="Calibri" w:hAnsi="Times New Roman" w:cs="Times New Roman"/>
          <w:i/>
          <w:iCs/>
        </w:rPr>
        <w:t>Psychother</w:t>
      </w:r>
      <w:proofErr w:type="spellEnd"/>
      <w:r w:rsidRPr="006B4560">
        <w:rPr>
          <w:rFonts w:ascii="Times New Roman" w:eastAsia="Calibri" w:hAnsi="Times New Roman" w:cs="Times New Roman"/>
          <w:i/>
          <w:iCs/>
        </w:rPr>
        <w:t>, 44</w:t>
      </w:r>
      <w:r w:rsidRPr="006B4560">
        <w:rPr>
          <w:rFonts w:ascii="Times New Roman" w:eastAsia="Calibri" w:hAnsi="Times New Roman" w:cs="Times New Roman"/>
        </w:rPr>
        <w:t xml:space="preserve">(3), 361-373. </w:t>
      </w:r>
      <w:hyperlink r:id="rId24">
        <w:r w:rsidRPr="006B4560">
          <w:rPr>
            <w:rStyle w:val="Hyperlink"/>
            <w:rFonts w:ascii="Times New Roman" w:eastAsia="Calibri" w:hAnsi="Times New Roman" w:cs="Times New Roman"/>
            <w:color w:val="auto"/>
          </w:rPr>
          <w:t>https://doi.org/10.1017/S1352465815000351</w:t>
        </w:r>
      </w:hyperlink>
      <w:r w:rsidRPr="006B4560">
        <w:rPr>
          <w:rFonts w:ascii="Times New Roman" w:eastAsia="Calibri" w:hAnsi="Times New Roman" w:cs="Times New Roman"/>
        </w:rPr>
        <w:t xml:space="preserve"> </w:t>
      </w:r>
    </w:p>
    <w:p w14:paraId="7E2542C0"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Laursen, T. M., Agerbo, E., &amp; Pedersen, C. B. (2009). Bipolar Disorder, Schizoaffective Disorder, and Schizophrenia Overlap: A New Comorbidity Index. </w:t>
      </w:r>
      <w:r w:rsidRPr="006B4560">
        <w:rPr>
          <w:rFonts w:ascii="Times New Roman" w:eastAsia="Calibri" w:hAnsi="Times New Roman" w:cs="Times New Roman"/>
          <w:i/>
          <w:iCs/>
        </w:rPr>
        <w:t>The Journal of Clinical Psychiatry, 70</w:t>
      </w:r>
      <w:r w:rsidRPr="006B4560">
        <w:rPr>
          <w:rFonts w:ascii="Times New Roman" w:eastAsia="Calibri" w:hAnsi="Times New Roman" w:cs="Times New Roman"/>
        </w:rPr>
        <w:t xml:space="preserve">(10), 1432-1438. </w:t>
      </w:r>
    </w:p>
    <w:p w14:paraId="767EAFEA"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Lewis, G., &amp; Appleby, L. (1988). Personality Disorder: The Patients Psychiatrists Dislike. </w:t>
      </w:r>
      <w:r w:rsidRPr="006B4560">
        <w:rPr>
          <w:rFonts w:ascii="Times New Roman" w:eastAsia="Calibri" w:hAnsi="Times New Roman" w:cs="Times New Roman"/>
          <w:i/>
          <w:iCs/>
        </w:rPr>
        <w:t>British Journal of Psychiatry, 153</w:t>
      </w:r>
      <w:r w:rsidRPr="006B4560">
        <w:rPr>
          <w:rFonts w:ascii="Times New Roman" w:eastAsia="Calibri" w:hAnsi="Times New Roman" w:cs="Times New Roman"/>
        </w:rPr>
        <w:t xml:space="preserve">(1), 44-49. </w:t>
      </w:r>
      <w:hyperlink r:id="rId25">
        <w:r w:rsidRPr="006B4560">
          <w:rPr>
            <w:rStyle w:val="Hyperlink"/>
            <w:rFonts w:ascii="Times New Roman" w:eastAsia="Calibri" w:hAnsi="Times New Roman" w:cs="Times New Roman"/>
            <w:color w:val="auto"/>
          </w:rPr>
          <w:t>https://doi.org/10.1192/bjp.153.1.44</w:t>
        </w:r>
      </w:hyperlink>
      <w:r w:rsidRPr="006B4560">
        <w:rPr>
          <w:rFonts w:ascii="Times New Roman" w:eastAsia="Calibri" w:hAnsi="Times New Roman" w:cs="Times New Roman"/>
        </w:rPr>
        <w:t xml:space="preserve"> </w:t>
      </w:r>
    </w:p>
    <w:p w14:paraId="752FA10F"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Markham, D., &amp; Trower, P. (2010). The effects of the psychiatric label ‘borderline personality disorder’ on nursing staff's perceptions and causal attributions for challenging behaviours. </w:t>
      </w:r>
      <w:r w:rsidRPr="006B4560">
        <w:rPr>
          <w:rFonts w:ascii="Times New Roman" w:eastAsia="Calibri" w:hAnsi="Times New Roman" w:cs="Times New Roman"/>
          <w:i/>
          <w:iCs/>
        </w:rPr>
        <w:t xml:space="preserve">British Journal of Clinical Psychology, </w:t>
      </w:r>
      <w:r w:rsidRPr="006B4560">
        <w:rPr>
          <w:rFonts w:ascii="Times New Roman" w:eastAsia="Calibri" w:hAnsi="Times New Roman" w:cs="Times New Roman"/>
        </w:rPr>
        <w:t xml:space="preserve">42(3), 243-256. </w:t>
      </w:r>
      <w:hyperlink r:id="rId26" w:history="1">
        <w:r w:rsidRPr="006B4560">
          <w:rPr>
            <w:rStyle w:val="Hyperlink"/>
            <w:rFonts w:ascii="Times New Roman" w:eastAsia="Calibri" w:hAnsi="Times New Roman" w:cs="Times New Roman"/>
            <w:color w:val="auto"/>
          </w:rPr>
          <w:t>https://doi.org/10.1348/01446650360703366</w:t>
        </w:r>
      </w:hyperlink>
    </w:p>
    <w:p w14:paraId="3F42C2CC"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McKenzie, K., Gregory, J., &amp; Hogg, L. (2022). Mental Health Workers’ Attitudes Towards Individuals With a Diagnosis of Borderline Personality Disorder: A Systematic Literature Review. Journal of Personality Disorders,36(1). </w:t>
      </w:r>
      <w:hyperlink r:id="rId27">
        <w:r w:rsidRPr="006B4560">
          <w:rPr>
            <w:rStyle w:val="Hyperlink"/>
            <w:rFonts w:ascii="Times New Roman" w:eastAsia="Calibri" w:hAnsi="Times New Roman" w:cs="Times New Roman"/>
            <w:color w:val="auto"/>
          </w:rPr>
          <w:t>https://doi.org/10.1521/pedi_2021_35_528</w:t>
        </w:r>
      </w:hyperlink>
      <w:r w:rsidRPr="006B4560">
        <w:rPr>
          <w:rFonts w:ascii="Times New Roman" w:eastAsia="Calibri" w:hAnsi="Times New Roman" w:cs="Times New Roman"/>
        </w:rPr>
        <w:t xml:space="preserve"> </w:t>
      </w:r>
    </w:p>
    <w:p w14:paraId="7F37D9CE" w14:textId="77777777" w:rsidR="00735ADE" w:rsidRPr="006B4560" w:rsidRDefault="00735ADE" w:rsidP="00735ADE">
      <w:pPr>
        <w:spacing w:line="480" w:lineRule="auto"/>
        <w:ind w:left="720" w:hanging="720"/>
        <w:rPr>
          <w:rFonts w:ascii="Times New Roman" w:hAnsi="Times New Roman" w:cs="Times New Roman"/>
        </w:rPr>
      </w:pPr>
      <w:r w:rsidRPr="006B4560">
        <w:rPr>
          <w:rFonts w:ascii="Times New Roman" w:hAnsi="Times New Roman" w:cs="Times New Roman"/>
        </w:rPr>
        <w:t>Metcalfe-Hume, R., O’Leary, C., Nobes, G., Edwards, I., &amp; Beazley, P. (2026). Juror Decision Making: Does juror stigma, mental health literacy, or the description of a defendant’s mental health status, impact decision-making in a mock criminal trial? </w:t>
      </w:r>
      <w:r w:rsidRPr="006B4560">
        <w:t>International Journal of Law and Psychiatry</w:t>
      </w:r>
      <w:r w:rsidRPr="006B4560">
        <w:rPr>
          <w:rFonts w:ascii="Times New Roman" w:hAnsi="Times New Roman" w:cs="Times New Roman"/>
          <w:i/>
          <w:iCs/>
        </w:rPr>
        <w:t xml:space="preserve">, 106, </w:t>
      </w:r>
      <w:r w:rsidRPr="006B4560">
        <w:rPr>
          <w:rFonts w:ascii="Times New Roman" w:hAnsi="Times New Roman" w:cs="Times New Roman"/>
        </w:rPr>
        <w:t xml:space="preserve">1-12. </w:t>
      </w:r>
      <w:hyperlink r:id="rId28" w:history="1">
        <w:r w:rsidRPr="006B4560">
          <w:rPr>
            <w:rStyle w:val="Hyperlink"/>
            <w:rFonts w:ascii="Times New Roman" w:hAnsi="Times New Roman" w:cs="Times New Roman"/>
            <w:color w:val="auto"/>
          </w:rPr>
          <w:t>https://doi.org/10.1016/j.ijlp.2026.102197</w:t>
        </w:r>
      </w:hyperlink>
      <w:r w:rsidRPr="006B4560">
        <w:rPr>
          <w:rFonts w:ascii="Times New Roman" w:hAnsi="Times New Roman" w:cs="Times New Roman"/>
        </w:rPr>
        <w:t xml:space="preserve"> </w:t>
      </w:r>
    </w:p>
    <w:p w14:paraId="1CABC1E7"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lastRenderedPageBreak/>
        <w:t>Mezey, G., Youngman, H., Kretzschmar, I., &amp; White, S. (2016). Stigma and discrimination in mentally disordered offender patients—A comparison with a non-forensic population. </w:t>
      </w:r>
      <w:r w:rsidRPr="006B4560">
        <w:rPr>
          <w:rFonts w:ascii="Times New Roman" w:eastAsia="Calibri" w:hAnsi="Times New Roman" w:cs="Times New Roman"/>
          <w:i/>
          <w:iCs/>
        </w:rPr>
        <w:t>Journal of Forensic Psychiatry &amp; Psychology, 27</w:t>
      </w:r>
      <w:r w:rsidRPr="006B4560">
        <w:rPr>
          <w:rFonts w:ascii="Times New Roman" w:eastAsia="Calibri" w:hAnsi="Times New Roman" w:cs="Times New Roman"/>
        </w:rPr>
        <w:t>(4), 517–529. </w:t>
      </w:r>
      <w:hyperlink r:id="rId29" w:tgtFrame="_blank" w:history="1">
        <w:r w:rsidRPr="006B4560">
          <w:rPr>
            <w:rStyle w:val="Hyperlink"/>
            <w:rFonts w:ascii="Times New Roman" w:eastAsia="Calibri" w:hAnsi="Times New Roman" w:cs="Times New Roman"/>
            <w:color w:val="auto"/>
          </w:rPr>
          <w:t>https://doi.org/10.1080/14789949.2016.1172658</w:t>
        </w:r>
      </w:hyperlink>
    </w:p>
    <w:p w14:paraId="043A7D62" w14:textId="77777777" w:rsidR="00735ADE" w:rsidRPr="006B4560" w:rsidRDefault="00735ADE" w:rsidP="00735ADE">
      <w:pPr>
        <w:spacing w:line="480" w:lineRule="auto"/>
        <w:ind w:left="720" w:hanging="720"/>
        <w:rPr>
          <w:rFonts w:ascii="Times New Roman" w:eastAsia="Calibri" w:hAnsi="Times New Roman" w:cs="Times New Roman"/>
        </w:rPr>
      </w:pPr>
      <w:proofErr w:type="spellStart"/>
      <w:r w:rsidRPr="006B4560">
        <w:rPr>
          <w:rFonts w:ascii="Times New Roman" w:eastAsia="Calibri" w:hAnsi="Times New Roman" w:cs="Times New Roman"/>
        </w:rPr>
        <w:t>Mossière</w:t>
      </w:r>
      <w:proofErr w:type="spellEnd"/>
      <w:r w:rsidRPr="006B4560">
        <w:rPr>
          <w:rFonts w:ascii="Times New Roman" w:eastAsia="Calibri" w:hAnsi="Times New Roman" w:cs="Times New Roman"/>
        </w:rPr>
        <w:t xml:space="preserve">, A., &amp; Maeder, E. M. (2015). Defendant mental illness and juror decision-making: A comparison of sample types. </w:t>
      </w:r>
      <w:r w:rsidRPr="006B4560">
        <w:rPr>
          <w:rFonts w:ascii="Times New Roman" w:eastAsia="Calibri" w:hAnsi="Times New Roman" w:cs="Times New Roman"/>
          <w:i/>
          <w:iCs/>
        </w:rPr>
        <w:t>International Journal of Law and Psychiatry, 42</w:t>
      </w:r>
      <w:r w:rsidRPr="006B4560">
        <w:rPr>
          <w:rFonts w:ascii="Times New Roman" w:eastAsia="Calibri" w:hAnsi="Times New Roman" w:cs="Times New Roman"/>
        </w:rPr>
        <w:t xml:space="preserve">, 58-66. </w:t>
      </w:r>
      <w:hyperlink r:id="rId30" w:history="1">
        <w:r w:rsidRPr="006B4560">
          <w:rPr>
            <w:rStyle w:val="Hyperlink"/>
            <w:rFonts w:ascii="Times New Roman" w:eastAsia="Calibri" w:hAnsi="Times New Roman" w:cs="Times New Roman"/>
            <w:color w:val="auto"/>
          </w:rPr>
          <w:t>https://doi.org/10.1016/j.ijlp.2015.08.008</w:t>
        </w:r>
      </w:hyperlink>
    </w:p>
    <w:p w14:paraId="52E8D07F"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i/>
          <w:iCs/>
        </w:rPr>
        <w:t>Prolific</w:t>
      </w:r>
      <w:r w:rsidRPr="006B4560">
        <w:rPr>
          <w:rFonts w:ascii="Times New Roman" w:eastAsia="Calibri" w:hAnsi="Times New Roman" w:cs="Times New Roman"/>
        </w:rPr>
        <w:t xml:space="preserve">. Retrieved June 15, 2022, from </w:t>
      </w:r>
      <w:hyperlink r:id="rId31" w:history="1">
        <w:r w:rsidRPr="006B4560">
          <w:rPr>
            <w:rStyle w:val="Hyperlink"/>
            <w:rFonts w:ascii="Times New Roman" w:eastAsia="Calibri" w:hAnsi="Times New Roman" w:cs="Times New Roman"/>
            <w:color w:val="auto"/>
          </w:rPr>
          <w:t>https://www.prolific.com/</w:t>
        </w:r>
      </w:hyperlink>
      <w:r w:rsidRPr="006B4560">
        <w:rPr>
          <w:rFonts w:ascii="Times New Roman" w:eastAsia="Calibri" w:hAnsi="Times New Roman" w:cs="Times New Roman"/>
        </w:rPr>
        <w:t xml:space="preserve"> </w:t>
      </w:r>
    </w:p>
    <w:p w14:paraId="4893854F" w14:textId="77777777" w:rsidR="00735ADE" w:rsidRPr="006B4560" w:rsidRDefault="00735ADE" w:rsidP="00735ADE">
      <w:pPr>
        <w:spacing w:after="0"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Office of National Statistics. (2017). </w:t>
      </w:r>
      <w:r w:rsidRPr="006B4560">
        <w:rPr>
          <w:rFonts w:ascii="Times New Roman" w:eastAsia="Calibri" w:hAnsi="Times New Roman" w:cs="Times New Roman"/>
          <w:i/>
          <w:iCs/>
        </w:rPr>
        <w:t>Graduates in the UK Labour Marker 2017</w:t>
      </w:r>
      <w:r w:rsidRPr="006B4560">
        <w:rPr>
          <w:rFonts w:ascii="Times New Roman" w:eastAsia="Calibri" w:hAnsi="Times New Roman" w:cs="Times New Roman"/>
        </w:rPr>
        <w:t>. ONS Retrieved from https://www.ons.gov.uk/employmentandlabourmarket/peopleinwork/employmentandemployeetypes/articles/graduatesintheuklabourmarket/2017</w:t>
      </w:r>
    </w:p>
    <w:p w14:paraId="5E6DF420" w14:textId="77777777" w:rsidR="00735ADE" w:rsidRPr="006B4560" w:rsidRDefault="00735ADE" w:rsidP="00735ADE">
      <w:pPr>
        <w:spacing w:before="240"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Open Science Collaboration. (2015). Estimating the reproducibility of psychological science. </w:t>
      </w:r>
      <w:r w:rsidRPr="006B4560">
        <w:rPr>
          <w:rFonts w:ascii="Times New Roman" w:eastAsia="Calibri" w:hAnsi="Times New Roman" w:cs="Times New Roman"/>
          <w:i/>
          <w:iCs/>
        </w:rPr>
        <w:t>Science,439</w:t>
      </w:r>
      <w:r w:rsidRPr="006B4560">
        <w:rPr>
          <w:rFonts w:ascii="Times New Roman" w:eastAsia="Calibri" w:hAnsi="Times New Roman" w:cs="Times New Roman"/>
        </w:rPr>
        <w:t xml:space="preserve">(6251). </w:t>
      </w:r>
      <w:hyperlink r:id="rId32">
        <w:r w:rsidRPr="006B4560">
          <w:rPr>
            <w:rStyle w:val="Hyperlink"/>
            <w:rFonts w:ascii="Times New Roman" w:eastAsia="Calibri" w:hAnsi="Times New Roman" w:cs="Times New Roman"/>
            <w:color w:val="auto"/>
          </w:rPr>
          <w:t>https://doi.org/10.1126/science.aac4716</w:t>
        </w:r>
      </w:hyperlink>
    </w:p>
    <w:p w14:paraId="3B3B53F4"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Peduzzi, P., Kemper, E., Concato, J., </w:t>
      </w:r>
      <w:proofErr w:type="spellStart"/>
      <w:r w:rsidRPr="006B4560">
        <w:rPr>
          <w:rFonts w:ascii="Times New Roman" w:eastAsia="Calibri" w:hAnsi="Times New Roman" w:cs="Times New Roman"/>
        </w:rPr>
        <w:t>Feinstem</w:t>
      </w:r>
      <w:proofErr w:type="spellEnd"/>
      <w:r w:rsidRPr="006B4560">
        <w:rPr>
          <w:rFonts w:ascii="Times New Roman" w:eastAsia="Calibri" w:hAnsi="Times New Roman" w:cs="Times New Roman"/>
        </w:rPr>
        <w:t xml:space="preserve">, A.R., &amp; Holford, T.R. (1996). A simulation study of the number of events per variable in logistic regression analysis. </w:t>
      </w:r>
      <w:r w:rsidRPr="006B4560">
        <w:rPr>
          <w:rFonts w:ascii="Times New Roman" w:eastAsia="Calibri" w:hAnsi="Times New Roman" w:cs="Times New Roman"/>
          <w:i/>
          <w:iCs/>
        </w:rPr>
        <w:t>Journal of Clinical Epidemiology</w:t>
      </w:r>
      <w:r w:rsidRPr="006B4560">
        <w:rPr>
          <w:rFonts w:ascii="Times New Roman" w:eastAsia="Calibri" w:hAnsi="Times New Roman" w:cs="Times New Roman"/>
        </w:rPr>
        <w:t xml:space="preserve">, </w:t>
      </w:r>
      <w:r w:rsidRPr="006B4560">
        <w:rPr>
          <w:rFonts w:ascii="Times New Roman" w:eastAsia="Calibri" w:hAnsi="Times New Roman" w:cs="Times New Roman"/>
          <w:i/>
          <w:iCs/>
        </w:rPr>
        <w:t>49</w:t>
      </w:r>
      <w:r w:rsidRPr="006B4560">
        <w:rPr>
          <w:rFonts w:ascii="Times New Roman" w:eastAsia="Calibri" w:hAnsi="Times New Roman" w:cs="Times New Roman"/>
        </w:rPr>
        <w:t xml:space="preserve">(12),1373-1379. </w:t>
      </w:r>
      <w:hyperlink r:id="rId33">
        <w:r w:rsidRPr="006B4560">
          <w:rPr>
            <w:rStyle w:val="Hyperlink"/>
            <w:rFonts w:ascii="Times New Roman" w:eastAsia="Calibri" w:hAnsi="Times New Roman" w:cs="Times New Roman"/>
            <w:color w:val="auto"/>
          </w:rPr>
          <w:t>https://doi.org/10.1016/S0895-4356(96)00236-3</w:t>
        </w:r>
      </w:hyperlink>
      <w:r w:rsidRPr="006B4560">
        <w:rPr>
          <w:rFonts w:ascii="Times New Roman" w:eastAsia="Calibri" w:hAnsi="Times New Roman" w:cs="Times New Roman"/>
        </w:rPr>
        <w:t xml:space="preserve"> </w:t>
      </w:r>
    </w:p>
    <w:p w14:paraId="6E1099CB" w14:textId="77777777" w:rsidR="00735ADE" w:rsidRPr="006B4560"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Read, J., Haslam, N., Sayce, L., &amp; Davies, E. (2006). Prejudice and Schizophrenia: a review of the ‘mental illness is an illness like any other’ approach. </w:t>
      </w:r>
      <w:r w:rsidRPr="006B4560">
        <w:rPr>
          <w:rFonts w:ascii="Times New Roman" w:eastAsia="Calibri" w:hAnsi="Times New Roman" w:cs="Times New Roman"/>
          <w:i/>
          <w:iCs/>
        </w:rPr>
        <w:t xml:space="preserve">Acta </w:t>
      </w:r>
      <w:proofErr w:type="spellStart"/>
      <w:r w:rsidRPr="006B4560">
        <w:rPr>
          <w:rFonts w:ascii="Times New Roman" w:eastAsia="Calibri" w:hAnsi="Times New Roman" w:cs="Times New Roman"/>
          <w:i/>
          <w:iCs/>
        </w:rPr>
        <w:t>Psychiatrica</w:t>
      </w:r>
      <w:proofErr w:type="spellEnd"/>
      <w:r w:rsidRPr="006B4560">
        <w:rPr>
          <w:rFonts w:ascii="Times New Roman" w:eastAsia="Calibri" w:hAnsi="Times New Roman" w:cs="Times New Roman"/>
          <w:i/>
          <w:iCs/>
        </w:rPr>
        <w:t xml:space="preserve"> Scandinavica, 114</w:t>
      </w:r>
      <w:r w:rsidRPr="006B4560">
        <w:rPr>
          <w:rFonts w:ascii="Times New Roman" w:eastAsia="Calibri" w:hAnsi="Times New Roman" w:cs="Times New Roman"/>
        </w:rPr>
        <w:t xml:space="preserve">(5), 303-318. </w:t>
      </w:r>
      <w:hyperlink r:id="rId34">
        <w:r w:rsidRPr="006B4560">
          <w:rPr>
            <w:rStyle w:val="Hyperlink"/>
            <w:rFonts w:ascii="Times New Roman" w:eastAsia="Calibri" w:hAnsi="Times New Roman" w:cs="Times New Roman"/>
            <w:color w:val="auto"/>
          </w:rPr>
          <w:t>https://doi.org/10.1111/j.1600-0447.2006.00824.x</w:t>
        </w:r>
      </w:hyperlink>
      <w:r w:rsidRPr="006B4560">
        <w:rPr>
          <w:rFonts w:ascii="Times New Roman" w:eastAsia="Calibri" w:hAnsi="Times New Roman" w:cs="Times New Roman"/>
        </w:rPr>
        <w:t xml:space="preserve"> </w:t>
      </w:r>
    </w:p>
    <w:p w14:paraId="0DE8FF01" w14:textId="77777777" w:rsidR="00735ADE" w:rsidRPr="006B4560" w:rsidRDefault="00735ADE" w:rsidP="00735ADE">
      <w:pPr>
        <w:spacing w:line="480" w:lineRule="auto"/>
        <w:ind w:left="720" w:right="-20" w:hanging="720"/>
        <w:rPr>
          <w:rFonts w:ascii="Times New Roman" w:eastAsia="Calibri" w:hAnsi="Times New Roman" w:cs="Times New Roman"/>
        </w:rPr>
      </w:pPr>
      <w:r w:rsidRPr="006B4560">
        <w:rPr>
          <w:rFonts w:ascii="Times New Roman" w:eastAsia="Calibri" w:hAnsi="Times New Roman" w:cs="Times New Roman"/>
          <w:i/>
          <w:iCs/>
        </w:rPr>
        <w:t>R v G</w:t>
      </w:r>
      <w:r w:rsidRPr="006B4560">
        <w:rPr>
          <w:rFonts w:ascii="Times New Roman" w:eastAsia="Calibri" w:hAnsi="Times New Roman" w:cs="Times New Roman"/>
        </w:rPr>
        <w:t xml:space="preserve"> [2003] UKHL 50, [2004] AC 1034</w:t>
      </w:r>
    </w:p>
    <w:p w14:paraId="3E8B7F63" w14:textId="77777777" w:rsidR="00735ADE" w:rsidRPr="006B4560" w:rsidRDefault="00735ADE" w:rsidP="00735ADE">
      <w:pPr>
        <w:spacing w:line="480" w:lineRule="auto"/>
        <w:ind w:left="720" w:right="-20" w:hanging="720"/>
        <w:rPr>
          <w:rFonts w:ascii="Times New Roman" w:eastAsia="Calibri" w:hAnsi="Times New Roman" w:cs="Times New Roman"/>
        </w:rPr>
      </w:pPr>
      <w:r w:rsidRPr="006B4560">
        <w:rPr>
          <w:rFonts w:ascii="Times New Roman" w:eastAsia="Calibri" w:hAnsi="Times New Roman" w:cs="Times New Roman"/>
        </w:rPr>
        <w:t xml:space="preserve">Ross, L. (2023). The curious case of the jury-shaped hole: A plea for real jury research. </w:t>
      </w:r>
      <w:r w:rsidRPr="006B4560">
        <w:rPr>
          <w:rFonts w:ascii="Times New Roman" w:eastAsia="Calibri" w:hAnsi="Times New Roman" w:cs="Times New Roman"/>
          <w:i/>
          <w:iCs/>
        </w:rPr>
        <w:t>The International Journal of Evidence &amp; Proof, 27</w:t>
      </w:r>
      <w:r w:rsidRPr="006B4560">
        <w:rPr>
          <w:rFonts w:ascii="Times New Roman" w:eastAsia="Calibri" w:hAnsi="Times New Roman" w:cs="Times New Roman"/>
        </w:rPr>
        <w:t xml:space="preserve">(2), 107-125. </w:t>
      </w:r>
      <w:hyperlink r:id="rId35">
        <w:r w:rsidRPr="006B4560">
          <w:rPr>
            <w:rStyle w:val="Hyperlink"/>
            <w:rFonts w:ascii="Times New Roman" w:eastAsia="Calibri" w:hAnsi="Times New Roman" w:cs="Times New Roman"/>
            <w:color w:val="auto"/>
          </w:rPr>
          <w:t>https://doi.org/10.1177/13657127221150451</w:t>
        </w:r>
      </w:hyperlink>
      <w:r w:rsidRPr="006B4560">
        <w:rPr>
          <w:rFonts w:ascii="Times New Roman" w:eastAsia="Calibri" w:hAnsi="Times New Roman" w:cs="Times New Roman"/>
        </w:rPr>
        <w:t xml:space="preserve">  </w:t>
      </w:r>
    </w:p>
    <w:p w14:paraId="08A2D162" w14:textId="77777777" w:rsidR="00735ADE" w:rsidRPr="006B4560" w:rsidRDefault="00735ADE" w:rsidP="00735ADE">
      <w:pPr>
        <w:spacing w:before="255" w:line="480" w:lineRule="auto"/>
        <w:ind w:left="720" w:hanging="720"/>
        <w:rPr>
          <w:rFonts w:ascii="Times New Roman" w:eastAsia="Calibri" w:hAnsi="Times New Roman" w:cs="Times New Roman"/>
        </w:rPr>
      </w:pPr>
      <w:r w:rsidRPr="006B4560">
        <w:rPr>
          <w:rFonts w:ascii="Times New Roman" w:eastAsia="Calibri" w:hAnsi="Times New Roman" w:cs="Times New Roman"/>
        </w:rPr>
        <w:lastRenderedPageBreak/>
        <w:t xml:space="preserve">Sinclair-House, N., Child, J. J., &amp; </w:t>
      </w:r>
      <w:proofErr w:type="spellStart"/>
      <w:r w:rsidRPr="006B4560">
        <w:rPr>
          <w:rFonts w:ascii="Times New Roman" w:eastAsia="Calibri" w:hAnsi="Times New Roman" w:cs="Times New Roman"/>
        </w:rPr>
        <w:t>Crombag</w:t>
      </w:r>
      <w:proofErr w:type="spellEnd"/>
      <w:r w:rsidRPr="006B4560">
        <w:rPr>
          <w:rFonts w:ascii="Times New Roman" w:eastAsia="Calibri" w:hAnsi="Times New Roman" w:cs="Times New Roman"/>
        </w:rPr>
        <w:t xml:space="preserve">, H. S. (2020). Addiction Is a Brain Disease, and It Doesn’t Matter: Prior Choice in Drug Use Blocks Leniency in Criminal Punishment. </w:t>
      </w:r>
      <w:r w:rsidRPr="006B4560">
        <w:rPr>
          <w:rFonts w:ascii="Times New Roman" w:eastAsia="Calibri" w:hAnsi="Times New Roman" w:cs="Times New Roman"/>
          <w:i/>
          <w:iCs/>
        </w:rPr>
        <w:t>Psychology, Public Policy, and Law.</w:t>
      </w:r>
      <w:r w:rsidRPr="006B4560">
        <w:rPr>
          <w:rFonts w:ascii="Times New Roman" w:eastAsia="Calibri" w:hAnsi="Times New Roman" w:cs="Times New Roman"/>
        </w:rPr>
        <w:t xml:space="preserve"> 26(1),36-53. </w:t>
      </w:r>
      <w:hyperlink r:id="rId36" w:history="1">
        <w:r w:rsidRPr="006B4560">
          <w:rPr>
            <w:rStyle w:val="Hyperlink"/>
            <w:rFonts w:ascii="Times New Roman" w:eastAsia="Calibri" w:hAnsi="Times New Roman" w:cs="Times New Roman"/>
            <w:color w:val="auto"/>
          </w:rPr>
          <w:t>http://doi.org/10.1037/law0000217</w:t>
        </w:r>
      </w:hyperlink>
      <w:r w:rsidRPr="006B4560">
        <w:rPr>
          <w:rFonts w:ascii="Times New Roman" w:eastAsia="Calibri" w:hAnsi="Times New Roman" w:cs="Times New Roman"/>
        </w:rPr>
        <w:t xml:space="preserve">  </w:t>
      </w:r>
    </w:p>
    <w:p w14:paraId="69475CF6" w14:textId="77777777" w:rsidR="00735ADE" w:rsidRPr="006B4560" w:rsidRDefault="00735ADE" w:rsidP="00735ADE">
      <w:pPr>
        <w:spacing w:before="255" w:after="255" w:line="480" w:lineRule="auto"/>
        <w:ind w:left="720" w:hanging="720"/>
        <w:rPr>
          <w:rFonts w:ascii="Times New Roman" w:eastAsia="Calibri" w:hAnsi="Times New Roman" w:cs="Times New Roman"/>
        </w:rPr>
      </w:pPr>
      <w:proofErr w:type="spellStart"/>
      <w:r w:rsidRPr="006B4560">
        <w:rPr>
          <w:rFonts w:ascii="Times New Roman" w:eastAsia="Calibri" w:hAnsi="Times New Roman" w:cs="Times New Roman"/>
        </w:rPr>
        <w:t>Stoet</w:t>
      </w:r>
      <w:proofErr w:type="spellEnd"/>
      <w:r w:rsidRPr="006B4560">
        <w:rPr>
          <w:rFonts w:ascii="Times New Roman" w:eastAsia="Calibri" w:hAnsi="Times New Roman" w:cs="Times New Roman"/>
        </w:rPr>
        <w:t xml:space="preserve">, G. (2010). </w:t>
      </w:r>
      <w:proofErr w:type="spellStart"/>
      <w:r w:rsidRPr="006B4560">
        <w:rPr>
          <w:rFonts w:ascii="Times New Roman" w:eastAsia="Calibri" w:hAnsi="Times New Roman" w:cs="Times New Roman"/>
        </w:rPr>
        <w:t>PsyToolkit</w:t>
      </w:r>
      <w:proofErr w:type="spellEnd"/>
      <w:r w:rsidRPr="006B4560">
        <w:rPr>
          <w:rFonts w:ascii="Times New Roman" w:eastAsia="Calibri" w:hAnsi="Times New Roman" w:cs="Times New Roman"/>
        </w:rPr>
        <w:t xml:space="preserve"> - A software package for programming psychological experiments using Linux. </w:t>
      </w:r>
      <w:proofErr w:type="spellStart"/>
      <w:r w:rsidRPr="006B4560">
        <w:rPr>
          <w:rFonts w:ascii="Times New Roman" w:eastAsia="Calibri" w:hAnsi="Times New Roman" w:cs="Times New Roman"/>
          <w:i/>
          <w:iCs/>
        </w:rPr>
        <w:t>Behavior</w:t>
      </w:r>
      <w:proofErr w:type="spellEnd"/>
      <w:r w:rsidRPr="006B4560">
        <w:rPr>
          <w:rFonts w:ascii="Times New Roman" w:eastAsia="Calibri" w:hAnsi="Times New Roman" w:cs="Times New Roman"/>
          <w:i/>
          <w:iCs/>
        </w:rPr>
        <w:t xml:space="preserve"> Research Methods, 42(4)</w:t>
      </w:r>
      <w:r w:rsidRPr="006B4560">
        <w:rPr>
          <w:rFonts w:ascii="Times New Roman" w:eastAsia="Calibri" w:hAnsi="Times New Roman" w:cs="Times New Roman"/>
        </w:rPr>
        <w:t>, 1096-1104.</w:t>
      </w:r>
    </w:p>
    <w:p w14:paraId="71C64AB1" w14:textId="77777777" w:rsidR="00735ADE" w:rsidRPr="006B4560" w:rsidRDefault="00735ADE" w:rsidP="00735ADE">
      <w:pPr>
        <w:spacing w:before="255" w:after="255" w:line="480" w:lineRule="auto"/>
        <w:ind w:left="720" w:hanging="720"/>
        <w:rPr>
          <w:rFonts w:ascii="Times New Roman" w:eastAsia="Calibri" w:hAnsi="Times New Roman" w:cs="Times New Roman"/>
        </w:rPr>
      </w:pPr>
      <w:proofErr w:type="spellStart"/>
      <w:r w:rsidRPr="006B4560">
        <w:rPr>
          <w:rFonts w:ascii="Times New Roman" w:eastAsia="Calibri" w:hAnsi="Times New Roman" w:cs="Times New Roman"/>
        </w:rPr>
        <w:t>Stoet</w:t>
      </w:r>
      <w:proofErr w:type="spellEnd"/>
      <w:r w:rsidRPr="006B4560">
        <w:rPr>
          <w:rFonts w:ascii="Times New Roman" w:eastAsia="Calibri" w:hAnsi="Times New Roman" w:cs="Times New Roman"/>
        </w:rPr>
        <w:t xml:space="preserve">, G. (2017). </w:t>
      </w:r>
      <w:proofErr w:type="spellStart"/>
      <w:r w:rsidRPr="006B4560">
        <w:rPr>
          <w:rFonts w:ascii="Times New Roman" w:eastAsia="Calibri" w:hAnsi="Times New Roman" w:cs="Times New Roman"/>
        </w:rPr>
        <w:t>PsyToolkit</w:t>
      </w:r>
      <w:proofErr w:type="spellEnd"/>
      <w:r w:rsidRPr="006B4560">
        <w:rPr>
          <w:rFonts w:ascii="Times New Roman" w:eastAsia="Calibri" w:hAnsi="Times New Roman" w:cs="Times New Roman"/>
        </w:rPr>
        <w:t xml:space="preserve">: A novel web-based method for running online questionnaires and reaction-time experiments. </w:t>
      </w:r>
      <w:r w:rsidRPr="006B4560">
        <w:rPr>
          <w:rFonts w:ascii="Times New Roman" w:eastAsia="Calibri" w:hAnsi="Times New Roman" w:cs="Times New Roman"/>
          <w:i/>
          <w:iCs/>
        </w:rPr>
        <w:t>Teaching of Psychology</w:t>
      </w:r>
      <w:r w:rsidRPr="006B4560">
        <w:rPr>
          <w:rFonts w:ascii="Times New Roman" w:eastAsia="Calibri" w:hAnsi="Times New Roman" w:cs="Times New Roman"/>
        </w:rPr>
        <w:t>, 44(1), 24-31.</w:t>
      </w:r>
    </w:p>
    <w:p w14:paraId="5F2C55C5" w14:textId="77777777" w:rsidR="00735ADE" w:rsidRPr="006B4560" w:rsidRDefault="00735ADE" w:rsidP="00735ADE">
      <w:pPr>
        <w:spacing w:line="480" w:lineRule="auto"/>
        <w:ind w:left="720" w:hanging="720"/>
        <w:rPr>
          <w:rStyle w:val="Hyperlink"/>
          <w:rFonts w:ascii="Times New Roman" w:hAnsi="Times New Roman"/>
          <w:color w:val="auto"/>
        </w:rPr>
      </w:pPr>
      <w:r w:rsidRPr="006B4560">
        <w:rPr>
          <w:rFonts w:ascii="Times New Roman" w:eastAsia="Calibri" w:hAnsi="Times New Roman" w:cs="Times New Roman"/>
        </w:rPr>
        <w:t>Thomas, C. (2010). Are Juries Fair? Ministry of Justice Research Series 1/10</w:t>
      </w:r>
      <w:r w:rsidRPr="006B4560">
        <w:t xml:space="preserve"> </w:t>
      </w:r>
      <w:hyperlink r:id="rId37" w:history="1">
        <w:r w:rsidRPr="006B4560">
          <w:rPr>
            <w:rStyle w:val="Hyperlink"/>
            <w:rFonts w:ascii="Times New Roman" w:eastAsia="Calibri" w:hAnsi="Times New Roman" w:cs="Times New Roman"/>
            <w:color w:val="auto"/>
          </w:rPr>
          <w:t>http://channelmcgilchrist.info/wp-content/uploads/2022/01/Thomas-are-juries-fair.pdf</w:t>
        </w:r>
      </w:hyperlink>
      <w:r w:rsidRPr="006B4560">
        <w:rPr>
          <w:rStyle w:val="Hyperlink"/>
          <w:rFonts w:ascii="Times New Roman" w:eastAsia="Calibri" w:hAnsi="Times New Roman" w:cs="Times New Roman"/>
          <w:color w:val="auto"/>
        </w:rPr>
        <w:t xml:space="preserve"> (Archived Copy) </w:t>
      </w:r>
    </w:p>
    <w:p w14:paraId="42E34EF1" w14:textId="77777777" w:rsidR="00735ADE" w:rsidRPr="006B4560" w:rsidRDefault="00735ADE" w:rsidP="00735ADE">
      <w:pPr>
        <w:spacing w:line="480" w:lineRule="auto"/>
        <w:ind w:left="720" w:hanging="720"/>
        <w:rPr>
          <w:rFonts w:ascii="Times New Roman" w:eastAsia="Calibri" w:hAnsi="Times New Roman" w:cs="Times New Roman"/>
        </w:rPr>
      </w:pPr>
      <w:proofErr w:type="spellStart"/>
      <w:r w:rsidRPr="006B4560">
        <w:rPr>
          <w:rFonts w:ascii="Times New Roman" w:eastAsia="Calibri" w:hAnsi="Times New Roman" w:cs="Times New Roman"/>
        </w:rPr>
        <w:t>Tremlin</w:t>
      </w:r>
      <w:proofErr w:type="spellEnd"/>
      <w:r w:rsidRPr="006B4560">
        <w:rPr>
          <w:rFonts w:ascii="Times New Roman" w:eastAsia="Calibri" w:hAnsi="Times New Roman" w:cs="Times New Roman"/>
        </w:rPr>
        <w:t>, R</w:t>
      </w:r>
      <w:r w:rsidRPr="006B4560">
        <w:rPr>
          <w:rFonts w:ascii="Times New Roman" w:eastAsia="Calibri" w:hAnsi="Times New Roman" w:cs="Times New Roman"/>
        </w:rPr>
        <w:t xml:space="preserve">. C., &amp; </w:t>
      </w:r>
      <w:r w:rsidRPr="006B4560">
        <w:rPr>
          <w:rFonts w:ascii="Times New Roman" w:eastAsia="Calibri" w:hAnsi="Times New Roman" w:cs="Times New Roman"/>
        </w:rPr>
        <w:t>Beazley, P. (2024). A systematic review of offender mental health stigma: commonality, psychometric measures and differential diagnosis. </w:t>
      </w:r>
      <w:r w:rsidRPr="006B4560">
        <w:rPr>
          <w:rFonts w:ascii="Times New Roman" w:eastAsia="Calibri" w:hAnsi="Times New Roman" w:cs="Times New Roman"/>
          <w:i/>
          <w:iCs/>
        </w:rPr>
        <w:t>Psychology, Crime &amp; Law</w:t>
      </w:r>
      <w:r w:rsidRPr="006B4560">
        <w:rPr>
          <w:rFonts w:ascii="Times New Roman" w:eastAsia="Calibri" w:hAnsi="Times New Roman" w:cs="Times New Roman"/>
        </w:rPr>
        <w:t>, </w:t>
      </w:r>
      <w:r w:rsidRPr="006B4560">
        <w:rPr>
          <w:rFonts w:ascii="Times New Roman" w:eastAsia="Calibri" w:hAnsi="Times New Roman" w:cs="Times New Roman"/>
          <w:i/>
          <w:iCs/>
        </w:rPr>
        <w:t>30</w:t>
      </w:r>
      <w:r w:rsidRPr="006B4560">
        <w:rPr>
          <w:rFonts w:ascii="Times New Roman" w:eastAsia="Calibri" w:hAnsi="Times New Roman" w:cs="Times New Roman"/>
        </w:rPr>
        <w:t xml:space="preserve">(2), 125–149. </w:t>
      </w:r>
      <w:hyperlink r:id="rId38" w:history="1">
        <w:r w:rsidRPr="006B4560">
          <w:rPr>
            <w:rStyle w:val="Hyperlink"/>
            <w:rFonts w:ascii="Times New Roman" w:eastAsia="Calibri" w:hAnsi="Times New Roman" w:cs="Times New Roman"/>
            <w:color w:val="auto"/>
          </w:rPr>
          <w:t>https://doi.org/10.1080/1068316X.2022.2072842</w:t>
        </w:r>
      </w:hyperlink>
    </w:p>
    <w:p w14:paraId="25584E5E" w14:textId="77777777" w:rsidR="00735ADE" w:rsidRPr="001D2ECB" w:rsidRDefault="00735ADE" w:rsidP="00735ADE">
      <w:pPr>
        <w:spacing w:line="480" w:lineRule="auto"/>
        <w:ind w:left="720" w:hanging="720"/>
        <w:rPr>
          <w:rFonts w:ascii="Times New Roman" w:eastAsia="Calibri" w:hAnsi="Times New Roman" w:cs="Times New Roman"/>
        </w:rPr>
      </w:pPr>
      <w:r w:rsidRPr="006B4560">
        <w:rPr>
          <w:rFonts w:ascii="Times New Roman" w:eastAsia="Calibri" w:hAnsi="Times New Roman" w:cs="Times New Roman"/>
        </w:rPr>
        <w:t xml:space="preserve">Wason, P.C. &amp; Evans, J. St. B. T. (1974). Dual Processes in Reasoning? </w:t>
      </w:r>
      <w:r w:rsidRPr="006B4560">
        <w:rPr>
          <w:rFonts w:ascii="Times New Roman" w:eastAsia="Calibri" w:hAnsi="Times New Roman" w:cs="Times New Roman"/>
          <w:i/>
          <w:iCs/>
        </w:rPr>
        <w:t xml:space="preserve">Cognition, </w:t>
      </w:r>
      <w:r w:rsidRPr="006B4560">
        <w:rPr>
          <w:rFonts w:ascii="Times New Roman" w:eastAsia="Calibri" w:hAnsi="Times New Roman" w:cs="Times New Roman"/>
        </w:rPr>
        <w:t xml:space="preserve">3(2), 141-154. </w:t>
      </w:r>
      <w:hyperlink r:id="rId39" w:history="1">
        <w:r w:rsidRPr="006B4560">
          <w:rPr>
            <w:rStyle w:val="Hyperlink"/>
            <w:rFonts w:ascii="Times New Roman" w:eastAsia="Calibri" w:hAnsi="Times New Roman" w:cs="Times New Roman"/>
            <w:color w:val="auto"/>
          </w:rPr>
          <w:t>https://doi.org/10.1016/0010-0277(74)90017-1</w:t>
        </w:r>
      </w:hyperlink>
      <w:r w:rsidRPr="001D2ECB">
        <w:rPr>
          <w:rFonts w:ascii="Times New Roman" w:eastAsia="Calibri" w:hAnsi="Times New Roman" w:cs="Times New Roman"/>
        </w:rPr>
        <w:t xml:space="preserve"> </w:t>
      </w:r>
    </w:p>
    <w:p w14:paraId="47C32552" w14:textId="77777777" w:rsidR="00735ADE" w:rsidRPr="00E716B3" w:rsidRDefault="00735ADE" w:rsidP="00735ADE">
      <w:pPr>
        <w:spacing w:line="480" w:lineRule="auto"/>
        <w:ind w:left="720" w:hanging="720"/>
        <w:rPr>
          <w:rFonts w:ascii="Times New Roman" w:eastAsia="Calibri" w:hAnsi="Times New Roman" w:cs="Times New Roman"/>
        </w:rPr>
      </w:pPr>
    </w:p>
    <w:p w14:paraId="2DA49417" w14:textId="77777777" w:rsidR="005D0520" w:rsidRDefault="005D0520"/>
    <w:sectPr w:rsidR="005D0520" w:rsidSect="00735ADE">
      <w:headerReference w:type="default" r:id="rId40"/>
      <w:footerReference w:type="default" r:id="rId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691989588"/>
      <w:docPartObj>
        <w:docPartGallery w:val="Page Numbers (Bottom of Page)"/>
        <w:docPartUnique/>
      </w:docPartObj>
    </w:sdtPr>
    <w:sdtEndPr>
      <w:rPr>
        <w:noProof/>
      </w:rPr>
    </w:sdtEndPr>
    <w:sdtContent>
      <w:p w14:paraId="3939A923" w14:textId="77777777" w:rsidR="00735ADE" w:rsidRPr="00BF4C1D" w:rsidRDefault="00735ADE">
        <w:pPr>
          <w:pStyle w:val="Footer"/>
          <w:jc w:val="right"/>
          <w:rPr>
            <w:rFonts w:ascii="Times New Roman" w:hAnsi="Times New Roman" w:cs="Times New Roman"/>
          </w:rPr>
        </w:pPr>
        <w:r w:rsidRPr="00BF4C1D">
          <w:rPr>
            <w:rFonts w:ascii="Times New Roman" w:hAnsi="Times New Roman" w:cs="Times New Roman"/>
          </w:rPr>
          <w:fldChar w:fldCharType="begin"/>
        </w:r>
        <w:r w:rsidRPr="00BF4C1D">
          <w:rPr>
            <w:rFonts w:ascii="Times New Roman" w:hAnsi="Times New Roman" w:cs="Times New Roman"/>
          </w:rPr>
          <w:instrText xml:space="preserve"> PAGE   \* MERGEFORMAT </w:instrText>
        </w:r>
        <w:r w:rsidRPr="00BF4C1D">
          <w:rPr>
            <w:rFonts w:ascii="Times New Roman" w:hAnsi="Times New Roman" w:cs="Times New Roman"/>
          </w:rPr>
          <w:fldChar w:fldCharType="separate"/>
        </w:r>
        <w:r>
          <w:rPr>
            <w:rFonts w:ascii="Times New Roman" w:hAnsi="Times New Roman" w:cs="Times New Roman"/>
            <w:noProof/>
          </w:rPr>
          <w:t>1</w:t>
        </w:r>
        <w:r w:rsidRPr="00BF4C1D">
          <w:rPr>
            <w:rFonts w:ascii="Times New Roman" w:hAnsi="Times New Roman" w:cs="Times New Roman"/>
            <w:noProof/>
          </w:rPr>
          <w:fldChar w:fldCharType="end"/>
        </w:r>
      </w:p>
    </w:sdtContent>
  </w:sdt>
  <w:p w14:paraId="741A705D" w14:textId="77777777" w:rsidR="00735ADE" w:rsidRDefault="00735AD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B84F8" w14:textId="77777777" w:rsidR="00735ADE" w:rsidRDefault="00735A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ADE"/>
    <w:rsid w:val="005D0520"/>
    <w:rsid w:val="006B4560"/>
    <w:rsid w:val="00735ADE"/>
    <w:rsid w:val="00D44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FD13F"/>
  <w15:chartTrackingRefBased/>
  <w15:docId w15:val="{AF563E3F-C4FC-4C3D-A08F-2BDFD0E0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ADE"/>
    <w:rPr>
      <w:kern w:val="0"/>
      <w14:ligatures w14:val="none"/>
    </w:rPr>
  </w:style>
  <w:style w:type="paragraph" w:styleId="Heading1">
    <w:name w:val="heading 1"/>
    <w:basedOn w:val="Normal"/>
    <w:next w:val="Normal"/>
    <w:link w:val="Heading1Char"/>
    <w:uiPriority w:val="9"/>
    <w:qFormat/>
    <w:rsid w:val="00735ADE"/>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35ADE"/>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5ADE"/>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5ADE"/>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35ADE"/>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35ADE"/>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35ADE"/>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35ADE"/>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35ADE"/>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5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ADE"/>
    <w:rPr>
      <w:rFonts w:eastAsiaTheme="majorEastAsia" w:cstheme="majorBidi"/>
      <w:color w:val="272727" w:themeColor="text1" w:themeTint="D8"/>
    </w:rPr>
  </w:style>
  <w:style w:type="paragraph" w:styleId="Title">
    <w:name w:val="Title"/>
    <w:basedOn w:val="Normal"/>
    <w:next w:val="Normal"/>
    <w:link w:val="TitleChar"/>
    <w:uiPriority w:val="10"/>
    <w:qFormat/>
    <w:rsid w:val="00735A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5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ADE"/>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5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ADE"/>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35ADE"/>
    <w:rPr>
      <w:i/>
      <w:iCs/>
      <w:color w:val="404040" w:themeColor="text1" w:themeTint="BF"/>
    </w:rPr>
  </w:style>
  <w:style w:type="paragraph" w:styleId="ListParagraph">
    <w:name w:val="List Paragraph"/>
    <w:basedOn w:val="Normal"/>
    <w:uiPriority w:val="34"/>
    <w:qFormat/>
    <w:rsid w:val="00735ADE"/>
    <w:pPr>
      <w:ind w:left="720"/>
      <w:contextualSpacing/>
    </w:pPr>
    <w:rPr>
      <w:kern w:val="2"/>
      <w14:ligatures w14:val="standardContextual"/>
    </w:rPr>
  </w:style>
  <w:style w:type="character" w:styleId="IntenseEmphasis">
    <w:name w:val="Intense Emphasis"/>
    <w:basedOn w:val="DefaultParagraphFont"/>
    <w:uiPriority w:val="21"/>
    <w:qFormat/>
    <w:rsid w:val="00735ADE"/>
    <w:rPr>
      <w:i/>
      <w:iCs/>
      <w:color w:val="0F4761" w:themeColor="accent1" w:themeShade="BF"/>
    </w:rPr>
  </w:style>
  <w:style w:type="paragraph" w:styleId="IntenseQuote">
    <w:name w:val="Intense Quote"/>
    <w:basedOn w:val="Normal"/>
    <w:next w:val="Normal"/>
    <w:link w:val="IntenseQuoteChar"/>
    <w:uiPriority w:val="30"/>
    <w:qFormat/>
    <w:rsid w:val="00735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35ADE"/>
    <w:rPr>
      <w:i/>
      <w:iCs/>
      <w:color w:val="0F4761" w:themeColor="accent1" w:themeShade="BF"/>
    </w:rPr>
  </w:style>
  <w:style w:type="character" w:styleId="IntenseReference">
    <w:name w:val="Intense Reference"/>
    <w:basedOn w:val="DefaultParagraphFont"/>
    <w:uiPriority w:val="32"/>
    <w:qFormat/>
    <w:rsid w:val="00735ADE"/>
    <w:rPr>
      <w:b/>
      <w:bCs/>
      <w:smallCaps/>
      <w:color w:val="0F4761" w:themeColor="accent1" w:themeShade="BF"/>
      <w:spacing w:val="5"/>
    </w:rPr>
  </w:style>
  <w:style w:type="character" w:styleId="Hyperlink">
    <w:name w:val="Hyperlink"/>
    <w:basedOn w:val="DefaultParagraphFont"/>
    <w:uiPriority w:val="99"/>
    <w:unhideWhenUsed/>
    <w:rsid w:val="00735ADE"/>
    <w:rPr>
      <w:color w:val="467886" w:themeColor="hyperlink"/>
      <w:u w:val="single"/>
    </w:rPr>
  </w:style>
  <w:style w:type="table" w:styleId="TableGrid">
    <w:name w:val="Table Grid"/>
    <w:basedOn w:val="TableNormal"/>
    <w:uiPriority w:val="39"/>
    <w:rsid w:val="00735ADE"/>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35A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ADE"/>
    <w:rPr>
      <w:kern w:val="0"/>
      <w14:ligatures w14:val="none"/>
    </w:rPr>
  </w:style>
  <w:style w:type="paragraph" w:styleId="Footer">
    <w:name w:val="footer"/>
    <w:basedOn w:val="Normal"/>
    <w:link w:val="FooterChar"/>
    <w:uiPriority w:val="99"/>
    <w:unhideWhenUsed/>
    <w:rsid w:val="00735A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ADE"/>
    <w:rPr>
      <w:kern w:val="0"/>
      <w14:ligatures w14:val="none"/>
    </w:rPr>
  </w:style>
  <w:style w:type="paragraph" w:styleId="Revision">
    <w:name w:val="Revision"/>
    <w:hidden/>
    <w:uiPriority w:val="99"/>
    <w:semiHidden/>
    <w:rsid w:val="00735ADE"/>
    <w:pPr>
      <w:spacing w:after="0" w:line="240" w:lineRule="auto"/>
    </w:pPr>
    <w:rPr>
      <w:kern w:val="0"/>
      <w14:ligatures w14:val="none"/>
    </w:rPr>
  </w:style>
  <w:style w:type="character" w:customStyle="1" w:styleId="UnresolvedMention1">
    <w:name w:val="Unresolved Mention1"/>
    <w:basedOn w:val="DefaultParagraphFont"/>
    <w:uiPriority w:val="99"/>
    <w:semiHidden/>
    <w:unhideWhenUsed/>
    <w:rsid w:val="00735ADE"/>
    <w:rPr>
      <w:color w:val="605E5C"/>
      <w:shd w:val="clear" w:color="auto" w:fill="E1DFDD"/>
    </w:rPr>
  </w:style>
  <w:style w:type="paragraph" w:styleId="CommentText">
    <w:name w:val="annotation text"/>
    <w:basedOn w:val="Normal"/>
    <w:link w:val="CommentTextChar"/>
    <w:uiPriority w:val="99"/>
    <w:unhideWhenUsed/>
    <w:rsid w:val="00735ADE"/>
    <w:pPr>
      <w:spacing w:line="240" w:lineRule="auto"/>
    </w:pPr>
    <w:rPr>
      <w:sz w:val="20"/>
      <w:szCs w:val="20"/>
    </w:rPr>
  </w:style>
  <w:style w:type="character" w:customStyle="1" w:styleId="CommentTextChar">
    <w:name w:val="Comment Text Char"/>
    <w:basedOn w:val="DefaultParagraphFont"/>
    <w:link w:val="CommentText"/>
    <w:uiPriority w:val="99"/>
    <w:rsid w:val="00735ADE"/>
    <w:rPr>
      <w:kern w:val="0"/>
      <w:sz w:val="20"/>
      <w:szCs w:val="20"/>
      <w14:ligatures w14:val="none"/>
    </w:rPr>
  </w:style>
  <w:style w:type="character" w:styleId="CommentReference">
    <w:name w:val="annotation reference"/>
    <w:basedOn w:val="DefaultParagraphFont"/>
    <w:uiPriority w:val="99"/>
    <w:semiHidden/>
    <w:unhideWhenUsed/>
    <w:rsid w:val="00735ADE"/>
    <w:rPr>
      <w:sz w:val="16"/>
      <w:szCs w:val="16"/>
    </w:rPr>
  </w:style>
  <w:style w:type="character" w:styleId="FollowedHyperlink">
    <w:name w:val="FollowedHyperlink"/>
    <w:basedOn w:val="DefaultParagraphFont"/>
    <w:uiPriority w:val="99"/>
    <w:semiHidden/>
    <w:unhideWhenUsed/>
    <w:rsid w:val="00735ADE"/>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735ADE"/>
    <w:rPr>
      <w:b/>
      <w:bCs/>
    </w:rPr>
  </w:style>
  <w:style w:type="character" w:customStyle="1" w:styleId="CommentSubjectChar">
    <w:name w:val="Comment Subject Char"/>
    <w:basedOn w:val="CommentTextChar"/>
    <w:link w:val="CommentSubject"/>
    <w:uiPriority w:val="99"/>
    <w:semiHidden/>
    <w:rsid w:val="00735ADE"/>
    <w:rPr>
      <w:b/>
      <w:bCs/>
      <w:kern w:val="0"/>
      <w:sz w:val="20"/>
      <w:szCs w:val="20"/>
      <w14:ligatures w14:val="none"/>
    </w:rPr>
  </w:style>
  <w:style w:type="paragraph" w:styleId="BalloonText">
    <w:name w:val="Balloon Text"/>
    <w:basedOn w:val="Normal"/>
    <w:link w:val="BalloonTextChar"/>
    <w:uiPriority w:val="99"/>
    <w:semiHidden/>
    <w:unhideWhenUsed/>
    <w:rsid w:val="00735A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ADE"/>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735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147/AHMT.S76916" TargetMode="External"/><Relationship Id="rId18" Type="http://schemas.openxmlformats.org/officeDocument/2006/relationships/hyperlink" Target="https://doi.org/10.1037/sah0000104" TargetMode="External"/><Relationship Id="rId26" Type="http://schemas.openxmlformats.org/officeDocument/2006/relationships/hyperlink" Target="https://doi.org/10.1348/01446650360703366" TargetMode="External"/><Relationship Id="rId39" Type="http://schemas.openxmlformats.org/officeDocument/2006/relationships/hyperlink" Target="https://doi.org/10.1016/0010-0277(74)90017-1" TargetMode="External"/><Relationship Id="rId21" Type="http://schemas.openxmlformats.org/officeDocument/2006/relationships/hyperlink" Target="https://doi.org/10.2466/pr0.1989.64.1.251" TargetMode="External"/><Relationship Id="rId34" Type="http://schemas.openxmlformats.org/officeDocument/2006/relationships/hyperlink" Target="https://doi.org/10.1111/j.1600-0447.2006.00824.x" TargetMode="External"/><Relationship Id="rId42" Type="http://schemas.openxmlformats.org/officeDocument/2006/relationships/fontTable" Target="fontTable.xml"/><Relationship Id="rId7" Type="http://schemas.openxmlformats.org/officeDocument/2006/relationships/hyperlink" Target="https://osf.io/uaxdj/overview?view_only=e7205a8fc6924b0a907f6ce3747dfbaa" TargetMode="External"/><Relationship Id="rId2" Type="http://schemas.openxmlformats.org/officeDocument/2006/relationships/settings" Target="settings.xml"/><Relationship Id="rId16" Type="http://schemas.openxmlformats.org/officeDocument/2006/relationships/hyperlink" Target="https://doi.org/10.1146/annurev.psych.59.103006.093629" TargetMode="External"/><Relationship Id="rId20" Type="http://schemas.openxmlformats.org/officeDocument/2006/relationships/hyperlink" Target="https://doi.org/10.1080/1068316X.2025.2574904" TargetMode="External"/><Relationship Id="rId29" Type="http://schemas.openxmlformats.org/officeDocument/2006/relationships/hyperlink" Target="https://psycnet.apa.org/doi/10.1080/14789949.2016.1172658" TargetMode="External"/><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osf.io/uaxdj/overview?view_only=e7205a8fc6924b0a907f6ce3747dfbaa" TargetMode="External"/><Relationship Id="rId11" Type="http://schemas.openxmlformats.org/officeDocument/2006/relationships/hyperlink" Target="https://doi.org/10.1177%2F0963721410397282" TargetMode="External"/><Relationship Id="rId24" Type="http://schemas.openxmlformats.org/officeDocument/2006/relationships/hyperlink" Target="https://doi.org/10.1017/S1352465815000351" TargetMode="External"/><Relationship Id="rId32" Type="http://schemas.openxmlformats.org/officeDocument/2006/relationships/hyperlink" Target="https://doi.org/10.1126/science.aac4716" TargetMode="External"/><Relationship Id="rId37" Type="http://schemas.openxmlformats.org/officeDocument/2006/relationships/hyperlink" Target="http://channelmcgilchrist.info/wp-content/uploads/2022/01/Thomas-are-juries-fair.pdf" TargetMode="External"/><Relationship Id="rId40" Type="http://schemas.openxmlformats.org/officeDocument/2006/relationships/header" Target="header1.xml"/><Relationship Id="rId5" Type="http://schemas.openxmlformats.org/officeDocument/2006/relationships/hyperlink" Target="mailto:" TargetMode="External"/><Relationship Id="rId15" Type="http://schemas.openxmlformats.org/officeDocument/2006/relationships/hyperlink" Target="https://doi.org/10.1037/law0000006" TargetMode="External"/><Relationship Id="rId23" Type="http://schemas.openxmlformats.org/officeDocument/2006/relationships/hyperlink" Target="https://doi.org/10.1186/s13033-022-00558-3" TargetMode="External"/><Relationship Id="rId28" Type="http://schemas.openxmlformats.org/officeDocument/2006/relationships/hyperlink" Target="https://doi.org/10.1016/j.ijlp.2026.102197" TargetMode="External"/><Relationship Id="rId36" Type="http://schemas.openxmlformats.org/officeDocument/2006/relationships/hyperlink" Target="http://doi.org/10.1037/law0000217" TargetMode="External"/><Relationship Id="rId10" Type="http://schemas.openxmlformats.org/officeDocument/2006/relationships/hyperlink" Target="https://doi.org/10.1037/lhb0000317" TargetMode="External"/><Relationship Id="rId19" Type="http://schemas.openxmlformats.org/officeDocument/2006/relationships/hyperlink" Target="https://doi.org/10.1016/j.schres.2005.02.003" TargetMode="External"/><Relationship Id="rId31" Type="http://schemas.openxmlformats.org/officeDocument/2006/relationships/hyperlink" Target="https://www.prolific.com/" TargetMode="External"/><Relationship Id="rId4" Type="http://schemas.openxmlformats.org/officeDocument/2006/relationships/hyperlink" Target="mailto:p.beazley@uea.ac.uk" TargetMode="External"/><Relationship Id="rId9" Type="http://schemas.openxmlformats.org/officeDocument/2006/relationships/hyperlink" Target="https://doi.org/10.1080/13218719.2021.1938273" TargetMode="External"/><Relationship Id="rId14" Type="http://schemas.openxmlformats.org/officeDocument/2006/relationships/hyperlink" Target="https://doi.org/10.2307/1519806" TargetMode="External"/><Relationship Id="rId22" Type="http://schemas.openxmlformats.org/officeDocument/2006/relationships/hyperlink" Target="https://www.legislation.gov.uk/ukpga/1974/23/schedule/1" TargetMode="External"/><Relationship Id="rId27" Type="http://schemas.openxmlformats.org/officeDocument/2006/relationships/hyperlink" Target="https://doi.org/10.1521/pedi_2021_35_528" TargetMode="External"/><Relationship Id="rId30" Type="http://schemas.openxmlformats.org/officeDocument/2006/relationships/hyperlink" Target="https://eur01.safelinks.protection.outlook.com/?url=https%3A%2F%2Fdoi.org%2F10.1016%2Fj.ijlp.2015.08.008&amp;data=05%7C02%7CP.Beazley%40uea.ac.uk%7C08464f7dbb8244a3077508dcc9b1add4%7Cc65f8795ba3d43518a070865e5d8f090%7C0%7C0%7C638607012173722669%7CUnknown%7CTWFpbGZsb3d8eyJWIjoiMC4wLjAwMDAiLCJQIjoiV2luMzIiLCJBTiI6Ik1haWwiLCJXVCI6Mn0%3D%7C0%7C%7C%7C&amp;sdata=yJLg0xWYH%2F%2FZCaQpkUfr%2FVK1Zf9cEPnrbvdGn5U8ZN0%3D&amp;reserved=0" TargetMode="External"/><Relationship Id="rId35" Type="http://schemas.openxmlformats.org/officeDocument/2006/relationships/hyperlink" Target="https://doi.org/10.1177/13657127221150451" TargetMode="External"/><Relationship Id="rId43" Type="http://schemas.openxmlformats.org/officeDocument/2006/relationships/theme" Target="theme/theme1.xml"/><Relationship Id="rId8" Type="http://schemas.openxmlformats.org/officeDocument/2006/relationships/hyperlink" Target="https://osf.io/uaxdj/overview?view_only=e7205a8fc6924b0a907f6ce3747dfbaa" TargetMode="External"/><Relationship Id="rId3" Type="http://schemas.openxmlformats.org/officeDocument/2006/relationships/webSettings" Target="webSettings.xml"/><Relationship Id="rId12" Type="http://schemas.openxmlformats.org/officeDocument/2006/relationships/hyperlink" Target="https://doi.org/10.2975/32.2.2008.89.94" TargetMode="External"/><Relationship Id="rId17" Type="http://schemas.openxmlformats.org/officeDocument/2006/relationships/hyperlink" Target="https://doi.org/10.1111/j.1365-2850.2007.01036.x" TargetMode="External"/><Relationship Id="rId25" Type="http://schemas.openxmlformats.org/officeDocument/2006/relationships/hyperlink" Target="https://doi.org/10.1192/bjp.153.1.44" TargetMode="External"/><Relationship Id="rId33" Type="http://schemas.openxmlformats.org/officeDocument/2006/relationships/hyperlink" Target="https://doi.org/10.1016/S0895-4356(96)00236-3" TargetMode="External"/><Relationship Id="rId38" Type="http://schemas.openxmlformats.org/officeDocument/2006/relationships/hyperlink" Target="https://doi.org/10.1080/1068316X.2022.20728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8698</Words>
  <Characters>49582</Characters>
  <Application>Microsoft Office Word</Application>
  <DocSecurity>0</DocSecurity>
  <Lines>413</Lines>
  <Paragraphs>116</Paragraphs>
  <ScaleCrop>false</ScaleCrop>
  <Company/>
  <LinksUpToDate>false</LinksUpToDate>
  <CharactersWithSpaces>58164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Holmes</dc:creator>
  <cp:keywords/>
  <dc:description/>
  <cp:lastModifiedBy>Harriet Holmes</cp:lastModifiedBy>
  <cp:revision>2</cp:revision>
  <dcterms:created xsi:type="dcterms:W3CDTF">2026-07-10T15:10:00Z</dcterms:created>
  <dcterms:modified xsi:type="dcterms:W3CDTF">2026-07-10T15:10:00Z</dcterms:modified>
</cp:coreProperties>
</file>