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E6E21" w14:textId="1AB9A928" w:rsidR="00A0634B" w:rsidRPr="00D276FE" w:rsidRDefault="00143220" w:rsidP="00B032AC">
      <w:pPr>
        <w:pStyle w:val="Title"/>
        <w:spacing w:after="0" w:line="276" w:lineRule="auto"/>
        <w:rPr>
          <w:i w:val="0"/>
          <w:sz w:val="44"/>
        </w:rPr>
      </w:pPr>
      <w:r w:rsidRPr="00D276FE">
        <w:rPr>
          <w:i w:val="0"/>
          <w:sz w:val="44"/>
        </w:rPr>
        <w:t>Building user-driven climate adaptation products</w:t>
      </w:r>
    </w:p>
    <w:p w14:paraId="5B83C127" w14:textId="77777777" w:rsidR="00272444" w:rsidRPr="00D276FE" w:rsidRDefault="00272444" w:rsidP="00B032AC">
      <w:pPr>
        <w:spacing w:after="0" w:line="276" w:lineRule="auto"/>
        <w:ind w:firstLine="0"/>
        <w:rPr>
          <w:rFonts w:asciiTheme="majorHAnsi" w:hAnsiTheme="majorHAnsi"/>
        </w:rPr>
      </w:pPr>
    </w:p>
    <w:p w14:paraId="6895D4D9" w14:textId="1A136379" w:rsidR="00A0634B" w:rsidRPr="00D276FE" w:rsidRDefault="00143220" w:rsidP="00B032AC">
      <w:pPr>
        <w:spacing w:after="0" w:line="276" w:lineRule="auto"/>
        <w:ind w:firstLine="0"/>
        <w:rPr>
          <w:rFonts w:asciiTheme="majorHAnsi" w:hAnsiTheme="majorHAnsi"/>
          <w:vertAlign w:val="superscript"/>
        </w:rPr>
      </w:pPr>
      <w:r w:rsidRPr="00D276FE">
        <w:rPr>
          <w:rFonts w:asciiTheme="majorHAnsi" w:hAnsiTheme="majorHAnsi"/>
        </w:rPr>
        <w:t>Nabig A. Chaudhry</w:t>
      </w:r>
      <w:r w:rsidR="00A0634B" w:rsidRPr="00D276FE">
        <w:rPr>
          <w:rFonts w:asciiTheme="majorHAnsi" w:hAnsiTheme="majorHAnsi"/>
          <w:vertAlign w:val="superscript"/>
        </w:rPr>
        <w:t>1</w:t>
      </w:r>
      <w:r w:rsidR="00A0634B" w:rsidRPr="00D276FE">
        <w:rPr>
          <w:rFonts w:asciiTheme="majorHAnsi" w:hAnsiTheme="majorHAnsi"/>
        </w:rPr>
        <w:t xml:space="preserve">*, </w:t>
      </w:r>
      <w:r w:rsidRPr="00D276FE">
        <w:rPr>
          <w:rFonts w:asciiTheme="majorHAnsi" w:hAnsiTheme="majorHAnsi"/>
          <w:lang w:val="en-US"/>
        </w:rPr>
        <w:t>William D. Collins</w:t>
      </w:r>
      <w:r w:rsidRPr="00D276FE">
        <w:rPr>
          <w:rFonts w:asciiTheme="majorHAnsi" w:hAnsiTheme="majorHAnsi"/>
          <w:vertAlign w:val="superscript"/>
        </w:rPr>
        <w:t>2</w:t>
      </w:r>
      <w:r w:rsidR="00A0634B" w:rsidRPr="00D276FE">
        <w:rPr>
          <w:rFonts w:asciiTheme="majorHAnsi" w:hAnsiTheme="majorHAnsi"/>
        </w:rPr>
        <w:t xml:space="preserve">, </w:t>
      </w:r>
      <w:r w:rsidRPr="00D276FE">
        <w:rPr>
          <w:rFonts w:asciiTheme="majorHAnsi" w:hAnsiTheme="majorHAnsi"/>
          <w:lang w:val="en-US"/>
        </w:rPr>
        <w:t>David Anthoff</w:t>
      </w:r>
      <w:r w:rsidRPr="00D276FE">
        <w:rPr>
          <w:rFonts w:asciiTheme="majorHAnsi" w:hAnsiTheme="majorHAnsi"/>
          <w:vertAlign w:val="superscript"/>
        </w:rPr>
        <w:t>1</w:t>
      </w:r>
      <w:r w:rsidR="00A0634B" w:rsidRPr="00D276FE">
        <w:rPr>
          <w:rFonts w:asciiTheme="majorHAnsi" w:hAnsiTheme="majorHAnsi"/>
        </w:rPr>
        <w:t xml:space="preserve">, and </w:t>
      </w:r>
      <w:r w:rsidRPr="00D276FE">
        <w:rPr>
          <w:rFonts w:asciiTheme="majorHAnsi" w:hAnsiTheme="majorHAnsi"/>
          <w:lang w:val="en-US"/>
        </w:rPr>
        <w:t>Andrew D. Jones</w:t>
      </w:r>
      <w:r w:rsidR="00A0634B" w:rsidRPr="00D276FE">
        <w:rPr>
          <w:rFonts w:asciiTheme="majorHAnsi" w:hAnsiTheme="majorHAnsi"/>
          <w:vertAlign w:val="superscript"/>
        </w:rPr>
        <w:t>1</w:t>
      </w:r>
      <w:r w:rsidRPr="00D276FE">
        <w:rPr>
          <w:rFonts w:asciiTheme="majorHAnsi" w:hAnsiTheme="majorHAnsi"/>
          <w:vertAlign w:val="superscript"/>
        </w:rPr>
        <w:t>,2</w:t>
      </w:r>
    </w:p>
    <w:p w14:paraId="6D97C34C" w14:textId="77777777" w:rsidR="00B032AC" w:rsidRPr="00D276FE" w:rsidRDefault="00B032AC" w:rsidP="00B032AC">
      <w:pPr>
        <w:spacing w:after="0" w:line="276" w:lineRule="auto"/>
        <w:ind w:firstLine="0"/>
        <w:rPr>
          <w:rFonts w:asciiTheme="majorHAnsi" w:hAnsiTheme="majorHAnsi"/>
          <w:lang w:val="en-US"/>
        </w:rPr>
      </w:pPr>
    </w:p>
    <w:p w14:paraId="5713874F" w14:textId="2EC25FF5" w:rsidR="00A0634B" w:rsidRPr="00D276FE" w:rsidRDefault="00A0634B" w:rsidP="00B032AC">
      <w:pPr>
        <w:spacing w:after="0" w:line="276" w:lineRule="auto"/>
        <w:ind w:firstLine="0"/>
        <w:rPr>
          <w:rFonts w:asciiTheme="majorHAnsi" w:hAnsiTheme="majorHAnsi"/>
        </w:rPr>
      </w:pPr>
      <w:r w:rsidRPr="00D276FE">
        <w:rPr>
          <w:rFonts w:asciiTheme="majorHAnsi" w:hAnsiTheme="majorHAnsi"/>
          <w:vertAlign w:val="superscript"/>
        </w:rPr>
        <w:t>1</w:t>
      </w:r>
      <w:r w:rsidR="00B032AC" w:rsidRPr="00D276FE">
        <w:rPr>
          <w:rFonts w:asciiTheme="majorHAnsi" w:hAnsiTheme="majorHAnsi"/>
        </w:rPr>
        <w:t xml:space="preserve"> </w:t>
      </w:r>
      <w:r w:rsidR="00143220" w:rsidRPr="00D276FE">
        <w:rPr>
          <w:rFonts w:asciiTheme="majorHAnsi" w:hAnsiTheme="majorHAnsi"/>
        </w:rPr>
        <w:t>Energy and Resources Group, University of California, Berkeley, 345 Giannini Hall, Berkeley, CA, USA, 94720.</w:t>
      </w:r>
    </w:p>
    <w:p w14:paraId="22BA4675" w14:textId="6FEF0FE5" w:rsidR="00A0634B" w:rsidRPr="00D276FE" w:rsidRDefault="00B500DB" w:rsidP="00B032AC">
      <w:pPr>
        <w:spacing w:after="0" w:line="276" w:lineRule="auto"/>
        <w:ind w:firstLine="0"/>
        <w:rPr>
          <w:rFonts w:asciiTheme="majorHAnsi" w:hAnsiTheme="majorHAnsi"/>
          <w:vertAlign w:val="superscript"/>
        </w:rPr>
      </w:pPr>
      <w:r w:rsidRPr="00D276FE">
        <w:rPr>
          <w:rFonts w:asciiTheme="majorHAnsi" w:hAnsiTheme="majorHAnsi"/>
          <w:vertAlign w:val="superscript"/>
        </w:rPr>
        <w:t>2</w:t>
      </w:r>
      <w:r w:rsidR="00B032AC" w:rsidRPr="00D276FE">
        <w:rPr>
          <w:rFonts w:asciiTheme="majorHAnsi" w:hAnsiTheme="majorHAnsi"/>
        </w:rPr>
        <w:t xml:space="preserve"> </w:t>
      </w:r>
      <w:r w:rsidR="00143220" w:rsidRPr="00D276FE">
        <w:rPr>
          <w:rFonts w:asciiTheme="majorHAnsi" w:hAnsiTheme="majorHAnsi"/>
        </w:rPr>
        <w:t>Earth and Environmental Sciences, Lawrence Berkeley National Laboratory, 1 Cyclotron Road, Berkeley, CA, USA, 94720.</w:t>
      </w:r>
    </w:p>
    <w:p w14:paraId="7896748E" w14:textId="77777777" w:rsidR="00A0634B" w:rsidRPr="00D276FE" w:rsidRDefault="00A0634B" w:rsidP="00B032AC">
      <w:pPr>
        <w:spacing w:after="0" w:line="276" w:lineRule="auto"/>
        <w:ind w:firstLine="0"/>
        <w:rPr>
          <w:rFonts w:asciiTheme="majorHAnsi" w:hAnsiTheme="majorHAnsi"/>
        </w:rPr>
      </w:pPr>
    </w:p>
    <w:p w14:paraId="3F026B7D" w14:textId="3FF7CAA7" w:rsidR="00A0634B" w:rsidRPr="00D276FE" w:rsidRDefault="00A0634B" w:rsidP="00B032AC">
      <w:pPr>
        <w:spacing w:after="0" w:line="276" w:lineRule="auto"/>
        <w:ind w:firstLine="0"/>
        <w:rPr>
          <w:rFonts w:asciiTheme="majorHAnsi" w:hAnsiTheme="majorHAnsi"/>
        </w:rPr>
      </w:pPr>
      <w:r w:rsidRPr="00D276FE">
        <w:rPr>
          <w:rFonts w:asciiTheme="majorHAnsi" w:hAnsiTheme="majorHAnsi"/>
        </w:rPr>
        <w:t>*</w:t>
      </w:r>
      <w:r w:rsidR="00B032AC" w:rsidRPr="00D276FE">
        <w:rPr>
          <w:rFonts w:asciiTheme="majorHAnsi" w:hAnsiTheme="majorHAnsi"/>
        </w:rPr>
        <w:t xml:space="preserve"> </w:t>
      </w:r>
      <w:r w:rsidRPr="00D276FE">
        <w:rPr>
          <w:rFonts w:asciiTheme="majorHAnsi" w:hAnsiTheme="majorHAnsi"/>
        </w:rPr>
        <w:t xml:space="preserve">Corresponding author: </w:t>
      </w:r>
      <w:r w:rsidR="00143220" w:rsidRPr="00D276FE">
        <w:rPr>
          <w:rFonts w:asciiTheme="majorHAnsi" w:hAnsiTheme="majorHAnsi"/>
        </w:rPr>
        <w:t xml:space="preserve">Nabig A. Chaudhry </w:t>
      </w:r>
      <w:r w:rsidRPr="00D276FE">
        <w:rPr>
          <w:rFonts w:asciiTheme="majorHAnsi" w:hAnsiTheme="majorHAnsi"/>
        </w:rPr>
        <w:t>(</w:t>
      </w:r>
      <w:hyperlink r:id="rId8" w:history="1">
        <w:r w:rsidR="00143220" w:rsidRPr="00D276FE">
          <w:rPr>
            <w:rStyle w:val="Hyperlink"/>
            <w:rFonts w:asciiTheme="majorHAnsi" w:hAnsiTheme="majorHAnsi"/>
            <w:color w:val="0432FF"/>
          </w:rPr>
          <w:t>nabigac@berkeley.edu</w:t>
        </w:r>
      </w:hyperlink>
      <w:r w:rsidRPr="00D276FE">
        <w:rPr>
          <w:rFonts w:asciiTheme="majorHAnsi" w:hAnsiTheme="majorHAnsi"/>
        </w:rPr>
        <w:t>)</w:t>
      </w:r>
    </w:p>
    <w:p w14:paraId="5AE276A5" w14:textId="77777777" w:rsidR="00A0634B" w:rsidRPr="00D276FE" w:rsidRDefault="00A0634B" w:rsidP="004E7693">
      <w:pPr>
        <w:spacing w:before="120" w:after="120" w:line="240" w:lineRule="auto"/>
        <w:rPr>
          <w:rFonts w:asciiTheme="majorHAnsi" w:hAnsiTheme="majorHAnsi"/>
        </w:rPr>
      </w:pPr>
      <w:r w:rsidRPr="00D276FE">
        <w:rPr>
          <w:rFonts w:asciiTheme="majorHAnsi" w:hAnsiTheme="majorHAnsi"/>
        </w:rPr>
        <w:br w:type="page"/>
      </w:r>
    </w:p>
    <w:p w14:paraId="3CEE88C9" w14:textId="4650FA34" w:rsidR="007109A1" w:rsidRPr="00D276FE" w:rsidRDefault="008C027C" w:rsidP="004E7693">
      <w:pPr>
        <w:pStyle w:val="Heading1"/>
        <w:spacing w:before="120" w:after="120" w:line="240" w:lineRule="auto"/>
        <w:rPr>
          <w:i w:val="0"/>
        </w:rPr>
      </w:pPr>
      <w:r>
        <w:rPr>
          <w:i w:val="0"/>
        </w:rPr>
        <w:lastRenderedPageBreak/>
        <w:t>Summary</w:t>
      </w:r>
    </w:p>
    <w:p w14:paraId="26024FA1" w14:textId="1EC7BB08" w:rsidR="00A0634B" w:rsidRPr="00D276FE" w:rsidRDefault="00B032AC" w:rsidP="00B032AC">
      <w:pPr>
        <w:spacing w:after="0" w:line="276" w:lineRule="auto"/>
        <w:ind w:firstLine="0"/>
        <w:rPr>
          <w:rFonts w:asciiTheme="majorHAnsi" w:hAnsiTheme="majorHAnsi"/>
          <w:b/>
        </w:rPr>
      </w:pPr>
      <w:r w:rsidRPr="00D276FE">
        <w:rPr>
          <w:rFonts w:asciiTheme="majorHAnsi" w:hAnsiTheme="majorHAnsi"/>
          <w:b/>
        </w:rPr>
        <w:t>Climate adaptation products have traditionally been developed using a supply-driven model reliant on available climate information, leading to usability gaps</w:t>
      </w:r>
      <w:r w:rsidRPr="00D276FE">
        <w:rPr>
          <w:rFonts w:asciiTheme="majorHAnsi" w:hAnsiTheme="majorHAnsi"/>
          <w:b/>
          <w:color w:val="0432FF"/>
          <w:vertAlign w:val="superscript"/>
        </w:rPr>
        <w:t>1</w:t>
      </w:r>
      <w:r w:rsidR="004C44EA" w:rsidRPr="00D276FE">
        <w:rPr>
          <w:rFonts w:asciiTheme="majorHAnsi" w:hAnsiTheme="majorHAnsi"/>
          <w:b/>
          <w:color w:val="0432FF"/>
          <w:vertAlign w:val="superscript"/>
        </w:rPr>
        <w:t>-</w:t>
      </w:r>
      <w:r w:rsidRPr="00D276FE">
        <w:rPr>
          <w:rFonts w:asciiTheme="majorHAnsi" w:hAnsiTheme="majorHAnsi"/>
          <w:b/>
          <w:color w:val="0432FF"/>
          <w:vertAlign w:val="superscript"/>
        </w:rPr>
        <w:t>4</w:t>
      </w:r>
      <w:r w:rsidRPr="00D276FE">
        <w:rPr>
          <w:rFonts w:asciiTheme="majorHAnsi" w:hAnsiTheme="majorHAnsi"/>
          <w:b/>
        </w:rPr>
        <w:t>. To better meet user needs, the climate services field has recognized a need to shift towards a demand-driven model emphasizing co-production, that is, user-driven, scientifically informed products created through shared knowledge practices</w:t>
      </w:r>
      <w:r w:rsidRPr="00D276FE">
        <w:rPr>
          <w:rFonts w:asciiTheme="majorHAnsi" w:hAnsiTheme="majorHAnsi"/>
          <w:b/>
          <w:color w:val="0432FF"/>
          <w:vertAlign w:val="superscript"/>
        </w:rPr>
        <w:t>1</w:t>
      </w:r>
      <w:r w:rsidR="004C44EA" w:rsidRPr="00D276FE">
        <w:rPr>
          <w:rFonts w:asciiTheme="majorHAnsi" w:hAnsiTheme="majorHAnsi"/>
          <w:b/>
          <w:color w:val="0432FF"/>
          <w:vertAlign w:val="superscript"/>
        </w:rPr>
        <w:t>-</w:t>
      </w:r>
      <w:r w:rsidRPr="00D276FE">
        <w:rPr>
          <w:rFonts w:asciiTheme="majorHAnsi" w:hAnsiTheme="majorHAnsi"/>
          <w:b/>
          <w:color w:val="0432FF"/>
          <w:vertAlign w:val="superscript"/>
        </w:rPr>
        <w:t>5</w:t>
      </w:r>
      <w:r w:rsidRPr="00D276FE">
        <w:rPr>
          <w:rFonts w:asciiTheme="majorHAnsi" w:hAnsiTheme="majorHAnsi"/>
          <w:b/>
        </w:rPr>
        <w:t>. However, co-production can be challenging, especially for researchers unfamiliar with the approach or for digital and software-based products with complex user needs</w:t>
      </w:r>
      <w:r w:rsidRPr="00D276FE">
        <w:rPr>
          <w:rFonts w:asciiTheme="majorHAnsi" w:hAnsiTheme="majorHAnsi"/>
          <w:b/>
          <w:color w:val="0432FF"/>
          <w:vertAlign w:val="superscript"/>
        </w:rPr>
        <w:t>2, 5</w:t>
      </w:r>
      <w:r w:rsidR="004C44EA" w:rsidRPr="00D276FE">
        <w:rPr>
          <w:rFonts w:asciiTheme="majorHAnsi" w:hAnsiTheme="majorHAnsi"/>
          <w:b/>
          <w:color w:val="0432FF"/>
          <w:vertAlign w:val="superscript"/>
        </w:rPr>
        <w:t>-</w:t>
      </w:r>
      <w:r w:rsidRPr="00D276FE">
        <w:rPr>
          <w:rFonts w:asciiTheme="majorHAnsi" w:hAnsiTheme="majorHAnsi"/>
          <w:b/>
          <w:color w:val="0432FF"/>
          <w:vertAlign w:val="superscript"/>
        </w:rPr>
        <w:t>8</w:t>
      </w:r>
      <w:r w:rsidRPr="00D276FE">
        <w:rPr>
          <w:rFonts w:asciiTheme="majorHAnsi" w:hAnsiTheme="majorHAnsi"/>
          <w:b/>
        </w:rPr>
        <w:t>. User-centered design, from the human-computer interaction field, offers a process that could complement co-production approaches to product development, yet its potential remains underexplored</w:t>
      </w:r>
      <w:r w:rsidRPr="00D276FE">
        <w:rPr>
          <w:rFonts w:asciiTheme="majorHAnsi" w:hAnsiTheme="majorHAnsi"/>
          <w:b/>
          <w:color w:val="0432FF"/>
          <w:vertAlign w:val="superscript"/>
        </w:rPr>
        <w:t>2</w:t>
      </w:r>
      <w:r w:rsidRPr="00D276FE">
        <w:rPr>
          <w:rFonts w:asciiTheme="majorHAnsi" w:hAnsiTheme="majorHAnsi"/>
          <w:b/>
        </w:rPr>
        <w:t>. Here we show how user-centered design can integrate into</w:t>
      </w:r>
      <w:r w:rsidR="002D7193">
        <w:rPr>
          <w:rFonts w:asciiTheme="majorHAnsi" w:hAnsiTheme="majorHAnsi"/>
          <w:b/>
        </w:rPr>
        <w:t xml:space="preserve">, </w:t>
      </w:r>
      <w:r w:rsidRPr="00D276FE">
        <w:rPr>
          <w:rFonts w:asciiTheme="majorHAnsi" w:hAnsiTheme="majorHAnsi"/>
          <w:b/>
        </w:rPr>
        <w:t>and strengthen</w:t>
      </w:r>
      <w:r w:rsidR="002D7193">
        <w:rPr>
          <w:rFonts w:asciiTheme="majorHAnsi" w:hAnsiTheme="majorHAnsi"/>
          <w:b/>
        </w:rPr>
        <w:t xml:space="preserve">, </w:t>
      </w:r>
      <w:r w:rsidR="00AA4B81" w:rsidRPr="00AA4B81">
        <w:rPr>
          <w:rFonts w:asciiTheme="majorHAnsi" w:hAnsiTheme="majorHAnsi"/>
          <w:b/>
        </w:rPr>
        <w:t>co-production approaches for building user-driven climate adaptation products</w:t>
      </w:r>
      <w:r w:rsidRPr="00D276FE">
        <w:rPr>
          <w:rFonts w:asciiTheme="majorHAnsi" w:hAnsiTheme="majorHAnsi"/>
          <w:b/>
        </w:rPr>
        <w:t xml:space="preserve">. Through a systematic review of co-production and user-centered design literature, we identify key processes, mechanisms, and best practices for both approaches. Our findings offer practical guidance for researchers and propose an integrated approach for </w:t>
      </w:r>
      <w:r w:rsidR="00007266">
        <w:rPr>
          <w:rFonts w:asciiTheme="majorHAnsi" w:hAnsiTheme="majorHAnsi"/>
          <w:b/>
        </w:rPr>
        <w:t>developing</w:t>
      </w:r>
      <w:r w:rsidRPr="00D276FE">
        <w:rPr>
          <w:rFonts w:asciiTheme="majorHAnsi" w:hAnsiTheme="majorHAnsi"/>
          <w:b/>
        </w:rPr>
        <w:t xml:space="preserve"> climate adaptation products that are useful, usable, and used.</w:t>
      </w:r>
    </w:p>
    <w:p w14:paraId="1F7CE042" w14:textId="77777777" w:rsidR="004E7693" w:rsidRPr="00D276FE" w:rsidRDefault="004E7693" w:rsidP="004E7693">
      <w:pPr>
        <w:pStyle w:val="Heading1"/>
        <w:spacing w:before="120" w:after="120" w:line="240" w:lineRule="auto"/>
        <w:rPr>
          <w:i w:val="0"/>
        </w:rPr>
      </w:pPr>
    </w:p>
    <w:p w14:paraId="17449159" w14:textId="77777777" w:rsidR="0077661B" w:rsidRPr="00D276FE" w:rsidRDefault="0077661B">
      <w:pPr>
        <w:rPr>
          <w:rFonts w:asciiTheme="majorHAnsi" w:eastAsiaTheme="majorEastAsia" w:hAnsiTheme="majorHAnsi" w:cstheme="majorBidi"/>
          <w:b/>
          <w:bCs/>
          <w:iCs/>
          <w:sz w:val="32"/>
          <w:szCs w:val="32"/>
        </w:rPr>
      </w:pPr>
      <w:r w:rsidRPr="00D276FE">
        <w:rPr>
          <w:rFonts w:asciiTheme="majorHAnsi" w:hAnsiTheme="majorHAnsi"/>
          <w:i/>
        </w:rPr>
        <w:br w:type="page"/>
      </w:r>
    </w:p>
    <w:p w14:paraId="41B58757" w14:textId="5F7FEA16" w:rsidR="00E16906" w:rsidRPr="00D276FE" w:rsidRDefault="00B032AC" w:rsidP="004E7693">
      <w:pPr>
        <w:pStyle w:val="Heading1"/>
        <w:spacing w:before="120" w:after="120" w:line="240" w:lineRule="auto"/>
        <w:rPr>
          <w:i w:val="0"/>
        </w:rPr>
      </w:pPr>
      <w:r w:rsidRPr="00D276FE">
        <w:rPr>
          <w:i w:val="0"/>
        </w:rPr>
        <w:lastRenderedPageBreak/>
        <w:t>Main</w:t>
      </w:r>
      <w:r w:rsidR="007A3F9B" w:rsidRPr="00D276FE">
        <w:rPr>
          <w:i w:val="0"/>
        </w:rPr>
        <w:t xml:space="preserve"> text</w:t>
      </w:r>
    </w:p>
    <w:p w14:paraId="5BB9C612" w14:textId="3CBE0535" w:rsidR="00E21BA8" w:rsidRPr="00D276FE" w:rsidRDefault="00B032AC" w:rsidP="00B032AC">
      <w:pPr>
        <w:spacing w:after="0" w:line="276" w:lineRule="auto"/>
        <w:ind w:firstLine="0"/>
        <w:rPr>
          <w:rFonts w:asciiTheme="majorHAnsi" w:hAnsiTheme="majorHAnsi"/>
        </w:rPr>
      </w:pPr>
      <w:r w:rsidRPr="00D276FE">
        <w:rPr>
          <w:rFonts w:asciiTheme="majorHAnsi" w:hAnsiTheme="majorHAnsi"/>
        </w:rPr>
        <w:t>Climate change is reshaping societal and ecological systems, and with 2024 now the first full calendar year above 1.5°C since pre-industrial times, information that supports adaptation to climate risks is increasingly urgent</w:t>
      </w:r>
      <w:r w:rsidRPr="00D276FE">
        <w:rPr>
          <w:rFonts w:asciiTheme="majorHAnsi" w:hAnsiTheme="majorHAnsi"/>
          <w:color w:val="0432FF"/>
          <w:vertAlign w:val="superscript"/>
        </w:rPr>
        <w:t>9</w:t>
      </w:r>
      <w:r w:rsidR="004C44EA" w:rsidRPr="00D276FE">
        <w:rPr>
          <w:rFonts w:asciiTheme="majorHAnsi" w:hAnsiTheme="majorHAnsi"/>
          <w:color w:val="0432FF"/>
          <w:vertAlign w:val="superscript"/>
        </w:rPr>
        <w:t>-</w:t>
      </w:r>
      <w:r w:rsidRPr="00D276FE">
        <w:rPr>
          <w:rFonts w:asciiTheme="majorHAnsi" w:hAnsiTheme="majorHAnsi"/>
          <w:color w:val="0432FF"/>
          <w:vertAlign w:val="superscript"/>
        </w:rPr>
        <w:t>12</w:t>
      </w:r>
      <w:r w:rsidRPr="00D276FE">
        <w:rPr>
          <w:rFonts w:asciiTheme="majorHAnsi" w:hAnsiTheme="majorHAnsi"/>
        </w:rPr>
        <w:t>. This need has accelerated demand for climate services, products, and tools (“climate products”) that support climate-informed decisions</w:t>
      </w:r>
      <w:r w:rsidRPr="00D276FE">
        <w:rPr>
          <w:rFonts w:asciiTheme="majorHAnsi" w:hAnsiTheme="majorHAnsi"/>
          <w:color w:val="0432FF"/>
          <w:vertAlign w:val="superscript"/>
        </w:rPr>
        <w:t>1, 3</w:t>
      </w:r>
      <w:r w:rsidRPr="00D276FE">
        <w:rPr>
          <w:rFonts w:asciiTheme="majorHAnsi" w:hAnsiTheme="majorHAnsi"/>
        </w:rPr>
        <w:t>. Despite the growth of climate products, many have fallen short of initial expectations</w:t>
      </w:r>
      <w:r w:rsidRPr="00D276FE">
        <w:rPr>
          <w:rFonts w:asciiTheme="majorHAnsi" w:hAnsiTheme="majorHAnsi"/>
          <w:color w:val="0432FF"/>
          <w:vertAlign w:val="superscript"/>
        </w:rPr>
        <w:t>1, 13</w:t>
      </w:r>
      <w:r w:rsidR="004C44EA" w:rsidRPr="00D276FE">
        <w:rPr>
          <w:rFonts w:asciiTheme="majorHAnsi" w:hAnsiTheme="majorHAnsi"/>
          <w:color w:val="0432FF"/>
          <w:vertAlign w:val="superscript"/>
        </w:rPr>
        <w:t>-</w:t>
      </w:r>
      <w:r w:rsidRPr="00D276FE">
        <w:rPr>
          <w:rFonts w:asciiTheme="majorHAnsi" w:hAnsiTheme="majorHAnsi"/>
          <w:color w:val="0432FF"/>
          <w:vertAlign w:val="superscript"/>
        </w:rPr>
        <w:t>15</w:t>
      </w:r>
      <w:r w:rsidRPr="00D276FE">
        <w:rPr>
          <w:rFonts w:asciiTheme="majorHAnsi" w:hAnsiTheme="majorHAnsi"/>
        </w:rPr>
        <w:t>.</w:t>
      </w:r>
    </w:p>
    <w:p w14:paraId="2BF415F7" w14:textId="77777777" w:rsidR="00B032AC" w:rsidRPr="00D276FE" w:rsidRDefault="00B032AC" w:rsidP="00B032AC">
      <w:pPr>
        <w:spacing w:after="0" w:line="276" w:lineRule="auto"/>
        <w:ind w:firstLine="0"/>
        <w:rPr>
          <w:rFonts w:asciiTheme="majorHAnsi" w:hAnsiTheme="majorHAnsi"/>
        </w:rPr>
      </w:pPr>
    </w:p>
    <w:p w14:paraId="3F5110F8" w14:textId="0ADF41B5" w:rsidR="00B032AC" w:rsidRPr="00D276FE" w:rsidRDefault="00B032AC" w:rsidP="00B032AC">
      <w:pPr>
        <w:spacing w:after="0" w:line="276" w:lineRule="auto"/>
        <w:ind w:firstLine="0"/>
        <w:rPr>
          <w:rFonts w:asciiTheme="majorHAnsi" w:hAnsiTheme="majorHAnsi"/>
        </w:rPr>
      </w:pPr>
      <w:r w:rsidRPr="00D276FE">
        <w:rPr>
          <w:rFonts w:asciiTheme="majorHAnsi" w:hAnsiTheme="majorHAnsi"/>
        </w:rPr>
        <w:t>This partly reflects a one-directional, supply-driven model in which “developers” (often scientists and researchers) prioritize supplying better data and assume that more information will drive improved decision-making and action</w:t>
      </w:r>
      <w:r w:rsidRPr="00D276FE">
        <w:rPr>
          <w:rFonts w:asciiTheme="majorHAnsi" w:hAnsiTheme="majorHAnsi"/>
          <w:color w:val="0432FF"/>
          <w:vertAlign w:val="superscript"/>
        </w:rPr>
        <w:t>1, 2, 15, 16</w:t>
      </w:r>
      <w:r w:rsidRPr="00D276FE">
        <w:rPr>
          <w:rFonts w:asciiTheme="majorHAnsi" w:hAnsiTheme="majorHAnsi"/>
        </w:rPr>
        <w:t>. Supply-driven climate products are scientifically driven but typically misaligned with user needs and decision requirements, limiting uptake and use</w:t>
      </w:r>
      <w:r w:rsidRPr="00D276FE">
        <w:rPr>
          <w:rFonts w:asciiTheme="majorHAnsi" w:hAnsiTheme="majorHAnsi"/>
          <w:color w:val="0432FF"/>
          <w:vertAlign w:val="superscript"/>
        </w:rPr>
        <w:t>1, 2, 15, 17</w:t>
      </w:r>
      <w:r w:rsidRPr="00D276FE">
        <w:rPr>
          <w:rFonts w:asciiTheme="majorHAnsi" w:hAnsiTheme="majorHAnsi"/>
        </w:rPr>
        <w:t xml:space="preserve">. </w:t>
      </w:r>
    </w:p>
    <w:p w14:paraId="66A27C3F" w14:textId="77777777" w:rsidR="00B032AC" w:rsidRPr="00D276FE" w:rsidRDefault="00B032AC" w:rsidP="00B032AC">
      <w:pPr>
        <w:spacing w:after="0" w:line="276" w:lineRule="auto"/>
        <w:ind w:firstLine="0"/>
        <w:rPr>
          <w:rFonts w:asciiTheme="majorHAnsi" w:hAnsiTheme="majorHAnsi"/>
        </w:rPr>
      </w:pPr>
    </w:p>
    <w:p w14:paraId="539BA9DE" w14:textId="03E567E8" w:rsidR="00B032AC" w:rsidRPr="00D276FE" w:rsidRDefault="00B032AC" w:rsidP="00B032AC">
      <w:pPr>
        <w:spacing w:after="0" w:line="276" w:lineRule="auto"/>
        <w:ind w:firstLine="0"/>
        <w:rPr>
          <w:rFonts w:asciiTheme="majorHAnsi" w:hAnsiTheme="majorHAnsi"/>
        </w:rPr>
      </w:pPr>
      <w:r w:rsidRPr="00D276FE">
        <w:rPr>
          <w:rFonts w:asciiTheme="majorHAnsi" w:hAnsiTheme="majorHAnsi"/>
        </w:rPr>
        <w:t>The “usability gap” describes the mismatch between supplied information and what “users” of climate products need</w:t>
      </w:r>
      <w:r w:rsidRPr="00D276FE">
        <w:rPr>
          <w:rFonts w:asciiTheme="majorHAnsi" w:hAnsiTheme="majorHAnsi"/>
          <w:color w:val="0432FF"/>
          <w:vertAlign w:val="superscript"/>
        </w:rPr>
        <w:t>2, 4, 18</w:t>
      </w:r>
      <w:r w:rsidRPr="00D276FE">
        <w:rPr>
          <w:rFonts w:asciiTheme="majorHAnsi" w:hAnsiTheme="majorHAnsi"/>
        </w:rPr>
        <w:t>. The usability gap for climate products is exacerbated by fragmented product development across organizations and by diverse users and stakeholders with varying expertise and decision needs</w:t>
      </w:r>
      <w:r w:rsidRPr="00D276FE">
        <w:rPr>
          <w:rFonts w:asciiTheme="majorHAnsi" w:hAnsiTheme="majorHAnsi"/>
          <w:color w:val="0432FF"/>
          <w:vertAlign w:val="superscript"/>
        </w:rPr>
        <w:t>1, 4, 19, 20</w:t>
      </w:r>
      <w:r w:rsidRPr="00D276FE">
        <w:rPr>
          <w:rFonts w:asciiTheme="majorHAnsi" w:hAnsiTheme="majorHAnsi"/>
        </w:rPr>
        <w:t>. Here, “stakeholders” are those who impact or are impacted by the decisions and processes relevant to a climate product, and they often, but not always, overlap with users</w:t>
      </w:r>
      <w:r w:rsidRPr="00D276FE">
        <w:rPr>
          <w:rFonts w:asciiTheme="majorHAnsi" w:hAnsiTheme="majorHAnsi"/>
          <w:color w:val="0432FF"/>
          <w:vertAlign w:val="superscript"/>
        </w:rPr>
        <w:t>21</w:t>
      </w:r>
      <w:r w:rsidRPr="00D276FE">
        <w:rPr>
          <w:rFonts w:asciiTheme="majorHAnsi" w:hAnsiTheme="majorHAnsi"/>
        </w:rPr>
        <w:t xml:space="preserve">. </w:t>
      </w:r>
    </w:p>
    <w:p w14:paraId="7AFDDED5" w14:textId="77777777" w:rsidR="00B032AC" w:rsidRPr="00D276FE" w:rsidRDefault="00B032AC" w:rsidP="00B032AC">
      <w:pPr>
        <w:spacing w:after="0" w:line="276" w:lineRule="auto"/>
        <w:ind w:firstLine="0"/>
        <w:rPr>
          <w:rFonts w:asciiTheme="majorHAnsi" w:hAnsiTheme="majorHAnsi"/>
        </w:rPr>
      </w:pPr>
    </w:p>
    <w:p w14:paraId="44CC5BAB" w14:textId="5A1BCD1E" w:rsidR="00B032AC" w:rsidRPr="00D276FE" w:rsidRDefault="00B032AC" w:rsidP="00B032AC">
      <w:pPr>
        <w:spacing w:after="0" w:line="276" w:lineRule="auto"/>
        <w:ind w:firstLine="0"/>
        <w:rPr>
          <w:rFonts w:asciiTheme="majorHAnsi" w:hAnsiTheme="majorHAnsi"/>
        </w:rPr>
      </w:pPr>
      <w:r w:rsidRPr="00D276FE">
        <w:rPr>
          <w:rFonts w:asciiTheme="majorHAnsi" w:hAnsiTheme="majorHAnsi"/>
        </w:rPr>
        <w:t>Climate products that support adjustment to climate change (“climate adaptation products”) face added challenges in supporting user understanding and communicating uncertainty in forward-looking climate data</w:t>
      </w:r>
      <w:r w:rsidRPr="00D276FE">
        <w:rPr>
          <w:rFonts w:asciiTheme="majorHAnsi" w:hAnsiTheme="majorHAnsi"/>
          <w:color w:val="0432FF"/>
          <w:vertAlign w:val="superscript"/>
        </w:rPr>
        <w:t>8, 22</w:t>
      </w:r>
      <w:r w:rsidRPr="00D276FE">
        <w:rPr>
          <w:rFonts w:asciiTheme="majorHAnsi" w:hAnsiTheme="majorHAnsi"/>
        </w:rPr>
        <w:t>. Consistent with these challenges, prior research suggests that climate adaptation products often fall short in supporting adaptation planning and decisions due to a usability gap</w:t>
      </w:r>
      <w:r w:rsidRPr="00D276FE">
        <w:rPr>
          <w:rFonts w:asciiTheme="majorHAnsi" w:hAnsiTheme="majorHAnsi"/>
          <w:color w:val="0432FF"/>
          <w:vertAlign w:val="superscript"/>
        </w:rPr>
        <w:t>23</w:t>
      </w:r>
      <w:r w:rsidRPr="00D276FE">
        <w:rPr>
          <w:rFonts w:asciiTheme="majorHAnsi" w:hAnsiTheme="majorHAnsi"/>
        </w:rPr>
        <w:t xml:space="preserve">. </w:t>
      </w:r>
    </w:p>
    <w:p w14:paraId="7981777B" w14:textId="77777777" w:rsidR="00B032AC" w:rsidRPr="00D276FE" w:rsidRDefault="00B032AC" w:rsidP="00B032AC">
      <w:pPr>
        <w:spacing w:after="0" w:line="276" w:lineRule="auto"/>
        <w:ind w:firstLine="0"/>
        <w:rPr>
          <w:rFonts w:asciiTheme="majorHAnsi" w:hAnsiTheme="majorHAnsi"/>
        </w:rPr>
      </w:pPr>
    </w:p>
    <w:p w14:paraId="632789F4" w14:textId="4C8DD001" w:rsidR="00B032AC" w:rsidRPr="00D276FE" w:rsidRDefault="00B032AC" w:rsidP="00B032AC">
      <w:pPr>
        <w:spacing w:after="0" w:line="276" w:lineRule="auto"/>
        <w:ind w:firstLine="0"/>
        <w:rPr>
          <w:rFonts w:asciiTheme="majorHAnsi" w:hAnsiTheme="majorHAnsi"/>
        </w:rPr>
      </w:pPr>
      <w:r w:rsidRPr="00D276FE">
        <w:rPr>
          <w:rFonts w:asciiTheme="majorHAnsi" w:hAnsiTheme="majorHAnsi"/>
        </w:rPr>
        <w:t>To address this usability gap, climate product development is increasingly shifting toward a demand-driven model that builds around user needs to deliver scientifically informed products that are useful, usable, and used</w:t>
      </w:r>
      <w:r w:rsidRPr="00D276FE">
        <w:rPr>
          <w:rFonts w:asciiTheme="majorHAnsi" w:hAnsiTheme="majorHAnsi"/>
          <w:color w:val="0432FF"/>
          <w:vertAlign w:val="superscript"/>
        </w:rPr>
        <w:t>1, 15, 24</w:t>
      </w:r>
      <w:r w:rsidRPr="00D276FE">
        <w:rPr>
          <w:rFonts w:asciiTheme="majorHAnsi" w:hAnsiTheme="majorHAnsi"/>
        </w:rPr>
        <w:t>. Research on building user-driven climate products, particularly in climate services, has converged on the transdisciplinary theory of co-production</w:t>
      </w:r>
      <w:r w:rsidRPr="00D276FE">
        <w:rPr>
          <w:rFonts w:asciiTheme="majorHAnsi" w:hAnsiTheme="majorHAnsi"/>
          <w:color w:val="0432FF"/>
          <w:vertAlign w:val="superscript"/>
        </w:rPr>
        <w:t>3, 4, 7, 25</w:t>
      </w:r>
      <w:r w:rsidR="004C44EA" w:rsidRPr="00D276FE">
        <w:rPr>
          <w:rFonts w:asciiTheme="majorHAnsi" w:hAnsiTheme="majorHAnsi"/>
          <w:color w:val="0432FF"/>
          <w:vertAlign w:val="superscript"/>
        </w:rPr>
        <w:t>-</w:t>
      </w:r>
      <w:r w:rsidRPr="00D276FE">
        <w:rPr>
          <w:rFonts w:asciiTheme="majorHAnsi" w:hAnsiTheme="majorHAnsi"/>
          <w:color w:val="0432FF"/>
          <w:vertAlign w:val="superscript"/>
        </w:rPr>
        <w:t>27</w:t>
      </w:r>
      <w:r w:rsidRPr="00D276FE">
        <w:rPr>
          <w:rFonts w:asciiTheme="majorHAnsi" w:hAnsiTheme="majorHAnsi"/>
        </w:rPr>
        <w:t>. Co-production encompasses a broad concept of engagement anchored in joint knowledge creation and problem-solving</w:t>
      </w:r>
      <w:r w:rsidRPr="00D276FE">
        <w:rPr>
          <w:rFonts w:asciiTheme="majorHAnsi" w:hAnsiTheme="majorHAnsi"/>
          <w:color w:val="0432FF"/>
          <w:vertAlign w:val="superscript"/>
        </w:rPr>
        <w:t>6, 13, 27, 28</w:t>
      </w:r>
      <w:r w:rsidRPr="00D276FE">
        <w:rPr>
          <w:rFonts w:asciiTheme="majorHAnsi" w:hAnsiTheme="majorHAnsi"/>
        </w:rPr>
        <w:t>. In practice, co-production is applied flexibly, enabling it to fit specific contexts and draw from other disciplines</w:t>
      </w:r>
      <w:r w:rsidRPr="00D276FE">
        <w:rPr>
          <w:rFonts w:asciiTheme="majorHAnsi" w:hAnsiTheme="majorHAnsi"/>
          <w:color w:val="0432FF"/>
          <w:vertAlign w:val="superscript"/>
        </w:rPr>
        <w:t>5, 6, 25, 29</w:t>
      </w:r>
      <w:r w:rsidRPr="00D276FE">
        <w:rPr>
          <w:rFonts w:asciiTheme="majorHAnsi" w:hAnsiTheme="majorHAnsi"/>
        </w:rPr>
        <w:t xml:space="preserve">. </w:t>
      </w:r>
    </w:p>
    <w:p w14:paraId="156577AF" w14:textId="77777777" w:rsidR="00B032AC" w:rsidRPr="00D276FE" w:rsidRDefault="00B032AC" w:rsidP="00B032AC">
      <w:pPr>
        <w:spacing w:after="0" w:line="276" w:lineRule="auto"/>
        <w:ind w:firstLine="0"/>
        <w:rPr>
          <w:rFonts w:asciiTheme="majorHAnsi" w:hAnsiTheme="majorHAnsi"/>
        </w:rPr>
      </w:pPr>
    </w:p>
    <w:p w14:paraId="6F902BDA" w14:textId="1FCAAF30" w:rsidR="00B032AC" w:rsidRPr="00D276FE" w:rsidRDefault="00B032AC" w:rsidP="00B032AC">
      <w:pPr>
        <w:spacing w:after="0" w:line="276" w:lineRule="auto"/>
        <w:ind w:firstLine="0"/>
        <w:rPr>
          <w:rFonts w:asciiTheme="majorHAnsi" w:hAnsiTheme="majorHAnsi"/>
        </w:rPr>
      </w:pPr>
      <w:r w:rsidRPr="00D276FE">
        <w:rPr>
          <w:rFonts w:asciiTheme="majorHAnsi" w:hAnsiTheme="majorHAnsi"/>
        </w:rPr>
        <w:t>One conception of co-production is a narrower, more normative approach focused on developing usable products through an iterative, interactive process</w:t>
      </w:r>
      <w:r w:rsidRPr="00D276FE">
        <w:rPr>
          <w:rFonts w:asciiTheme="majorHAnsi" w:hAnsiTheme="majorHAnsi"/>
          <w:color w:val="0432FF"/>
          <w:vertAlign w:val="superscript"/>
        </w:rPr>
        <w:t>5, 29</w:t>
      </w:r>
      <w:r w:rsidRPr="00D276FE">
        <w:rPr>
          <w:rFonts w:asciiTheme="majorHAnsi" w:hAnsiTheme="majorHAnsi"/>
        </w:rPr>
        <w:t>. However, applying co-production for building user-driven climate adaptation products can be difficult because the theory is broad and offers limited guidance for context-specific implementation</w:t>
      </w:r>
      <w:r w:rsidRPr="00D276FE">
        <w:rPr>
          <w:rFonts w:asciiTheme="majorHAnsi" w:hAnsiTheme="majorHAnsi"/>
          <w:color w:val="0432FF"/>
          <w:vertAlign w:val="superscript"/>
        </w:rPr>
        <w:t>5, 30, 31</w:t>
      </w:r>
      <w:r w:rsidRPr="00D276FE">
        <w:rPr>
          <w:rFonts w:asciiTheme="majorHAnsi" w:hAnsiTheme="majorHAnsi"/>
        </w:rPr>
        <w:t>. This is especially true for developers new to co-production or those building digital or software-based climate adaptation products, as these products face distinct usability, visualization, technical, and data constraints</w:t>
      </w:r>
      <w:r w:rsidRPr="00D276FE">
        <w:rPr>
          <w:rFonts w:asciiTheme="majorHAnsi" w:hAnsiTheme="majorHAnsi"/>
          <w:color w:val="0432FF"/>
          <w:vertAlign w:val="superscript"/>
        </w:rPr>
        <w:t>8, 16, 20, 32</w:t>
      </w:r>
      <w:r w:rsidRPr="00D276FE">
        <w:rPr>
          <w:rFonts w:asciiTheme="majorHAnsi" w:hAnsiTheme="majorHAnsi"/>
        </w:rPr>
        <w:t>. With climate services still emerging and standards limited, there is an opportunity to assess co-production approaches for climate adaptation product development and test complementary approaches, especially for digital and software-based products</w:t>
      </w:r>
      <w:r w:rsidRPr="00D276FE">
        <w:rPr>
          <w:rFonts w:asciiTheme="majorHAnsi" w:hAnsiTheme="majorHAnsi"/>
          <w:color w:val="0432FF"/>
          <w:vertAlign w:val="superscript"/>
        </w:rPr>
        <w:t>29, 30</w:t>
      </w:r>
      <w:r w:rsidRPr="00D276FE">
        <w:rPr>
          <w:rFonts w:asciiTheme="majorHAnsi" w:hAnsiTheme="majorHAnsi"/>
        </w:rPr>
        <w:t xml:space="preserve">. </w:t>
      </w:r>
    </w:p>
    <w:p w14:paraId="5CE9951D" w14:textId="77777777" w:rsidR="00B032AC" w:rsidRPr="00D276FE" w:rsidRDefault="00B032AC" w:rsidP="00B032AC">
      <w:pPr>
        <w:spacing w:after="0" w:line="276" w:lineRule="auto"/>
        <w:ind w:firstLine="0"/>
        <w:rPr>
          <w:rFonts w:asciiTheme="majorHAnsi" w:hAnsiTheme="majorHAnsi"/>
        </w:rPr>
      </w:pPr>
    </w:p>
    <w:p w14:paraId="1146E35E" w14:textId="3B7A0A20" w:rsidR="00B032AC" w:rsidRPr="00D276FE" w:rsidRDefault="00B032AC" w:rsidP="00B032AC">
      <w:pPr>
        <w:spacing w:after="0" w:line="276" w:lineRule="auto"/>
        <w:ind w:firstLine="0"/>
        <w:rPr>
          <w:rFonts w:asciiTheme="majorHAnsi" w:hAnsiTheme="majorHAnsi"/>
        </w:rPr>
      </w:pPr>
      <w:r w:rsidRPr="00D276FE">
        <w:rPr>
          <w:rFonts w:asciiTheme="majorHAnsi" w:hAnsiTheme="majorHAnsi"/>
        </w:rPr>
        <w:t xml:space="preserve">Human-computer interaction, an interdisciplinary computer science field that studies how users interact with technology, has seen limited crossover with climate services but could offer </w:t>
      </w:r>
      <w:r w:rsidRPr="00D276FE">
        <w:rPr>
          <w:rFonts w:asciiTheme="majorHAnsi" w:hAnsiTheme="majorHAnsi"/>
        </w:rPr>
        <w:lastRenderedPageBreak/>
        <w:t>valuable lessons for building digital and software-based climate adaptation products</w:t>
      </w:r>
      <w:r w:rsidRPr="00D276FE">
        <w:rPr>
          <w:rFonts w:asciiTheme="majorHAnsi" w:hAnsiTheme="majorHAnsi"/>
          <w:color w:val="0432FF"/>
          <w:vertAlign w:val="superscript"/>
        </w:rPr>
        <w:t>2, 14, 33</w:t>
      </w:r>
      <w:r w:rsidRPr="00D276FE">
        <w:rPr>
          <w:rFonts w:asciiTheme="majorHAnsi" w:hAnsiTheme="majorHAnsi"/>
        </w:rPr>
        <w:t>. Approaches within the field overlap with co-production and reflect a long tradition of user-oriented research and pragmatic design</w:t>
      </w:r>
      <w:r w:rsidRPr="00D276FE">
        <w:rPr>
          <w:rFonts w:asciiTheme="majorHAnsi" w:hAnsiTheme="majorHAnsi"/>
          <w:color w:val="0432FF"/>
          <w:vertAlign w:val="superscript"/>
        </w:rPr>
        <w:t>2</w:t>
      </w:r>
      <w:r w:rsidRPr="00D276FE">
        <w:rPr>
          <w:rFonts w:asciiTheme="majorHAnsi" w:hAnsiTheme="majorHAnsi"/>
        </w:rPr>
        <w:t xml:space="preserve">. </w:t>
      </w:r>
    </w:p>
    <w:p w14:paraId="30627265" w14:textId="77777777" w:rsidR="00B032AC" w:rsidRPr="00D276FE" w:rsidRDefault="00B032AC" w:rsidP="00B032AC">
      <w:pPr>
        <w:spacing w:after="0" w:line="276" w:lineRule="auto"/>
        <w:ind w:firstLine="0"/>
        <w:rPr>
          <w:rFonts w:asciiTheme="majorHAnsi" w:hAnsiTheme="majorHAnsi"/>
        </w:rPr>
      </w:pPr>
    </w:p>
    <w:p w14:paraId="52188462" w14:textId="16CA872E" w:rsidR="00B032AC" w:rsidRPr="00D276FE" w:rsidRDefault="00B032AC" w:rsidP="00B032AC">
      <w:pPr>
        <w:spacing w:after="0" w:line="276" w:lineRule="auto"/>
        <w:ind w:firstLine="0"/>
        <w:rPr>
          <w:rFonts w:asciiTheme="majorHAnsi" w:hAnsiTheme="majorHAnsi"/>
        </w:rPr>
      </w:pPr>
      <w:r w:rsidRPr="00D276FE">
        <w:rPr>
          <w:rFonts w:asciiTheme="majorHAnsi" w:hAnsiTheme="majorHAnsi"/>
        </w:rPr>
        <w:t>User-centered design is a human-computer interaction approach that incorporates users throughout product development</w:t>
      </w:r>
      <w:r w:rsidRPr="00D276FE">
        <w:rPr>
          <w:rFonts w:asciiTheme="majorHAnsi" w:hAnsiTheme="majorHAnsi"/>
          <w:color w:val="0432FF"/>
          <w:vertAlign w:val="superscript"/>
        </w:rPr>
        <w:t>2, 8</w:t>
      </w:r>
      <w:r w:rsidRPr="00D276FE">
        <w:rPr>
          <w:rFonts w:asciiTheme="majorHAnsi" w:hAnsiTheme="majorHAnsi"/>
        </w:rPr>
        <w:t>. Used in the technology industry for decades, it encompasses practical mechanisms and practices across the product development process, from ideation to evaluation</w:t>
      </w:r>
      <w:r w:rsidRPr="00D276FE">
        <w:rPr>
          <w:rFonts w:asciiTheme="majorHAnsi" w:hAnsiTheme="majorHAnsi"/>
          <w:color w:val="0432FF"/>
          <w:vertAlign w:val="superscript"/>
        </w:rPr>
        <w:t>2, 14</w:t>
      </w:r>
      <w:r w:rsidRPr="00D276FE">
        <w:rPr>
          <w:rFonts w:asciiTheme="majorHAnsi" w:hAnsiTheme="majorHAnsi"/>
        </w:rPr>
        <w:t>. For climate adaptation products, user-centered design can support building products that help users interpret scientific information, navigate uncertainty, and make informed long-term decisions</w:t>
      </w:r>
      <w:r w:rsidRPr="00D276FE">
        <w:rPr>
          <w:rFonts w:asciiTheme="majorHAnsi" w:hAnsiTheme="majorHAnsi"/>
          <w:color w:val="0432FF"/>
          <w:vertAlign w:val="superscript"/>
        </w:rPr>
        <w:t>2</w:t>
      </w:r>
      <w:r w:rsidRPr="00D276FE">
        <w:rPr>
          <w:rFonts w:asciiTheme="majorHAnsi" w:hAnsiTheme="majorHAnsi"/>
        </w:rPr>
        <w:t xml:space="preserve">. </w:t>
      </w:r>
    </w:p>
    <w:p w14:paraId="16F6F4E7" w14:textId="77777777" w:rsidR="00B032AC" w:rsidRPr="00D276FE" w:rsidRDefault="00B032AC" w:rsidP="00B032AC">
      <w:pPr>
        <w:spacing w:after="0" w:line="276" w:lineRule="auto"/>
        <w:ind w:firstLine="0"/>
        <w:rPr>
          <w:rFonts w:asciiTheme="majorHAnsi" w:hAnsiTheme="majorHAnsi"/>
        </w:rPr>
      </w:pPr>
    </w:p>
    <w:p w14:paraId="6B586773" w14:textId="00C33C69" w:rsidR="00B032AC" w:rsidRPr="00D276FE" w:rsidRDefault="00B032AC" w:rsidP="00B032AC">
      <w:pPr>
        <w:spacing w:after="0" w:line="276" w:lineRule="auto"/>
        <w:ind w:firstLine="0"/>
        <w:rPr>
          <w:rFonts w:asciiTheme="majorHAnsi" w:hAnsiTheme="majorHAnsi"/>
        </w:rPr>
      </w:pPr>
      <w:r w:rsidRPr="00D276FE">
        <w:rPr>
          <w:rFonts w:asciiTheme="majorHAnsi" w:hAnsiTheme="majorHAnsi"/>
        </w:rPr>
        <w:t>Co-production approaches to product development could benefit from integrating user-centered design processes, mechanisms, and practices</w:t>
      </w:r>
      <w:r w:rsidRPr="00D276FE">
        <w:rPr>
          <w:rFonts w:asciiTheme="majorHAnsi" w:hAnsiTheme="majorHAnsi"/>
          <w:color w:val="0432FF"/>
          <w:vertAlign w:val="superscript"/>
        </w:rPr>
        <w:t>2</w:t>
      </w:r>
      <w:r w:rsidRPr="00D276FE">
        <w:rPr>
          <w:rFonts w:asciiTheme="majorHAnsi" w:hAnsiTheme="majorHAnsi"/>
        </w:rPr>
        <w:t>. This integration can facilitate a more user-driven process, address distinct challenges in building digital and software-based climate adaptation products, and provide developers with more practical, flexible guidance</w:t>
      </w:r>
      <w:r w:rsidRPr="00D276FE">
        <w:rPr>
          <w:rFonts w:asciiTheme="majorHAnsi" w:hAnsiTheme="majorHAnsi"/>
          <w:color w:val="0432FF"/>
          <w:vertAlign w:val="superscript"/>
        </w:rPr>
        <w:t>2</w:t>
      </w:r>
      <w:r w:rsidRPr="00D276FE">
        <w:rPr>
          <w:rFonts w:asciiTheme="majorHAnsi" w:hAnsiTheme="majorHAnsi"/>
        </w:rPr>
        <w:t xml:space="preserve">. </w:t>
      </w:r>
    </w:p>
    <w:p w14:paraId="568C268E" w14:textId="77777777" w:rsidR="00B032AC" w:rsidRPr="00D276FE" w:rsidRDefault="00B032AC" w:rsidP="00B032AC">
      <w:pPr>
        <w:spacing w:after="0" w:line="276" w:lineRule="auto"/>
        <w:ind w:firstLine="0"/>
        <w:rPr>
          <w:rFonts w:asciiTheme="majorHAnsi" w:hAnsiTheme="majorHAnsi"/>
        </w:rPr>
      </w:pPr>
    </w:p>
    <w:p w14:paraId="3C87E27D" w14:textId="4DC3174B" w:rsidR="00B032AC" w:rsidRPr="00D276FE" w:rsidRDefault="00B032AC" w:rsidP="00B032AC">
      <w:pPr>
        <w:spacing w:after="0" w:line="276" w:lineRule="auto"/>
        <w:ind w:firstLine="0"/>
        <w:rPr>
          <w:rFonts w:asciiTheme="majorHAnsi" w:hAnsiTheme="majorHAnsi"/>
        </w:rPr>
      </w:pPr>
      <w:r w:rsidRPr="00D276FE">
        <w:rPr>
          <w:rFonts w:asciiTheme="majorHAnsi" w:hAnsiTheme="majorHAnsi"/>
        </w:rPr>
        <w:t>In this Analysis, we systematically review co-production and user-centered design approaches to climate adaptation product development, distilling key processes, mechanisms, and practices. We then use this mapping to identify an integration framework and show how an integrated approach can support user-driven development of digital and software-based climate adaptation products.</w:t>
      </w:r>
    </w:p>
    <w:p w14:paraId="77C7057E" w14:textId="77777777" w:rsidR="00C438DA" w:rsidRPr="00D276FE" w:rsidRDefault="00C438DA" w:rsidP="00B032AC">
      <w:pPr>
        <w:spacing w:after="0" w:line="276" w:lineRule="auto"/>
        <w:ind w:firstLine="0"/>
        <w:rPr>
          <w:rFonts w:asciiTheme="majorHAnsi" w:hAnsiTheme="majorHAnsi"/>
        </w:rPr>
      </w:pPr>
    </w:p>
    <w:p w14:paraId="647A6580" w14:textId="1BF943FB" w:rsidR="00C438DA" w:rsidRPr="00D276FE" w:rsidRDefault="00C438DA" w:rsidP="00B032AC">
      <w:pPr>
        <w:spacing w:after="0" w:line="276" w:lineRule="auto"/>
        <w:ind w:firstLine="0"/>
        <w:rPr>
          <w:rFonts w:asciiTheme="majorHAnsi" w:hAnsiTheme="majorHAnsi"/>
          <w:b/>
          <w:bCs/>
          <w:i/>
          <w:iCs/>
          <w:sz w:val="28"/>
          <w:szCs w:val="28"/>
        </w:rPr>
      </w:pPr>
      <w:r w:rsidRPr="00D276FE">
        <w:rPr>
          <w:rFonts w:asciiTheme="majorHAnsi" w:hAnsiTheme="majorHAnsi"/>
          <w:b/>
          <w:bCs/>
          <w:i/>
          <w:iCs/>
          <w:sz w:val="28"/>
          <w:szCs w:val="28"/>
        </w:rPr>
        <w:t>Co-production approach</w:t>
      </w:r>
    </w:p>
    <w:p w14:paraId="39912FA7" w14:textId="0A2DC7C3" w:rsidR="00C438DA" w:rsidRPr="00D276FE" w:rsidRDefault="00C438DA" w:rsidP="00C438DA">
      <w:pPr>
        <w:spacing w:after="0" w:line="276" w:lineRule="auto"/>
        <w:ind w:firstLine="0"/>
        <w:rPr>
          <w:rFonts w:asciiTheme="majorHAnsi" w:hAnsiTheme="majorHAnsi"/>
        </w:rPr>
      </w:pPr>
      <w:r w:rsidRPr="00D276FE">
        <w:rPr>
          <w:rFonts w:asciiTheme="majorHAnsi" w:hAnsiTheme="majorHAnsi"/>
        </w:rPr>
        <w:t>Normative and descriptive objectives shape how co-production is implemented, from building usable tools to empowering groups or analyzing how knowledge is produced</w:t>
      </w:r>
      <w:r w:rsidRPr="00D276FE">
        <w:rPr>
          <w:rFonts w:asciiTheme="majorHAnsi" w:hAnsiTheme="majorHAnsi"/>
          <w:color w:val="0432FF"/>
          <w:vertAlign w:val="superscript"/>
        </w:rPr>
        <w:t>5, 29, 34, 35</w:t>
      </w:r>
      <w:r w:rsidRPr="00D276FE">
        <w:rPr>
          <w:rFonts w:asciiTheme="majorHAnsi" w:hAnsiTheme="majorHAnsi"/>
        </w:rPr>
        <w:t>. We take a normative lens and focus on a co-production approach aimed at product development and more specifically, the building of user-driven climate adaptation products</w:t>
      </w:r>
      <w:r w:rsidRPr="00D276FE">
        <w:rPr>
          <w:rFonts w:asciiTheme="majorHAnsi" w:hAnsiTheme="majorHAnsi"/>
          <w:color w:val="0432FF"/>
          <w:vertAlign w:val="superscript"/>
        </w:rPr>
        <w:t>5</w:t>
      </w:r>
      <w:r w:rsidRPr="00D276FE">
        <w:rPr>
          <w:rFonts w:asciiTheme="majorHAnsi" w:hAnsiTheme="majorHAnsi"/>
        </w:rPr>
        <w:t>. With this in mind, we use the Vincent et al. (2018) co-production approach to producing usable science</w:t>
      </w:r>
      <w:r w:rsidR="00EE147F" w:rsidRPr="00D276FE">
        <w:rPr>
          <w:rFonts w:asciiTheme="majorHAnsi" w:hAnsiTheme="majorHAnsi"/>
          <w:color w:val="0432FF"/>
          <w:vertAlign w:val="superscript"/>
        </w:rPr>
        <w:t>5</w:t>
      </w:r>
      <w:r w:rsidRPr="00D276FE">
        <w:rPr>
          <w:rFonts w:asciiTheme="majorHAnsi" w:hAnsiTheme="majorHAnsi"/>
        </w:rPr>
        <w:t xml:space="preserve"> </w:t>
      </w:r>
      <w:r w:rsidR="00912ECA" w:rsidRPr="00D276FE">
        <w:rPr>
          <w:rFonts w:asciiTheme="majorHAnsi" w:hAnsiTheme="majorHAnsi"/>
        </w:rPr>
        <w:t>(</w:t>
      </w:r>
      <w:r w:rsidRPr="00D276FE">
        <w:rPr>
          <w:rFonts w:asciiTheme="majorHAnsi" w:hAnsiTheme="majorHAnsi"/>
        </w:rPr>
        <w:t>Fi</w:t>
      </w:r>
      <w:r w:rsidR="00912ECA" w:rsidRPr="00D276FE">
        <w:rPr>
          <w:rFonts w:asciiTheme="majorHAnsi" w:hAnsiTheme="majorHAnsi"/>
        </w:rPr>
        <w:t>g.</w:t>
      </w:r>
      <w:r w:rsidRPr="00D276FE">
        <w:rPr>
          <w:rFonts w:asciiTheme="majorHAnsi" w:hAnsiTheme="majorHAnsi"/>
        </w:rPr>
        <w:t xml:space="preserve"> 1</w:t>
      </w:r>
      <w:r w:rsidR="00912ECA" w:rsidRPr="00D276FE">
        <w:rPr>
          <w:rFonts w:asciiTheme="majorHAnsi" w:hAnsiTheme="majorHAnsi"/>
          <w:color w:val="000000" w:themeColor="text1"/>
        </w:rPr>
        <w:t>)</w:t>
      </w:r>
      <w:r w:rsidRPr="00D276FE">
        <w:rPr>
          <w:rFonts w:asciiTheme="majorHAnsi" w:hAnsiTheme="majorHAnsi"/>
        </w:rPr>
        <w:t xml:space="preserve">. This approach to co-production involves a continuous cycle of five stages: </w:t>
      </w:r>
      <w:r w:rsidRPr="00D276FE">
        <w:rPr>
          <w:rFonts w:asciiTheme="majorHAnsi" w:hAnsiTheme="majorHAnsi"/>
          <w:i/>
          <w:iCs/>
        </w:rPr>
        <w:t>Identify Actors &amp; Build Partnerships</w:t>
      </w:r>
      <w:r w:rsidRPr="00D276FE">
        <w:rPr>
          <w:rFonts w:asciiTheme="majorHAnsi" w:hAnsiTheme="majorHAnsi"/>
        </w:rPr>
        <w:t xml:space="preserve">, </w:t>
      </w:r>
      <w:r w:rsidRPr="00D276FE">
        <w:rPr>
          <w:rFonts w:asciiTheme="majorHAnsi" w:hAnsiTheme="majorHAnsi"/>
          <w:i/>
          <w:iCs/>
        </w:rPr>
        <w:t>Co-Explore Need</w:t>
      </w:r>
      <w:r w:rsidRPr="00D276FE">
        <w:rPr>
          <w:rFonts w:asciiTheme="majorHAnsi" w:hAnsiTheme="majorHAnsi"/>
        </w:rPr>
        <w:t xml:space="preserve">, </w:t>
      </w:r>
      <w:r w:rsidRPr="00D276FE">
        <w:rPr>
          <w:rFonts w:asciiTheme="majorHAnsi" w:hAnsiTheme="majorHAnsi"/>
          <w:i/>
          <w:iCs/>
        </w:rPr>
        <w:t>Co-Develop Solution</w:t>
      </w:r>
      <w:r w:rsidRPr="00D276FE">
        <w:rPr>
          <w:rFonts w:asciiTheme="majorHAnsi" w:hAnsiTheme="majorHAnsi"/>
        </w:rPr>
        <w:t xml:space="preserve">, </w:t>
      </w:r>
      <w:r w:rsidRPr="00D276FE">
        <w:rPr>
          <w:rFonts w:asciiTheme="majorHAnsi" w:hAnsiTheme="majorHAnsi"/>
          <w:i/>
          <w:iCs/>
        </w:rPr>
        <w:t>Co-Deliver Solution</w:t>
      </w:r>
      <w:r w:rsidRPr="00D276FE">
        <w:rPr>
          <w:rFonts w:asciiTheme="majorHAnsi" w:hAnsiTheme="majorHAnsi"/>
        </w:rPr>
        <w:t xml:space="preserve">, and </w:t>
      </w:r>
      <w:r w:rsidRPr="00D276FE">
        <w:rPr>
          <w:rFonts w:asciiTheme="majorHAnsi" w:hAnsiTheme="majorHAnsi"/>
          <w:i/>
          <w:iCs/>
        </w:rPr>
        <w:t>Evaluate</w:t>
      </w:r>
      <w:r w:rsidR="00EE147F" w:rsidRPr="00D276FE">
        <w:rPr>
          <w:rFonts w:asciiTheme="majorHAnsi" w:hAnsiTheme="majorHAnsi"/>
          <w:color w:val="0432FF"/>
          <w:vertAlign w:val="superscript"/>
        </w:rPr>
        <w:t>5</w:t>
      </w:r>
      <w:r w:rsidR="00912ECA" w:rsidRPr="00D276FE">
        <w:rPr>
          <w:rFonts w:asciiTheme="majorHAnsi" w:hAnsiTheme="majorHAnsi"/>
        </w:rPr>
        <w:t xml:space="preserve"> (</w:t>
      </w:r>
      <w:r w:rsidRPr="00D276FE">
        <w:rPr>
          <w:rFonts w:asciiTheme="majorHAnsi" w:hAnsiTheme="majorHAnsi"/>
        </w:rPr>
        <w:t>Table 1</w:t>
      </w:r>
      <w:r w:rsidR="00912ECA" w:rsidRPr="00D276FE">
        <w:rPr>
          <w:rFonts w:asciiTheme="majorHAnsi" w:hAnsiTheme="majorHAnsi"/>
          <w:color w:val="000000" w:themeColor="text1"/>
        </w:rPr>
        <w:t>)</w:t>
      </w:r>
      <w:r w:rsidRPr="00D276FE">
        <w:rPr>
          <w:rFonts w:asciiTheme="majorHAnsi" w:hAnsiTheme="majorHAnsi"/>
        </w:rPr>
        <w:t>. These stages circle around an inner cycle of continuous knowledge exchange, monitoring, and learning along with a process driven by principles of inclusiveness, collaboration, and flexibility</w:t>
      </w:r>
      <w:r w:rsidRPr="00D276FE">
        <w:rPr>
          <w:rFonts w:asciiTheme="majorHAnsi" w:hAnsiTheme="majorHAnsi"/>
          <w:color w:val="0432FF"/>
          <w:vertAlign w:val="superscript"/>
        </w:rPr>
        <w:t>5, 36</w:t>
      </w:r>
      <w:r w:rsidR="00912ECA" w:rsidRPr="00D276FE">
        <w:rPr>
          <w:rFonts w:asciiTheme="majorHAnsi" w:hAnsiTheme="majorHAnsi"/>
          <w:color w:val="0432FF"/>
          <w:vertAlign w:val="superscript"/>
        </w:rPr>
        <w:t xml:space="preserve"> </w:t>
      </w:r>
      <w:r w:rsidR="00912ECA" w:rsidRPr="00D276FE">
        <w:rPr>
          <w:rFonts w:asciiTheme="majorHAnsi" w:hAnsiTheme="majorHAnsi"/>
        </w:rPr>
        <w:t>(Fig. 1</w:t>
      </w:r>
      <w:r w:rsidR="00912ECA" w:rsidRPr="00D276FE">
        <w:rPr>
          <w:rFonts w:asciiTheme="majorHAnsi" w:hAnsiTheme="majorHAnsi"/>
          <w:color w:val="000000" w:themeColor="text1"/>
        </w:rPr>
        <w:t>)</w:t>
      </w:r>
      <w:r w:rsidRPr="00D276FE">
        <w:rPr>
          <w:rFonts w:asciiTheme="majorHAnsi" w:hAnsiTheme="majorHAnsi"/>
        </w:rPr>
        <w:t>. Together, the Vincent et al. (2018) approach provides a practical basis for understanding co-production for product development and for analyzing its mechanisms and practices</w:t>
      </w:r>
      <w:r w:rsidRPr="00D276FE">
        <w:rPr>
          <w:rFonts w:asciiTheme="majorHAnsi" w:hAnsiTheme="majorHAnsi"/>
          <w:color w:val="0432FF"/>
          <w:vertAlign w:val="superscript"/>
        </w:rPr>
        <w:t>5</w:t>
      </w:r>
      <w:r w:rsidRPr="00D276FE">
        <w:rPr>
          <w:rFonts w:asciiTheme="majorHAnsi" w:hAnsiTheme="majorHAnsi"/>
        </w:rPr>
        <w:t>.</w:t>
      </w:r>
    </w:p>
    <w:p w14:paraId="56D1C4A8" w14:textId="77777777" w:rsidR="00C438DA" w:rsidRPr="00D276FE" w:rsidRDefault="00C438DA" w:rsidP="00C438DA">
      <w:pPr>
        <w:spacing w:after="0" w:line="276" w:lineRule="auto"/>
        <w:ind w:firstLine="0"/>
        <w:rPr>
          <w:rFonts w:asciiTheme="majorHAnsi" w:hAnsiTheme="majorHAnsi"/>
        </w:rPr>
      </w:pPr>
    </w:p>
    <w:p w14:paraId="649F0846" w14:textId="15677D35" w:rsidR="00C438DA" w:rsidRPr="00D276FE" w:rsidRDefault="00B944BA" w:rsidP="00C438DA">
      <w:pPr>
        <w:spacing w:after="0" w:line="276" w:lineRule="auto"/>
        <w:ind w:firstLine="0"/>
        <w:rPr>
          <w:rFonts w:asciiTheme="majorHAnsi" w:hAnsiTheme="majorHAnsi"/>
          <w:color w:val="000000" w:themeColor="text1"/>
          <w:lang w:val="en-US"/>
        </w:rPr>
      </w:pPr>
      <w:r w:rsidRPr="00D276FE">
        <w:rPr>
          <w:rFonts w:asciiTheme="majorHAnsi" w:hAnsiTheme="majorHAnsi"/>
        </w:rPr>
        <w:t>[</w:t>
      </w:r>
      <w:r w:rsidRPr="00D276FE">
        <w:rPr>
          <w:rFonts w:asciiTheme="majorHAnsi" w:hAnsiTheme="majorHAnsi"/>
          <w:b/>
          <w:bCs/>
          <w:lang w:val="en-US"/>
        </w:rPr>
        <w:t>Fig</w:t>
      </w:r>
      <w:r w:rsidR="004C44EA" w:rsidRPr="00D276FE">
        <w:rPr>
          <w:rFonts w:asciiTheme="majorHAnsi" w:hAnsiTheme="majorHAnsi"/>
          <w:b/>
          <w:bCs/>
          <w:lang w:val="en-US"/>
        </w:rPr>
        <w:t>.</w:t>
      </w:r>
      <w:r w:rsidRPr="00D276FE">
        <w:rPr>
          <w:rFonts w:asciiTheme="majorHAnsi" w:hAnsiTheme="majorHAnsi"/>
          <w:b/>
          <w:bCs/>
          <w:lang w:val="en-US"/>
        </w:rPr>
        <w:t xml:space="preserve"> 1</w:t>
      </w:r>
      <w:r w:rsidR="004C44EA" w:rsidRPr="00D276FE">
        <w:rPr>
          <w:rFonts w:asciiTheme="majorHAnsi" w:hAnsiTheme="majorHAnsi"/>
          <w:b/>
          <w:bCs/>
          <w:lang w:val="en-US"/>
        </w:rPr>
        <w:t xml:space="preserve"> | </w:t>
      </w:r>
      <w:r w:rsidRPr="00D276FE">
        <w:rPr>
          <w:rFonts w:asciiTheme="majorHAnsi" w:hAnsiTheme="majorHAnsi"/>
          <w:b/>
          <w:bCs/>
          <w:lang w:val="en-US"/>
        </w:rPr>
        <w:t>Co-</w:t>
      </w:r>
      <w:r w:rsidR="009B7DCB" w:rsidRPr="00D276FE">
        <w:rPr>
          <w:rFonts w:asciiTheme="majorHAnsi" w:hAnsiTheme="majorHAnsi"/>
          <w:b/>
          <w:bCs/>
          <w:lang w:val="en-US"/>
        </w:rPr>
        <w:t>p</w:t>
      </w:r>
      <w:r w:rsidRPr="00D276FE">
        <w:rPr>
          <w:rFonts w:asciiTheme="majorHAnsi" w:hAnsiTheme="majorHAnsi"/>
          <w:b/>
          <w:bCs/>
          <w:lang w:val="en-US"/>
        </w:rPr>
        <w:t xml:space="preserve">roduction </w:t>
      </w:r>
      <w:r w:rsidR="009B7DCB" w:rsidRPr="00D276FE">
        <w:rPr>
          <w:rFonts w:asciiTheme="majorHAnsi" w:hAnsiTheme="majorHAnsi"/>
          <w:b/>
          <w:bCs/>
          <w:lang w:val="en-US"/>
        </w:rPr>
        <w:t>p</w:t>
      </w:r>
      <w:r w:rsidRPr="00D276FE">
        <w:rPr>
          <w:rFonts w:asciiTheme="majorHAnsi" w:hAnsiTheme="majorHAnsi"/>
          <w:b/>
          <w:bCs/>
          <w:lang w:val="en-US"/>
        </w:rPr>
        <w:t xml:space="preserve">rocess for </w:t>
      </w:r>
      <w:r w:rsidR="009B7DCB" w:rsidRPr="00D276FE">
        <w:rPr>
          <w:rFonts w:asciiTheme="majorHAnsi" w:hAnsiTheme="majorHAnsi"/>
          <w:b/>
          <w:bCs/>
          <w:lang w:val="en-US"/>
        </w:rPr>
        <w:t>p</w:t>
      </w:r>
      <w:r w:rsidRPr="00D276FE">
        <w:rPr>
          <w:rFonts w:asciiTheme="majorHAnsi" w:hAnsiTheme="majorHAnsi"/>
          <w:b/>
          <w:bCs/>
          <w:lang w:val="en-US"/>
        </w:rPr>
        <w:t xml:space="preserve">roduct </w:t>
      </w:r>
      <w:r w:rsidR="009B7DCB" w:rsidRPr="00D276FE">
        <w:rPr>
          <w:rFonts w:asciiTheme="majorHAnsi" w:hAnsiTheme="majorHAnsi"/>
          <w:b/>
          <w:bCs/>
          <w:lang w:val="en-US"/>
        </w:rPr>
        <w:t>d</w:t>
      </w:r>
      <w:r w:rsidRPr="00D276FE">
        <w:rPr>
          <w:rFonts w:asciiTheme="majorHAnsi" w:hAnsiTheme="majorHAnsi"/>
          <w:b/>
          <w:bCs/>
          <w:lang w:val="en-US"/>
        </w:rPr>
        <w:t>evelopment</w:t>
      </w:r>
      <w:r w:rsidRPr="00D276FE">
        <w:rPr>
          <w:rFonts w:asciiTheme="majorHAnsi" w:hAnsiTheme="majorHAnsi"/>
          <w:color w:val="000000" w:themeColor="text1"/>
          <w:lang w:val="en-US"/>
        </w:rPr>
        <w:t>]</w:t>
      </w:r>
    </w:p>
    <w:p w14:paraId="21EB0478" w14:textId="77777777" w:rsidR="00B944BA" w:rsidRPr="00D276FE" w:rsidRDefault="00B944BA" w:rsidP="00C438DA">
      <w:pPr>
        <w:spacing w:after="0" w:line="276" w:lineRule="auto"/>
        <w:ind w:firstLine="0"/>
        <w:rPr>
          <w:rFonts w:asciiTheme="majorHAnsi" w:hAnsiTheme="majorHAnsi"/>
          <w:color w:val="000000" w:themeColor="text1"/>
          <w:lang w:val="en-US"/>
        </w:rPr>
      </w:pPr>
    </w:p>
    <w:p w14:paraId="27D93F77" w14:textId="63299DC1" w:rsidR="00B944BA" w:rsidRPr="00D276FE" w:rsidRDefault="00B944BA" w:rsidP="00C438DA">
      <w:pPr>
        <w:spacing w:after="0" w:line="276" w:lineRule="auto"/>
        <w:ind w:firstLine="0"/>
        <w:rPr>
          <w:rFonts w:asciiTheme="majorHAnsi" w:hAnsiTheme="majorHAnsi"/>
          <w:color w:val="000000" w:themeColor="text1"/>
          <w:lang w:val="en-US"/>
        </w:rPr>
      </w:pPr>
      <w:r w:rsidRPr="00D276FE">
        <w:rPr>
          <w:rFonts w:asciiTheme="majorHAnsi" w:hAnsiTheme="majorHAnsi"/>
        </w:rPr>
        <w:t>[</w:t>
      </w:r>
      <w:r w:rsidRPr="00D276FE">
        <w:rPr>
          <w:rFonts w:asciiTheme="majorHAnsi" w:hAnsiTheme="majorHAnsi"/>
          <w:b/>
          <w:bCs/>
          <w:lang w:val="en-US"/>
        </w:rPr>
        <w:t>Table 1</w:t>
      </w:r>
      <w:r w:rsidR="004C44EA" w:rsidRPr="00D276FE">
        <w:rPr>
          <w:rFonts w:asciiTheme="majorHAnsi" w:hAnsiTheme="majorHAnsi"/>
          <w:b/>
          <w:bCs/>
          <w:lang w:val="en-US"/>
        </w:rPr>
        <w:t xml:space="preserve"> | </w:t>
      </w:r>
      <w:r w:rsidRPr="00D276FE">
        <w:rPr>
          <w:rFonts w:asciiTheme="majorHAnsi" w:hAnsiTheme="majorHAnsi"/>
          <w:b/>
          <w:bCs/>
          <w:lang w:val="en-US"/>
        </w:rPr>
        <w:t>Co-</w:t>
      </w:r>
      <w:r w:rsidR="009B7DCB" w:rsidRPr="00D276FE">
        <w:rPr>
          <w:rFonts w:asciiTheme="majorHAnsi" w:hAnsiTheme="majorHAnsi"/>
          <w:b/>
          <w:bCs/>
          <w:lang w:val="en-US"/>
        </w:rPr>
        <w:t>p</w:t>
      </w:r>
      <w:r w:rsidRPr="00D276FE">
        <w:rPr>
          <w:rFonts w:asciiTheme="majorHAnsi" w:hAnsiTheme="majorHAnsi"/>
          <w:b/>
          <w:bCs/>
          <w:lang w:val="en-US"/>
        </w:rPr>
        <w:t xml:space="preserve">roduction </w:t>
      </w:r>
      <w:r w:rsidR="009B7DCB" w:rsidRPr="00D276FE">
        <w:rPr>
          <w:rFonts w:asciiTheme="majorHAnsi" w:hAnsiTheme="majorHAnsi"/>
          <w:b/>
          <w:bCs/>
          <w:lang w:val="en-US"/>
        </w:rPr>
        <w:t>s</w:t>
      </w:r>
      <w:r w:rsidRPr="00D276FE">
        <w:rPr>
          <w:rFonts w:asciiTheme="majorHAnsi" w:hAnsiTheme="majorHAnsi"/>
          <w:b/>
          <w:bCs/>
          <w:lang w:val="en-US"/>
        </w:rPr>
        <w:t xml:space="preserve">tages for </w:t>
      </w:r>
      <w:r w:rsidR="009B7DCB" w:rsidRPr="00D276FE">
        <w:rPr>
          <w:rFonts w:asciiTheme="majorHAnsi" w:hAnsiTheme="majorHAnsi"/>
          <w:b/>
          <w:bCs/>
          <w:lang w:val="en-US"/>
        </w:rPr>
        <w:t>p</w:t>
      </w:r>
      <w:r w:rsidRPr="00D276FE">
        <w:rPr>
          <w:rFonts w:asciiTheme="majorHAnsi" w:hAnsiTheme="majorHAnsi"/>
          <w:b/>
          <w:bCs/>
          <w:lang w:val="en-US"/>
        </w:rPr>
        <w:t xml:space="preserve">roduct </w:t>
      </w:r>
      <w:r w:rsidR="009B7DCB" w:rsidRPr="00D276FE">
        <w:rPr>
          <w:rFonts w:asciiTheme="majorHAnsi" w:hAnsiTheme="majorHAnsi"/>
          <w:b/>
          <w:bCs/>
          <w:lang w:val="en-US"/>
        </w:rPr>
        <w:t>de</w:t>
      </w:r>
      <w:r w:rsidRPr="00D276FE">
        <w:rPr>
          <w:rFonts w:asciiTheme="majorHAnsi" w:hAnsiTheme="majorHAnsi"/>
          <w:b/>
          <w:bCs/>
          <w:lang w:val="en-US"/>
        </w:rPr>
        <w:t>velopment</w:t>
      </w:r>
      <w:r w:rsidRPr="00D276FE">
        <w:rPr>
          <w:rFonts w:asciiTheme="majorHAnsi" w:hAnsiTheme="majorHAnsi"/>
          <w:color w:val="000000" w:themeColor="text1"/>
          <w:lang w:val="en-US"/>
        </w:rPr>
        <w:t>]</w:t>
      </w:r>
    </w:p>
    <w:p w14:paraId="259B3A99" w14:textId="77777777" w:rsidR="00B944BA" w:rsidRPr="00D276FE" w:rsidRDefault="00B944BA" w:rsidP="00C438DA">
      <w:pPr>
        <w:spacing w:after="0" w:line="276" w:lineRule="auto"/>
        <w:ind w:firstLine="0"/>
        <w:rPr>
          <w:rFonts w:asciiTheme="majorHAnsi" w:hAnsiTheme="majorHAnsi"/>
          <w:color w:val="000000" w:themeColor="text1"/>
          <w:lang w:val="en-US"/>
        </w:rPr>
      </w:pPr>
    </w:p>
    <w:p w14:paraId="620FB8E9" w14:textId="53E571B0" w:rsidR="00B944BA" w:rsidRPr="00D276FE" w:rsidRDefault="00B944BA" w:rsidP="00B944BA">
      <w:pPr>
        <w:spacing w:after="0" w:line="276" w:lineRule="auto"/>
        <w:ind w:firstLine="0"/>
        <w:rPr>
          <w:rFonts w:asciiTheme="majorHAnsi" w:hAnsiTheme="majorHAnsi"/>
          <w:b/>
          <w:bCs/>
          <w:i/>
          <w:iCs/>
          <w:sz w:val="28"/>
          <w:szCs w:val="28"/>
        </w:rPr>
      </w:pPr>
      <w:r w:rsidRPr="00D276FE">
        <w:rPr>
          <w:rFonts w:asciiTheme="majorHAnsi" w:hAnsiTheme="majorHAnsi"/>
          <w:b/>
          <w:bCs/>
          <w:i/>
          <w:iCs/>
          <w:sz w:val="28"/>
          <w:szCs w:val="28"/>
        </w:rPr>
        <w:t>Co-production elements</w:t>
      </w:r>
    </w:p>
    <w:p w14:paraId="0445E5B0" w14:textId="15A3274A" w:rsidR="00B944BA" w:rsidRPr="00D276FE" w:rsidRDefault="00B944BA" w:rsidP="00B944BA">
      <w:pPr>
        <w:spacing w:after="0" w:line="276" w:lineRule="auto"/>
        <w:ind w:firstLine="0"/>
        <w:rPr>
          <w:rFonts w:asciiTheme="majorHAnsi" w:hAnsiTheme="majorHAnsi"/>
        </w:rPr>
      </w:pPr>
      <w:r w:rsidRPr="00D276FE">
        <w:rPr>
          <w:rFonts w:asciiTheme="majorHAnsi" w:hAnsiTheme="majorHAnsi"/>
        </w:rPr>
        <w:t xml:space="preserve">Co-production is widely discussed across literature related to climate adaptation products, and our review highlights this diversity through the elements (mechanisms and best practices) identified across the five co-production stages. Supporting background on climate services, user needs, and co-production is provided in </w:t>
      </w:r>
      <w:r w:rsidR="00912ECA" w:rsidRPr="00D276FE">
        <w:rPr>
          <w:rFonts w:asciiTheme="majorHAnsi" w:hAnsiTheme="majorHAnsi"/>
        </w:rPr>
        <w:t xml:space="preserve">the </w:t>
      </w:r>
      <w:r w:rsidRPr="00D276FE">
        <w:rPr>
          <w:rFonts w:asciiTheme="majorHAnsi" w:hAnsiTheme="majorHAnsi"/>
        </w:rPr>
        <w:t>Methods</w:t>
      </w:r>
      <w:r w:rsidR="00912ECA" w:rsidRPr="00D276FE">
        <w:rPr>
          <w:rFonts w:asciiTheme="majorHAnsi" w:hAnsiTheme="majorHAnsi"/>
        </w:rPr>
        <w:t>.</w:t>
      </w:r>
    </w:p>
    <w:p w14:paraId="17992B16" w14:textId="77777777" w:rsidR="00B944BA" w:rsidRPr="00D276FE" w:rsidRDefault="00B944BA" w:rsidP="00B944BA">
      <w:pPr>
        <w:spacing w:after="0" w:line="276" w:lineRule="auto"/>
        <w:ind w:firstLine="0"/>
        <w:rPr>
          <w:rFonts w:asciiTheme="majorHAnsi" w:hAnsiTheme="majorHAnsi"/>
        </w:rPr>
      </w:pPr>
    </w:p>
    <w:p w14:paraId="40F09D49" w14:textId="5F51B665" w:rsidR="0098696E" w:rsidRPr="00D276FE" w:rsidRDefault="0098696E" w:rsidP="00B944BA">
      <w:pPr>
        <w:spacing w:after="0" w:line="276" w:lineRule="auto"/>
        <w:ind w:firstLine="0"/>
        <w:rPr>
          <w:rFonts w:asciiTheme="majorHAnsi" w:hAnsiTheme="majorHAnsi"/>
        </w:rPr>
      </w:pPr>
      <w:r w:rsidRPr="00D276FE">
        <w:rPr>
          <w:rFonts w:asciiTheme="majorHAnsi" w:hAnsiTheme="majorHAnsi"/>
        </w:rPr>
        <w:lastRenderedPageBreak/>
        <w:t>There were 24 mechanisms applied across one or more of the five co-production stages, categorized as 10 artifacts, 9 activities, and 5 actors (</w:t>
      </w:r>
      <w:r w:rsidR="009F59C4" w:rsidRPr="009F59C4">
        <w:rPr>
          <w:rFonts w:asciiTheme="majorHAnsi" w:hAnsiTheme="majorHAnsi"/>
        </w:rPr>
        <w:t>Supplementary</w:t>
      </w:r>
      <w:r w:rsidR="009F59C4">
        <w:rPr>
          <w:rFonts w:asciiTheme="majorHAnsi" w:hAnsiTheme="majorHAnsi"/>
        </w:rPr>
        <w:t xml:space="preserve"> </w:t>
      </w:r>
      <w:r w:rsidR="000166EF" w:rsidRPr="00D276FE">
        <w:rPr>
          <w:rFonts w:asciiTheme="majorHAnsi" w:hAnsiTheme="majorHAnsi"/>
        </w:rPr>
        <w:t>Table 1</w:t>
      </w:r>
      <w:r w:rsidRPr="00D276FE">
        <w:rPr>
          <w:rFonts w:asciiTheme="majorHAnsi" w:hAnsiTheme="majorHAnsi"/>
        </w:rPr>
        <w:t>). Stage-agnostic mechanisms were often common techniques such as surveys, interviews, workshops, and focus groups (</w:t>
      </w:r>
      <w:r w:rsidR="009F59C4" w:rsidRPr="009F59C4">
        <w:rPr>
          <w:rFonts w:asciiTheme="majorHAnsi" w:hAnsiTheme="majorHAnsi"/>
        </w:rPr>
        <w:t>Supplementary</w:t>
      </w:r>
      <w:r w:rsidR="009F59C4">
        <w:rPr>
          <w:rFonts w:asciiTheme="majorHAnsi" w:hAnsiTheme="majorHAnsi"/>
        </w:rPr>
        <w:t xml:space="preserve"> </w:t>
      </w:r>
      <w:r w:rsidR="000166EF" w:rsidRPr="00D276FE">
        <w:rPr>
          <w:rFonts w:asciiTheme="majorHAnsi" w:hAnsiTheme="majorHAnsi"/>
        </w:rPr>
        <w:t>Table 1</w:t>
      </w:r>
      <w:r w:rsidRPr="00D276FE">
        <w:rPr>
          <w:rFonts w:asciiTheme="majorHAnsi" w:hAnsiTheme="majorHAnsi"/>
        </w:rPr>
        <w:t>). Stage-specific mechanisms placed greater emphasis on communication (for example, newsletters), capacity building (for example, training sessions), and documentation (for example, stakeholder interaction manuals) (</w:t>
      </w:r>
      <w:r w:rsidR="009F59C4" w:rsidRPr="009F59C4">
        <w:rPr>
          <w:rFonts w:asciiTheme="majorHAnsi" w:hAnsiTheme="majorHAnsi"/>
        </w:rPr>
        <w:t>Supplementary</w:t>
      </w:r>
      <w:r w:rsidR="009F59C4">
        <w:rPr>
          <w:rFonts w:asciiTheme="majorHAnsi" w:hAnsiTheme="majorHAnsi"/>
        </w:rPr>
        <w:t xml:space="preserve"> </w:t>
      </w:r>
      <w:r w:rsidR="000166EF" w:rsidRPr="00D276FE">
        <w:rPr>
          <w:rFonts w:asciiTheme="majorHAnsi" w:hAnsiTheme="majorHAnsi"/>
        </w:rPr>
        <w:t>Table 1</w:t>
      </w:r>
      <w:r w:rsidRPr="00D276FE">
        <w:rPr>
          <w:rFonts w:asciiTheme="majorHAnsi" w:hAnsiTheme="majorHAnsi"/>
        </w:rPr>
        <w:t>).</w:t>
      </w:r>
    </w:p>
    <w:p w14:paraId="1E9AF117" w14:textId="77777777" w:rsidR="00B944BA" w:rsidRPr="00D276FE" w:rsidRDefault="00B944BA" w:rsidP="00B944BA">
      <w:pPr>
        <w:spacing w:after="0" w:line="276" w:lineRule="auto"/>
        <w:ind w:firstLine="0"/>
        <w:rPr>
          <w:rFonts w:asciiTheme="majorHAnsi" w:hAnsiTheme="majorHAnsi"/>
        </w:rPr>
      </w:pPr>
    </w:p>
    <w:p w14:paraId="1035AA0C" w14:textId="1D676275" w:rsidR="00B944BA" w:rsidRPr="00D276FE" w:rsidRDefault="00C116CB" w:rsidP="00B944BA">
      <w:pPr>
        <w:spacing w:after="0" w:line="276" w:lineRule="auto"/>
        <w:ind w:firstLine="0"/>
        <w:rPr>
          <w:rFonts w:asciiTheme="majorHAnsi" w:hAnsiTheme="majorHAnsi"/>
        </w:rPr>
      </w:pPr>
      <w:r w:rsidRPr="00D276FE">
        <w:rPr>
          <w:rFonts w:asciiTheme="majorHAnsi" w:hAnsiTheme="majorHAnsi"/>
          <w:color w:val="000000" w:themeColor="text1"/>
          <w:lang w:val="en-US"/>
        </w:rPr>
        <w:t xml:space="preserve">There were </w:t>
      </w:r>
      <w:r w:rsidR="00B944BA" w:rsidRPr="00D276FE">
        <w:rPr>
          <w:rFonts w:asciiTheme="majorHAnsi" w:hAnsiTheme="majorHAnsi"/>
        </w:rPr>
        <w:t>64 best practices across the co-production stages, including those used to build effective products and those developers identified retrospectively as valuable</w:t>
      </w:r>
      <w:r w:rsidRPr="00D276FE">
        <w:rPr>
          <w:rFonts w:asciiTheme="majorHAnsi" w:hAnsiTheme="majorHAnsi"/>
        </w:rPr>
        <w:t xml:space="preserve"> (</w:t>
      </w:r>
      <w:r w:rsidR="009F59C4" w:rsidRPr="009F59C4">
        <w:rPr>
          <w:rFonts w:asciiTheme="majorHAnsi" w:hAnsiTheme="majorHAnsi"/>
        </w:rPr>
        <w:t>Supplementary</w:t>
      </w:r>
      <w:r w:rsidR="009F59C4">
        <w:rPr>
          <w:rFonts w:asciiTheme="majorHAnsi" w:hAnsiTheme="majorHAnsi"/>
        </w:rPr>
        <w:t xml:space="preserve"> </w:t>
      </w:r>
      <w:r w:rsidR="000166EF" w:rsidRPr="00D276FE">
        <w:rPr>
          <w:rFonts w:asciiTheme="majorHAnsi" w:hAnsiTheme="majorHAnsi"/>
        </w:rPr>
        <w:t>Table 2</w:t>
      </w:r>
      <w:r w:rsidRPr="00D276FE">
        <w:rPr>
          <w:rFonts w:asciiTheme="majorHAnsi" w:hAnsiTheme="majorHAnsi"/>
        </w:rPr>
        <w:t>)</w:t>
      </w:r>
      <w:r w:rsidR="00B944BA" w:rsidRPr="00D276FE">
        <w:rPr>
          <w:rFonts w:asciiTheme="majorHAnsi" w:hAnsiTheme="majorHAnsi"/>
        </w:rPr>
        <w:t>. There are a few broad themes that connect many of these best practices. The first theme focuses on understanding, and the importance of comprehending the co-production process, as well as the capabilities and goals of developers and the needs and priorities of stakeholders and users. The second theme emphasizes communication, highlighting the importance of diverse mechanisms and opportunities for exchanging information, engaging with stakeholders and users, sharing results and progress, and gathering feedback. The third theme addresses iteration, stressing the importance of testing numerous iterations of products, using feedback to continuously refine plans and products, and maintaining flexibility and openness throughout the co-production process. The fourth theme centers on evaluation, particularly regarding whether the final climate adaptation product delivered is both usable and beneficial to users and their needs. In addition to these four key themes, there are numerous other best practices that developers consider vital for implementing an effective co-production process and building usable climate adaptation products.</w:t>
      </w:r>
    </w:p>
    <w:p w14:paraId="7B82A0CD" w14:textId="77777777" w:rsidR="00B944BA" w:rsidRPr="00D276FE" w:rsidRDefault="00B944BA" w:rsidP="00B944BA">
      <w:pPr>
        <w:spacing w:after="0" w:line="276" w:lineRule="auto"/>
        <w:ind w:firstLine="0"/>
        <w:rPr>
          <w:rFonts w:asciiTheme="majorHAnsi" w:hAnsiTheme="majorHAnsi"/>
        </w:rPr>
      </w:pPr>
    </w:p>
    <w:p w14:paraId="26E2B866" w14:textId="5B43A85D" w:rsidR="00B944BA" w:rsidRPr="00D276FE" w:rsidRDefault="00EE147F" w:rsidP="00B944BA">
      <w:pPr>
        <w:spacing w:after="0" w:line="276" w:lineRule="auto"/>
        <w:ind w:firstLine="0"/>
        <w:rPr>
          <w:rFonts w:asciiTheme="majorHAnsi" w:hAnsiTheme="majorHAnsi"/>
          <w:b/>
          <w:bCs/>
          <w:i/>
          <w:iCs/>
          <w:sz w:val="28"/>
          <w:szCs w:val="28"/>
        </w:rPr>
      </w:pPr>
      <w:r w:rsidRPr="00D276FE">
        <w:rPr>
          <w:rFonts w:asciiTheme="majorHAnsi" w:hAnsiTheme="majorHAnsi"/>
          <w:b/>
          <w:bCs/>
          <w:i/>
          <w:iCs/>
          <w:sz w:val="28"/>
          <w:szCs w:val="28"/>
        </w:rPr>
        <w:t>User-centered design approach</w:t>
      </w:r>
    </w:p>
    <w:p w14:paraId="62C8F25A" w14:textId="680396C2" w:rsidR="00B944BA" w:rsidRPr="00D276FE" w:rsidRDefault="00EE147F" w:rsidP="00B944BA">
      <w:pPr>
        <w:spacing w:after="0" w:line="276" w:lineRule="auto"/>
        <w:ind w:firstLine="0"/>
        <w:rPr>
          <w:rFonts w:asciiTheme="majorHAnsi" w:hAnsiTheme="majorHAnsi"/>
        </w:rPr>
      </w:pPr>
      <w:r w:rsidRPr="00D276FE">
        <w:rPr>
          <w:rFonts w:asciiTheme="majorHAnsi" w:hAnsiTheme="majorHAnsi"/>
        </w:rPr>
        <w:t>The user-centered design process typically includes planning, understanding context and user needs, defining requirements, designing solutions, prototyping, and testing</w:t>
      </w:r>
      <w:r w:rsidRPr="00D276FE">
        <w:rPr>
          <w:rFonts w:asciiTheme="majorHAnsi" w:hAnsiTheme="majorHAnsi"/>
          <w:color w:val="0432FF"/>
          <w:vertAlign w:val="superscript"/>
        </w:rPr>
        <w:t>37, 38</w:t>
      </w:r>
      <w:r w:rsidRPr="00D276FE">
        <w:rPr>
          <w:rFonts w:asciiTheme="majorHAnsi" w:hAnsiTheme="majorHAnsi"/>
        </w:rPr>
        <w:t>. Although implementation varies, user-centered design has been codified by organizations such as the International Organization for Standardization (ISO)</w:t>
      </w:r>
      <w:r w:rsidRPr="00D276FE">
        <w:rPr>
          <w:rFonts w:asciiTheme="majorHAnsi" w:hAnsiTheme="majorHAnsi"/>
          <w:color w:val="0432FF"/>
          <w:vertAlign w:val="superscript"/>
        </w:rPr>
        <w:t>39</w:t>
      </w:r>
      <w:r w:rsidRPr="00D276FE">
        <w:rPr>
          <w:rFonts w:asciiTheme="majorHAnsi" w:hAnsiTheme="majorHAnsi"/>
        </w:rPr>
        <w:t>. For this paper, we adopt ISO’s user-centered design approach</w:t>
      </w:r>
      <w:r w:rsidRPr="00D276FE">
        <w:rPr>
          <w:rFonts w:asciiTheme="majorHAnsi" w:hAnsiTheme="majorHAnsi"/>
          <w:color w:val="0432FF"/>
          <w:vertAlign w:val="superscript"/>
        </w:rPr>
        <w:t>39</w:t>
      </w:r>
      <w:r w:rsidRPr="00D276FE">
        <w:rPr>
          <w:rFonts w:asciiTheme="majorHAnsi" w:hAnsiTheme="majorHAnsi"/>
        </w:rPr>
        <w:t xml:space="preserve"> (Fig. 2</w:t>
      </w:r>
      <w:r w:rsidRPr="00D276FE">
        <w:rPr>
          <w:rFonts w:asciiTheme="majorHAnsi" w:hAnsiTheme="majorHAnsi"/>
          <w:color w:val="000000" w:themeColor="text1"/>
        </w:rPr>
        <w:t>)</w:t>
      </w:r>
      <w:r w:rsidRPr="00D276FE">
        <w:rPr>
          <w:rFonts w:asciiTheme="majorHAnsi" w:hAnsiTheme="majorHAnsi"/>
        </w:rPr>
        <w:t xml:space="preserve">. This approach involves an iterative process divided into five stages: </w:t>
      </w:r>
      <w:r w:rsidRPr="00D276FE">
        <w:rPr>
          <w:rFonts w:asciiTheme="majorHAnsi" w:hAnsiTheme="majorHAnsi"/>
          <w:i/>
          <w:iCs/>
        </w:rPr>
        <w:t>Plan Process</w:t>
      </w:r>
      <w:r w:rsidRPr="00D276FE">
        <w:rPr>
          <w:rFonts w:asciiTheme="majorHAnsi" w:hAnsiTheme="majorHAnsi"/>
        </w:rPr>
        <w:t xml:space="preserve">, </w:t>
      </w:r>
      <w:r w:rsidRPr="00D276FE">
        <w:rPr>
          <w:rFonts w:asciiTheme="majorHAnsi" w:hAnsiTheme="majorHAnsi"/>
          <w:i/>
          <w:iCs/>
        </w:rPr>
        <w:t>Understand Context</w:t>
      </w:r>
      <w:r w:rsidRPr="00D276FE">
        <w:rPr>
          <w:rFonts w:asciiTheme="majorHAnsi" w:hAnsiTheme="majorHAnsi"/>
        </w:rPr>
        <w:t xml:space="preserve">, </w:t>
      </w:r>
      <w:r w:rsidRPr="00D276FE">
        <w:rPr>
          <w:rFonts w:asciiTheme="majorHAnsi" w:hAnsiTheme="majorHAnsi"/>
          <w:i/>
          <w:iCs/>
        </w:rPr>
        <w:t>Specify User Requirements</w:t>
      </w:r>
      <w:r w:rsidRPr="00D276FE">
        <w:rPr>
          <w:rFonts w:asciiTheme="majorHAnsi" w:hAnsiTheme="majorHAnsi"/>
        </w:rPr>
        <w:t xml:space="preserve">, </w:t>
      </w:r>
      <w:r w:rsidRPr="00D276FE">
        <w:rPr>
          <w:rFonts w:asciiTheme="majorHAnsi" w:hAnsiTheme="majorHAnsi"/>
          <w:i/>
          <w:iCs/>
        </w:rPr>
        <w:t>Produce Solutions</w:t>
      </w:r>
      <w:r w:rsidRPr="00D276FE">
        <w:rPr>
          <w:rFonts w:asciiTheme="majorHAnsi" w:hAnsiTheme="majorHAnsi"/>
        </w:rPr>
        <w:t xml:space="preserve">, and </w:t>
      </w:r>
      <w:r w:rsidRPr="00D276FE">
        <w:rPr>
          <w:rFonts w:asciiTheme="majorHAnsi" w:hAnsiTheme="majorHAnsi"/>
          <w:i/>
          <w:iCs/>
        </w:rPr>
        <w:t>Evaluate Solutions</w:t>
      </w:r>
      <w:r w:rsidRPr="00D276FE">
        <w:rPr>
          <w:rFonts w:asciiTheme="majorHAnsi" w:hAnsiTheme="majorHAnsi"/>
          <w:color w:val="0432FF"/>
          <w:vertAlign w:val="superscript"/>
        </w:rPr>
        <w:t>39</w:t>
      </w:r>
      <w:r w:rsidRPr="00D276FE">
        <w:rPr>
          <w:rFonts w:asciiTheme="majorHAnsi" w:hAnsiTheme="majorHAnsi"/>
        </w:rPr>
        <w:t xml:space="preserve"> (Table 2</w:t>
      </w:r>
      <w:r w:rsidRPr="00D276FE">
        <w:rPr>
          <w:rFonts w:asciiTheme="majorHAnsi" w:hAnsiTheme="majorHAnsi"/>
          <w:color w:val="000000" w:themeColor="text1"/>
        </w:rPr>
        <w:t>)</w:t>
      </w:r>
      <w:r w:rsidRPr="00D276FE">
        <w:rPr>
          <w:rFonts w:asciiTheme="majorHAnsi" w:hAnsiTheme="majorHAnsi"/>
        </w:rPr>
        <w:t xml:space="preserve">. ISO’s user-centered design approach emphasizes prototyping multiple solutions in the </w:t>
      </w:r>
      <w:r w:rsidRPr="00D276FE">
        <w:rPr>
          <w:rFonts w:asciiTheme="majorHAnsi" w:hAnsiTheme="majorHAnsi"/>
          <w:i/>
          <w:iCs/>
        </w:rPr>
        <w:t>Produce Solutions</w:t>
      </w:r>
      <w:r w:rsidRPr="00D276FE">
        <w:rPr>
          <w:rFonts w:asciiTheme="majorHAnsi" w:hAnsiTheme="majorHAnsi"/>
        </w:rPr>
        <w:t xml:space="preserve"> stage and formal user-centered evaluation, including usability testing, in the </w:t>
      </w:r>
      <w:r w:rsidRPr="00D276FE">
        <w:rPr>
          <w:rFonts w:asciiTheme="majorHAnsi" w:hAnsiTheme="majorHAnsi"/>
          <w:i/>
          <w:iCs/>
        </w:rPr>
        <w:t>Evaluate Solutions</w:t>
      </w:r>
      <w:r w:rsidRPr="00D276FE">
        <w:rPr>
          <w:rFonts w:asciiTheme="majorHAnsi" w:hAnsiTheme="majorHAnsi"/>
        </w:rPr>
        <w:t xml:space="preserve"> stage</w:t>
      </w:r>
      <w:r w:rsidRPr="00D276FE">
        <w:rPr>
          <w:rFonts w:asciiTheme="majorHAnsi" w:hAnsiTheme="majorHAnsi"/>
          <w:color w:val="0432FF"/>
          <w:vertAlign w:val="superscript"/>
        </w:rPr>
        <w:t>38, 39</w:t>
      </w:r>
      <w:r w:rsidRPr="00D276FE">
        <w:rPr>
          <w:rFonts w:asciiTheme="majorHAnsi" w:hAnsiTheme="majorHAnsi"/>
        </w:rPr>
        <w:t xml:space="preserve">. If evaluation in the </w:t>
      </w:r>
      <w:r w:rsidRPr="00D276FE">
        <w:rPr>
          <w:rFonts w:asciiTheme="majorHAnsi" w:hAnsiTheme="majorHAnsi"/>
          <w:i/>
          <w:iCs/>
        </w:rPr>
        <w:t>Evaluate Solutions</w:t>
      </w:r>
      <w:r w:rsidRPr="00D276FE">
        <w:rPr>
          <w:rFonts w:asciiTheme="majorHAnsi" w:hAnsiTheme="majorHAnsi"/>
        </w:rPr>
        <w:t xml:space="preserve"> stage shows the product does not meet requirements set in the </w:t>
      </w:r>
      <w:r w:rsidRPr="00D276FE">
        <w:rPr>
          <w:rFonts w:asciiTheme="majorHAnsi" w:hAnsiTheme="majorHAnsi"/>
          <w:i/>
          <w:iCs/>
        </w:rPr>
        <w:t>Specify User Requirements</w:t>
      </w:r>
      <w:r w:rsidRPr="00D276FE">
        <w:rPr>
          <w:rFonts w:asciiTheme="majorHAnsi" w:hAnsiTheme="majorHAnsi"/>
        </w:rPr>
        <w:t xml:space="preserve"> stage, the process returns to an earlier stage to address the gaps</w:t>
      </w:r>
      <w:r w:rsidRPr="00D276FE">
        <w:rPr>
          <w:rFonts w:asciiTheme="majorHAnsi" w:hAnsiTheme="majorHAnsi"/>
          <w:color w:val="0432FF"/>
          <w:vertAlign w:val="superscript"/>
        </w:rPr>
        <w:t>37, 39</w:t>
      </w:r>
      <w:r w:rsidR="00912ECA" w:rsidRPr="00D276FE">
        <w:rPr>
          <w:rFonts w:asciiTheme="majorHAnsi" w:hAnsiTheme="majorHAnsi"/>
          <w:color w:val="0432FF"/>
        </w:rPr>
        <w:t xml:space="preserve"> </w:t>
      </w:r>
      <w:r w:rsidR="00912ECA" w:rsidRPr="00D276FE">
        <w:rPr>
          <w:rFonts w:asciiTheme="majorHAnsi" w:hAnsiTheme="majorHAnsi"/>
        </w:rPr>
        <w:t>(Fig. 2</w:t>
      </w:r>
      <w:r w:rsidR="00912ECA" w:rsidRPr="00D276FE">
        <w:rPr>
          <w:rFonts w:asciiTheme="majorHAnsi" w:hAnsiTheme="majorHAnsi"/>
          <w:color w:val="000000" w:themeColor="text1"/>
        </w:rPr>
        <w:t>)</w:t>
      </w:r>
      <w:r w:rsidRPr="00D276FE">
        <w:rPr>
          <w:rFonts w:asciiTheme="majorHAnsi" w:hAnsiTheme="majorHAnsi"/>
        </w:rPr>
        <w:t>. As with co-production, we use this user-centered design approach to categorize and analyze mechanisms and practices.</w:t>
      </w:r>
    </w:p>
    <w:p w14:paraId="5206439B" w14:textId="77777777" w:rsidR="00B944BA" w:rsidRPr="00D276FE" w:rsidRDefault="00B944BA" w:rsidP="00B944BA">
      <w:pPr>
        <w:spacing w:after="0" w:line="276" w:lineRule="auto"/>
        <w:ind w:firstLine="0"/>
        <w:rPr>
          <w:rFonts w:asciiTheme="majorHAnsi" w:hAnsiTheme="majorHAnsi"/>
        </w:rPr>
      </w:pPr>
    </w:p>
    <w:p w14:paraId="555C7423" w14:textId="04ABE5F9" w:rsidR="00B944BA" w:rsidRPr="00D276FE" w:rsidRDefault="00B944BA" w:rsidP="00B944BA">
      <w:pPr>
        <w:spacing w:after="0" w:line="276" w:lineRule="auto"/>
        <w:ind w:firstLine="0"/>
        <w:rPr>
          <w:rFonts w:asciiTheme="majorHAnsi" w:hAnsiTheme="majorHAnsi"/>
          <w:color w:val="000000" w:themeColor="text1"/>
          <w:lang w:val="en-US"/>
        </w:rPr>
      </w:pPr>
      <w:r w:rsidRPr="00D276FE">
        <w:rPr>
          <w:rFonts w:asciiTheme="majorHAnsi" w:hAnsiTheme="majorHAnsi"/>
        </w:rPr>
        <w:t>[</w:t>
      </w:r>
      <w:r w:rsidRPr="00D276FE">
        <w:rPr>
          <w:rFonts w:asciiTheme="majorHAnsi" w:hAnsiTheme="majorHAnsi"/>
          <w:b/>
          <w:bCs/>
          <w:lang w:val="en-US"/>
        </w:rPr>
        <w:t>Fig</w:t>
      </w:r>
      <w:r w:rsidR="00EE147F" w:rsidRPr="00D276FE">
        <w:rPr>
          <w:rFonts w:asciiTheme="majorHAnsi" w:hAnsiTheme="majorHAnsi"/>
          <w:b/>
          <w:bCs/>
          <w:lang w:val="en-US"/>
        </w:rPr>
        <w:t>.</w:t>
      </w:r>
      <w:r w:rsidRPr="00D276FE">
        <w:rPr>
          <w:rFonts w:asciiTheme="majorHAnsi" w:hAnsiTheme="majorHAnsi"/>
          <w:b/>
          <w:bCs/>
          <w:lang w:val="en-US"/>
        </w:rPr>
        <w:t xml:space="preserve"> </w:t>
      </w:r>
      <w:r w:rsidR="00912ECA" w:rsidRPr="00D276FE">
        <w:rPr>
          <w:rFonts w:asciiTheme="majorHAnsi" w:hAnsiTheme="majorHAnsi"/>
          <w:b/>
          <w:bCs/>
          <w:lang w:val="en-US"/>
        </w:rPr>
        <w:t>2</w:t>
      </w:r>
      <w:r w:rsidR="007A3F9B" w:rsidRPr="00D276FE">
        <w:rPr>
          <w:rFonts w:asciiTheme="majorHAnsi" w:hAnsiTheme="majorHAnsi"/>
          <w:b/>
          <w:bCs/>
          <w:lang w:val="en-US"/>
        </w:rPr>
        <w:t xml:space="preserve"> |</w:t>
      </w:r>
      <w:r w:rsidR="00211DD8" w:rsidRPr="00D276FE">
        <w:rPr>
          <w:rFonts w:asciiTheme="majorHAnsi" w:hAnsiTheme="majorHAnsi"/>
          <w:b/>
          <w:bCs/>
          <w:lang w:val="en-US"/>
        </w:rPr>
        <w:t xml:space="preserve"> </w:t>
      </w:r>
      <w:r w:rsidR="00912ECA" w:rsidRPr="00D276FE">
        <w:rPr>
          <w:rFonts w:asciiTheme="majorHAnsi" w:hAnsiTheme="majorHAnsi"/>
          <w:b/>
          <w:bCs/>
          <w:lang w:val="en-US"/>
        </w:rPr>
        <w:t>User-centered design process</w:t>
      </w:r>
      <w:r w:rsidRPr="00D276FE">
        <w:rPr>
          <w:rFonts w:asciiTheme="majorHAnsi" w:hAnsiTheme="majorHAnsi"/>
          <w:color w:val="000000" w:themeColor="text1"/>
          <w:lang w:val="en-US"/>
        </w:rPr>
        <w:t>]</w:t>
      </w:r>
    </w:p>
    <w:p w14:paraId="56E052F5" w14:textId="77777777" w:rsidR="00B944BA" w:rsidRPr="00D276FE" w:rsidRDefault="00B944BA" w:rsidP="00B944BA">
      <w:pPr>
        <w:spacing w:after="0" w:line="276" w:lineRule="auto"/>
        <w:ind w:firstLine="0"/>
        <w:rPr>
          <w:rFonts w:asciiTheme="majorHAnsi" w:hAnsiTheme="majorHAnsi"/>
          <w:color w:val="000000" w:themeColor="text1"/>
          <w:lang w:val="en-US"/>
        </w:rPr>
      </w:pPr>
    </w:p>
    <w:p w14:paraId="3DACBD30" w14:textId="45C2D326" w:rsidR="00B944BA" w:rsidRPr="00D276FE" w:rsidRDefault="00B944BA" w:rsidP="00B944BA">
      <w:pPr>
        <w:spacing w:after="0" w:line="276" w:lineRule="auto"/>
        <w:ind w:firstLine="0"/>
        <w:rPr>
          <w:rFonts w:asciiTheme="majorHAnsi" w:hAnsiTheme="majorHAnsi"/>
          <w:color w:val="000000" w:themeColor="text1"/>
          <w:lang w:val="en-US"/>
        </w:rPr>
      </w:pPr>
      <w:r w:rsidRPr="00D276FE">
        <w:rPr>
          <w:rFonts w:asciiTheme="majorHAnsi" w:hAnsiTheme="majorHAnsi"/>
        </w:rPr>
        <w:t>[</w:t>
      </w:r>
      <w:r w:rsidRPr="00D276FE">
        <w:rPr>
          <w:rFonts w:asciiTheme="majorHAnsi" w:hAnsiTheme="majorHAnsi"/>
          <w:b/>
          <w:bCs/>
          <w:lang w:val="en-US"/>
        </w:rPr>
        <w:t>T</w:t>
      </w:r>
      <w:r w:rsidR="00EE147F" w:rsidRPr="00D276FE">
        <w:rPr>
          <w:rFonts w:asciiTheme="majorHAnsi" w:hAnsiTheme="majorHAnsi"/>
          <w:b/>
          <w:bCs/>
          <w:lang w:val="en-US"/>
        </w:rPr>
        <w:t>able</w:t>
      </w:r>
      <w:r w:rsidRPr="00D276FE">
        <w:rPr>
          <w:rFonts w:asciiTheme="majorHAnsi" w:hAnsiTheme="majorHAnsi"/>
          <w:b/>
          <w:bCs/>
          <w:lang w:val="en-US"/>
        </w:rPr>
        <w:t xml:space="preserve"> </w:t>
      </w:r>
      <w:r w:rsidR="00912ECA" w:rsidRPr="00D276FE">
        <w:rPr>
          <w:rFonts w:asciiTheme="majorHAnsi" w:hAnsiTheme="majorHAnsi"/>
          <w:b/>
          <w:bCs/>
          <w:lang w:val="en-US"/>
        </w:rPr>
        <w:t>2</w:t>
      </w:r>
      <w:r w:rsidR="00211DD8" w:rsidRPr="00D276FE">
        <w:rPr>
          <w:rFonts w:asciiTheme="majorHAnsi" w:hAnsiTheme="majorHAnsi"/>
          <w:b/>
          <w:bCs/>
          <w:lang w:val="en-US"/>
        </w:rPr>
        <w:t xml:space="preserve"> </w:t>
      </w:r>
      <w:r w:rsidR="00EE147F" w:rsidRPr="00D276FE">
        <w:rPr>
          <w:rFonts w:asciiTheme="majorHAnsi" w:hAnsiTheme="majorHAnsi"/>
          <w:b/>
          <w:bCs/>
          <w:lang w:val="en-US"/>
        </w:rPr>
        <w:t>|</w:t>
      </w:r>
      <w:r w:rsidR="00211DD8" w:rsidRPr="00D276FE">
        <w:rPr>
          <w:rFonts w:asciiTheme="majorHAnsi" w:hAnsiTheme="majorHAnsi"/>
          <w:b/>
          <w:bCs/>
          <w:lang w:val="en-US"/>
        </w:rPr>
        <w:t xml:space="preserve"> </w:t>
      </w:r>
      <w:r w:rsidR="007860E0" w:rsidRPr="00D276FE">
        <w:rPr>
          <w:rFonts w:asciiTheme="majorHAnsi" w:hAnsiTheme="majorHAnsi"/>
          <w:b/>
          <w:bCs/>
          <w:lang w:val="en-US"/>
        </w:rPr>
        <w:t>User-centered design stages</w:t>
      </w:r>
      <w:r w:rsidRPr="00D276FE">
        <w:rPr>
          <w:rFonts w:asciiTheme="majorHAnsi" w:hAnsiTheme="majorHAnsi"/>
          <w:color w:val="000000" w:themeColor="text1"/>
          <w:lang w:val="en-US"/>
        </w:rPr>
        <w:t>]</w:t>
      </w:r>
    </w:p>
    <w:p w14:paraId="035A6B19" w14:textId="77777777" w:rsidR="007860E0" w:rsidRPr="00D276FE" w:rsidRDefault="007860E0" w:rsidP="00B944BA">
      <w:pPr>
        <w:spacing w:after="0" w:line="276" w:lineRule="auto"/>
        <w:ind w:firstLine="0"/>
        <w:rPr>
          <w:rFonts w:asciiTheme="majorHAnsi" w:hAnsiTheme="majorHAnsi"/>
          <w:color w:val="000000" w:themeColor="text1"/>
          <w:lang w:val="en-US"/>
        </w:rPr>
      </w:pPr>
    </w:p>
    <w:p w14:paraId="7100D818" w14:textId="1B8E3EE7" w:rsidR="007860E0" w:rsidRPr="00D276FE" w:rsidRDefault="007860E0" w:rsidP="007860E0">
      <w:pPr>
        <w:spacing w:after="0" w:line="276" w:lineRule="auto"/>
        <w:ind w:firstLine="0"/>
        <w:rPr>
          <w:rFonts w:asciiTheme="majorHAnsi" w:hAnsiTheme="majorHAnsi"/>
          <w:b/>
          <w:bCs/>
          <w:i/>
          <w:iCs/>
          <w:sz w:val="28"/>
          <w:szCs w:val="28"/>
        </w:rPr>
      </w:pPr>
      <w:r w:rsidRPr="00D276FE">
        <w:rPr>
          <w:rFonts w:asciiTheme="majorHAnsi" w:hAnsiTheme="majorHAnsi"/>
          <w:b/>
          <w:bCs/>
          <w:i/>
          <w:iCs/>
          <w:sz w:val="28"/>
          <w:szCs w:val="28"/>
        </w:rPr>
        <w:t xml:space="preserve">User-centered </w:t>
      </w:r>
      <w:r w:rsidR="00092014" w:rsidRPr="00D276FE">
        <w:rPr>
          <w:rFonts w:asciiTheme="majorHAnsi" w:hAnsiTheme="majorHAnsi"/>
          <w:b/>
          <w:bCs/>
          <w:i/>
          <w:iCs/>
          <w:sz w:val="28"/>
          <w:szCs w:val="28"/>
        </w:rPr>
        <w:t xml:space="preserve">design </w:t>
      </w:r>
      <w:r w:rsidRPr="00D276FE">
        <w:rPr>
          <w:rFonts w:asciiTheme="majorHAnsi" w:hAnsiTheme="majorHAnsi"/>
          <w:b/>
          <w:bCs/>
          <w:i/>
          <w:iCs/>
          <w:sz w:val="28"/>
          <w:szCs w:val="28"/>
        </w:rPr>
        <w:t>elements</w:t>
      </w:r>
    </w:p>
    <w:p w14:paraId="1439B6D3" w14:textId="3F4B6068" w:rsidR="007860E0" w:rsidRPr="00D276FE" w:rsidRDefault="007860E0" w:rsidP="007860E0">
      <w:pPr>
        <w:spacing w:after="0" w:line="276" w:lineRule="auto"/>
        <w:ind w:firstLine="0"/>
        <w:rPr>
          <w:rFonts w:asciiTheme="majorHAnsi" w:hAnsiTheme="majorHAnsi"/>
          <w:color w:val="000000" w:themeColor="text1"/>
          <w:lang w:val="en-US"/>
        </w:rPr>
      </w:pPr>
      <w:r w:rsidRPr="00D276FE">
        <w:rPr>
          <w:rFonts w:asciiTheme="majorHAnsi" w:hAnsiTheme="majorHAnsi"/>
          <w:color w:val="000000" w:themeColor="text1"/>
          <w:lang w:val="en-US"/>
        </w:rPr>
        <w:t xml:space="preserve">User-centered design is widely used in climate and sustainability contexts but appears less often than co-production in literature related to climate adaptation products; nonetheless, our review identified elements (mechanisms and best practices) mapped across the five user-centered </w:t>
      </w:r>
      <w:r w:rsidRPr="00D276FE">
        <w:rPr>
          <w:rFonts w:asciiTheme="majorHAnsi" w:hAnsiTheme="majorHAnsi"/>
          <w:color w:val="000000" w:themeColor="text1"/>
          <w:lang w:val="en-US"/>
        </w:rPr>
        <w:lastRenderedPageBreak/>
        <w:t>design stages. Supporting background on human-computer interaction and user-centered design is provided in the Methods.</w:t>
      </w:r>
    </w:p>
    <w:p w14:paraId="57EDF22A" w14:textId="77777777" w:rsidR="007860E0" w:rsidRPr="00D276FE" w:rsidRDefault="007860E0" w:rsidP="007860E0">
      <w:pPr>
        <w:spacing w:after="0" w:line="276" w:lineRule="auto"/>
        <w:ind w:firstLine="0"/>
        <w:rPr>
          <w:rFonts w:asciiTheme="majorHAnsi" w:hAnsiTheme="majorHAnsi"/>
          <w:color w:val="000000" w:themeColor="text1"/>
          <w:lang w:val="en-US"/>
        </w:rPr>
      </w:pPr>
    </w:p>
    <w:p w14:paraId="12E99ED2" w14:textId="395A7962" w:rsidR="007860E0" w:rsidRPr="00D276FE" w:rsidRDefault="00733FEC" w:rsidP="007860E0">
      <w:pPr>
        <w:spacing w:after="0" w:line="276" w:lineRule="auto"/>
        <w:ind w:firstLine="0"/>
        <w:rPr>
          <w:rFonts w:asciiTheme="majorHAnsi" w:hAnsiTheme="majorHAnsi"/>
          <w:color w:val="000000" w:themeColor="text1"/>
        </w:rPr>
      </w:pPr>
      <w:r w:rsidRPr="00D276FE">
        <w:rPr>
          <w:rFonts w:asciiTheme="majorHAnsi" w:hAnsiTheme="majorHAnsi"/>
          <w:color w:val="000000" w:themeColor="text1"/>
        </w:rPr>
        <w:t>There were 41 mechanisms applied across one or more of the user-centered design stages, categorized as 19 artifacts, 21 activities, and 1 actor (</w:t>
      </w:r>
      <w:r w:rsidR="009F59C4" w:rsidRPr="009F59C4">
        <w:rPr>
          <w:rFonts w:asciiTheme="majorHAnsi" w:hAnsiTheme="majorHAnsi"/>
        </w:rPr>
        <w:t>Supplementary</w:t>
      </w:r>
      <w:r w:rsidR="009F59C4">
        <w:rPr>
          <w:rFonts w:asciiTheme="majorHAnsi" w:hAnsiTheme="majorHAnsi"/>
        </w:rPr>
        <w:t xml:space="preserve"> </w:t>
      </w:r>
      <w:r w:rsidR="006C0E7A" w:rsidRPr="00D276FE">
        <w:rPr>
          <w:rFonts w:asciiTheme="majorHAnsi" w:hAnsiTheme="majorHAnsi"/>
        </w:rPr>
        <w:t>Table 3</w:t>
      </w:r>
      <w:r w:rsidRPr="00D276FE">
        <w:rPr>
          <w:rFonts w:asciiTheme="majorHAnsi" w:hAnsiTheme="majorHAnsi"/>
          <w:color w:val="000000" w:themeColor="text1"/>
        </w:rPr>
        <w:t xml:space="preserve">). Stage-agnostic mechanisms, </w:t>
      </w:r>
      <w:proofErr w:type="gramStart"/>
      <w:r w:rsidRPr="00D276FE">
        <w:rPr>
          <w:rFonts w:asciiTheme="majorHAnsi" w:hAnsiTheme="majorHAnsi"/>
          <w:color w:val="000000" w:themeColor="text1"/>
        </w:rPr>
        <w:t>similar to</w:t>
      </w:r>
      <w:proofErr w:type="gramEnd"/>
      <w:r w:rsidRPr="00D276FE">
        <w:rPr>
          <w:rFonts w:asciiTheme="majorHAnsi" w:hAnsiTheme="majorHAnsi"/>
          <w:color w:val="000000" w:themeColor="text1"/>
        </w:rPr>
        <w:t xml:space="preserve"> those in co-production, were often common techniques such as interviews, surveys, workshops, and focus groups (</w:t>
      </w:r>
      <w:r w:rsidR="009F59C4" w:rsidRPr="009F59C4">
        <w:rPr>
          <w:rFonts w:asciiTheme="majorHAnsi" w:hAnsiTheme="majorHAnsi"/>
          <w:color w:val="000000" w:themeColor="text1"/>
        </w:rPr>
        <w:t>Supplementary</w:t>
      </w:r>
      <w:r w:rsidR="009F59C4">
        <w:rPr>
          <w:rFonts w:asciiTheme="majorHAnsi" w:hAnsiTheme="majorHAnsi"/>
          <w:color w:val="000000" w:themeColor="text1"/>
        </w:rPr>
        <w:t xml:space="preserve"> </w:t>
      </w:r>
      <w:r w:rsidR="006C0E7A" w:rsidRPr="00D276FE">
        <w:rPr>
          <w:rFonts w:asciiTheme="majorHAnsi" w:hAnsiTheme="majorHAnsi"/>
        </w:rPr>
        <w:t>Table 3</w:t>
      </w:r>
      <w:r w:rsidRPr="00D276FE">
        <w:rPr>
          <w:rFonts w:asciiTheme="majorHAnsi" w:hAnsiTheme="majorHAnsi"/>
          <w:color w:val="000000" w:themeColor="text1"/>
        </w:rPr>
        <w:t>). Stage-specific mechanisms span each stage and provide a range of mechanisms to guide developers through the user-centered design process (</w:t>
      </w:r>
      <w:r w:rsidR="009F59C4" w:rsidRPr="009F59C4">
        <w:rPr>
          <w:rFonts w:asciiTheme="majorHAnsi" w:hAnsiTheme="majorHAnsi"/>
        </w:rPr>
        <w:t>Supplementary</w:t>
      </w:r>
      <w:r w:rsidR="009F59C4">
        <w:rPr>
          <w:rFonts w:asciiTheme="majorHAnsi" w:hAnsiTheme="majorHAnsi"/>
        </w:rPr>
        <w:t xml:space="preserve"> </w:t>
      </w:r>
      <w:r w:rsidR="006C0E7A" w:rsidRPr="00D276FE">
        <w:rPr>
          <w:rFonts w:asciiTheme="majorHAnsi" w:hAnsiTheme="majorHAnsi"/>
        </w:rPr>
        <w:t>Table 3</w:t>
      </w:r>
      <w:r w:rsidRPr="00D276FE">
        <w:rPr>
          <w:rFonts w:asciiTheme="majorHAnsi" w:hAnsiTheme="majorHAnsi"/>
          <w:color w:val="000000" w:themeColor="text1"/>
        </w:rPr>
        <w:t>).</w:t>
      </w:r>
      <w:r w:rsidR="00FB4D4E" w:rsidRPr="00D276FE">
        <w:rPr>
          <w:rFonts w:asciiTheme="majorHAnsi" w:hAnsiTheme="majorHAnsi"/>
          <w:color w:val="000000" w:themeColor="text1"/>
        </w:rPr>
        <w:t xml:space="preserve"> </w:t>
      </w:r>
      <w:r w:rsidR="007860E0" w:rsidRPr="00D276FE">
        <w:rPr>
          <w:rFonts w:asciiTheme="majorHAnsi" w:hAnsiTheme="majorHAnsi"/>
          <w:color w:val="000000" w:themeColor="text1"/>
          <w:lang w:val="en-US"/>
        </w:rPr>
        <w:t>For some stage-specific mechanisms, there are sub-mechanisms such as different prototyping mechanisms that provide greater customization depending on the developers’ goals or the type of product being developed</w:t>
      </w:r>
      <w:r w:rsidR="000166EF" w:rsidRPr="00D276FE">
        <w:rPr>
          <w:rFonts w:asciiTheme="majorHAnsi" w:hAnsiTheme="majorHAnsi"/>
          <w:color w:val="000000" w:themeColor="text1"/>
          <w:lang w:val="en-US"/>
        </w:rPr>
        <w:t xml:space="preserve"> </w:t>
      </w:r>
      <w:r w:rsidR="000166EF" w:rsidRPr="00D276FE">
        <w:rPr>
          <w:rFonts w:asciiTheme="majorHAnsi" w:hAnsiTheme="majorHAnsi"/>
          <w:color w:val="000000" w:themeColor="text1"/>
        </w:rPr>
        <w:t>(</w:t>
      </w:r>
      <w:r w:rsidR="009F59C4" w:rsidRPr="009F59C4">
        <w:rPr>
          <w:rFonts w:asciiTheme="majorHAnsi" w:hAnsiTheme="majorHAnsi"/>
        </w:rPr>
        <w:t>Supplementary</w:t>
      </w:r>
      <w:r w:rsidR="009F59C4">
        <w:rPr>
          <w:rFonts w:asciiTheme="majorHAnsi" w:hAnsiTheme="majorHAnsi"/>
        </w:rPr>
        <w:t xml:space="preserve"> </w:t>
      </w:r>
      <w:r w:rsidR="000166EF" w:rsidRPr="00D276FE">
        <w:rPr>
          <w:rFonts w:asciiTheme="majorHAnsi" w:hAnsiTheme="majorHAnsi"/>
        </w:rPr>
        <w:t>Table 3</w:t>
      </w:r>
      <w:r w:rsidR="000166EF" w:rsidRPr="00D276FE">
        <w:rPr>
          <w:rFonts w:asciiTheme="majorHAnsi" w:hAnsiTheme="majorHAnsi"/>
          <w:color w:val="000000" w:themeColor="text1"/>
        </w:rPr>
        <w:t>)</w:t>
      </w:r>
      <w:r w:rsidR="007860E0" w:rsidRPr="00D276FE">
        <w:rPr>
          <w:rFonts w:asciiTheme="majorHAnsi" w:hAnsiTheme="majorHAnsi"/>
          <w:color w:val="000000" w:themeColor="text1"/>
          <w:lang w:val="en-US"/>
        </w:rPr>
        <w:t xml:space="preserve">. Several mechanisms recur across stages and appear core to user-centered design. One of them is the context-of-use during the </w:t>
      </w:r>
      <w:r w:rsidR="007860E0" w:rsidRPr="00D276FE">
        <w:rPr>
          <w:rFonts w:asciiTheme="majorHAnsi" w:hAnsiTheme="majorHAnsi"/>
          <w:i/>
          <w:iCs/>
          <w:color w:val="000000" w:themeColor="text1"/>
          <w:lang w:val="en-US"/>
        </w:rPr>
        <w:t>Understand Context</w:t>
      </w:r>
      <w:r w:rsidR="007860E0" w:rsidRPr="00D276FE">
        <w:rPr>
          <w:rFonts w:asciiTheme="majorHAnsi" w:hAnsiTheme="majorHAnsi"/>
          <w:color w:val="000000" w:themeColor="text1"/>
          <w:lang w:val="en-US"/>
        </w:rPr>
        <w:t xml:space="preserve"> stage, which is a central document that guides work on understanding user needs and organizes information on product or user context</w:t>
      </w:r>
      <w:r w:rsidR="006C0E7A" w:rsidRPr="00D276FE">
        <w:rPr>
          <w:rFonts w:asciiTheme="majorHAnsi" w:hAnsiTheme="majorHAnsi"/>
          <w:color w:val="000000" w:themeColor="text1"/>
          <w:lang w:val="en-US"/>
        </w:rPr>
        <w:t xml:space="preserve"> </w:t>
      </w:r>
      <w:r w:rsidR="006C0E7A" w:rsidRPr="00D276FE">
        <w:rPr>
          <w:rFonts w:asciiTheme="majorHAnsi" w:hAnsiTheme="majorHAnsi"/>
          <w:color w:val="000000" w:themeColor="text1"/>
        </w:rPr>
        <w:t>(</w:t>
      </w:r>
      <w:r w:rsidR="009F59C4" w:rsidRPr="009F59C4">
        <w:rPr>
          <w:rFonts w:asciiTheme="majorHAnsi" w:hAnsiTheme="majorHAnsi"/>
        </w:rPr>
        <w:t>Supplementary</w:t>
      </w:r>
      <w:r w:rsidR="009F59C4">
        <w:rPr>
          <w:rFonts w:asciiTheme="majorHAnsi" w:hAnsiTheme="majorHAnsi"/>
        </w:rPr>
        <w:t xml:space="preserve"> </w:t>
      </w:r>
      <w:r w:rsidR="006C0E7A" w:rsidRPr="00D276FE">
        <w:rPr>
          <w:rFonts w:asciiTheme="majorHAnsi" w:hAnsiTheme="majorHAnsi"/>
        </w:rPr>
        <w:t>Table 3</w:t>
      </w:r>
      <w:r w:rsidR="006C0E7A" w:rsidRPr="00D276FE">
        <w:rPr>
          <w:rFonts w:asciiTheme="majorHAnsi" w:hAnsiTheme="majorHAnsi"/>
          <w:color w:val="000000" w:themeColor="text1"/>
        </w:rPr>
        <w:t>)</w:t>
      </w:r>
      <w:r w:rsidR="007860E0" w:rsidRPr="00D276FE">
        <w:rPr>
          <w:rFonts w:asciiTheme="majorHAnsi" w:hAnsiTheme="majorHAnsi"/>
          <w:color w:val="000000" w:themeColor="text1"/>
          <w:lang w:val="en-US"/>
        </w:rPr>
        <w:t xml:space="preserve">. Another is the user requirements specification during the </w:t>
      </w:r>
      <w:r w:rsidR="007860E0" w:rsidRPr="00D276FE">
        <w:rPr>
          <w:rFonts w:asciiTheme="majorHAnsi" w:hAnsiTheme="majorHAnsi"/>
          <w:i/>
          <w:iCs/>
          <w:color w:val="000000" w:themeColor="text1"/>
          <w:lang w:val="en-US"/>
        </w:rPr>
        <w:t>Specify User Requirements</w:t>
      </w:r>
      <w:r w:rsidR="007860E0" w:rsidRPr="00D276FE">
        <w:rPr>
          <w:rFonts w:asciiTheme="majorHAnsi" w:hAnsiTheme="majorHAnsi"/>
          <w:color w:val="000000" w:themeColor="text1"/>
          <w:lang w:val="en-US"/>
        </w:rPr>
        <w:t>, which organizes developer, user, and stakeholder requirements and provides a reference for the product design and evaluation</w:t>
      </w:r>
      <w:r w:rsidR="000166EF" w:rsidRPr="00D276FE">
        <w:rPr>
          <w:rFonts w:asciiTheme="majorHAnsi" w:hAnsiTheme="majorHAnsi"/>
          <w:color w:val="000000" w:themeColor="text1"/>
          <w:lang w:val="en-US"/>
        </w:rPr>
        <w:t xml:space="preserve"> </w:t>
      </w:r>
      <w:r w:rsidR="000166EF" w:rsidRPr="00D276FE">
        <w:rPr>
          <w:rFonts w:asciiTheme="majorHAnsi" w:hAnsiTheme="majorHAnsi"/>
          <w:color w:val="000000" w:themeColor="text1"/>
        </w:rPr>
        <w:t>(</w:t>
      </w:r>
      <w:r w:rsidR="009F59C4" w:rsidRPr="009F59C4">
        <w:rPr>
          <w:rFonts w:asciiTheme="majorHAnsi" w:hAnsiTheme="majorHAnsi"/>
        </w:rPr>
        <w:t>Supplementary</w:t>
      </w:r>
      <w:r w:rsidR="009F59C4">
        <w:rPr>
          <w:rFonts w:asciiTheme="majorHAnsi" w:hAnsiTheme="majorHAnsi"/>
        </w:rPr>
        <w:t xml:space="preserve"> </w:t>
      </w:r>
      <w:r w:rsidR="000166EF" w:rsidRPr="00D276FE">
        <w:rPr>
          <w:rFonts w:asciiTheme="majorHAnsi" w:hAnsiTheme="majorHAnsi"/>
        </w:rPr>
        <w:t>Table 3</w:t>
      </w:r>
      <w:r w:rsidR="000166EF" w:rsidRPr="00D276FE">
        <w:rPr>
          <w:rFonts w:asciiTheme="majorHAnsi" w:hAnsiTheme="majorHAnsi"/>
          <w:color w:val="000000" w:themeColor="text1"/>
        </w:rPr>
        <w:t>)</w:t>
      </w:r>
      <w:r w:rsidR="007860E0" w:rsidRPr="00D276FE">
        <w:rPr>
          <w:rFonts w:asciiTheme="majorHAnsi" w:hAnsiTheme="majorHAnsi"/>
          <w:color w:val="000000" w:themeColor="text1"/>
          <w:lang w:val="en-US"/>
        </w:rPr>
        <w:t xml:space="preserve">. Prototypes are also essential, especially during the </w:t>
      </w:r>
      <w:r w:rsidR="007860E0" w:rsidRPr="00D276FE">
        <w:rPr>
          <w:rFonts w:asciiTheme="majorHAnsi" w:hAnsiTheme="majorHAnsi"/>
          <w:i/>
          <w:iCs/>
          <w:color w:val="000000" w:themeColor="text1"/>
          <w:lang w:val="en-US"/>
        </w:rPr>
        <w:t>Produce Solutions</w:t>
      </w:r>
      <w:r w:rsidR="007860E0" w:rsidRPr="00D276FE">
        <w:rPr>
          <w:rFonts w:asciiTheme="majorHAnsi" w:hAnsiTheme="majorHAnsi"/>
          <w:color w:val="000000" w:themeColor="text1"/>
          <w:lang w:val="en-US"/>
        </w:rPr>
        <w:t xml:space="preserve"> stage, and the process entails frequent iteration using a mixture of low- and high-fidelity prototypes</w:t>
      </w:r>
      <w:r w:rsidR="000166EF" w:rsidRPr="00D276FE">
        <w:rPr>
          <w:rFonts w:asciiTheme="majorHAnsi" w:hAnsiTheme="majorHAnsi"/>
          <w:color w:val="000000" w:themeColor="text1"/>
          <w:lang w:val="en-US"/>
        </w:rPr>
        <w:t xml:space="preserve"> </w:t>
      </w:r>
      <w:r w:rsidR="000166EF" w:rsidRPr="00D276FE">
        <w:rPr>
          <w:rFonts w:asciiTheme="majorHAnsi" w:hAnsiTheme="majorHAnsi"/>
          <w:color w:val="000000" w:themeColor="text1"/>
        </w:rPr>
        <w:t>(</w:t>
      </w:r>
      <w:r w:rsidR="009F59C4" w:rsidRPr="009F59C4">
        <w:rPr>
          <w:rFonts w:asciiTheme="majorHAnsi" w:hAnsiTheme="majorHAnsi"/>
        </w:rPr>
        <w:t>Supplementary</w:t>
      </w:r>
      <w:r w:rsidR="009F59C4">
        <w:rPr>
          <w:rFonts w:asciiTheme="majorHAnsi" w:hAnsiTheme="majorHAnsi"/>
        </w:rPr>
        <w:t xml:space="preserve"> </w:t>
      </w:r>
      <w:r w:rsidR="000166EF" w:rsidRPr="00D276FE">
        <w:rPr>
          <w:rFonts w:asciiTheme="majorHAnsi" w:hAnsiTheme="majorHAnsi"/>
        </w:rPr>
        <w:t>Table 3</w:t>
      </w:r>
      <w:r w:rsidR="000166EF" w:rsidRPr="00D276FE">
        <w:rPr>
          <w:rFonts w:asciiTheme="majorHAnsi" w:hAnsiTheme="majorHAnsi"/>
          <w:color w:val="000000" w:themeColor="text1"/>
        </w:rPr>
        <w:t>)</w:t>
      </w:r>
      <w:r w:rsidR="007860E0" w:rsidRPr="00D276FE">
        <w:rPr>
          <w:rFonts w:asciiTheme="majorHAnsi" w:hAnsiTheme="majorHAnsi"/>
          <w:color w:val="000000" w:themeColor="text1"/>
          <w:lang w:val="en-US"/>
        </w:rPr>
        <w:t xml:space="preserve">. Lastly, the </w:t>
      </w:r>
      <w:r w:rsidR="007860E0" w:rsidRPr="00D276FE">
        <w:rPr>
          <w:rFonts w:asciiTheme="majorHAnsi" w:hAnsiTheme="majorHAnsi"/>
          <w:i/>
          <w:iCs/>
          <w:color w:val="000000" w:themeColor="text1"/>
          <w:lang w:val="en-US"/>
        </w:rPr>
        <w:t>Evaluate Solutions</w:t>
      </w:r>
      <w:r w:rsidR="007860E0" w:rsidRPr="00D276FE">
        <w:rPr>
          <w:rFonts w:asciiTheme="majorHAnsi" w:hAnsiTheme="majorHAnsi"/>
          <w:color w:val="000000" w:themeColor="text1"/>
          <w:lang w:val="en-US"/>
        </w:rPr>
        <w:t xml:space="preserve"> stage is a critical juncture for the user-centered design process with multiple mechanisms for testing usability and utility and for evaluating whether the final product delivered can be considered successful</w:t>
      </w:r>
      <w:r w:rsidR="000166EF" w:rsidRPr="00D276FE">
        <w:rPr>
          <w:rFonts w:asciiTheme="majorHAnsi" w:hAnsiTheme="majorHAnsi"/>
          <w:color w:val="000000" w:themeColor="text1"/>
          <w:lang w:val="en-US"/>
        </w:rPr>
        <w:t xml:space="preserve"> </w:t>
      </w:r>
      <w:r w:rsidR="000166EF" w:rsidRPr="00D276FE">
        <w:rPr>
          <w:rFonts w:asciiTheme="majorHAnsi" w:hAnsiTheme="majorHAnsi"/>
          <w:color w:val="000000" w:themeColor="text1"/>
        </w:rPr>
        <w:t>(</w:t>
      </w:r>
      <w:r w:rsidR="009F59C4" w:rsidRPr="009F59C4">
        <w:rPr>
          <w:rFonts w:asciiTheme="majorHAnsi" w:hAnsiTheme="majorHAnsi"/>
        </w:rPr>
        <w:t>Supplementary</w:t>
      </w:r>
      <w:r w:rsidR="009F59C4">
        <w:rPr>
          <w:rFonts w:asciiTheme="majorHAnsi" w:hAnsiTheme="majorHAnsi"/>
        </w:rPr>
        <w:t xml:space="preserve"> </w:t>
      </w:r>
      <w:r w:rsidR="000166EF" w:rsidRPr="00D276FE">
        <w:rPr>
          <w:rFonts w:asciiTheme="majorHAnsi" w:hAnsiTheme="majorHAnsi"/>
        </w:rPr>
        <w:t>Table 3</w:t>
      </w:r>
      <w:r w:rsidR="000166EF" w:rsidRPr="00D276FE">
        <w:rPr>
          <w:rFonts w:asciiTheme="majorHAnsi" w:hAnsiTheme="majorHAnsi"/>
          <w:color w:val="000000" w:themeColor="text1"/>
        </w:rPr>
        <w:t>)</w:t>
      </w:r>
      <w:r w:rsidR="007860E0" w:rsidRPr="00D276FE">
        <w:rPr>
          <w:rFonts w:asciiTheme="majorHAnsi" w:hAnsiTheme="majorHAnsi"/>
          <w:color w:val="000000" w:themeColor="text1"/>
          <w:lang w:val="en-US"/>
        </w:rPr>
        <w:t xml:space="preserve">. </w:t>
      </w:r>
    </w:p>
    <w:p w14:paraId="3CCAA7F7" w14:textId="77777777" w:rsidR="007860E0" w:rsidRPr="00D276FE" w:rsidRDefault="007860E0" w:rsidP="007860E0">
      <w:pPr>
        <w:spacing w:after="0" w:line="276" w:lineRule="auto"/>
        <w:ind w:firstLine="0"/>
        <w:rPr>
          <w:rFonts w:asciiTheme="majorHAnsi" w:hAnsiTheme="majorHAnsi"/>
          <w:color w:val="000000" w:themeColor="text1"/>
          <w:lang w:val="en-US"/>
        </w:rPr>
      </w:pPr>
    </w:p>
    <w:p w14:paraId="1669CAA1" w14:textId="04A44841" w:rsidR="007860E0" w:rsidRPr="00D276FE" w:rsidRDefault="00FB4D4E" w:rsidP="007860E0">
      <w:pPr>
        <w:spacing w:after="0" w:line="276" w:lineRule="auto"/>
        <w:ind w:firstLine="0"/>
        <w:rPr>
          <w:rFonts w:asciiTheme="majorHAnsi" w:hAnsiTheme="majorHAnsi"/>
          <w:color w:val="000000" w:themeColor="text1"/>
          <w:lang w:val="en-US"/>
        </w:rPr>
      </w:pPr>
      <w:r w:rsidRPr="00D276FE">
        <w:rPr>
          <w:rFonts w:asciiTheme="majorHAnsi" w:hAnsiTheme="majorHAnsi"/>
          <w:color w:val="000000" w:themeColor="text1"/>
          <w:lang w:val="en-US"/>
        </w:rPr>
        <w:t>There were</w:t>
      </w:r>
      <w:r w:rsidR="007860E0" w:rsidRPr="00D276FE">
        <w:rPr>
          <w:rFonts w:asciiTheme="majorHAnsi" w:hAnsiTheme="majorHAnsi"/>
          <w:color w:val="000000" w:themeColor="text1"/>
          <w:lang w:val="en-US"/>
        </w:rPr>
        <w:t xml:space="preserve"> 45 best practices across each user-centered design stage that contributed to an effective user-centered design process or successful product</w:t>
      </w:r>
      <w:r w:rsidRPr="00D276FE">
        <w:rPr>
          <w:rFonts w:asciiTheme="majorHAnsi" w:hAnsiTheme="majorHAnsi"/>
          <w:color w:val="000000" w:themeColor="text1"/>
          <w:lang w:val="en-US"/>
        </w:rPr>
        <w:t xml:space="preserve"> </w:t>
      </w:r>
      <w:r w:rsidRPr="00D276FE">
        <w:rPr>
          <w:rFonts w:asciiTheme="majorHAnsi" w:hAnsiTheme="majorHAnsi" w:cstheme="minorHAnsi"/>
          <w:color w:val="000000" w:themeColor="text1"/>
          <w:lang w:val="en-US"/>
        </w:rPr>
        <w:t>(</w:t>
      </w:r>
      <w:r w:rsidR="009F59C4" w:rsidRPr="009F59C4">
        <w:rPr>
          <w:rFonts w:asciiTheme="majorHAnsi" w:hAnsiTheme="majorHAnsi"/>
        </w:rPr>
        <w:t>Supplementary</w:t>
      </w:r>
      <w:r w:rsidR="009F59C4">
        <w:rPr>
          <w:rFonts w:asciiTheme="majorHAnsi" w:hAnsiTheme="majorHAnsi"/>
        </w:rPr>
        <w:t xml:space="preserve"> </w:t>
      </w:r>
      <w:r w:rsidR="000166EF" w:rsidRPr="00D276FE">
        <w:rPr>
          <w:rFonts w:asciiTheme="majorHAnsi" w:hAnsiTheme="majorHAnsi"/>
        </w:rPr>
        <w:t>Table 4</w:t>
      </w:r>
      <w:r w:rsidR="00C116CB" w:rsidRPr="00D276FE">
        <w:rPr>
          <w:rStyle w:val="CommentReference"/>
          <w:rFonts w:asciiTheme="majorHAnsi" w:hAnsiTheme="majorHAnsi"/>
          <w:sz w:val="22"/>
          <w:szCs w:val="22"/>
        </w:rPr>
        <w:t>)</w:t>
      </w:r>
      <w:r w:rsidR="007860E0" w:rsidRPr="00D276FE">
        <w:rPr>
          <w:rFonts w:asciiTheme="majorHAnsi" w:hAnsiTheme="majorHAnsi" w:cstheme="minorHAnsi"/>
          <w:color w:val="000000" w:themeColor="text1"/>
          <w:lang w:val="en-US"/>
        </w:rPr>
        <w:t>.</w:t>
      </w:r>
      <w:r w:rsidR="007860E0" w:rsidRPr="00D276FE">
        <w:rPr>
          <w:rFonts w:asciiTheme="majorHAnsi" w:hAnsiTheme="majorHAnsi"/>
          <w:color w:val="000000" w:themeColor="text1"/>
          <w:lang w:val="en-US"/>
        </w:rPr>
        <w:t xml:space="preserve"> These practices reveal broad themes </w:t>
      </w:r>
      <w:proofErr w:type="gramStart"/>
      <w:r w:rsidR="007860E0" w:rsidRPr="00D276FE">
        <w:rPr>
          <w:rFonts w:asciiTheme="majorHAnsi" w:hAnsiTheme="majorHAnsi"/>
          <w:color w:val="000000" w:themeColor="text1"/>
          <w:lang w:val="en-US"/>
        </w:rPr>
        <w:t>similar to</w:t>
      </w:r>
      <w:proofErr w:type="gramEnd"/>
      <w:r w:rsidR="007860E0" w:rsidRPr="00D276FE">
        <w:rPr>
          <w:rFonts w:asciiTheme="majorHAnsi" w:hAnsiTheme="majorHAnsi"/>
          <w:color w:val="000000" w:themeColor="text1"/>
          <w:lang w:val="en-US"/>
        </w:rPr>
        <w:t xml:space="preserve"> those identified in co-production. The first theme emphasizes understanding and the importance of comprehending the process, problem, goals, assumptions, characteristics, and success metrics. The second theme focuses on communication and collaboration with diverse interdisciplinary teams, users, and stakeholders. The third theme highlights iteration and the value of rapid and continuous prototyping, testing, feedback, and improvement. The fourth theme emphasizes methodicalness, and the significance of a systematic approach to organizing insights, validating findings, steering the process, and evaluating products. These themes are further complemented by connecting ideas in the user-centered design literature, such as accessibility, inclusivity, and prioritization.</w:t>
      </w:r>
    </w:p>
    <w:p w14:paraId="5E753373" w14:textId="77777777" w:rsidR="00092014" w:rsidRPr="00D276FE" w:rsidRDefault="00092014" w:rsidP="007860E0">
      <w:pPr>
        <w:spacing w:after="0" w:line="276" w:lineRule="auto"/>
        <w:ind w:firstLine="0"/>
        <w:rPr>
          <w:rFonts w:asciiTheme="majorHAnsi" w:hAnsiTheme="majorHAnsi"/>
          <w:color w:val="000000" w:themeColor="text1"/>
          <w:lang w:val="en-US"/>
        </w:rPr>
      </w:pPr>
    </w:p>
    <w:p w14:paraId="25D00547" w14:textId="2F9B10F2" w:rsidR="00092014" w:rsidRPr="00D276FE" w:rsidRDefault="00092014" w:rsidP="00092014">
      <w:pPr>
        <w:spacing w:after="0" w:line="276" w:lineRule="auto"/>
        <w:ind w:firstLine="0"/>
        <w:rPr>
          <w:rFonts w:asciiTheme="majorHAnsi" w:hAnsiTheme="majorHAnsi"/>
          <w:b/>
          <w:bCs/>
          <w:i/>
          <w:iCs/>
          <w:sz w:val="28"/>
          <w:szCs w:val="28"/>
        </w:rPr>
      </w:pPr>
      <w:r w:rsidRPr="00D276FE">
        <w:rPr>
          <w:rFonts w:asciiTheme="majorHAnsi" w:hAnsiTheme="majorHAnsi"/>
          <w:b/>
          <w:bCs/>
          <w:i/>
          <w:iCs/>
          <w:sz w:val="28"/>
          <w:szCs w:val="28"/>
        </w:rPr>
        <w:t>Integration approach</w:t>
      </w:r>
    </w:p>
    <w:p w14:paraId="3323C758" w14:textId="77777777" w:rsidR="00784DEF" w:rsidRPr="00D276FE" w:rsidRDefault="00092014" w:rsidP="00C438DA">
      <w:pPr>
        <w:spacing w:after="0" w:line="276" w:lineRule="auto"/>
        <w:ind w:firstLine="0"/>
        <w:rPr>
          <w:rFonts w:asciiTheme="majorHAnsi" w:hAnsiTheme="majorHAnsi"/>
          <w:color w:val="000000" w:themeColor="text1"/>
          <w:lang w:val="en-US"/>
        </w:rPr>
      </w:pPr>
      <w:r w:rsidRPr="00D276FE">
        <w:rPr>
          <w:rFonts w:asciiTheme="majorHAnsi" w:hAnsiTheme="majorHAnsi"/>
          <w:color w:val="000000" w:themeColor="text1"/>
          <w:lang w:val="en-US"/>
        </w:rPr>
        <w:t>The overlap in processes, mechanisms, and best practices highlights strong synergies between co-production and user-centered design</w:t>
      </w:r>
      <w:r w:rsidRPr="00D276FE">
        <w:rPr>
          <w:rFonts w:asciiTheme="majorHAnsi" w:hAnsiTheme="majorHAnsi"/>
          <w:color w:val="0432FF"/>
          <w:vertAlign w:val="superscript"/>
          <w:lang w:val="en-US"/>
        </w:rPr>
        <w:t>2</w:t>
      </w:r>
      <w:r w:rsidRPr="00D276FE">
        <w:rPr>
          <w:rFonts w:asciiTheme="majorHAnsi" w:hAnsiTheme="majorHAnsi"/>
          <w:color w:val="000000" w:themeColor="text1"/>
          <w:lang w:val="en-US"/>
        </w:rPr>
        <w:t>. Though the exact language present in each approach varies, co-production approaches to product development already include many aspects of user-centered design. For example, there are analogous mechanisms such as interviews, focus groups, and prototypes as well as best practices such as establishing interdisciplinary teams, working extensively with users, understanding the problem and goals, developing multiple prototypes, and testing the final product. Even the stages within each approach’s process show a similar structure and flow starting from planning and exploration of the problem context to building and evaluating the product</w:t>
      </w:r>
      <w:r w:rsidR="008B1FD4" w:rsidRPr="00D276FE">
        <w:rPr>
          <w:rFonts w:asciiTheme="majorHAnsi" w:hAnsiTheme="majorHAnsi"/>
          <w:color w:val="000000" w:themeColor="text1"/>
          <w:lang w:val="en-US"/>
        </w:rPr>
        <w:t xml:space="preserve"> (</w:t>
      </w:r>
      <w:r w:rsidR="008B1FD4" w:rsidRPr="00D276FE">
        <w:rPr>
          <w:rFonts w:asciiTheme="majorHAnsi" w:hAnsiTheme="majorHAnsi"/>
          <w:lang w:val="en-US"/>
        </w:rPr>
        <w:t>Fig. 1 and 2</w:t>
      </w:r>
      <w:r w:rsidR="008B1FD4" w:rsidRPr="00D276FE">
        <w:rPr>
          <w:rFonts w:asciiTheme="majorHAnsi" w:hAnsiTheme="majorHAnsi"/>
          <w:color w:val="000000" w:themeColor="text1"/>
          <w:lang w:val="en-US"/>
        </w:rPr>
        <w:t>)</w:t>
      </w:r>
      <w:r w:rsidRPr="00D276FE">
        <w:rPr>
          <w:rFonts w:asciiTheme="majorHAnsi" w:hAnsiTheme="majorHAnsi"/>
          <w:color w:val="000000" w:themeColor="text1"/>
          <w:lang w:val="en-US"/>
        </w:rPr>
        <w:t xml:space="preserve">. </w:t>
      </w:r>
    </w:p>
    <w:p w14:paraId="59C8A894" w14:textId="77777777" w:rsidR="00784DEF" w:rsidRPr="00D276FE" w:rsidRDefault="00784DEF" w:rsidP="00C438DA">
      <w:pPr>
        <w:spacing w:after="0" w:line="276" w:lineRule="auto"/>
        <w:ind w:firstLine="0"/>
        <w:rPr>
          <w:rFonts w:asciiTheme="majorHAnsi" w:hAnsiTheme="majorHAnsi"/>
          <w:color w:val="000000" w:themeColor="text1"/>
          <w:lang w:val="en-US"/>
        </w:rPr>
      </w:pPr>
    </w:p>
    <w:p w14:paraId="6F62EEF1" w14:textId="65AD7946" w:rsidR="00092014" w:rsidRPr="00D276FE" w:rsidRDefault="00092014" w:rsidP="00C438DA">
      <w:pPr>
        <w:spacing w:after="0" w:line="276" w:lineRule="auto"/>
        <w:ind w:firstLine="0"/>
        <w:rPr>
          <w:rFonts w:asciiTheme="majorHAnsi" w:hAnsiTheme="majorHAnsi"/>
          <w:color w:val="000000" w:themeColor="text1"/>
          <w:lang w:val="en-US"/>
        </w:rPr>
      </w:pPr>
      <w:r w:rsidRPr="00D276FE">
        <w:rPr>
          <w:rFonts w:asciiTheme="majorHAnsi" w:hAnsiTheme="majorHAnsi"/>
          <w:color w:val="000000" w:themeColor="text1"/>
          <w:lang w:val="en-US"/>
        </w:rPr>
        <w:t xml:space="preserve">Although co-production and user-centered design overlap, integrating user-centered design can add distinctive strengths, </w:t>
      </w:r>
      <w:proofErr w:type="gramStart"/>
      <w:r w:rsidRPr="00D276FE">
        <w:rPr>
          <w:rFonts w:asciiTheme="majorHAnsi" w:hAnsiTheme="majorHAnsi"/>
          <w:color w:val="000000" w:themeColor="text1"/>
          <w:lang w:val="en-US"/>
        </w:rPr>
        <w:t>improving</w:t>
      </w:r>
      <w:proofErr w:type="gramEnd"/>
      <w:r w:rsidRPr="00D276FE">
        <w:rPr>
          <w:rFonts w:asciiTheme="majorHAnsi" w:hAnsiTheme="majorHAnsi"/>
          <w:color w:val="000000" w:themeColor="text1"/>
          <w:lang w:val="en-US"/>
        </w:rPr>
        <w:t xml:space="preserve"> salience, credibility, and legitimacy and addressing underdeveloped areas in co-production</w:t>
      </w:r>
      <w:r w:rsidRPr="00D276FE">
        <w:rPr>
          <w:rFonts w:asciiTheme="majorHAnsi" w:hAnsiTheme="majorHAnsi"/>
          <w:color w:val="0432FF"/>
          <w:vertAlign w:val="superscript"/>
          <w:lang w:val="en-US"/>
        </w:rPr>
        <w:t>2</w:t>
      </w:r>
      <w:r w:rsidRPr="00D276FE">
        <w:rPr>
          <w:rFonts w:asciiTheme="majorHAnsi" w:hAnsiTheme="majorHAnsi"/>
          <w:color w:val="000000" w:themeColor="text1"/>
          <w:lang w:val="en-US"/>
        </w:rPr>
        <w:t>. User-centered design processes, mechanisms, and practices help ensure that user input and needs are more effectively captured and incorporated, thereby increasing the relevance and contextual fit of climate adaptation products</w:t>
      </w:r>
      <w:r w:rsidRPr="00D276FE">
        <w:rPr>
          <w:rFonts w:asciiTheme="majorHAnsi" w:hAnsiTheme="majorHAnsi"/>
          <w:color w:val="0432FF"/>
          <w:vertAlign w:val="superscript"/>
          <w:lang w:val="en-US"/>
        </w:rPr>
        <w:t>3, 40, 41</w:t>
      </w:r>
      <w:r w:rsidRPr="00D276FE">
        <w:rPr>
          <w:rFonts w:asciiTheme="majorHAnsi" w:hAnsiTheme="majorHAnsi"/>
          <w:color w:val="000000" w:themeColor="text1"/>
          <w:lang w:val="en-US"/>
        </w:rPr>
        <w:t>. Likewise, user-centered design can make user engagement more structured, standardized, and transparent, which can strengthen trust and improve perceptions of impartiality and fairness</w:t>
      </w:r>
      <w:r w:rsidRPr="00D276FE">
        <w:rPr>
          <w:rFonts w:asciiTheme="majorHAnsi" w:hAnsiTheme="majorHAnsi"/>
          <w:color w:val="0432FF"/>
          <w:vertAlign w:val="superscript"/>
          <w:lang w:val="en-US"/>
        </w:rPr>
        <w:t>3,</w:t>
      </w:r>
      <w:r w:rsidR="00784DEF" w:rsidRPr="00D276FE">
        <w:rPr>
          <w:rFonts w:asciiTheme="majorHAnsi" w:hAnsiTheme="majorHAnsi"/>
          <w:color w:val="0432FF"/>
          <w:lang w:val="en-US"/>
        </w:rPr>
        <w:t xml:space="preserve"> </w:t>
      </w:r>
      <w:r w:rsidRPr="00D276FE">
        <w:rPr>
          <w:rFonts w:asciiTheme="majorHAnsi" w:hAnsiTheme="majorHAnsi"/>
          <w:color w:val="0432FF"/>
          <w:vertAlign w:val="superscript"/>
          <w:lang w:val="en-US"/>
        </w:rPr>
        <w:t>17, 42</w:t>
      </w:r>
      <w:r w:rsidR="004C44EA" w:rsidRPr="00D276FE">
        <w:rPr>
          <w:rFonts w:asciiTheme="majorHAnsi" w:hAnsiTheme="majorHAnsi"/>
          <w:color w:val="0432FF"/>
          <w:vertAlign w:val="superscript"/>
          <w:lang w:val="en-US"/>
        </w:rPr>
        <w:t>-</w:t>
      </w:r>
      <w:r w:rsidRPr="00D276FE">
        <w:rPr>
          <w:rFonts w:asciiTheme="majorHAnsi" w:hAnsiTheme="majorHAnsi"/>
          <w:color w:val="0432FF"/>
          <w:vertAlign w:val="superscript"/>
          <w:lang w:val="en-US"/>
        </w:rPr>
        <w:t>44</w:t>
      </w:r>
      <w:r w:rsidRPr="00D276FE">
        <w:rPr>
          <w:rFonts w:asciiTheme="majorHAnsi" w:hAnsiTheme="majorHAnsi"/>
          <w:color w:val="000000" w:themeColor="text1"/>
          <w:lang w:val="en-US"/>
        </w:rPr>
        <w:t>. Complementing these process-level strengths, user-centered design also contributes granular mechanisms for prototyping and testing, a stronger emphasis on systematic usability evaluation, and formal documentation tools such as context-of-use and user requirements specifications</w:t>
      </w:r>
      <w:r w:rsidRPr="00D276FE">
        <w:rPr>
          <w:rFonts w:asciiTheme="majorHAnsi" w:hAnsiTheme="majorHAnsi"/>
          <w:color w:val="0432FF"/>
          <w:vertAlign w:val="superscript"/>
          <w:lang w:val="en-US"/>
        </w:rPr>
        <w:t>45, 46</w:t>
      </w:r>
      <w:r w:rsidRPr="00D276FE">
        <w:rPr>
          <w:rFonts w:asciiTheme="majorHAnsi" w:hAnsiTheme="majorHAnsi"/>
          <w:color w:val="000000" w:themeColor="text1"/>
          <w:lang w:val="en-US"/>
        </w:rPr>
        <w:t>. These established mechanisms and practices, well suited to digital and software-based products, can help developers tailor co-production processes for online and technology-enabled contexts</w:t>
      </w:r>
      <w:r w:rsidRPr="00D276FE">
        <w:rPr>
          <w:rFonts w:asciiTheme="majorHAnsi" w:hAnsiTheme="majorHAnsi"/>
          <w:color w:val="0432FF"/>
          <w:vertAlign w:val="superscript"/>
          <w:lang w:val="en-US"/>
        </w:rPr>
        <w:t>8, 32</w:t>
      </w:r>
      <w:r w:rsidRPr="00D276FE">
        <w:rPr>
          <w:rFonts w:asciiTheme="majorHAnsi" w:hAnsiTheme="majorHAnsi"/>
          <w:color w:val="000000" w:themeColor="text1"/>
          <w:lang w:val="en-US"/>
        </w:rPr>
        <w:t xml:space="preserve">. </w:t>
      </w:r>
    </w:p>
    <w:p w14:paraId="5584525D" w14:textId="77777777" w:rsidR="00092014" w:rsidRPr="00D276FE" w:rsidRDefault="00092014" w:rsidP="00C438DA">
      <w:pPr>
        <w:spacing w:after="0" w:line="276" w:lineRule="auto"/>
        <w:ind w:firstLine="0"/>
        <w:rPr>
          <w:rFonts w:asciiTheme="majorHAnsi" w:hAnsiTheme="majorHAnsi"/>
          <w:color w:val="000000" w:themeColor="text1"/>
          <w:lang w:val="en-US"/>
        </w:rPr>
      </w:pPr>
    </w:p>
    <w:p w14:paraId="3A46E1C4" w14:textId="44EF3B4D" w:rsidR="00092014" w:rsidRPr="00D276FE" w:rsidRDefault="00092014" w:rsidP="00C438DA">
      <w:pPr>
        <w:spacing w:after="0" w:line="276" w:lineRule="auto"/>
        <w:ind w:firstLine="0"/>
        <w:rPr>
          <w:rFonts w:asciiTheme="majorHAnsi" w:hAnsiTheme="majorHAnsi"/>
          <w:color w:val="000000" w:themeColor="text1"/>
          <w:lang w:val="en-US"/>
        </w:rPr>
      </w:pPr>
      <w:r w:rsidRPr="00D276FE">
        <w:rPr>
          <w:rFonts w:asciiTheme="majorHAnsi" w:hAnsiTheme="majorHAnsi"/>
          <w:color w:val="000000" w:themeColor="text1"/>
          <w:lang w:val="en-US"/>
        </w:rPr>
        <w:t>Beyond these practical benefits, integrating user-centered design also presents an opportunity to reshape power dynamics. While co-production processes aim to center user needs, they can inadvertently reproduce unequal power relationships based on expertise or institutional authority</w:t>
      </w:r>
      <w:r w:rsidRPr="00D276FE">
        <w:rPr>
          <w:rFonts w:asciiTheme="majorHAnsi" w:hAnsiTheme="majorHAnsi"/>
          <w:color w:val="0432FF"/>
          <w:vertAlign w:val="superscript"/>
          <w:lang w:val="en-US"/>
        </w:rPr>
        <w:t>47, 48</w:t>
      </w:r>
      <w:r w:rsidRPr="00D276FE">
        <w:rPr>
          <w:rFonts w:asciiTheme="majorHAnsi" w:hAnsiTheme="majorHAnsi"/>
          <w:color w:val="000000" w:themeColor="text1"/>
          <w:lang w:val="en-US"/>
        </w:rPr>
        <w:t>. User-centered design offers mechanisms and practices that can help co-production center user needs and shift aspects of decision-making authority from developers to users</w:t>
      </w:r>
      <w:r w:rsidRPr="00D276FE">
        <w:rPr>
          <w:rFonts w:asciiTheme="majorHAnsi" w:hAnsiTheme="majorHAnsi"/>
          <w:color w:val="0432FF"/>
          <w:vertAlign w:val="superscript"/>
          <w:lang w:val="en-US"/>
        </w:rPr>
        <w:t>48</w:t>
      </w:r>
      <w:r w:rsidRPr="00D276FE">
        <w:rPr>
          <w:rFonts w:asciiTheme="majorHAnsi" w:hAnsiTheme="majorHAnsi"/>
          <w:color w:val="000000" w:themeColor="text1"/>
          <w:lang w:val="en-US"/>
        </w:rPr>
        <w:t xml:space="preserve">. Collectively, these benefits suggest that embedding user-centered design in co-production can improve usability while advancing more salient, credible, legitimate, and equitable climate adaptation product development. </w:t>
      </w:r>
    </w:p>
    <w:p w14:paraId="3359AD43" w14:textId="77777777" w:rsidR="00092014" w:rsidRPr="00D276FE" w:rsidRDefault="00092014" w:rsidP="00C438DA">
      <w:pPr>
        <w:spacing w:after="0" w:line="276" w:lineRule="auto"/>
        <w:ind w:firstLine="0"/>
        <w:rPr>
          <w:rFonts w:asciiTheme="majorHAnsi" w:hAnsiTheme="majorHAnsi"/>
          <w:color w:val="000000" w:themeColor="text1"/>
          <w:lang w:val="en-US"/>
        </w:rPr>
      </w:pPr>
    </w:p>
    <w:p w14:paraId="0C3523FF" w14:textId="20E7A950" w:rsidR="00C438DA" w:rsidRPr="00D276FE" w:rsidRDefault="00092014" w:rsidP="00C438DA">
      <w:pPr>
        <w:spacing w:after="0" w:line="276" w:lineRule="auto"/>
        <w:ind w:firstLine="0"/>
        <w:rPr>
          <w:rFonts w:asciiTheme="majorHAnsi" w:hAnsiTheme="majorHAnsi"/>
          <w:color w:val="000000" w:themeColor="text1"/>
          <w:lang w:val="en-US"/>
        </w:rPr>
      </w:pPr>
      <w:r w:rsidRPr="00D276FE">
        <w:rPr>
          <w:rFonts w:asciiTheme="majorHAnsi" w:hAnsiTheme="majorHAnsi"/>
          <w:color w:val="000000" w:themeColor="text1"/>
          <w:lang w:val="en-US"/>
        </w:rPr>
        <w:t xml:space="preserve">Co-production approaches to product development can integrate user-centered design in two primary ways. First, through a selective integration, user-centered design can expand the toolkit of available mechanisms and practices available during a co-production approach to product development. Using this type of integration, developers can selectively pick and choose user-centered design mechanisms or practices as needed during different co-production stages. For example, during the co-production </w:t>
      </w:r>
      <w:r w:rsidRPr="00D276FE">
        <w:rPr>
          <w:rFonts w:asciiTheme="majorHAnsi" w:hAnsiTheme="majorHAnsi"/>
          <w:i/>
          <w:iCs/>
          <w:color w:val="000000" w:themeColor="text1"/>
          <w:lang w:val="en-US"/>
        </w:rPr>
        <w:t>Co-Explore Need</w:t>
      </w:r>
      <w:r w:rsidRPr="00D276FE">
        <w:rPr>
          <w:rFonts w:asciiTheme="majorHAnsi" w:hAnsiTheme="majorHAnsi"/>
          <w:color w:val="000000" w:themeColor="text1"/>
          <w:lang w:val="en-US"/>
        </w:rPr>
        <w:t xml:space="preserve"> stage where the goal is to understand decision need, user-centered design mechanisms such as context-of-use or user scenarios could be useful and used. Second, through a holistic integration, user-centered design can be embedded as a complete secondary process during a co-production approach for product development. This type of integration can be especially helpful for developers who are at the product-building stages of co-production and need to narrow down from a broader co-production process and focus on building tangible product or product features. For example, an entire user-centered design process can be embedded during the co-production </w:t>
      </w:r>
      <w:r w:rsidRPr="00D276FE">
        <w:rPr>
          <w:rFonts w:asciiTheme="majorHAnsi" w:hAnsiTheme="majorHAnsi"/>
          <w:i/>
          <w:iCs/>
          <w:color w:val="000000" w:themeColor="text1"/>
          <w:lang w:val="en-US"/>
        </w:rPr>
        <w:t>Co-Develop Solution</w:t>
      </w:r>
      <w:r w:rsidRPr="00D276FE">
        <w:rPr>
          <w:rFonts w:asciiTheme="majorHAnsi" w:hAnsiTheme="majorHAnsi"/>
          <w:color w:val="000000" w:themeColor="text1"/>
          <w:lang w:val="en-US"/>
        </w:rPr>
        <w:t xml:space="preserve"> stage to explicitly and pragmatically guide the development of a digital or software-based climate adaptation product before returning to the broader co-production process. Regardless of integration type, user-centered design can give developers flexible, tangible mechanisms and practices that support user-driven climate adaptation products.</w:t>
      </w:r>
    </w:p>
    <w:p w14:paraId="14C1FEDC" w14:textId="77777777" w:rsidR="00092014" w:rsidRPr="00D276FE" w:rsidRDefault="00092014" w:rsidP="00C438DA">
      <w:pPr>
        <w:spacing w:after="0" w:line="276" w:lineRule="auto"/>
        <w:ind w:firstLine="0"/>
        <w:rPr>
          <w:rFonts w:asciiTheme="majorHAnsi" w:hAnsiTheme="majorHAnsi"/>
        </w:rPr>
      </w:pPr>
    </w:p>
    <w:p w14:paraId="4ABFFC17" w14:textId="3FBEDCB4" w:rsidR="007A797F" w:rsidRPr="00D276FE" w:rsidRDefault="007A797F" w:rsidP="007A797F">
      <w:pPr>
        <w:spacing w:after="0" w:line="276" w:lineRule="auto"/>
        <w:ind w:firstLine="0"/>
        <w:rPr>
          <w:rFonts w:asciiTheme="majorHAnsi" w:hAnsiTheme="majorHAnsi"/>
          <w:b/>
          <w:bCs/>
          <w:i/>
          <w:iCs/>
          <w:sz w:val="28"/>
          <w:szCs w:val="28"/>
        </w:rPr>
      </w:pPr>
      <w:r w:rsidRPr="00D276FE">
        <w:rPr>
          <w:rFonts w:asciiTheme="majorHAnsi" w:hAnsiTheme="majorHAnsi"/>
          <w:b/>
          <w:bCs/>
          <w:i/>
          <w:iCs/>
          <w:sz w:val="28"/>
          <w:szCs w:val="28"/>
        </w:rPr>
        <w:t>Integration framework</w:t>
      </w:r>
    </w:p>
    <w:p w14:paraId="6221EE4D" w14:textId="66F1B2A7" w:rsidR="007A797F" w:rsidRPr="00D276FE" w:rsidRDefault="007A797F" w:rsidP="007A797F">
      <w:pPr>
        <w:spacing w:after="0" w:line="276" w:lineRule="auto"/>
        <w:ind w:firstLine="0"/>
        <w:rPr>
          <w:rFonts w:asciiTheme="majorHAnsi" w:hAnsiTheme="majorHAnsi"/>
        </w:rPr>
      </w:pPr>
      <w:r w:rsidRPr="00D276FE">
        <w:rPr>
          <w:rFonts w:asciiTheme="majorHAnsi" w:hAnsiTheme="majorHAnsi"/>
        </w:rPr>
        <w:t xml:space="preserve">To support practical implementation, we propose a concise integration framework for incorporating user-centered design into co-production when developing digital or software-based climate adaptation products. Integration can be selective (adding user-centered design </w:t>
      </w:r>
      <w:r w:rsidRPr="00D276FE">
        <w:rPr>
          <w:rFonts w:asciiTheme="majorHAnsi" w:hAnsiTheme="majorHAnsi"/>
        </w:rPr>
        <w:lastRenderedPageBreak/>
        <w:t>mechanisms to specific co-production stages) or holistic (embedding a full user-centered design process within part of the co-production process). The following guidance provides a starting point for applying either integration:</w:t>
      </w:r>
    </w:p>
    <w:p w14:paraId="59A9BEDC" w14:textId="77777777" w:rsidR="007A797F" w:rsidRPr="00D276FE" w:rsidRDefault="007A797F" w:rsidP="007A797F">
      <w:pPr>
        <w:spacing w:after="0" w:line="276" w:lineRule="auto"/>
        <w:ind w:firstLine="0"/>
        <w:rPr>
          <w:rFonts w:asciiTheme="majorHAnsi" w:hAnsiTheme="majorHAnsi"/>
        </w:rPr>
      </w:pPr>
    </w:p>
    <w:p w14:paraId="22BD6AA0" w14:textId="77777777" w:rsidR="007A797F" w:rsidRPr="00D276FE" w:rsidRDefault="007A797F" w:rsidP="007A797F">
      <w:pPr>
        <w:pStyle w:val="ListParagraph"/>
        <w:numPr>
          <w:ilvl w:val="0"/>
          <w:numId w:val="18"/>
        </w:numPr>
        <w:spacing w:after="0" w:line="276" w:lineRule="auto"/>
        <w:rPr>
          <w:rFonts w:asciiTheme="majorHAnsi" w:hAnsiTheme="majorHAnsi"/>
        </w:rPr>
      </w:pPr>
      <w:r w:rsidRPr="00D276FE">
        <w:rPr>
          <w:rFonts w:asciiTheme="majorHAnsi" w:hAnsiTheme="majorHAnsi"/>
          <w:b/>
          <w:bCs/>
        </w:rPr>
        <w:t xml:space="preserve">Deepen Familiarity with User-Centered Design: </w:t>
      </w:r>
      <w:r w:rsidRPr="00D276FE">
        <w:rPr>
          <w:rFonts w:asciiTheme="majorHAnsi" w:hAnsiTheme="majorHAnsi"/>
        </w:rPr>
        <w:t>Deepen familiarity with user-centered design processes, mechanisms, and practices to clarify integration options and where user-centered design can add value within co-production.</w:t>
      </w:r>
    </w:p>
    <w:p w14:paraId="1CC0FE44" w14:textId="77777777" w:rsidR="007A797F" w:rsidRPr="00D276FE" w:rsidRDefault="007A797F" w:rsidP="007A797F">
      <w:pPr>
        <w:pStyle w:val="ListParagraph"/>
        <w:numPr>
          <w:ilvl w:val="0"/>
          <w:numId w:val="18"/>
        </w:numPr>
        <w:spacing w:after="0" w:line="276" w:lineRule="auto"/>
        <w:rPr>
          <w:rFonts w:asciiTheme="majorHAnsi" w:hAnsiTheme="majorHAnsi"/>
        </w:rPr>
      </w:pPr>
      <w:r w:rsidRPr="00D276FE">
        <w:rPr>
          <w:rFonts w:asciiTheme="majorHAnsi" w:hAnsiTheme="majorHAnsi"/>
          <w:b/>
          <w:bCs/>
        </w:rPr>
        <w:t>Map Co-production Process:</w:t>
      </w:r>
      <w:r w:rsidRPr="00D276FE">
        <w:rPr>
          <w:rFonts w:asciiTheme="majorHAnsi" w:hAnsiTheme="majorHAnsi"/>
        </w:rPr>
        <w:t xml:space="preserve"> Map where the project, or broader product development effort, sits in the co-production process, even if a formal process has not begun, to guide which integration and user-centered design mechanisms or practices are most relevant.</w:t>
      </w:r>
    </w:p>
    <w:p w14:paraId="376F46B7" w14:textId="77777777" w:rsidR="007A797F" w:rsidRPr="00D276FE" w:rsidRDefault="007A797F" w:rsidP="007A797F">
      <w:pPr>
        <w:pStyle w:val="ListParagraph"/>
        <w:numPr>
          <w:ilvl w:val="0"/>
          <w:numId w:val="18"/>
        </w:numPr>
        <w:spacing w:after="0" w:line="276" w:lineRule="auto"/>
        <w:rPr>
          <w:rFonts w:asciiTheme="majorHAnsi" w:hAnsiTheme="majorHAnsi"/>
        </w:rPr>
      </w:pPr>
      <w:r w:rsidRPr="00D276FE">
        <w:rPr>
          <w:rFonts w:asciiTheme="majorHAnsi" w:hAnsiTheme="majorHAnsi"/>
          <w:b/>
          <w:bCs/>
        </w:rPr>
        <w:t>Assess Constraints:</w:t>
      </w:r>
      <w:r w:rsidRPr="00D276FE">
        <w:rPr>
          <w:rFonts w:asciiTheme="majorHAnsi" w:hAnsiTheme="majorHAnsi"/>
        </w:rPr>
        <w:t xml:space="preserve"> Assess time, funding, and engagement capacity, since constraints such as limited time or unclear requirements shape whether selective or holistic integration is feasible and which user-centered design mechanisms and practices are appropriate.</w:t>
      </w:r>
    </w:p>
    <w:p w14:paraId="63324F4A" w14:textId="03205B59" w:rsidR="007A797F" w:rsidRPr="00D276FE" w:rsidRDefault="007A797F" w:rsidP="007A797F">
      <w:pPr>
        <w:pStyle w:val="ListParagraph"/>
        <w:numPr>
          <w:ilvl w:val="0"/>
          <w:numId w:val="18"/>
        </w:numPr>
        <w:spacing w:after="0" w:line="276" w:lineRule="auto"/>
        <w:rPr>
          <w:rFonts w:asciiTheme="majorHAnsi" w:hAnsiTheme="majorHAnsi"/>
        </w:rPr>
      </w:pPr>
      <w:r w:rsidRPr="00D276FE">
        <w:rPr>
          <w:rFonts w:asciiTheme="majorHAnsi" w:hAnsiTheme="majorHAnsi"/>
          <w:b/>
          <w:bCs/>
        </w:rPr>
        <w:t>Identify Desired Outcomes:</w:t>
      </w:r>
      <w:r w:rsidRPr="00D276FE">
        <w:rPr>
          <w:rFonts w:asciiTheme="majorHAnsi" w:hAnsiTheme="majorHAnsi"/>
        </w:rPr>
        <w:t xml:space="preserve"> Identify desired outcomes such as rapid delivery, usability, or equitable engagement to help determine the integration and the user-centered design mechanisms and practices needed to achieve intended outcomes.</w:t>
      </w:r>
    </w:p>
    <w:p w14:paraId="636BDA13" w14:textId="77777777" w:rsidR="007A797F" w:rsidRPr="00D276FE" w:rsidRDefault="007A797F" w:rsidP="007A797F">
      <w:pPr>
        <w:pStyle w:val="ListParagraph"/>
        <w:numPr>
          <w:ilvl w:val="0"/>
          <w:numId w:val="18"/>
        </w:numPr>
        <w:spacing w:after="0" w:line="276" w:lineRule="auto"/>
        <w:rPr>
          <w:rFonts w:asciiTheme="majorHAnsi" w:hAnsiTheme="majorHAnsi"/>
        </w:rPr>
      </w:pPr>
      <w:r w:rsidRPr="00D276FE">
        <w:rPr>
          <w:rFonts w:asciiTheme="majorHAnsi" w:hAnsiTheme="majorHAnsi"/>
          <w:b/>
          <w:bCs/>
        </w:rPr>
        <w:t>Decide Which Integration:</w:t>
      </w:r>
      <w:r w:rsidRPr="00D276FE">
        <w:rPr>
          <w:rFonts w:asciiTheme="majorHAnsi" w:hAnsiTheme="majorHAnsi"/>
        </w:rPr>
        <w:t xml:space="preserve"> Decide whether selective or holistic integration fits best based on project stage, constraints, and desired outcomes, then use that choice to guide which user-centered design mechanisms and practices to apply, where to apply them, and how extensively. </w:t>
      </w:r>
    </w:p>
    <w:p w14:paraId="1EF0CC6C" w14:textId="130289C4" w:rsidR="007A797F" w:rsidRPr="00D276FE" w:rsidRDefault="007A797F" w:rsidP="007A797F">
      <w:pPr>
        <w:pStyle w:val="ListParagraph"/>
        <w:numPr>
          <w:ilvl w:val="0"/>
          <w:numId w:val="18"/>
        </w:numPr>
        <w:spacing w:after="0" w:line="276" w:lineRule="auto"/>
        <w:rPr>
          <w:rFonts w:asciiTheme="majorHAnsi" w:hAnsiTheme="majorHAnsi"/>
        </w:rPr>
      </w:pPr>
      <w:r w:rsidRPr="00D276FE">
        <w:rPr>
          <w:rFonts w:asciiTheme="majorHAnsi" w:hAnsiTheme="majorHAnsi"/>
          <w:b/>
          <w:bCs/>
        </w:rPr>
        <w:t>Adjust As Needed:</w:t>
      </w:r>
      <w:r w:rsidRPr="00D276FE">
        <w:rPr>
          <w:rFonts w:asciiTheme="majorHAnsi" w:hAnsiTheme="majorHAnsi"/>
        </w:rPr>
        <w:t xml:space="preserve"> Adjust the integration approach and user-centered design mechanisms and practices as feedback and needs evolve, remaining flexible and open to modification. </w:t>
      </w:r>
    </w:p>
    <w:p w14:paraId="08310C01" w14:textId="77777777" w:rsidR="007A797F" w:rsidRPr="00D276FE" w:rsidRDefault="007A797F" w:rsidP="007A797F">
      <w:pPr>
        <w:spacing w:after="0" w:line="276" w:lineRule="auto"/>
        <w:ind w:firstLine="0"/>
        <w:rPr>
          <w:rFonts w:asciiTheme="majorHAnsi" w:hAnsiTheme="majorHAnsi"/>
        </w:rPr>
      </w:pPr>
    </w:p>
    <w:p w14:paraId="2A00C703" w14:textId="16DF1B8F" w:rsidR="007A797F" w:rsidRPr="00D276FE" w:rsidRDefault="007A797F" w:rsidP="007A797F">
      <w:pPr>
        <w:spacing w:after="0" w:line="276" w:lineRule="auto"/>
        <w:ind w:firstLine="0"/>
        <w:rPr>
          <w:rFonts w:asciiTheme="majorHAnsi" w:hAnsiTheme="majorHAnsi"/>
        </w:rPr>
      </w:pPr>
      <w:r w:rsidRPr="00D276FE">
        <w:rPr>
          <w:rFonts w:asciiTheme="majorHAnsi" w:hAnsiTheme="majorHAnsi"/>
        </w:rPr>
        <w:t>By emphasizing process awareness, intentionality, and flexibility, this integration framework provides a practical entry point for developers to tailor the integration of user-centered design into co-production.</w:t>
      </w:r>
    </w:p>
    <w:p w14:paraId="3C1B0F5B" w14:textId="77777777" w:rsidR="007A797F" w:rsidRPr="00D276FE" w:rsidRDefault="007A797F" w:rsidP="007A797F">
      <w:pPr>
        <w:spacing w:after="0" w:line="276" w:lineRule="auto"/>
        <w:ind w:firstLine="0"/>
        <w:rPr>
          <w:rFonts w:asciiTheme="majorHAnsi" w:hAnsiTheme="majorHAnsi"/>
        </w:rPr>
      </w:pPr>
    </w:p>
    <w:p w14:paraId="69ABE512" w14:textId="16ED700B" w:rsidR="007A797F" w:rsidRPr="00D276FE" w:rsidRDefault="007A797F" w:rsidP="007A797F">
      <w:pPr>
        <w:spacing w:after="0" w:line="276" w:lineRule="auto"/>
        <w:ind w:firstLine="0"/>
        <w:rPr>
          <w:rFonts w:asciiTheme="majorHAnsi" w:hAnsiTheme="majorHAnsi"/>
          <w:b/>
          <w:bCs/>
          <w:i/>
          <w:iCs/>
          <w:sz w:val="28"/>
          <w:szCs w:val="28"/>
        </w:rPr>
      </w:pPr>
      <w:r w:rsidRPr="00D276FE">
        <w:rPr>
          <w:rFonts w:asciiTheme="majorHAnsi" w:hAnsiTheme="majorHAnsi"/>
          <w:b/>
          <w:bCs/>
          <w:i/>
          <w:iCs/>
          <w:sz w:val="28"/>
          <w:szCs w:val="28"/>
        </w:rPr>
        <w:t>Case examples</w:t>
      </w:r>
    </w:p>
    <w:p w14:paraId="0A86C3B0" w14:textId="604D2E4B" w:rsidR="007A797F" w:rsidRPr="00D276FE" w:rsidRDefault="007A797F" w:rsidP="007A797F">
      <w:pPr>
        <w:spacing w:after="0" w:line="276" w:lineRule="auto"/>
        <w:ind w:firstLine="0"/>
        <w:rPr>
          <w:rFonts w:asciiTheme="majorHAnsi" w:hAnsiTheme="majorHAnsi"/>
        </w:rPr>
      </w:pPr>
      <w:r w:rsidRPr="00D276FE">
        <w:rPr>
          <w:rFonts w:asciiTheme="majorHAnsi" w:hAnsiTheme="majorHAnsi"/>
        </w:rPr>
        <w:t>To demonstrate the value and variability of integrating user-centered design into co-production, we present two illustrative examples of climate adaptation product development: Europe-based Project Ukko and the U.S.-based Strategic Conservation Assessment (SCA) Tool. Project Ukko explicitly applied a full user-centered design process, while the SCA Tool implicitly incorporated selective user-centered design mechanisms without formally naming them</w:t>
      </w:r>
      <w:r w:rsidRPr="00D276FE">
        <w:rPr>
          <w:rFonts w:asciiTheme="majorHAnsi" w:hAnsiTheme="majorHAnsi"/>
          <w:color w:val="0432FF"/>
          <w:vertAlign w:val="superscript"/>
        </w:rPr>
        <w:t>7, 10, 49</w:t>
      </w:r>
      <w:r w:rsidRPr="00D276FE">
        <w:rPr>
          <w:rFonts w:asciiTheme="majorHAnsi" w:hAnsiTheme="majorHAnsi"/>
        </w:rPr>
        <w:t xml:space="preserve">. Together, these examples illustrate holistic and selective integration. We also use the integration framework to show how it can be applied in practice. </w:t>
      </w:r>
    </w:p>
    <w:p w14:paraId="0300C088" w14:textId="77777777" w:rsidR="007A797F" w:rsidRPr="00D276FE" w:rsidRDefault="007A797F" w:rsidP="007A797F">
      <w:pPr>
        <w:spacing w:after="0" w:line="276" w:lineRule="auto"/>
        <w:ind w:firstLine="0"/>
        <w:rPr>
          <w:rFonts w:asciiTheme="majorHAnsi" w:hAnsiTheme="majorHAnsi"/>
        </w:rPr>
      </w:pPr>
    </w:p>
    <w:p w14:paraId="061A8F75" w14:textId="0DD84B84" w:rsidR="007A797F" w:rsidRPr="00D276FE" w:rsidRDefault="007A797F" w:rsidP="007A797F">
      <w:pPr>
        <w:spacing w:after="0" w:line="276" w:lineRule="auto"/>
        <w:ind w:firstLine="0"/>
        <w:rPr>
          <w:rFonts w:asciiTheme="majorHAnsi" w:hAnsiTheme="majorHAnsi"/>
        </w:rPr>
      </w:pPr>
      <w:r w:rsidRPr="00D276FE">
        <w:rPr>
          <w:rFonts w:asciiTheme="majorHAnsi" w:hAnsiTheme="majorHAnsi"/>
        </w:rPr>
        <w:t>Project Ukko, a seasonal wind-speed forecasting tool for the wind energy sector, exemplifies explicit, holistic integration of user-centered design within co-production</w:t>
      </w:r>
      <w:r w:rsidRPr="00D276FE">
        <w:rPr>
          <w:rFonts w:asciiTheme="majorHAnsi" w:hAnsiTheme="majorHAnsi"/>
          <w:color w:val="0432FF"/>
          <w:vertAlign w:val="superscript"/>
        </w:rPr>
        <w:t>10</w:t>
      </w:r>
      <w:r w:rsidRPr="00D276FE">
        <w:rPr>
          <w:rFonts w:asciiTheme="majorHAnsi" w:hAnsiTheme="majorHAnsi"/>
        </w:rPr>
        <w:t>. The interdisciplinary project team brought together climate scientists, designers, stakeholders, and users, and employed a co-production approach that incorporated co-design, co-development, and co-evaluation throughout the product development process</w:t>
      </w:r>
      <w:r w:rsidRPr="00D276FE">
        <w:rPr>
          <w:rFonts w:asciiTheme="majorHAnsi" w:hAnsiTheme="majorHAnsi"/>
          <w:color w:val="0432FF"/>
          <w:vertAlign w:val="superscript"/>
        </w:rPr>
        <w:t>10</w:t>
      </w:r>
      <w:r w:rsidRPr="00D276FE">
        <w:rPr>
          <w:rFonts w:asciiTheme="majorHAnsi" w:hAnsiTheme="majorHAnsi"/>
        </w:rPr>
        <w:t>. Through participatory approaches such as continuous communication, stakeholder workshops, and reciprocal knowledge exchange, the team applied co-production mechanisms to build shared understanding, define user needs, and incorporate user perspectives into the product’s design</w:t>
      </w:r>
      <w:r w:rsidRPr="00D276FE">
        <w:rPr>
          <w:rFonts w:asciiTheme="majorHAnsi" w:hAnsiTheme="majorHAnsi"/>
          <w:color w:val="0432FF"/>
          <w:vertAlign w:val="superscript"/>
        </w:rPr>
        <w:t>10</w:t>
      </w:r>
      <w:r w:rsidRPr="00D276FE">
        <w:rPr>
          <w:rFonts w:asciiTheme="majorHAnsi" w:hAnsiTheme="majorHAnsi"/>
        </w:rPr>
        <w:t xml:space="preserve">. </w:t>
      </w:r>
      <w:r w:rsidRPr="00D276FE">
        <w:rPr>
          <w:rFonts w:asciiTheme="majorHAnsi" w:hAnsiTheme="majorHAnsi"/>
        </w:rPr>
        <w:lastRenderedPageBreak/>
        <w:t>At the same time, they explicitly embedded user-centered design processes by engaging end users throughout all stages of development and applying specific user-centered design mechanisms such as user surveys, context-of-use, iterative prototyping, and user testing</w:t>
      </w:r>
      <w:r w:rsidRPr="00D276FE">
        <w:rPr>
          <w:rFonts w:asciiTheme="majorHAnsi" w:hAnsiTheme="majorHAnsi"/>
          <w:color w:val="0432FF"/>
          <w:vertAlign w:val="superscript"/>
        </w:rPr>
        <w:t>10</w:t>
      </w:r>
      <w:r w:rsidRPr="00D276FE">
        <w:rPr>
          <w:rFonts w:asciiTheme="majorHAnsi" w:hAnsiTheme="majorHAnsi"/>
        </w:rPr>
        <w:t>. Feedback loops were also used across phases to refine visualizations and improve overall usability</w:t>
      </w:r>
      <w:r w:rsidRPr="00D276FE">
        <w:rPr>
          <w:rFonts w:asciiTheme="majorHAnsi" w:hAnsiTheme="majorHAnsi"/>
          <w:color w:val="0432FF"/>
          <w:vertAlign w:val="superscript"/>
        </w:rPr>
        <w:t>10</w:t>
      </w:r>
      <w:r w:rsidRPr="00D276FE">
        <w:rPr>
          <w:rFonts w:asciiTheme="majorHAnsi" w:hAnsiTheme="majorHAnsi"/>
        </w:rPr>
        <w:t>. Developers prototyped and tested seasonal forecasts and visualizations, iterating on symbols, parameters, and maps to improve usefulness and intuitiveness for users</w:t>
      </w:r>
      <w:r w:rsidRPr="00D276FE">
        <w:rPr>
          <w:rFonts w:asciiTheme="majorHAnsi" w:hAnsiTheme="majorHAnsi"/>
          <w:color w:val="0432FF"/>
          <w:vertAlign w:val="superscript"/>
        </w:rPr>
        <w:t>10</w:t>
      </w:r>
      <w:r w:rsidRPr="00D276FE">
        <w:rPr>
          <w:rFonts w:asciiTheme="majorHAnsi" w:hAnsiTheme="majorHAnsi"/>
        </w:rPr>
        <w:t>. Project Ukko demonstrates how integrating user-centered design can enhance co-production by providing concrete mechanisms to synthesize user input, clarify user requirements, and evaluate usability</w:t>
      </w:r>
      <w:r w:rsidRPr="00D276FE">
        <w:rPr>
          <w:rFonts w:asciiTheme="majorHAnsi" w:hAnsiTheme="majorHAnsi"/>
          <w:color w:val="0432FF"/>
          <w:vertAlign w:val="superscript"/>
        </w:rPr>
        <w:t>10</w:t>
      </w:r>
      <w:r w:rsidRPr="00D276FE">
        <w:rPr>
          <w:rFonts w:asciiTheme="majorHAnsi" w:hAnsiTheme="majorHAnsi"/>
        </w:rPr>
        <w:t>. The project’s outcomes, including more intuitive data communication, improved usability, and higher user engagement, underscore the value that user-centered design can add to co-production-based product development processes</w:t>
      </w:r>
      <w:r w:rsidRPr="00D276FE">
        <w:rPr>
          <w:rFonts w:asciiTheme="majorHAnsi" w:hAnsiTheme="majorHAnsi"/>
          <w:color w:val="0432FF"/>
          <w:vertAlign w:val="superscript"/>
        </w:rPr>
        <w:t>10</w:t>
      </w:r>
      <w:r w:rsidRPr="00D276FE">
        <w:rPr>
          <w:rFonts w:asciiTheme="majorHAnsi" w:hAnsiTheme="majorHAnsi"/>
        </w:rPr>
        <w:t xml:space="preserve">. Viewed through the integration framework, this example highlights how the developers purposefully implemented an integrated user-centered design by building familiarity with its mechanisms and practices, mapping their co-production process, assessing constraints, and clarifying intended outcomes. </w:t>
      </w:r>
    </w:p>
    <w:p w14:paraId="06ED60EC" w14:textId="77777777" w:rsidR="007A797F" w:rsidRPr="00D276FE" w:rsidRDefault="007A797F" w:rsidP="007A797F">
      <w:pPr>
        <w:spacing w:after="0" w:line="276" w:lineRule="auto"/>
        <w:ind w:firstLine="0"/>
        <w:rPr>
          <w:rFonts w:asciiTheme="majorHAnsi" w:hAnsiTheme="majorHAnsi"/>
        </w:rPr>
      </w:pPr>
    </w:p>
    <w:p w14:paraId="3B634070" w14:textId="531746BF" w:rsidR="007A797F" w:rsidRPr="00D276FE" w:rsidRDefault="007A797F" w:rsidP="007A797F">
      <w:pPr>
        <w:spacing w:after="0" w:line="276" w:lineRule="auto"/>
        <w:ind w:firstLine="0"/>
        <w:rPr>
          <w:rFonts w:asciiTheme="majorHAnsi" w:hAnsiTheme="majorHAnsi"/>
        </w:rPr>
      </w:pPr>
      <w:r w:rsidRPr="00D276FE">
        <w:rPr>
          <w:rFonts w:asciiTheme="majorHAnsi" w:hAnsiTheme="majorHAnsi"/>
        </w:rPr>
        <w:t>The SCA Tool is a land conservation and resilience decision-support platform for conservation professionals that illustrates implicit, selective integration of user-centered design within a co-production process</w:t>
      </w:r>
      <w:r w:rsidRPr="00D276FE">
        <w:rPr>
          <w:rFonts w:asciiTheme="majorHAnsi" w:hAnsiTheme="majorHAnsi"/>
          <w:color w:val="0432FF"/>
          <w:vertAlign w:val="superscript"/>
        </w:rPr>
        <w:t>7, 49</w:t>
      </w:r>
      <w:r w:rsidRPr="00D276FE">
        <w:rPr>
          <w:rFonts w:asciiTheme="majorHAnsi" w:hAnsiTheme="majorHAnsi"/>
        </w:rPr>
        <w:t>. Although the project did not explicitly reference user-centered design, it incorporated several mechanisms and practices that align closely with user-centered design. Developed using a co-production approach, the SCA Tool emphasized bidirectional knowledge exchange between developers and users and an iterative development cycle</w:t>
      </w:r>
      <w:r w:rsidRPr="00D276FE">
        <w:rPr>
          <w:rFonts w:asciiTheme="majorHAnsi" w:hAnsiTheme="majorHAnsi"/>
          <w:color w:val="0432FF"/>
          <w:vertAlign w:val="superscript"/>
        </w:rPr>
        <w:t>7</w:t>
      </w:r>
      <w:r w:rsidRPr="00D276FE">
        <w:rPr>
          <w:rFonts w:asciiTheme="majorHAnsi" w:hAnsiTheme="majorHAnsi"/>
        </w:rPr>
        <w:t>. Through a series of charrettes (design workshops), developers collaborated with users to establish shared priorities, gather feedback, refine features and metrics, and test functionality</w:t>
      </w:r>
      <w:r w:rsidRPr="00D276FE">
        <w:rPr>
          <w:rFonts w:asciiTheme="majorHAnsi" w:hAnsiTheme="majorHAnsi"/>
          <w:color w:val="0432FF"/>
          <w:vertAlign w:val="superscript"/>
        </w:rPr>
        <w:t>7</w:t>
      </w:r>
      <w:r w:rsidRPr="00D276FE">
        <w:rPr>
          <w:rFonts w:asciiTheme="majorHAnsi" w:hAnsiTheme="majorHAnsi"/>
        </w:rPr>
        <w:t>. This product development approach centered on joint knowledge creation, problem-solving, and co-development and resulted in the launch of an assortment of geospatial products and use case studies</w:t>
      </w:r>
      <w:r w:rsidRPr="00D276FE">
        <w:rPr>
          <w:rFonts w:asciiTheme="majorHAnsi" w:hAnsiTheme="majorHAnsi"/>
          <w:color w:val="0432FF"/>
          <w:vertAlign w:val="superscript"/>
        </w:rPr>
        <w:t>7, 49</w:t>
      </w:r>
      <w:r w:rsidRPr="00D276FE">
        <w:rPr>
          <w:rFonts w:asciiTheme="majorHAnsi" w:hAnsiTheme="majorHAnsi"/>
        </w:rPr>
        <w:t>. Throughout the process and charrettes, the developers gathered hundreds of user priorities, comments, and suggestions through mechanisms such as formally specifying user requirements, rapid prototyping, frequent user testing, and structured usability evaluation</w:t>
      </w:r>
      <w:r w:rsidRPr="00D276FE">
        <w:rPr>
          <w:rFonts w:asciiTheme="majorHAnsi" w:hAnsiTheme="majorHAnsi"/>
          <w:color w:val="0432FF"/>
          <w:vertAlign w:val="superscript"/>
        </w:rPr>
        <w:t>2, 7, 8, 39, 50</w:t>
      </w:r>
      <w:r w:rsidRPr="00D276FE">
        <w:rPr>
          <w:rFonts w:asciiTheme="majorHAnsi" w:hAnsiTheme="majorHAnsi"/>
        </w:rPr>
        <w:t>. Although not labeled as user-centered design, these mechanisms are more typical of user-centered design than co-production and helped align the SCA Tool with user needs</w:t>
      </w:r>
      <w:r w:rsidRPr="00D276FE">
        <w:rPr>
          <w:rFonts w:asciiTheme="majorHAnsi" w:hAnsiTheme="majorHAnsi"/>
          <w:color w:val="0432FF"/>
          <w:vertAlign w:val="superscript"/>
        </w:rPr>
        <w:t>2, 8, 39, 50</w:t>
      </w:r>
      <w:r w:rsidRPr="00D276FE">
        <w:rPr>
          <w:rFonts w:asciiTheme="majorHAnsi" w:hAnsiTheme="majorHAnsi"/>
        </w:rPr>
        <w:t>. The implicit user-centered design mechanisms were especially instrumental in ensuring that the data presented in the geospatial products was relevant to users’ decision-making contexts</w:t>
      </w:r>
      <w:r w:rsidRPr="00D276FE">
        <w:rPr>
          <w:rFonts w:asciiTheme="majorHAnsi" w:hAnsiTheme="majorHAnsi"/>
          <w:color w:val="0432FF"/>
          <w:vertAlign w:val="superscript"/>
        </w:rPr>
        <w:t>7</w:t>
      </w:r>
      <w:r w:rsidRPr="00D276FE">
        <w:rPr>
          <w:rFonts w:asciiTheme="majorHAnsi" w:hAnsiTheme="majorHAnsi"/>
        </w:rPr>
        <w:t>. This example shows how user-centered design mechanisms can emerge organically and be selectively integrated into co-production in digital or software-based product development. It also suggests that more explicit, intentional user-centered design integration could further strengthen the SCA Tool’s usefulness, usability, and impact. Viewed through the integration framework, the developers could have more explicitly incorporated user-centered design by first deepening their familiarity with user-centered design and clarifying how it could support their desired outcomes. With this foundation, they would have been better positioned to determine which user-centered design mechanisms to selectively apply at different stages of their process.</w:t>
      </w:r>
    </w:p>
    <w:p w14:paraId="5EAE4D0D" w14:textId="77777777" w:rsidR="00A94A7A" w:rsidRPr="00D276FE" w:rsidRDefault="00A94A7A" w:rsidP="007A797F">
      <w:pPr>
        <w:spacing w:after="0" w:line="276" w:lineRule="auto"/>
        <w:ind w:firstLine="0"/>
        <w:rPr>
          <w:rFonts w:asciiTheme="majorHAnsi" w:hAnsiTheme="majorHAnsi"/>
        </w:rPr>
      </w:pPr>
    </w:p>
    <w:p w14:paraId="74D650FA" w14:textId="6EA98EFE" w:rsidR="00A94A7A" w:rsidRPr="00D276FE" w:rsidRDefault="00A94A7A" w:rsidP="00A94A7A">
      <w:pPr>
        <w:spacing w:after="0" w:line="276" w:lineRule="auto"/>
        <w:ind w:firstLine="0"/>
        <w:rPr>
          <w:rFonts w:asciiTheme="majorHAnsi" w:hAnsiTheme="majorHAnsi"/>
          <w:b/>
          <w:bCs/>
          <w:i/>
          <w:iCs/>
          <w:sz w:val="28"/>
          <w:szCs w:val="28"/>
        </w:rPr>
      </w:pPr>
      <w:r w:rsidRPr="00D276FE">
        <w:rPr>
          <w:rFonts w:asciiTheme="majorHAnsi" w:hAnsiTheme="majorHAnsi"/>
          <w:b/>
          <w:bCs/>
          <w:i/>
          <w:iCs/>
          <w:sz w:val="28"/>
          <w:szCs w:val="28"/>
        </w:rPr>
        <w:t>Conclusion</w:t>
      </w:r>
    </w:p>
    <w:p w14:paraId="259DF987" w14:textId="68A66057" w:rsidR="00A94A7A" w:rsidRPr="00D276FE" w:rsidRDefault="00A94A7A" w:rsidP="00A94A7A">
      <w:pPr>
        <w:spacing w:after="0" w:line="276" w:lineRule="auto"/>
        <w:ind w:firstLine="0"/>
        <w:rPr>
          <w:rFonts w:asciiTheme="majorHAnsi" w:hAnsiTheme="majorHAnsi"/>
        </w:rPr>
      </w:pPr>
      <w:r w:rsidRPr="00D276FE">
        <w:rPr>
          <w:rFonts w:asciiTheme="majorHAnsi" w:hAnsiTheme="majorHAnsi"/>
        </w:rPr>
        <w:t xml:space="preserve">A co-production approach to developing user-driven climate adaptation products that are salient, legitimate, and credible can be further strengthened with the integration of user-centered design. By employing </w:t>
      </w:r>
      <w:proofErr w:type="gramStart"/>
      <w:r w:rsidRPr="00D276FE">
        <w:rPr>
          <w:rFonts w:asciiTheme="majorHAnsi" w:hAnsiTheme="majorHAnsi"/>
        </w:rPr>
        <w:t>either</w:t>
      </w:r>
      <w:proofErr w:type="gramEnd"/>
      <w:r w:rsidRPr="00D276FE">
        <w:rPr>
          <w:rFonts w:asciiTheme="majorHAnsi" w:hAnsiTheme="majorHAnsi"/>
        </w:rPr>
        <w:t xml:space="preserve"> a selective or holistic integration, guided by an integration </w:t>
      </w:r>
      <w:r w:rsidRPr="00D276FE">
        <w:rPr>
          <w:rFonts w:asciiTheme="majorHAnsi" w:hAnsiTheme="majorHAnsi"/>
        </w:rPr>
        <w:lastRenderedPageBreak/>
        <w:t xml:space="preserve">framework, user-centered design expands the possibilities and configurability of co-production by offering additional processes, mechanisms, and practices for developers. For developers new to co-production or focused on creating digital or software-based climate adaptation products, this Analysis offers a conceptual grounding in the processes, mechanisms, and practices associated with co-production approaches to product development and user-centered design. </w:t>
      </w:r>
    </w:p>
    <w:p w14:paraId="4B488B7A" w14:textId="77777777" w:rsidR="00A94A7A" w:rsidRPr="00D276FE" w:rsidRDefault="00A94A7A" w:rsidP="00A94A7A">
      <w:pPr>
        <w:spacing w:after="0" w:line="276" w:lineRule="auto"/>
        <w:ind w:firstLine="0"/>
        <w:rPr>
          <w:rFonts w:asciiTheme="majorHAnsi" w:hAnsiTheme="majorHAnsi"/>
        </w:rPr>
      </w:pPr>
    </w:p>
    <w:p w14:paraId="7677F73E" w14:textId="77239190" w:rsidR="00A94A7A" w:rsidRPr="00D276FE" w:rsidRDefault="00A94A7A" w:rsidP="00A94A7A">
      <w:pPr>
        <w:spacing w:after="0" w:line="276" w:lineRule="auto"/>
        <w:ind w:firstLine="0"/>
        <w:rPr>
          <w:rFonts w:asciiTheme="majorHAnsi" w:hAnsiTheme="majorHAnsi"/>
        </w:rPr>
      </w:pPr>
      <w:r w:rsidRPr="00D276FE">
        <w:rPr>
          <w:rFonts w:asciiTheme="majorHAnsi" w:hAnsiTheme="majorHAnsi"/>
        </w:rPr>
        <w:t>Although integrating user-centered design within co-production offers considerable potential, some open questions and limitations remain. Systematic literature reviews, while valuable for structuring and synthesizing knowledge, face study design and methodological constraints. In this review, we encountered interpretive challenges from the broad and interdisciplinary nature of co-production and human-computer interaction, variability in findings, and the risk of publication bias. Beyond methodological issues, practical constraints such as limited resources and time can restrict the ability to implement comprehensive product development approaches or sustain ongoing iteration, collaboration, and maintenance</w:t>
      </w:r>
      <w:r w:rsidRPr="00D276FE">
        <w:rPr>
          <w:rFonts w:asciiTheme="majorHAnsi" w:hAnsiTheme="majorHAnsi"/>
          <w:color w:val="0432FF"/>
          <w:vertAlign w:val="superscript"/>
        </w:rPr>
        <w:t>6</w:t>
      </w:r>
      <w:r w:rsidRPr="00D276FE">
        <w:rPr>
          <w:rFonts w:asciiTheme="majorHAnsi" w:hAnsiTheme="majorHAnsi"/>
        </w:rPr>
        <w:t>. Especially given the critical nature of climate change and the need for timely climate adaptation products, extended product development cycles or delays in product delivery can reduce the relevance and utility of even well-designed, user-focused products</w:t>
      </w:r>
      <w:r w:rsidRPr="00D276FE">
        <w:rPr>
          <w:rFonts w:asciiTheme="majorHAnsi" w:hAnsiTheme="majorHAnsi"/>
          <w:color w:val="0432FF"/>
          <w:vertAlign w:val="superscript"/>
        </w:rPr>
        <w:t>4, 5, 18, 19</w:t>
      </w:r>
      <w:r w:rsidRPr="00D276FE">
        <w:rPr>
          <w:rFonts w:asciiTheme="majorHAnsi" w:hAnsiTheme="majorHAnsi"/>
        </w:rPr>
        <w:t xml:space="preserve">. Finally, questions remain about scalability and generalizability, particularly how well tailored products can transfer across different settings. These limitations are explored further in the Methods, along with details on how an integrated approach to product development, combining user-centered design and co-production, can proactively address these hurdles during the development process and help manage them over time. </w:t>
      </w:r>
    </w:p>
    <w:p w14:paraId="1CB305CF" w14:textId="77777777" w:rsidR="00A94A7A" w:rsidRPr="00D276FE" w:rsidRDefault="00A94A7A" w:rsidP="00A94A7A">
      <w:pPr>
        <w:spacing w:after="0" w:line="276" w:lineRule="auto"/>
        <w:ind w:firstLine="0"/>
        <w:rPr>
          <w:rFonts w:asciiTheme="majorHAnsi" w:hAnsiTheme="majorHAnsi"/>
        </w:rPr>
      </w:pPr>
    </w:p>
    <w:p w14:paraId="1D91938D" w14:textId="2A943275" w:rsidR="00A94A7A" w:rsidRPr="00D276FE" w:rsidRDefault="00A94A7A" w:rsidP="00A94A7A">
      <w:pPr>
        <w:spacing w:after="0" w:line="276" w:lineRule="auto"/>
        <w:ind w:firstLine="0"/>
        <w:rPr>
          <w:rFonts w:asciiTheme="majorHAnsi" w:hAnsiTheme="majorHAnsi"/>
        </w:rPr>
      </w:pPr>
      <w:r w:rsidRPr="00D276FE">
        <w:rPr>
          <w:rFonts w:asciiTheme="majorHAnsi" w:hAnsiTheme="majorHAnsi"/>
        </w:rPr>
        <w:t xml:space="preserve">With these gaps and opportunities in mind, we explore how bridging the fields of climate services and human-computer </w:t>
      </w:r>
      <w:proofErr w:type="gramStart"/>
      <w:r w:rsidRPr="00D276FE">
        <w:rPr>
          <w:rFonts w:asciiTheme="majorHAnsi" w:hAnsiTheme="majorHAnsi"/>
        </w:rPr>
        <w:t>interaction, and</w:t>
      </w:r>
      <w:proofErr w:type="gramEnd"/>
      <w:r w:rsidRPr="00D276FE">
        <w:rPr>
          <w:rFonts w:asciiTheme="majorHAnsi" w:hAnsiTheme="majorHAnsi"/>
        </w:rPr>
        <w:t xml:space="preserve"> leveraging their respective co-production and user-centered design approaches, can drive innovation in how we build user-driven climate adaptation products. Ultimately, by prioritizing user collaboration throughout the product development process, we can ensure that climate adaptation products not only deliver their intended impact but also fully realize their potential to address climate adaptation challenges.</w:t>
      </w:r>
    </w:p>
    <w:p w14:paraId="6B959C81" w14:textId="77777777" w:rsidR="007A797F" w:rsidRPr="00D276FE" w:rsidRDefault="007A797F" w:rsidP="007A797F">
      <w:pPr>
        <w:spacing w:after="0" w:line="276" w:lineRule="auto"/>
        <w:ind w:firstLine="0"/>
        <w:rPr>
          <w:rFonts w:asciiTheme="majorHAnsi" w:hAnsiTheme="majorHAnsi"/>
        </w:rPr>
      </w:pPr>
    </w:p>
    <w:p w14:paraId="27F0CE4C" w14:textId="77777777" w:rsidR="00A94A7A" w:rsidRPr="00D276FE" w:rsidRDefault="00A94A7A" w:rsidP="007A797F">
      <w:pPr>
        <w:spacing w:after="0" w:line="276" w:lineRule="auto"/>
        <w:ind w:firstLine="0"/>
        <w:rPr>
          <w:rFonts w:asciiTheme="majorHAnsi" w:hAnsiTheme="majorHAnsi"/>
        </w:rPr>
      </w:pPr>
    </w:p>
    <w:p w14:paraId="5FD1CF17" w14:textId="77777777" w:rsidR="00A94A7A" w:rsidRPr="00D276FE" w:rsidRDefault="00A94A7A" w:rsidP="007A797F">
      <w:pPr>
        <w:spacing w:after="0" w:line="276" w:lineRule="auto"/>
        <w:ind w:firstLine="0"/>
        <w:rPr>
          <w:rFonts w:asciiTheme="majorHAnsi" w:hAnsiTheme="majorHAnsi"/>
        </w:rPr>
      </w:pPr>
    </w:p>
    <w:p w14:paraId="6E82EB13" w14:textId="77777777" w:rsidR="00A94A7A" w:rsidRPr="00D276FE" w:rsidRDefault="00A94A7A" w:rsidP="007A797F">
      <w:pPr>
        <w:spacing w:after="0" w:line="276" w:lineRule="auto"/>
        <w:ind w:firstLine="0"/>
        <w:rPr>
          <w:rFonts w:asciiTheme="majorHAnsi" w:hAnsiTheme="majorHAnsi"/>
        </w:rPr>
      </w:pPr>
    </w:p>
    <w:p w14:paraId="08B193D2" w14:textId="77777777" w:rsidR="00A94A7A" w:rsidRPr="00D276FE" w:rsidRDefault="00A94A7A" w:rsidP="007A797F">
      <w:pPr>
        <w:spacing w:after="0" w:line="276" w:lineRule="auto"/>
        <w:ind w:firstLine="0"/>
        <w:rPr>
          <w:rFonts w:asciiTheme="majorHAnsi" w:hAnsiTheme="majorHAnsi"/>
        </w:rPr>
      </w:pPr>
    </w:p>
    <w:p w14:paraId="244E8693" w14:textId="77777777" w:rsidR="00A94A7A" w:rsidRPr="00D276FE" w:rsidRDefault="00A94A7A" w:rsidP="007A797F">
      <w:pPr>
        <w:spacing w:after="0" w:line="276" w:lineRule="auto"/>
        <w:ind w:firstLine="0"/>
        <w:rPr>
          <w:rFonts w:asciiTheme="majorHAnsi" w:hAnsiTheme="majorHAnsi"/>
        </w:rPr>
      </w:pPr>
    </w:p>
    <w:p w14:paraId="3462470B" w14:textId="3B7D9298" w:rsidR="00C438DA" w:rsidRPr="00D276FE" w:rsidRDefault="00C438DA" w:rsidP="00C438DA">
      <w:pPr>
        <w:spacing w:after="0" w:line="276" w:lineRule="auto"/>
        <w:ind w:firstLine="0"/>
        <w:rPr>
          <w:rFonts w:asciiTheme="majorHAnsi" w:hAnsiTheme="majorHAnsi"/>
        </w:rPr>
      </w:pPr>
    </w:p>
    <w:p w14:paraId="394C418B" w14:textId="77777777" w:rsidR="00C438DA" w:rsidRPr="00D276FE" w:rsidRDefault="00C438DA" w:rsidP="00C438DA">
      <w:pPr>
        <w:spacing w:after="0" w:line="276" w:lineRule="auto"/>
        <w:ind w:firstLine="0"/>
        <w:rPr>
          <w:rFonts w:asciiTheme="majorHAnsi" w:hAnsiTheme="majorHAnsi"/>
        </w:rPr>
      </w:pPr>
    </w:p>
    <w:p w14:paraId="3D7B5573" w14:textId="18F84E10" w:rsidR="00C438DA" w:rsidRPr="00D276FE" w:rsidRDefault="00C438DA" w:rsidP="00C438DA">
      <w:pPr>
        <w:spacing w:after="0" w:line="276" w:lineRule="auto"/>
        <w:ind w:firstLine="0"/>
        <w:rPr>
          <w:rFonts w:asciiTheme="majorHAnsi" w:hAnsiTheme="majorHAnsi"/>
        </w:rPr>
      </w:pPr>
    </w:p>
    <w:p w14:paraId="3F8A0275" w14:textId="77777777" w:rsidR="00C438DA" w:rsidRPr="00D276FE" w:rsidRDefault="00C438DA" w:rsidP="00C438DA">
      <w:pPr>
        <w:spacing w:after="0" w:line="276" w:lineRule="auto"/>
        <w:ind w:firstLine="0"/>
        <w:rPr>
          <w:rFonts w:asciiTheme="majorHAnsi" w:hAnsiTheme="majorHAnsi"/>
        </w:rPr>
      </w:pPr>
    </w:p>
    <w:p w14:paraId="5D5B53C8" w14:textId="77777777" w:rsidR="00C438DA" w:rsidRPr="00D276FE" w:rsidRDefault="00C438DA" w:rsidP="00B032AC">
      <w:pPr>
        <w:spacing w:after="0" w:line="276" w:lineRule="auto"/>
        <w:ind w:firstLine="0"/>
        <w:rPr>
          <w:rFonts w:asciiTheme="majorHAnsi" w:hAnsiTheme="majorHAnsi"/>
          <w:b/>
          <w:bCs/>
        </w:rPr>
      </w:pPr>
    </w:p>
    <w:p w14:paraId="13B26944" w14:textId="77777777" w:rsidR="00A94A7A" w:rsidRPr="00D276FE" w:rsidRDefault="00A94A7A" w:rsidP="00B032AC">
      <w:pPr>
        <w:spacing w:after="0" w:line="276" w:lineRule="auto"/>
        <w:ind w:firstLine="0"/>
        <w:rPr>
          <w:rFonts w:asciiTheme="majorHAnsi" w:hAnsiTheme="majorHAnsi"/>
          <w:b/>
          <w:bCs/>
        </w:rPr>
      </w:pPr>
    </w:p>
    <w:p w14:paraId="5F1DACA3" w14:textId="77777777" w:rsidR="00A94A7A" w:rsidRPr="00D276FE" w:rsidRDefault="00A94A7A" w:rsidP="00B032AC">
      <w:pPr>
        <w:spacing w:after="0" w:line="276" w:lineRule="auto"/>
        <w:ind w:firstLine="0"/>
        <w:rPr>
          <w:rFonts w:asciiTheme="majorHAnsi" w:hAnsiTheme="majorHAnsi"/>
          <w:b/>
          <w:bCs/>
        </w:rPr>
      </w:pPr>
    </w:p>
    <w:p w14:paraId="6EB0109D" w14:textId="77777777" w:rsidR="00A94A7A" w:rsidRPr="00D276FE" w:rsidRDefault="00A94A7A" w:rsidP="00B032AC">
      <w:pPr>
        <w:spacing w:after="0" w:line="276" w:lineRule="auto"/>
        <w:ind w:firstLine="0"/>
        <w:rPr>
          <w:rFonts w:asciiTheme="majorHAnsi" w:hAnsiTheme="majorHAnsi"/>
          <w:b/>
          <w:bCs/>
        </w:rPr>
      </w:pPr>
    </w:p>
    <w:p w14:paraId="32A90800" w14:textId="77777777" w:rsidR="00A94A7A" w:rsidRPr="00D276FE" w:rsidRDefault="00A94A7A" w:rsidP="00B032AC">
      <w:pPr>
        <w:spacing w:after="0" w:line="276" w:lineRule="auto"/>
        <w:ind w:firstLine="0"/>
        <w:rPr>
          <w:rFonts w:asciiTheme="majorHAnsi" w:hAnsiTheme="majorHAnsi"/>
          <w:b/>
          <w:bCs/>
        </w:rPr>
      </w:pPr>
    </w:p>
    <w:p w14:paraId="604B6B2C" w14:textId="77777777" w:rsidR="00A94A7A" w:rsidRPr="00D276FE" w:rsidRDefault="00A94A7A" w:rsidP="00B032AC">
      <w:pPr>
        <w:spacing w:after="0" w:line="276" w:lineRule="auto"/>
        <w:ind w:firstLine="0"/>
        <w:rPr>
          <w:rFonts w:asciiTheme="majorHAnsi" w:hAnsiTheme="majorHAnsi"/>
          <w:b/>
          <w:bCs/>
        </w:rPr>
      </w:pPr>
    </w:p>
    <w:p w14:paraId="75E755E7" w14:textId="77777777" w:rsidR="00A94A7A" w:rsidRPr="00D276FE" w:rsidRDefault="00A94A7A" w:rsidP="00B032AC">
      <w:pPr>
        <w:spacing w:after="0" w:line="276" w:lineRule="auto"/>
        <w:ind w:firstLine="0"/>
        <w:rPr>
          <w:rFonts w:asciiTheme="majorHAnsi" w:hAnsiTheme="majorHAnsi"/>
          <w:b/>
          <w:bCs/>
        </w:rPr>
      </w:pPr>
    </w:p>
    <w:p w14:paraId="52CA6A4D" w14:textId="77777777" w:rsidR="00A94A7A" w:rsidRPr="00D276FE" w:rsidRDefault="00A94A7A" w:rsidP="00B032AC">
      <w:pPr>
        <w:spacing w:after="0" w:line="276" w:lineRule="auto"/>
        <w:ind w:firstLine="0"/>
        <w:rPr>
          <w:rFonts w:asciiTheme="majorHAnsi" w:hAnsiTheme="majorHAnsi"/>
          <w:b/>
          <w:bCs/>
        </w:rPr>
      </w:pPr>
    </w:p>
    <w:p w14:paraId="1CF6DF8D" w14:textId="503933C3" w:rsidR="00A94A7A" w:rsidRPr="00D276FE" w:rsidRDefault="00CB0154" w:rsidP="00B032AC">
      <w:pPr>
        <w:spacing w:after="0" w:line="276" w:lineRule="auto"/>
        <w:ind w:firstLine="0"/>
        <w:rPr>
          <w:rFonts w:asciiTheme="majorHAnsi" w:hAnsiTheme="majorHAnsi"/>
          <w:b/>
          <w:bCs/>
          <w:sz w:val="32"/>
          <w:szCs w:val="32"/>
        </w:rPr>
      </w:pPr>
      <w:r>
        <w:rPr>
          <w:rFonts w:asciiTheme="majorHAnsi" w:hAnsiTheme="majorHAnsi"/>
          <w:b/>
          <w:bCs/>
          <w:sz w:val="32"/>
          <w:szCs w:val="32"/>
        </w:rPr>
        <w:lastRenderedPageBreak/>
        <w:t>References</w:t>
      </w:r>
    </w:p>
    <w:p w14:paraId="511D9B58" w14:textId="4C04C354"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Lourenço, T. C., Swart, R., Goosen, H. &amp; Street, R. The rise of demand-driven climate services. </w:t>
      </w:r>
      <w:r w:rsidRPr="00D276FE">
        <w:rPr>
          <w:rFonts w:asciiTheme="majorHAnsi" w:hAnsiTheme="majorHAnsi"/>
          <w:i/>
          <w:iCs/>
          <w:lang w:val="en-US"/>
        </w:rPr>
        <w:t>Nature Climate Change</w:t>
      </w:r>
      <w:r w:rsidRPr="00D276FE">
        <w:rPr>
          <w:rFonts w:asciiTheme="majorHAnsi" w:hAnsiTheme="majorHAnsi"/>
          <w:lang w:val="en-US"/>
        </w:rPr>
        <w:t xml:space="preserve"> </w:t>
      </w:r>
      <w:r w:rsidRPr="00D276FE">
        <w:rPr>
          <w:rFonts w:asciiTheme="majorHAnsi" w:hAnsiTheme="majorHAnsi"/>
          <w:b/>
          <w:bCs/>
          <w:lang w:val="en-US"/>
        </w:rPr>
        <w:t>6</w:t>
      </w:r>
      <w:r w:rsidRPr="00D276FE">
        <w:rPr>
          <w:rFonts w:asciiTheme="majorHAnsi" w:hAnsiTheme="majorHAnsi"/>
          <w:lang w:val="en-US"/>
        </w:rPr>
        <w:t>, 13–14 (2016).</w:t>
      </w:r>
    </w:p>
    <w:p w14:paraId="0EAE540F" w14:textId="296F03F9"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Rigby, J. M. &amp; </w:t>
      </w:r>
      <w:proofErr w:type="spellStart"/>
      <w:r w:rsidRPr="00D276FE">
        <w:rPr>
          <w:rFonts w:asciiTheme="majorHAnsi" w:hAnsiTheme="majorHAnsi"/>
          <w:lang w:val="en-US"/>
        </w:rPr>
        <w:t>Preist</w:t>
      </w:r>
      <w:proofErr w:type="spellEnd"/>
      <w:r w:rsidRPr="00D276FE">
        <w:rPr>
          <w:rFonts w:asciiTheme="majorHAnsi" w:hAnsiTheme="majorHAnsi"/>
          <w:lang w:val="en-US"/>
        </w:rPr>
        <w:t>, C. Towards user-</w:t>
      </w:r>
      <w:proofErr w:type="spellStart"/>
      <w:r w:rsidRPr="00D276FE">
        <w:rPr>
          <w:rFonts w:asciiTheme="majorHAnsi" w:hAnsiTheme="majorHAnsi"/>
          <w:lang w:val="en-US"/>
        </w:rPr>
        <w:t>centred</w:t>
      </w:r>
      <w:proofErr w:type="spellEnd"/>
      <w:r w:rsidRPr="00D276FE">
        <w:rPr>
          <w:rFonts w:asciiTheme="majorHAnsi" w:hAnsiTheme="majorHAnsi"/>
          <w:lang w:val="en-US"/>
        </w:rPr>
        <w:t xml:space="preserve"> climate services: the role of human-computer interaction, 1–14 (Association for Computing Machinery, 2023).</w:t>
      </w:r>
    </w:p>
    <w:p w14:paraId="7787EC92" w14:textId="348B8E7B"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Hewitt, C. D. &amp; Stone, R. Climate services for managing societal risks and opportunities.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23</w:t>
      </w:r>
      <w:r w:rsidRPr="00D276FE">
        <w:rPr>
          <w:rFonts w:asciiTheme="majorHAnsi" w:hAnsiTheme="majorHAnsi"/>
          <w:lang w:val="en-US"/>
        </w:rPr>
        <w:t xml:space="preserve"> (2021).</w:t>
      </w:r>
    </w:p>
    <w:p w14:paraId="718892D5" w14:textId="77777777" w:rsidR="00EC1EBE" w:rsidRPr="00D276FE" w:rsidRDefault="00EC1EBE" w:rsidP="00EC1EBE">
      <w:pPr>
        <w:pStyle w:val="ListParagraph"/>
        <w:numPr>
          <w:ilvl w:val="0"/>
          <w:numId w:val="20"/>
        </w:numPr>
        <w:spacing w:before="120" w:after="120" w:line="240" w:lineRule="auto"/>
        <w:rPr>
          <w:rFonts w:asciiTheme="majorHAnsi" w:hAnsiTheme="majorHAnsi"/>
          <w:lang w:val="en-US"/>
        </w:rPr>
      </w:pPr>
      <w:r w:rsidRPr="00D276FE">
        <w:rPr>
          <w:rFonts w:asciiTheme="majorHAnsi" w:hAnsiTheme="majorHAnsi"/>
          <w:lang w:val="en-US"/>
        </w:rPr>
        <w:t xml:space="preserve">Lemos, M. C., Kirchhoff, C. J. &amp; Ramprasad, V. Narrowing the climate information usability gap. </w:t>
      </w:r>
      <w:r w:rsidRPr="00D276FE">
        <w:rPr>
          <w:rFonts w:asciiTheme="majorHAnsi" w:hAnsiTheme="majorHAnsi"/>
          <w:i/>
          <w:iCs/>
          <w:lang w:val="en-US"/>
        </w:rPr>
        <w:t>Nature Climate Change</w:t>
      </w:r>
      <w:r w:rsidRPr="00D276FE">
        <w:rPr>
          <w:rFonts w:asciiTheme="majorHAnsi" w:hAnsiTheme="majorHAnsi"/>
          <w:lang w:val="en-US"/>
        </w:rPr>
        <w:t xml:space="preserve"> </w:t>
      </w:r>
      <w:r w:rsidRPr="00D276FE">
        <w:rPr>
          <w:rFonts w:asciiTheme="majorHAnsi" w:hAnsiTheme="majorHAnsi"/>
          <w:b/>
          <w:bCs/>
          <w:lang w:val="en-US"/>
        </w:rPr>
        <w:t>2</w:t>
      </w:r>
      <w:r w:rsidRPr="00D276FE">
        <w:rPr>
          <w:rFonts w:asciiTheme="majorHAnsi" w:hAnsiTheme="majorHAnsi"/>
          <w:lang w:val="en-US"/>
        </w:rPr>
        <w:t>, 789–794 (2012).</w:t>
      </w:r>
    </w:p>
    <w:p w14:paraId="21B2831D" w14:textId="0C61CAC6"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Vincent, K., Daly, M., Scannell, C. &amp; </w:t>
      </w:r>
      <w:proofErr w:type="spellStart"/>
      <w:r w:rsidRPr="00D276FE">
        <w:rPr>
          <w:rFonts w:asciiTheme="majorHAnsi" w:hAnsiTheme="majorHAnsi"/>
          <w:lang w:val="en-US"/>
        </w:rPr>
        <w:t>Lea</w:t>
      </w:r>
      <w:r w:rsidR="00C77798">
        <w:rPr>
          <w:rFonts w:asciiTheme="majorHAnsi" w:hAnsiTheme="majorHAnsi"/>
          <w:lang w:val="en-US"/>
        </w:rPr>
        <w:t>thes</w:t>
      </w:r>
      <w:proofErr w:type="spellEnd"/>
      <w:r w:rsidR="00C77798">
        <w:rPr>
          <w:rFonts w:asciiTheme="majorHAnsi" w:hAnsiTheme="majorHAnsi"/>
          <w:lang w:val="en-US"/>
        </w:rPr>
        <w:t xml:space="preserve">, B. </w:t>
      </w:r>
      <w:r w:rsidRPr="00D276FE">
        <w:rPr>
          <w:rFonts w:asciiTheme="majorHAnsi" w:hAnsiTheme="majorHAnsi"/>
          <w:lang w:val="en-US"/>
        </w:rPr>
        <w:t xml:space="preserve">What can climate services learn from theory and practice of co-production?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12</w:t>
      </w:r>
      <w:r w:rsidRPr="00D276FE">
        <w:rPr>
          <w:rFonts w:asciiTheme="majorHAnsi" w:hAnsiTheme="majorHAnsi"/>
          <w:lang w:val="en-US"/>
        </w:rPr>
        <w:t>, 48–58 (2018).</w:t>
      </w:r>
    </w:p>
    <w:p w14:paraId="1BEBFCD9"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Fleming, A. et al. Perceptions of co-design, co-development and co-delivery (co-3d) as part of the co-production process – insights for climate services.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30</w:t>
      </w:r>
      <w:r w:rsidRPr="00D276FE">
        <w:rPr>
          <w:rFonts w:asciiTheme="majorHAnsi" w:hAnsiTheme="majorHAnsi"/>
          <w:lang w:val="en-US"/>
        </w:rPr>
        <w:t xml:space="preserve"> (2023).</w:t>
      </w:r>
    </w:p>
    <w:p w14:paraId="1F65150F" w14:textId="64C9A052"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Sesser, A. L. et al. Co-producing decision support tools for strategic conservation of </w:t>
      </w:r>
      <w:r w:rsidR="00083C88">
        <w:rPr>
          <w:rFonts w:asciiTheme="majorHAnsi" w:hAnsiTheme="majorHAnsi"/>
          <w:lang w:val="en-US"/>
        </w:rPr>
        <w:t>G</w:t>
      </w:r>
      <w:r w:rsidRPr="00D276FE">
        <w:rPr>
          <w:rFonts w:asciiTheme="majorHAnsi" w:hAnsiTheme="majorHAnsi"/>
          <w:lang w:val="en-US"/>
        </w:rPr>
        <w:t xml:space="preserve">ulf </w:t>
      </w:r>
      <w:r w:rsidR="00083C88">
        <w:rPr>
          <w:rFonts w:asciiTheme="majorHAnsi" w:hAnsiTheme="majorHAnsi"/>
          <w:lang w:val="en-US"/>
        </w:rPr>
        <w:t>C</w:t>
      </w:r>
      <w:r w:rsidRPr="00D276FE">
        <w:rPr>
          <w:rFonts w:asciiTheme="majorHAnsi" w:hAnsiTheme="majorHAnsi"/>
          <w:lang w:val="en-US"/>
        </w:rPr>
        <w:t xml:space="preserve">oast landscapes. </w:t>
      </w:r>
      <w:r w:rsidRPr="00D276FE">
        <w:rPr>
          <w:rFonts w:asciiTheme="majorHAnsi" w:hAnsiTheme="majorHAnsi"/>
          <w:i/>
          <w:iCs/>
          <w:lang w:val="en-US"/>
        </w:rPr>
        <w:t>Current Research in Environmental Sustainability</w:t>
      </w:r>
      <w:r w:rsidRPr="00D276FE">
        <w:rPr>
          <w:rFonts w:asciiTheme="majorHAnsi" w:hAnsiTheme="majorHAnsi"/>
          <w:lang w:val="en-US"/>
        </w:rPr>
        <w:t xml:space="preserve"> </w:t>
      </w:r>
      <w:r w:rsidRPr="00D276FE">
        <w:rPr>
          <w:rFonts w:asciiTheme="majorHAnsi" w:hAnsiTheme="majorHAnsi"/>
          <w:b/>
          <w:bCs/>
          <w:lang w:val="en-US"/>
        </w:rPr>
        <w:t>4</w:t>
      </w:r>
      <w:r w:rsidRPr="00D276FE">
        <w:rPr>
          <w:rFonts w:asciiTheme="majorHAnsi" w:hAnsiTheme="majorHAnsi"/>
          <w:lang w:val="en-US"/>
        </w:rPr>
        <w:t xml:space="preserve"> (2022).</w:t>
      </w:r>
    </w:p>
    <w:p w14:paraId="2B1896D3"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Grainger, S., Mao, F. &amp; </w:t>
      </w:r>
      <w:proofErr w:type="spellStart"/>
      <w:r w:rsidRPr="00D276FE">
        <w:rPr>
          <w:rFonts w:asciiTheme="majorHAnsi" w:hAnsiTheme="majorHAnsi"/>
          <w:lang w:val="en-US"/>
        </w:rPr>
        <w:t>Buytaert</w:t>
      </w:r>
      <w:proofErr w:type="spellEnd"/>
      <w:r w:rsidRPr="00D276FE">
        <w:rPr>
          <w:rFonts w:asciiTheme="majorHAnsi" w:hAnsiTheme="majorHAnsi"/>
          <w:lang w:val="en-US"/>
        </w:rPr>
        <w:t xml:space="preserve">, W. Environmental data </w:t>
      </w:r>
      <w:proofErr w:type="spellStart"/>
      <w:r w:rsidRPr="00D276FE">
        <w:rPr>
          <w:rFonts w:asciiTheme="majorHAnsi" w:hAnsiTheme="majorHAnsi"/>
          <w:lang w:val="en-US"/>
        </w:rPr>
        <w:t>visualisation</w:t>
      </w:r>
      <w:proofErr w:type="spellEnd"/>
      <w:r w:rsidRPr="00D276FE">
        <w:rPr>
          <w:rFonts w:asciiTheme="majorHAnsi" w:hAnsiTheme="majorHAnsi"/>
          <w:lang w:val="en-US"/>
        </w:rPr>
        <w:t xml:space="preserve"> for non-scientific contexts: Literature review and design framework. </w:t>
      </w:r>
      <w:r w:rsidRPr="00D276FE">
        <w:rPr>
          <w:rFonts w:asciiTheme="majorHAnsi" w:hAnsiTheme="majorHAnsi"/>
          <w:i/>
          <w:iCs/>
          <w:lang w:val="en-US"/>
        </w:rPr>
        <w:t>Environmental Modelling and Software</w:t>
      </w:r>
      <w:r w:rsidRPr="00D276FE">
        <w:rPr>
          <w:rFonts w:asciiTheme="majorHAnsi" w:hAnsiTheme="majorHAnsi"/>
          <w:lang w:val="en-US"/>
        </w:rPr>
        <w:t xml:space="preserve"> </w:t>
      </w:r>
      <w:r w:rsidRPr="00D276FE">
        <w:rPr>
          <w:rFonts w:asciiTheme="majorHAnsi" w:hAnsiTheme="majorHAnsi"/>
          <w:b/>
          <w:bCs/>
          <w:lang w:val="en-US"/>
        </w:rPr>
        <w:t>85</w:t>
      </w:r>
      <w:r w:rsidRPr="00D276FE">
        <w:rPr>
          <w:rFonts w:asciiTheme="majorHAnsi" w:hAnsiTheme="majorHAnsi"/>
          <w:lang w:val="en-US"/>
        </w:rPr>
        <w:t>, 299–318 (2016).</w:t>
      </w:r>
    </w:p>
    <w:p w14:paraId="277926AD"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Brooks, M. S. Accelerating innovation in climate services: The 3 </w:t>
      </w:r>
      <w:proofErr w:type="gramStart"/>
      <w:r w:rsidRPr="00D276FE">
        <w:rPr>
          <w:rFonts w:asciiTheme="majorHAnsi" w:hAnsiTheme="majorHAnsi"/>
          <w:lang w:val="en-US"/>
        </w:rPr>
        <w:t>E’s</w:t>
      </w:r>
      <w:proofErr w:type="gramEnd"/>
      <w:r w:rsidRPr="00D276FE">
        <w:rPr>
          <w:rFonts w:asciiTheme="majorHAnsi" w:hAnsiTheme="majorHAnsi"/>
          <w:lang w:val="en-US"/>
        </w:rPr>
        <w:t xml:space="preserve"> for climate service providers. </w:t>
      </w:r>
      <w:r w:rsidRPr="00D276FE">
        <w:rPr>
          <w:rFonts w:asciiTheme="majorHAnsi" w:hAnsiTheme="majorHAnsi"/>
          <w:i/>
          <w:iCs/>
          <w:lang w:val="en-US"/>
        </w:rPr>
        <w:t>Bulletin of the American Meteorological Society</w:t>
      </w:r>
      <w:r w:rsidRPr="00D276FE">
        <w:rPr>
          <w:rFonts w:asciiTheme="majorHAnsi" w:hAnsiTheme="majorHAnsi"/>
          <w:lang w:val="en-US"/>
        </w:rPr>
        <w:t xml:space="preserve"> </w:t>
      </w:r>
      <w:r w:rsidRPr="00D276FE">
        <w:rPr>
          <w:rFonts w:asciiTheme="majorHAnsi" w:hAnsiTheme="majorHAnsi"/>
          <w:b/>
          <w:bCs/>
          <w:lang w:val="en-US"/>
        </w:rPr>
        <w:t>94</w:t>
      </w:r>
      <w:r w:rsidRPr="00D276FE">
        <w:rPr>
          <w:rFonts w:asciiTheme="majorHAnsi" w:hAnsiTheme="majorHAnsi"/>
          <w:lang w:val="en-US"/>
        </w:rPr>
        <w:t>, 807–819 (2013).</w:t>
      </w:r>
    </w:p>
    <w:p w14:paraId="4FB5D26F"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Christel, I. et al. Introducing design in the development of effective climate services.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9</w:t>
      </w:r>
      <w:r w:rsidRPr="00D276FE">
        <w:rPr>
          <w:rFonts w:asciiTheme="majorHAnsi" w:hAnsiTheme="majorHAnsi"/>
          <w:lang w:val="en-US"/>
        </w:rPr>
        <w:t>, 111–121 (2018).</w:t>
      </w:r>
    </w:p>
    <w:p w14:paraId="57240685"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Barnet, A. F. et al. Climate services for tourism: An applied methodology for user engagement and co-creation in </w:t>
      </w:r>
      <w:proofErr w:type="spellStart"/>
      <w:r w:rsidRPr="00D276FE">
        <w:rPr>
          <w:rFonts w:asciiTheme="majorHAnsi" w:hAnsiTheme="majorHAnsi"/>
          <w:lang w:val="en-US"/>
        </w:rPr>
        <w:t>european</w:t>
      </w:r>
      <w:proofErr w:type="spellEnd"/>
      <w:r w:rsidRPr="00D276FE">
        <w:rPr>
          <w:rFonts w:asciiTheme="majorHAnsi" w:hAnsiTheme="majorHAnsi"/>
          <w:lang w:val="en-US"/>
        </w:rPr>
        <w:t xml:space="preserve"> destinations.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23</w:t>
      </w:r>
      <w:r w:rsidRPr="00D276FE">
        <w:rPr>
          <w:rFonts w:asciiTheme="majorHAnsi" w:hAnsiTheme="majorHAnsi"/>
          <w:lang w:val="en-US"/>
        </w:rPr>
        <w:t xml:space="preserve"> (2021).</w:t>
      </w:r>
    </w:p>
    <w:p w14:paraId="498A8AA9" w14:textId="21980F96"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Bevacqua, E., </w:t>
      </w:r>
      <w:proofErr w:type="spellStart"/>
      <w:r w:rsidRPr="00D276FE">
        <w:rPr>
          <w:rFonts w:asciiTheme="majorHAnsi" w:hAnsiTheme="majorHAnsi"/>
          <w:lang w:val="en-US"/>
        </w:rPr>
        <w:t>Schleussner</w:t>
      </w:r>
      <w:proofErr w:type="spellEnd"/>
      <w:r w:rsidRPr="00D276FE">
        <w:rPr>
          <w:rFonts w:asciiTheme="majorHAnsi" w:hAnsiTheme="majorHAnsi"/>
          <w:lang w:val="en-US"/>
        </w:rPr>
        <w:t xml:space="preserve">, C.-F. &amp; </w:t>
      </w:r>
      <w:proofErr w:type="spellStart"/>
      <w:r w:rsidRPr="00D276FE">
        <w:rPr>
          <w:rFonts w:asciiTheme="majorHAnsi" w:hAnsiTheme="majorHAnsi"/>
          <w:lang w:val="en-US"/>
        </w:rPr>
        <w:t>Zscheischler</w:t>
      </w:r>
      <w:proofErr w:type="spellEnd"/>
      <w:r w:rsidRPr="00D276FE">
        <w:rPr>
          <w:rFonts w:asciiTheme="majorHAnsi" w:hAnsiTheme="majorHAnsi"/>
          <w:lang w:val="en-US"/>
        </w:rPr>
        <w:t>, J. A year above 1.5°</w:t>
      </w:r>
      <w:r w:rsidR="00E00AA6">
        <w:rPr>
          <w:rFonts w:asciiTheme="majorHAnsi" w:hAnsiTheme="majorHAnsi"/>
          <w:lang w:val="en-US"/>
        </w:rPr>
        <w:t>C</w:t>
      </w:r>
      <w:r w:rsidRPr="00D276FE">
        <w:rPr>
          <w:rFonts w:asciiTheme="majorHAnsi" w:hAnsiTheme="majorHAnsi"/>
          <w:lang w:val="en-US"/>
        </w:rPr>
        <w:t xml:space="preserve"> signals that </w:t>
      </w:r>
      <w:r w:rsidR="00E00AA6">
        <w:rPr>
          <w:rFonts w:asciiTheme="majorHAnsi" w:hAnsiTheme="majorHAnsi"/>
          <w:lang w:val="en-US"/>
        </w:rPr>
        <w:t>E</w:t>
      </w:r>
      <w:r w:rsidRPr="00D276FE">
        <w:rPr>
          <w:rFonts w:asciiTheme="majorHAnsi" w:hAnsiTheme="majorHAnsi"/>
          <w:lang w:val="en-US"/>
        </w:rPr>
        <w:t xml:space="preserve">arth is most probably within the 20-year period that will reach the </w:t>
      </w:r>
      <w:r w:rsidR="00E00AA6">
        <w:rPr>
          <w:rFonts w:asciiTheme="majorHAnsi" w:hAnsiTheme="majorHAnsi"/>
          <w:lang w:val="en-US"/>
        </w:rPr>
        <w:t>P</w:t>
      </w:r>
      <w:r w:rsidRPr="00D276FE">
        <w:rPr>
          <w:rFonts w:asciiTheme="majorHAnsi" w:hAnsiTheme="majorHAnsi"/>
          <w:lang w:val="en-US"/>
        </w:rPr>
        <w:t xml:space="preserve">aris </w:t>
      </w:r>
      <w:r w:rsidR="00E00AA6">
        <w:rPr>
          <w:rFonts w:asciiTheme="majorHAnsi" w:hAnsiTheme="majorHAnsi"/>
          <w:lang w:val="en-US"/>
        </w:rPr>
        <w:t>A</w:t>
      </w:r>
      <w:r w:rsidRPr="00D276FE">
        <w:rPr>
          <w:rFonts w:asciiTheme="majorHAnsi" w:hAnsiTheme="majorHAnsi"/>
          <w:lang w:val="en-US"/>
        </w:rPr>
        <w:t xml:space="preserve">greement limit. </w:t>
      </w:r>
      <w:r w:rsidRPr="00D276FE">
        <w:rPr>
          <w:rFonts w:asciiTheme="majorHAnsi" w:hAnsiTheme="majorHAnsi"/>
          <w:i/>
          <w:iCs/>
          <w:lang w:val="en-US"/>
        </w:rPr>
        <w:t>Nature Climate Change</w:t>
      </w:r>
      <w:r w:rsidRPr="00D276FE">
        <w:rPr>
          <w:rFonts w:asciiTheme="majorHAnsi" w:hAnsiTheme="majorHAnsi"/>
          <w:lang w:val="en-US"/>
        </w:rPr>
        <w:t xml:space="preserve"> </w:t>
      </w:r>
      <w:r w:rsidRPr="00D276FE">
        <w:rPr>
          <w:rFonts w:asciiTheme="majorHAnsi" w:hAnsiTheme="majorHAnsi"/>
          <w:b/>
          <w:bCs/>
          <w:lang w:val="en-US"/>
        </w:rPr>
        <w:t>15</w:t>
      </w:r>
      <w:r w:rsidRPr="00D276FE">
        <w:rPr>
          <w:rFonts w:asciiTheme="majorHAnsi" w:hAnsiTheme="majorHAnsi"/>
          <w:lang w:val="en-US"/>
        </w:rPr>
        <w:t xml:space="preserve">, 262–265 (2025). URL </w:t>
      </w:r>
      <w:hyperlink r:id="rId9" w:tgtFrame="_new" w:history="1">
        <w:r w:rsidRPr="00D276FE">
          <w:rPr>
            <w:rStyle w:val="Hyperlink"/>
            <w:rFonts w:asciiTheme="majorHAnsi" w:hAnsiTheme="majorHAnsi"/>
            <w:lang w:val="en-US"/>
          </w:rPr>
          <w:t>https://doi.org/10.1038/s41558-025-02246-9</w:t>
        </w:r>
      </w:hyperlink>
      <w:r w:rsidRPr="00D276FE">
        <w:rPr>
          <w:rFonts w:asciiTheme="majorHAnsi" w:hAnsiTheme="majorHAnsi"/>
          <w:lang w:val="en-US"/>
        </w:rPr>
        <w:t>.</w:t>
      </w:r>
    </w:p>
    <w:p w14:paraId="6EEEE58C" w14:textId="77777777" w:rsidR="00EC1EBE" w:rsidRPr="00D276FE" w:rsidRDefault="00EC1EBE" w:rsidP="00EC1EBE">
      <w:pPr>
        <w:pStyle w:val="ListParagraph"/>
        <w:numPr>
          <w:ilvl w:val="0"/>
          <w:numId w:val="20"/>
        </w:numPr>
        <w:spacing w:after="0" w:line="276" w:lineRule="auto"/>
        <w:rPr>
          <w:rFonts w:asciiTheme="majorHAnsi" w:hAnsiTheme="majorHAnsi"/>
        </w:rPr>
      </w:pPr>
      <w:proofErr w:type="spellStart"/>
      <w:r w:rsidRPr="00D276FE">
        <w:rPr>
          <w:rFonts w:asciiTheme="majorHAnsi" w:hAnsiTheme="majorHAnsi"/>
          <w:lang w:val="en-US"/>
        </w:rPr>
        <w:t>Suhari</w:t>
      </w:r>
      <w:proofErr w:type="spellEnd"/>
      <w:r w:rsidRPr="00D276FE">
        <w:rPr>
          <w:rFonts w:asciiTheme="majorHAnsi" w:hAnsiTheme="majorHAnsi"/>
          <w:lang w:val="en-US"/>
        </w:rPr>
        <w:t xml:space="preserve">, M., Dressel, M. &amp; Schuck-Zöller, S. Challenges and best-practices of co-creation: A qualitative interview study in the field of climate services.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25</w:t>
      </w:r>
      <w:r w:rsidRPr="00D276FE">
        <w:rPr>
          <w:rFonts w:asciiTheme="majorHAnsi" w:hAnsiTheme="majorHAnsi"/>
          <w:lang w:val="en-US"/>
        </w:rPr>
        <w:t xml:space="preserve"> (2022).</w:t>
      </w:r>
    </w:p>
    <w:p w14:paraId="1A87927C" w14:textId="77777777" w:rsidR="00EC1EBE" w:rsidRPr="00D276FE" w:rsidRDefault="00EC1EBE" w:rsidP="00EC1EBE">
      <w:pPr>
        <w:pStyle w:val="ListParagraph"/>
        <w:numPr>
          <w:ilvl w:val="0"/>
          <w:numId w:val="20"/>
        </w:numPr>
        <w:spacing w:after="0" w:line="276" w:lineRule="auto"/>
        <w:rPr>
          <w:rFonts w:asciiTheme="majorHAnsi" w:hAnsiTheme="majorHAnsi"/>
        </w:rPr>
      </w:pPr>
      <w:proofErr w:type="spellStart"/>
      <w:r w:rsidRPr="00D276FE">
        <w:rPr>
          <w:rFonts w:asciiTheme="majorHAnsi" w:hAnsiTheme="majorHAnsi"/>
          <w:lang w:val="en-US"/>
        </w:rPr>
        <w:t>Harjanne</w:t>
      </w:r>
      <w:proofErr w:type="spellEnd"/>
      <w:r w:rsidRPr="00D276FE">
        <w:rPr>
          <w:rFonts w:asciiTheme="majorHAnsi" w:hAnsiTheme="majorHAnsi"/>
          <w:lang w:val="en-US"/>
        </w:rPr>
        <w:t xml:space="preserve">, A. </w:t>
      </w:r>
      <w:proofErr w:type="spellStart"/>
      <w:r w:rsidRPr="00D276FE">
        <w:rPr>
          <w:rFonts w:asciiTheme="majorHAnsi" w:hAnsiTheme="majorHAnsi"/>
          <w:lang w:val="en-US"/>
        </w:rPr>
        <w:t>Servitizing</w:t>
      </w:r>
      <w:proofErr w:type="spellEnd"/>
      <w:r w:rsidRPr="00D276FE">
        <w:rPr>
          <w:rFonts w:asciiTheme="majorHAnsi" w:hAnsiTheme="majorHAnsi"/>
          <w:lang w:val="en-US"/>
        </w:rPr>
        <w:t xml:space="preserve"> climate science—institutional analysis of climate services discourse and its implications. </w:t>
      </w:r>
      <w:r w:rsidRPr="00D276FE">
        <w:rPr>
          <w:rFonts w:asciiTheme="majorHAnsi" w:hAnsiTheme="majorHAnsi"/>
          <w:i/>
          <w:iCs/>
          <w:lang w:val="en-US"/>
        </w:rPr>
        <w:t>Global Environmental Change</w:t>
      </w:r>
      <w:r w:rsidRPr="00D276FE">
        <w:rPr>
          <w:rFonts w:asciiTheme="majorHAnsi" w:hAnsiTheme="majorHAnsi"/>
          <w:lang w:val="en-US"/>
        </w:rPr>
        <w:t xml:space="preserve"> </w:t>
      </w:r>
      <w:r w:rsidRPr="00D276FE">
        <w:rPr>
          <w:rFonts w:asciiTheme="majorHAnsi" w:hAnsiTheme="majorHAnsi"/>
          <w:b/>
          <w:bCs/>
          <w:lang w:val="en-US"/>
        </w:rPr>
        <w:t>46</w:t>
      </w:r>
      <w:r w:rsidRPr="00D276FE">
        <w:rPr>
          <w:rFonts w:asciiTheme="majorHAnsi" w:hAnsiTheme="majorHAnsi"/>
          <w:lang w:val="en-US"/>
        </w:rPr>
        <w:t>, 1–16 (2017).</w:t>
      </w:r>
    </w:p>
    <w:p w14:paraId="6DD6351E"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Findlater, K., Webber, S., Kandlikar, M. &amp; Donner, S. Climate services promise better decisions but mainly focus on better data. </w:t>
      </w:r>
      <w:r w:rsidRPr="00D276FE">
        <w:rPr>
          <w:rFonts w:asciiTheme="majorHAnsi" w:hAnsiTheme="majorHAnsi"/>
          <w:i/>
          <w:iCs/>
          <w:lang w:val="en-US"/>
        </w:rPr>
        <w:t>Nature Climate Change</w:t>
      </w:r>
      <w:r w:rsidRPr="00D276FE">
        <w:rPr>
          <w:rFonts w:asciiTheme="majorHAnsi" w:hAnsiTheme="majorHAnsi"/>
          <w:lang w:val="en-US"/>
        </w:rPr>
        <w:t xml:space="preserve"> </w:t>
      </w:r>
      <w:r w:rsidRPr="00D276FE">
        <w:rPr>
          <w:rFonts w:asciiTheme="majorHAnsi" w:hAnsiTheme="majorHAnsi"/>
          <w:b/>
          <w:bCs/>
          <w:lang w:val="en-US"/>
        </w:rPr>
        <w:t>11</w:t>
      </w:r>
      <w:r w:rsidRPr="00D276FE">
        <w:rPr>
          <w:rFonts w:asciiTheme="majorHAnsi" w:hAnsiTheme="majorHAnsi"/>
          <w:lang w:val="en-US"/>
        </w:rPr>
        <w:t xml:space="preserve">, 731–737 (2021). URL </w:t>
      </w:r>
      <w:hyperlink r:id="rId10" w:tgtFrame="_new" w:history="1">
        <w:r w:rsidRPr="00D276FE">
          <w:rPr>
            <w:rStyle w:val="Hyperlink"/>
            <w:rFonts w:asciiTheme="majorHAnsi" w:hAnsiTheme="majorHAnsi"/>
            <w:lang w:val="en-US"/>
          </w:rPr>
          <w:t>https://doi.org/10.1038/s41558-021-01125-3</w:t>
        </w:r>
      </w:hyperlink>
      <w:r w:rsidRPr="00D276FE">
        <w:rPr>
          <w:rFonts w:asciiTheme="majorHAnsi" w:hAnsiTheme="majorHAnsi"/>
          <w:lang w:val="en-US"/>
        </w:rPr>
        <w:t>.</w:t>
      </w:r>
    </w:p>
    <w:p w14:paraId="2CB5FB9B"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Terrado, M. et al. Co-production pathway of an end-to-end climate service for improved decision-making in the wine sector.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30</w:t>
      </w:r>
      <w:r w:rsidRPr="00D276FE">
        <w:rPr>
          <w:rFonts w:asciiTheme="majorHAnsi" w:hAnsiTheme="majorHAnsi"/>
          <w:lang w:val="en-US"/>
        </w:rPr>
        <w:t xml:space="preserve"> (2023).</w:t>
      </w:r>
    </w:p>
    <w:p w14:paraId="654D8475" w14:textId="77777777" w:rsidR="00EC1EBE" w:rsidRPr="00D276FE" w:rsidRDefault="00EC1EBE" w:rsidP="00EC1EBE">
      <w:pPr>
        <w:pStyle w:val="ListParagraph"/>
        <w:numPr>
          <w:ilvl w:val="0"/>
          <w:numId w:val="20"/>
        </w:numPr>
        <w:spacing w:after="0" w:line="276" w:lineRule="auto"/>
        <w:rPr>
          <w:rFonts w:asciiTheme="majorHAnsi" w:hAnsiTheme="majorHAnsi"/>
        </w:rPr>
      </w:pPr>
      <w:proofErr w:type="spellStart"/>
      <w:r w:rsidRPr="00D276FE">
        <w:rPr>
          <w:rFonts w:asciiTheme="majorHAnsi" w:hAnsiTheme="majorHAnsi"/>
          <w:lang w:val="en-US"/>
        </w:rPr>
        <w:t>Baulenas</w:t>
      </w:r>
      <w:proofErr w:type="spellEnd"/>
      <w:r w:rsidRPr="00D276FE">
        <w:rPr>
          <w:rFonts w:asciiTheme="majorHAnsi" w:hAnsiTheme="majorHAnsi"/>
          <w:lang w:val="en-US"/>
        </w:rPr>
        <w:t xml:space="preserve">, E. et al. User selection and engagement for climate services coproduction. </w:t>
      </w:r>
      <w:r w:rsidRPr="00D276FE">
        <w:rPr>
          <w:rFonts w:asciiTheme="majorHAnsi" w:hAnsiTheme="majorHAnsi"/>
          <w:i/>
          <w:iCs/>
          <w:lang w:val="en-US"/>
        </w:rPr>
        <w:t>Weather, Climate, and Society</w:t>
      </w:r>
      <w:r w:rsidRPr="00D276FE">
        <w:rPr>
          <w:rFonts w:asciiTheme="majorHAnsi" w:hAnsiTheme="majorHAnsi"/>
          <w:lang w:val="en-US"/>
        </w:rPr>
        <w:t xml:space="preserve"> </w:t>
      </w:r>
      <w:r w:rsidRPr="00D276FE">
        <w:rPr>
          <w:rFonts w:asciiTheme="majorHAnsi" w:hAnsiTheme="majorHAnsi"/>
          <w:b/>
          <w:bCs/>
          <w:lang w:val="en-US"/>
        </w:rPr>
        <w:t>15</w:t>
      </w:r>
      <w:r w:rsidRPr="00D276FE">
        <w:rPr>
          <w:rFonts w:asciiTheme="majorHAnsi" w:hAnsiTheme="majorHAnsi"/>
          <w:lang w:val="en-US"/>
        </w:rPr>
        <w:t xml:space="preserve">, 381–392 (2023). URL </w:t>
      </w:r>
      <w:hyperlink r:id="rId11" w:tgtFrame="_new" w:history="1">
        <w:r w:rsidRPr="00D276FE">
          <w:rPr>
            <w:rStyle w:val="Hyperlink"/>
            <w:rFonts w:asciiTheme="majorHAnsi" w:hAnsiTheme="majorHAnsi"/>
            <w:lang w:val="en-US"/>
          </w:rPr>
          <w:t>https://journals.ametsoc.org/view/journals/wcas/15/2/WCAS-D-22-0112.1.xml</w:t>
        </w:r>
      </w:hyperlink>
      <w:r w:rsidRPr="00D276FE">
        <w:rPr>
          <w:rFonts w:asciiTheme="majorHAnsi" w:hAnsiTheme="majorHAnsi"/>
          <w:lang w:val="en-US"/>
        </w:rPr>
        <w:t>.</w:t>
      </w:r>
    </w:p>
    <w:p w14:paraId="52CFF0F8" w14:textId="76AFD39A"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Vincent, K. et al. Co-production: Learning from Contexts, 37–56 (Springer International Publishing, 2021). URL </w:t>
      </w:r>
      <w:hyperlink r:id="rId12" w:history="1">
        <w:r w:rsidRPr="00D276FE">
          <w:rPr>
            <w:rStyle w:val="Hyperlink"/>
            <w:rFonts w:asciiTheme="majorHAnsi" w:hAnsiTheme="majorHAnsi"/>
            <w:lang w:val="en-US"/>
          </w:rPr>
          <w:t>https://doi.org/10.1007/978-3-030-61160-6_3</w:t>
        </w:r>
      </w:hyperlink>
      <w:r w:rsidRPr="00D276FE">
        <w:rPr>
          <w:rFonts w:asciiTheme="majorHAnsi" w:hAnsiTheme="majorHAnsi"/>
          <w:lang w:val="en-US"/>
        </w:rPr>
        <w:t>.</w:t>
      </w:r>
    </w:p>
    <w:p w14:paraId="1E030521"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Brasseur, G. P. &amp; Gallardo, L. Climate services: Lessons learned and </w:t>
      </w:r>
      <w:proofErr w:type="gramStart"/>
      <w:r w:rsidRPr="00D276FE">
        <w:rPr>
          <w:rFonts w:asciiTheme="majorHAnsi" w:hAnsiTheme="majorHAnsi"/>
          <w:lang w:val="en-US"/>
        </w:rPr>
        <w:t>future prospects</w:t>
      </w:r>
      <w:proofErr w:type="gramEnd"/>
      <w:r w:rsidRPr="00D276FE">
        <w:rPr>
          <w:rFonts w:asciiTheme="majorHAnsi" w:hAnsiTheme="majorHAnsi"/>
          <w:lang w:val="en-US"/>
        </w:rPr>
        <w:t xml:space="preserve">. </w:t>
      </w:r>
      <w:r w:rsidRPr="00D276FE">
        <w:rPr>
          <w:rFonts w:asciiTheme="majorHAnsi" w:hAnsiTheme="majorHAnsi"/>
          <w:i/>
          <w:iCs/>
          <w:lang w:val="en-US"/>
        </w:rPr>
        <w:t>Earth’s Future</w:t>
      </w:r>
      <w:r w:rsidRPr="00D276FE">
        <w:rPr>
          <w:rFonts w:asciiTheme="majorHAnsi" w:hAnsiTheme="majorHAnsi"/>
          <w:lang w:val="en-US"/>
        </w:rPr>
        <w:t xml:space="preserve"> </w:t>
      </w:r>
      <w:r w:rsidRPr="00D276FE">
        <w:rPr>
          <w:rFonts w:asciiTheme="majorHAnsi" w:hAnsiTheme="majorHAnsi"/>
          <w:b/>
          <w:bCs/>
          <w:lang w:val="en-US"/>
        </w:rPr>
        <w:t>4</w:t>
      </w:r>
      <w:r w:rsidRPr="00D276FE">
        <w:rPr>
          <w:rFonts w:asciiTheme="majorHAnsi" w:hAnsiTheme="majorHAnsi"/>
          <w:lang w:val="en-US"/>
        </w:rPr>
        <w:t>, 79–89 (2016).</w:t>
      </w:r>
    </w:p>
    <w:p w14:paraId="660C9618" w14:textId="77777777" w:rsidR="00EC1EBE" w:rsidRPr="00D276FE" w:rsidRDefault="00EC1EBE" w:rsidP="00EC1EBE">
      <w:pPr>
        <w:pStyle w:val="ListParagraph"/>
        <w:numPr>
          <w:ilvl w:val="0"/>
          <w:numId w:val="20"/>
        </w:numPr>
        <w:spacing w:after="0" w:line="276" w:lineRule="auto"/>
        <w:rPr>
          <w:rFonts w:asciiTheme="majorHAnsi" w:hAnsiTheme="majorHAnsi"/>
        </w:rPr>
      </w:pPr>
      <w:proofErr w:type="spellStart"/>
      <w:r w:rsidRPr="00D276FE">
        <w:rPr>
          <w:rFonts w:asciiTheme="majorHAnsi" w:hAnsiTheme="majorHAnsi"/>
          <w:lang w:val="en-US"/>
        </w:rPr>
        <w:lastRenderedPageBreak/>
        <w:t>Bessembinder</w:t>
      </w:r>
      <w:proofErr w:type="spellEnd"/>
      <w:r w:rsidRPr="00D276FE">
        <w:rPr>
          <w:rFonts w:asciiTheme="majorHAnsi" w:hAnsiTheme="majorHAnsi"/>
          <w:lang w:val="en-US"/>
        </w:rPr>
        <w:t xml:space="preserve">, J. et al. Need for a common typology of climate services.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16</w:t>
      </w:r>
      <w:r w:rsidRPr="00D276FE">
        <w:rPr>
          <w:rFonts w:asciiTheme="majorHAnsi" w:hAnsiTheme="majorHAnsi"/>
          <w:lang w:val="en-US"/>
        </w:rPr>
        <w:t xml:space="preserve"> (2019).</w:t>
      </w:r>
    </w:p>
    <w:p w14:paraId="23C799AE"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Williams, D. S. &amp; Jacob, D. From participatory to inclusive climate services for enhancing societal uptake.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24</w:t>
      </w:r>
      <w:r w:rsidRPr="00D276FE">
        <w:rPr>
          <w:rFonts w:asciiTheme="majorHAnsi" w:hAnsiTheme="majorHAnsi"/>
          <w:lang w:val="en-US"/>
        </w:rPr>
        <w:t xml:space="preserve"> (2021).</w:t>
      </w:r>
    </w:p>
    <w:p w14:paraId="10014C6A"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Pimentel, R. et al. Improving the usability of climate services for the water sector: The </w:t>
      </w:r>
      <w:proofErr w:type="spellStart"/>
      <w:r w:rsidRPr="00D276FE">
        <w:rPr>
          <w:rFonts w:asciiTheme="majorHAnsi" w:hAnsiTheme="majorHAnsi"/>
          <w:lang w:val="en-US"/>
        </w:rPr>
        <w:t>aquaclew</w:t>
      </w:r>
      <w:proofErr w:type="spellEnd"/>
      <w:r w:rsidRPr="00D276FE">
        <w:rPr>
          <w:rFonts w:asciiTheme="majorHAnsi" w:hAnsiTheme="majorHAnsi"/>
          <w:lang w:val="en-US"/>
        </w:rPr>
        <w:t xml:space="preserve"> experience.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28</w:t>
      </w:r>
      <w:r w:rsidRPr="00D276FE">
        <w:rPr>
          <w:rFonts w:asciiTheme="majorHAnsi" w:hAnsiTheme="majorHAnsi"/>
          <w:lang w:val="en-US"/>
        </w:rPr>
        <w:t xml:space="preserve"> (2022).</w:t>
      </w:r>
    </w:p>
    <w:p w14:paraId="69D41449"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Boon, E., Wright, S. J., </w:t>
      </w:r>
      <w:proofErr w:type="spellStart"/>
      <w:r w:rsidRPr="00D276FE">
        <w:rPr>
          <w:rFonts w:asciiTheme="majorHAnsi" w:hAnsiTheme="majorHAnsi"/>
          <w:lang w:val="en-US"/>
        </w:rPr>
        <w:t>Biesbroek</w:t>
      </w:r>
      <w:proofErr w:type="spellEnd"/>
      <w:r w:rsidRPr="00D276FE">
        <w:rPr>
          <w:rFonts w:asciiTheme="majorHAnsi" w:hAnsiTheme="majorHAnsi"/>
          <w:lang w:val="en-US"/>
        </w:rPr>
        <w:t xml:space="preserve">, R., Goosen, H. &amp; Ludwig, F. Successful climate services for adaptation: What we know, don’t know and need to know.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27</w:t>
      </w:r>
      <w:r w:rsidRPr="00D276FE">
        <w:rPr>
          <w:rFonts w:asciiTheme="majorHAnsi" w:hAnsiTheme="majorHAnsi"/>
          <w:lang w:val="en-US"/>
        </w:rPr>
        <w:t xml:space="preserve"> (2022).</w:t>
      </w:r>
    </w:p>
    <w:p w14:paraId="43E76ABD"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Vaughan, C., </w:t>
      </w:r>
      <w:proofErr w:type="spellStart"/>
      <w:r w:rsidRPr="00D276FE">
        <w:rPr>
          <w:rFonts w:asciiTheme="majorHAnsi" w:hAnsiTheme="majorHAnsi"/>
          <w:lang w:val="en-US"/>
        </w:rPr>
        <w:t>Dessai</w:t>
      </w:r>
      <w:proofErr w:type="spellEnd"/>
      <w:r w:rsidRPr="00D276FE">
        <w:rPr>
          <w:rFonts w:asciiTheme="majorHAnsi" w:hAnsiTheme="majorHAnsi"/>
          <w:lang w:val="en-US"/>
        </w:rPr>
        <w:t xml:space="preserve">, S. &amp; Hewitt, C. Surveying climate services: What can we learn from a bird’s-eye view? </w:t>
      </w:r>
      <w:r w:rsidRPr="00D276FE">
        <w:rPr>
          <w:rFonts w:asciiTheme="majorHAnsi" w:hAnsiTheme="majorHAnsi"/>
          <w:i/>
          <w:iCs/>
          <w:lang w:val="en-US"/>
        </w:rPr>
        <w:t>Weather, Climate, and Society</w:t>
      </w:r>
      <w:r w:rsidRPr="00D276FE">
        <w:rPr>
          <w:rFonts w:asciiTheme="majorHAnsi" w:hAnsiTheme="majorHAnsi"/>
          <w:lang w:val="en-US"/>
        </w:rPr>
        <w:t xml:space="preserve"> </w:t>
      </w:r>
      <w:r w:rsidRPr="00D276FE">
        <w:rPr>
          <w:rFonts w:asciiTheme="majorHAnsi" w:hAnsiTheme="majorHAnsi"/>
          <w:b/>
          <w:bCs/>
          <w:lang w:val="en-US"/>
        </w:rPr>
        <w:t>10</w:t>
      </w:r>
      <w:r w:rsidRPr="00D276FE">
        <w:rPr>
          <w:rFonts w:asciiTheme="majorHAnsi" w:hAnsiTheme="majorHAnsi"/>
          <w:lang w:val="en-US"/>
        </w:rPr>
        <w:t>, 373–395 (2018).</w:t>
      </w:r>
    </w:p>
    <w:p w14:paraId="50E6CA85" w14:textId="77777777" w:rsidR="00EC1EBE" w:rsidRPr="00D276FE" w:rsidRDefault="00EC1EBE" w:rsidP="00EC1EBE">
      <w:pPr>
        <w:pStyle w:val="ListParagraph"/>
        <w:numPr>
          <w:ilvl w:val="0"/>
          <w:numId w:val="20"/>
        </w:numPr>
        <w:spacing w:after="0" w:line="276" w:lineRule="auto"/>
        <w:rPr>
          <w:rFonts w:asciiTheme="majorHAnsi" w:hAnsiTheme="majorHAnsi"/>
        </w:rPr>
      </w:pPr>
      <w:proofErr w:type="spellStart"/>
      <w:r w:rsidRPr="00D276FE">
        <w:rPr>
          <w:rFonts w:asciiTheme="majorHAnsi" w:hAnsiTheme="majorHAnsi"/>
          <w:lang w:val="en-US"/>
        </w:rPr>
        <w:t>Bouroncle</w:t>
      </w:r>
      <w:proofErr w:type="spellEnd"/>
      <w:r w:rsidRPr="00D276FE">
        <w:rPr>
          <w:rFonts w:asciiTheme="majorHAnsi" w:hAnsiTheme="majorHAnsi"/>
          <w:lang w:val="en-US"/>
        </w:rPr>
        <w:t xml:space="preserve">, C. et al. A systematic approach to assess climate information products applied to agriculture and food security in </w:t>
      </w:r>
      <w:proofErr w:type="spellStart"/>
      <w:r w:rsidRPr="00D276FE">
        <w:rPr>
          <w:rFonts w:asciiTheme="majorHAnsi" w:hAnsiTheme="majorHAnsi"/>
          <w:lang w:val="en-US"/>
        </w:rPr>
        <w:t>guatemala</w:t>
      </w:r>
      <w:proofErr w:type="spellEnd"/>
      <w:r w:rsidRPr="00D276FE">
        <w:rPr>
          <w:rFonts w:asciiTheme="majorHAnsi" w:hAnsiTheme="majorHAnsi"/>
          <w:lang w:val="en-US"/>
        </w:rPr>
        <w:t xml:space="preserve"> and </w:t>
      </w:r>
      <w:proofErr w:type="spellStart"/>
      <w:r w:rsidRPr="00D276FE">
        <w:rPr>
          <w:rFonts w:asciiTheme="majorHAnsi" w:hAnsiTheme="majorHAnsi"/>
          <w:lang w:val="en-US"/>
        </w:rPr>
        <w:t>colombia</w:t>
      </w:r>
      <w:proofErr w:type="spellEnd"/>
      <w:r w:rsidRPr="00D276FE">
        <w:rPr>
          <w:rFonts w:asciiTheme="majorHAnsi" w:hAnsiTheme="majorHAnsi"/>
          <w:lang w:val="en-US"/>
        </w:rPr>
        <w:t xml:space="preserve">.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16</w:t>
      </w:r>
      <w:r w:rsidRPr="00D276FE">
        <w:rPr>
          <w:rFonts w:asciiTheme="majorHAnsi" w:hAnsiTheme="majorHAnsi"/>
          <w:lang w:val="en-US"/>
        </w:rPr>
        <w:t xml:space="preserve"> (2019).</w:t>
      </w:r>
    </w:p>
    <w:p w14:paraId="121FBD05"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Blair, B., Gierisch, A. M., </w:t>
      </w:r>
      <w:proofErr w:type="spellStart"/>
      <w:r w:rsidRPr="00D276FE">
        <w:rPr>
          <w:rFonts w:asciiTheme="majorHAnsi" w:hAnsiTheme="majorHAnsi"/>
          <w:lang w:val="en-US"/>
        </w:rPr>
        <w:t>Jeuring</w:t>
      </w:r>
      <w:proofErr w:type="spellEnd"/>
      <w:r w:rsidRPr="00D276FE">
        <w:rPr>
          <w:rFonts w:asciiTheme="majorHAnsi" w:hAnsiTheme="majorHAnsi"/>
          <w:lang w:val="en-US"/>
        </w:rPr>
        <w:t xml:space="preserve">, J., Olsen, S. M. &amp; Lamers, M. Mind the gap! a consensus analysis of users and producers on trust in new sea ice information products.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28</w:t>
      </w:r>
      <w:r w:rsidRPr="00D276FE">
        <w:rPr>
          <w:rFonts w:asciiTheme="majorHAnsi" w:hAnsiTheme="majorHAnsi"/>
          <w:lang w:val="en-US"/>
        </w:rPr>
        <w:t xml:space="preserve"> (2022).</w:t>
      </w:r>
    </w:p>
    <w:p w14:paraId="56EAADA4"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Howarth, C., Lane, M., Morse-Jones, S., Brooks, K. &amp; Viner, D. The ‘co’ in co-production of climate action: Challenging boundaries within and between science, policy and practice. </w:t>
      </w:r>
      <w:r w:rsidRPr="00D276FE">
        <w:rPr>
          <w:rFonts w:asciiTheme="majorHAnsi" w:hAnsiTheme="majorHAnsi"/>
          <w:i/>
          <w:iCs/>
          <w:lang w:val="en-US"/>
        </w:rPr>
        <w:t>Global Environmental Change</w:t>
      </w:r>
      <w:r w:rsidRPr="00D276FE">
        <w:rPr>
          <w:rFonts w:asciiTheme="majorHAnsi" w:hAnsiTheme="majorHAnsi"/>
          <w:lang w:val="en-US"/>
        </w:rPr>
        <w:t xml:space="preserve"> </w:t>
      </w:r>
      <w:r w:rsidRPr="00D276FE">
        <w:rPr>
          <w:rFonts w:asciiTheme="majorHAnsi" w:hAnsiTheme="majorHAnsi"/>
          <w:b/>
          <w:bCs/>
          <w:lang w:val="en-US"/>
        </w:rPr>
        <w:t>72</w:t>
      </w:r>
      <w:r w:rsidRPr="00D276FE">
        <w:rPr>
          <w:rFonts w:asciiTheme="majorHAnsi" w:hAnsiTheme="majorHAnsi"/>
          <w:lang w:val="en-US"/>
        </w:rPr>
        <w:t xml:space="preserve">, 102445 (2022). URL </w:t>
      </w:r>
      <w:hyperlink r:id="rId13" w:tgtFrame="_new" w:history="1">
        <w:r w:rsidRPr="00D276FE">
          <w:rPr>
            <w:rStyle w:val="Hyperlink"/>
            <w:rFonts w:asciiTheme="majorHAnsi" w:hAnsiTheme="majorHAnsi"/>
            <w:lang w:val="en-US"/>
          </w:rPr>
          <w:t>https://www.sciencedirect.com/science/article/pii/S0959378021002247</w:t>
        </w:r>
      </w:hyperlink>
      <w:r w:rsidRPr="00D276FE">
        <w:rPr>
          <w:rFonts w:asciiTheme="majorHAnsi" w:hAnsiTheme="majorHAnsi"/>
          <w:lang w:val="en-US"/>
        </w:rPr>
        <w:t>.</w:t>
      </w:r>
    </w:p>
    <w:p w14:paraId="35703C63" w14:textId="77777777" w:rsidR="00EC1EBE" w:rsidRPr="00D276FE" w:rsidRDefault="00EC1EBE" w:rsidP="00EC1EBE">
      <w:pPr>
        <w:pStyle w:val="ListParagraph"/>
        <w:numPr>
          <w:ilvl w:val="0"/>
          <w:numId w:val="20"/>
        </w:numPr>
        <w:spacing w:after="0" w:line="276" w:lineRule="auto"/>
        <w:rPr>
          <w:rFonts w:asciiTheme="majorHAnsi" w:hAnsiTheme="majorHAnsi"/>
        </w:rPr>
      </w:pPr>
      <w:proofErr w:type="spellStart"/>
      <w:r w:rsidRPr="00D276FE">
        <w:rPr>
          <w:rFonts w:asciiTheme="majorHAnsi" w:hAnsiTheme="majorHAnsi"/>
          <w:lang w:val="en-US"/>
        </w:rPr>
        <w:t>Labonnote</w:t>
      </w:r>
      <w:proofErr w:type="spellEnd"/>
      <w:r w:rsidRPr="00D276FE">
        <w:rPr>
          <w:rFonts w:asciiTheme="majorHAnsi" w:hAnsiTheme="majorHAnsi"/>
          <w:lang w:val="en-US"/>
        </w:rPr>
        <w:t xml:space="preserve">, N., Åshild </w:t>
      </w:r>
      <w:proofErr w:type="spellStart"/>
      <w:r w:rsidRPr="00D276FE">
        <w:rPr>
          <w:rFonts w:asciiTheme="majorHAnsi" w:hAnsiTheme="majorHAnsi"/>
          <w:lang w:val="en-US"/>
        </w:rPr>
        <w:t>Lappegard</w:t>
      </w:r>
      <w:proofErr w:type="spellEnd"/>
      <w:r w:rsidRPr="00D276FE">
        <w:rPr>
          <w:rFonts w:asciiTheme="majorHAnsi" w:hAnsiTheme="majorHAnsi"/>
          <w:lang w:val="en-US"/>
        </w:rPr>
        <w:t xml:space="preserve"> Hauge &amp; Sivertsen, E. A climate services perspective on </w:t>
      </w:r>
      <w:proofErr w:type="spellStart"/>
      <w:r w:rsidRPr="00D276FE">
        <w:rPr>
          <w:rFonts w:asciiTheme="majorHAnsi" w:hAnsiTheme="majorHAnsi"/>
          <w:lang w:val="en-US"/>
        </w:rPr>
        <w:t>norwegian</w:t>
      </w:r>
      <w:proofErr w:type="spellEnd"/>
      <w:r w:rsidRPr="00D276FE">
        <w:rPr>
          <w:rFonts w:asciiTheme="majorHAnsi" w:hAnsiTheme="majorHAnsi"/>
          <w:lang w:val="en-US"/>
        </w:rPr>
        <w:t xml:space="preserve"> stormwater-related databases.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13</w:t>
      </w:r>
      <w:r w:rsidRPr="00D276FE">
        <w:rPr>
          <w:rFonts w:asciiTheme="majorHAnsi" w:hAnsiTheme="majorHAnsi"/>
          <w:lang w:val="en-US"/>
        </w:rPr>
        <w:t>, 33–41 (2019).</w:t>
      </w:r>
    </w:p>
    <w:p w14:paraId="335FAC07"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Bremer, S. et al. Toward a multi-faceted conception of co-production of climate services.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13</w:t>
      </w:r>
      <w:r w:rsidRPr="00D276FE">
        <w:rPr>
          <w:rFonts w:asciiTheme="majorHAnsi" w:hAnsiTheme="majorHAnsi"/>
          <w:lang w:val="en-US"/>
        </w:rPr>
        <w:t>, 42–50 (2019).</w:t>
      </w:r>
    </w:p>
    <w:p w14:paraId="57B3A39D" w14:textId="77777777" w:rsidR="00EC1EBE" w:rsidRPr="00D276FE" w:rsidRDefault="00EC1EBE" w:rsidP="00EC1EBE">
      <w:pPr>
        <w:pStyle w:val="ListParagraph"/>
        <w:numPr>
          <w:ilvl w:val="0"/>
          <w:numId w:val="20"/>
        </w:numPr>
        <w:spacing w:after="0" w:line="276" w:lineRule="auto"/>
        <w:rPr>
          <w:rFonts w:asciiTheme="majorHAnsi" w:hAnsiTheme="majorHAnsi"/>
        </w:rPr>
      </w:pPr>
      <w:proofErr w:type="spellStart"/>
      <w:r w:rsidRPr="00D276FE">
        <w:rPr>
          <w:rFonts w:asciiTheme="majorHAnsi" w:hAnsiTheme="majorHAnsi"/>
          <w:lang w:val="en-US"/>
        </w:rPr>
        <w:t>Doblas</w:t>
      </w:r>
      <w:proofErr w:type="spellEnd"/>
      <w:r w:rsidRPr="00D276FE">
        <w:rPr>
          <w:rFonts w:asciiTheme="majorHAnsi" w:hAnsiTheme="majorHAnsi"/>
          <w:lang w:val="en-US"/>
        </w:rPr>
        <w:t xml:space="preserve">-Reyes, F. J. et al. </w:t>
      </w:r>
      <w:proofErr w:type="spellStart"/>
      <w:r w:rsidRPr="00D276FE">
        <w:rPr>
          <w:rFonts w:asciiTheme="majorHAnsi" w:hAnsiTheme="majorHAnsi"/>
          <w:lang w:val="en-US"/>
        </w:rPr>
        <w:t>Standardisation</w:t>
      </w:r>
      <w:proofErr w:type="spellEnd"/>
      <w:r w:rsidRPr="00D276FE">
        <w:rPr>
          <w:rFonts w:asciiTheme="majorHAnsi" w:hAnsiTheme="majorHAnsi"/>
          <w:lang w:val="en-US"/>
        </w:rPr>
        <w:t xml:space="preserve"> of equitable climate services by supporting a community of practice.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36</w:t>
      </w:r>
      <w:r w:rsidRPr="00D276FE">
        <w:rPr>
          <w:rFonts w:asciiTheme="majorHAnsi" w:hAnsiTheme="majorHAnsi"/>
          <w:lang w:val="en-US"/>
        </w:rPr>
        <w:t xml:space="preserve">, 100520 (2024). URL </w:t>
      </w:r>
      <w:hyperlink r:id="rId14" w:tgtFrame="_new" w:history="1">
        <w:r w:rsidRPr="00D276FE">
          <w:rPr>
            <w:rStyle w:val="Hyperlink"/>
            <w:rFonts w:asciiTheme="majorHAnsi" w:hAnsiTheme="majorHAnsi"/>
            <w:lang w:val="en-US"/>
          </w:rPr>
          <w:t>https://www.sciencedirect.com/science/article/pii/S240588072400075X</w:t>
        </w:r>
      </w:hyperlink>
      <w:r w:rsidRPr="00D276FE">
        <w:rPr>
          <w:rFonts w:asciiTheme="majorHAnsi" w:hAnsiTheme="majorHAnsi"/>
          <w:lang w:val="en-US"/>
        </w:rPr>
        <w:t>.</w:t>
      </w:r>
    </w:p>
    <w:p w14:paraId="39873E93"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Bojovic, D. et al. Engagement, involvement and empowerment: Three realms of a coproduction framework for climate services. </w:t>
      </w:r>
      <w:r w:rsidRPr="00D276FE">
        <w:rPr>
          <w:rFonts w:asciiTheme="majorHAnsi" w:hAnsiTheme="majorHAnsi"/>
          <w:i/>
          <w:iCs/>
          <w:lang w:val="en-US"/>
        </w:rPr>
        <w:t>Global Environmental Change</w:t>
      </w:r>
      <w:r w:rsidRPr="00D276FE">
        <w:rPr>
          <w:rFonts w:asciiTheme="majorHAnsi" w:hAnsiTheme="majorHAnsi"/>
          <w:lang w:val="en-US"/>
        </w:rPr>
        <w:t xml:space="preserve"> </w:t>
      </w:r>
      <w:r w:rsidRPr="00D276FE">
        <w:rPr>
          <w:rFonts w:asciiTheme="majorHAnsi" w:hAnsiTheme="majorHAnsi"/>
          <w:b/>
          <w:bCs/>
          <w:lang w:val="en-US"/>
        </w:rPr>
        <w:t>68</w:t>
      </w:r>
      <w:r w:rsidRPr="00D276FE">
        <w:rPr>
          <w:rFonts w:asciiTheme="majorHAnsi" w:hAnsiTheme="majorHAnsi"/>
          <w:lang w:val="en-US"/>
        </w:rPr>
        <w:t xml:space="preserve">, 102271 (2021). URL </w:t>
      </w:r>
      <w:hyperlink r:id="rId15" w:tgtFrame="_new" w:history="1">
        <w:r w:rsidRPr="00D276FE">
          <w:rPr>
            <w:rStyle w:val="Hyperlink"/>
            <w:rFonts w:asciiTheme="majorHAnsi" w:hAnsiTheme="majorHAnsi"/>
            <w:lang w:val="en-US"/>
          </w:rPr>
          <w:t>https://www.sciencedirect.com/science/article/pii/S0959378021000509</w:t>
        </w:r>
      </w:hyperlink>
      <w:r w:rsidRPr="00D276FE">
        <w:rPr>
          <w:rFonts w:asciiTheme="majorHAnsi" w:hAnsiTheme="majorHAnsi"/>
          <w:lang w:val="en-US"/>
        </w:rPr>
        <w:t>.</w:t>
      </w:r>
    </w:p>
    <w:p w14:paraId="39D3BC45"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Salinas, E., Cueva, R. &amp; Paz, F. A Systematic Review of User-Centered Design Techniques, 253–267 (Springer, Cham, 2020).</w:t>
      </w:r>
    </w:p>
    <w:p w14:paraId="3F5A6ED8"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Ebert, A., Gershon, N. D. &amp; van der Veer, G. C. Human-computer interaction: Introduction and overview. </w:t>
      </w:r>
      <w:r w:rsidRPr="00D276FE">
        <w:rPr>
          <w:rFonts w:asciiTheme="majorHAnsi" w:hAnsiTheme="majorHAnsi"/>
          <w:i/>
          <w:iCs/>
          <w:lang w:val="en-US"/>
        </w:rPr>
        <w:t xml:space="preserve">KI - </w:t>
      </w:r>
      <w:proofErr w:type="spellStart"/>
      <w:r w:rsidRPr="00D276FE">
        <w:rPr>
          <w:rFonts w:asciiTheme="majorHAnsi" w:hAnsiTheme="majorHAnsi"/>
          <w:i/>
          <w:iCs/>
          <w:lang w:val="en-US"/>
        </w:rPr>
        <w:t>Kunstliche</w:t>
      </w:r>
      <w:proofErr w:type="spellEnd"/>
      <w:r w:rsidRPr="00D276FE">
        <w:rPr>
          <w:rFonts w:asciiTheme="majorHAnsi" w:hAnsiTheme="majorHAnsi"/>
          <w:i/>
          <w:iCs/>
          <w:lang w:val="en-US"/>
        </w:rPr>
        <w:t xml:space="preserve"> </w:t>
      </w:r>
      <w:proofErr w:type="spellStart"/>
      <w:r w:rsidRPr="00D276FE">
        <w:rPr>
          <w:rFonts w:asciiTheme="majorHAnsi" w:hAnsiTheme="majorHAnsi"/>
          <w:i/>
          <w:iCs/>
          <w:lang w:val="en-US"/>
        </w:rPr>
        <w:t>Intelligenz</w:t>
      </w:r>
      <w:proofErr w:type="spellEnd"/>
      <w:r w:rsidRPr="00D276FE">
        <w:rPr>
          <w:rFonts w:asciiTheme="majorHAnsi" w:hAnsiTheme="majorHAnsi"/>
          <w:lang w:val="en-US"/>
        </w:rPr>
        <w:t xml:space="preserve"> </w:t>
      </w:r>
      <w:r w:rsidRPr="00D276FE">
        <w:rPr>
          <w:rFonts w:asciiTheme="majorHAnsi" w:hAnsiTheme="majorHAnsi"/>
          <w:b/>
          <w:bCs/>
          <w:lang w:val="en-US"/>
        </w:rPr>
        <w:t>26</w:t>
      </w:r>
      <w:r w:rsidRPr="00D276FE">
        <w:rPr>
          <w:rFonts w:asciiTheme="majorHAnsi" w:hAnsiTheme="majorHAnsi"/>
          <w:lang w:val="en-US"/>
        </w:rPr>
        <w:t>, 121–126 (2012).</w:t>
      </w:r>
    </w:p>
    <w:p w14:paraId="553CD998" w14:textId="6103B066" w:rsidR="00EC1EBE" w:rsidRPr="00D276FE" w:rsidRDefault="00EC1EBE" w:rsidP="00EC1EBE">
      <w:pPr>
        <w:pStyle w:val="ListParagraph"/>
        <w:numPr>
          <w:ilvl w:val="0"/>
          <w:numId w:val="20"/>
        </w:numPr>
        <w:spacing w:after="0" w:line="276" w:lineRule="auto"/>
        <w:rPr>
          <w:rFonts w:asciiTheme="majorHAnsi" w:hAnsiTheme="majorHAnsi"/>
        </w:rPr>
      </w:pPr>
      <w:proofErr w:type="spellStart"/>
      <w:r w:rsidRPr="00D276FE">
        <w:rPr>
          <w:rFonts w:asciiTheme="majorHAnsi" w:hAnsiTheme="majorHAnsi"/>
          <w:lang w:val="en-US"/>
        </w:rPr>
        <w:t>Norström</w:t>
      </w:r>
      <w:proofErr w:type="spellEnd"/>
      <w:r w:rsidRPr="00D276FE">
        <w:rPr>
          <w:rFonts w:asciiTheme="majorHAnsi" w:hAnsiTheme="majorHAnsi"/>
          <w:lang w:val="en-US"/>
        </w:rPr>
        <w:t xml:space="preserve">, A. V. et al. Principles for knowledge co-production in sustainability research. </w:t>
      </w:r>
      <w:r w:rsidRPr="00D276FE">
        <w:rPr>
          <w:rFonts w:asciiTheme="majorHAnsi" w:hAnsiTheme="majorHAnsi"/>
          <w:i/>
          <w:iCs/>
          <w:lang w:val="en-US"/>
        </w:rPr>
        <w:t>Nature Sustainability</w:t>
      </w:r>
      <w:r w:rsidRPr="00D276FE">
        <w:rPr>
          <w:rFonts w:asciiTheme="majorHAnsi" w:hAnsiTheme="majorHAnsi"/>
          <w:lang w:val="en-US"/>
        </w:rPr>
        <w:t xml:space="preserve"> </w:t>
      </w:r>
      <w:r w:rsidRPr="00D276FE">
        <w:rPr>
          <w:rFonts w:asciiTheme="majorHAnsi" w:hAnsiTheme="majorHAnsi"/>
          <w:b/>
          <w:bCs/>
          <w:lang w:val="en-US"/>
        </w:rPr>
        <w:t>3</w:t>
      </w:r>
      <w:r w:rsidRPr="00D276FE">
        <w:rPr>
          <w:rFonts w:asciiTheme="majorHAnsi" w:hAnsiTheme="majorHAnsi"/>
          <w:lang w:val="en-US"/>
        </w:rPr>
        <w:t xml:space="preserve">, 182–190 (2020). URL </w:t>
      </w:r>
      <w:hyperlink r:id="rId16" w:history="1">
        <w:r w:rsidRPr="00D276FE">
          <w:rPr>
            <w:rStyle w:val="Hyperlink"/>
            <w:rFonts w:asciiTheme="majorHAnsi" w:hAnsiTheme="majorHAnsi"/>
            <w:lang w:val="en-US"/>
          </w:rPr>
          <w:t>https://doi.org/10.1038/s41893-019-0448-2</w:t>
        </w:r>
      </w:hyperlink>
      <w:r w:rsidRPr="00D276FE">
        <w:rPr>
          <w:rFonts w:asciiTheme="majorHAnsi" w:hAnsiTheme="majorHAnsi"/>
          <w:lang w:val="en-US"/>
        </w:rPr>
        <w:t>.</w:t>
      </w:r>
    </w:p>
    <w:p w14:paraId="6A67AF74" w14:textId="6E9D6FA9"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Chambers, J. M. et al. Six modes of co-production for sustainability. </w:t>
      </w:r>
      <w:r w:rsidRPr="00D276FE">
        <w:rPr>
          <w:rFonts w:asciiTheme="majorHAnsi" w:hAnsiTheme="majorHAnsi"/>
          <w:i/>
          <w:iCs/>
          <w:lang w:val="en-US"/>
        </w:rPr>
        <w:t>Nature Sustainability</w:t>
      </w:r>
      <w:r w:rsidRPr="00D276FE">
        <w:rPr>
          <w:rFonts w:asciiTheme="majorHAnsi" w:hAnsiTheme="majorHAnsi"/>
          <w:lang w:val="en-US"/>
        </w:rPr>
        <w:t xml:space="preserve"> </w:t>
      </w:r>
      <w:r w:rsidRPr="00D276FE">
        <w:rPr>
          <w:rFonts w:asciiTheme="majorHAnsi" w:hAnsiTheme="majorHAnsi"/>
          <w:b/>
          <w:bCs/>
          <w:lang w:val="en-US"/>
        </w:rPr>
        <w:t>4</w:t>
      </w:r>
      <w:r w:rsidRPr="00D276FE">
        <w:rPr>
          <w:rFonts w:asciiTheme="majorHAnsi" w:hAnsiTheme="majorHAnsi"/>
          <w:lang w:val="en-US"/>
        </w:rPr>
        <w:t xml:space="preserve">, 983–996 (2021). URL </w:t>
      </w:r>
      <w:hyperlink r:id="rId17" w:history="1">
        <w:r w:rsidRPr="00D276FE">
          <w:rPr>
            <w:rStyle w:val="Hyperlink"/>
            <w:rFonts w:asciiTheme="majorHAnsi" w:hAnsiTheme="majorHAnsi"/>
            <w:lang w:val="en-US"/>
          </w:rPr>
          <w:t>https://doi.org/10.1038/s41893-021-00755-x</w:t>
        </w:r>
      </w:hyperlink>
      <w:r w:rsidRPr="00D276FE">
        <w:rPr>
          <w:rFonts w:asciiTheme="majorHAnsi" w:hAnsiTheme="majorHAnsi"/>
          <w:lang w:val="en-US"/>
        </w:rPr>
        <w:t>.</w:t>
      </w:r>
    </w:p>
    <w:p w14:paraId="4BE2A098"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Neset, T. S. et al. Co-designing a citizen science climate service.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24</w:t>
      </w:r>
      <w:r w:rsidRPr="00D276FE">
        <w:rPr>
          <w:rFonts w:asciiTheme="majorHAnsi" w:hAnsiTheme="majorHAnsi"/>
          <w:lang w:val="en-US"/>
        </w:rPr>
        <w:t xml:space="preserve"> (2021).</w:t>
      </w:r>
    </w:p>
    <w:p w14:paraId="1B6D75B9"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Joshi, S., </w:t>
      </w:r>
      <w:proofErr w:type="spellStart"/>
      <w:r w:rsidRPr="00D276FE">
        <w:rPr>
          <w:rFonts w:asciiTheme="majorHAnsi" w:hAnsiTheme="majorHAnsi"/>
          <w:lang w:val="en-US"/>
        </w:rPr>
        <w:t>Nistala</w:t>
      </w:r>
      <w:proofErr w:type="spellEnd"/>
      <w:r w:rsidRPr="00D276FE">
        <w:rPr>
          <w:rFonts w:asciiTheme="majorHAnsi" w:hAnsiTheme="majorHAnsi"/>
          <w:lang w:val="en-US"/>
        </w:rPr>
        <w:t xml:space="preserve">, P. V., Jani, H., </w:t>
      </w:r>
      <w:proofErr w:type="spellStart"/>
      <w:r w:rsidRPr="00D276FE">
        <w:rPr>
          <w:rFonts w:asciiTheme="majorHAnsi" w:hAnsiTheme="majorHAnsi"/>
          <w:lang w:val="en-US"/>
        </w:rPr>
        <w:t>Sakhardande</w:t>
      </w:r>
      <w:proofErr w:type="spellEnd"/>
      <w:r w:rsidRPr="00D276FE">
        <w:rPr>
          <w:rFonts w:asciiTheme="majorHAnsi" w:hAnsiTheme="majorHAnsi"/>
          <w:lang w:val="en-US"/>
        </w:rPr>
        <w:t>, P. &amp; Dsouza, T. User-centered design journey for pattern development, Vol. Part F132091, 1–19 (Association for Computing Machinery, 2017).</w:t>
      </w:r>
    </w:p>
    <w:p w14:paraId="0882188B"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Fuhrmann, S. User-centered design for geoinformation technologies, 438–445 (2018).</w:t>
      </w:r>
    </w:p>
    <w:p w14:paraId="0D22F193"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ISO standard 9241-210 ergonomics of human–system interaction — part 210: Human-</w:t>
      </w:r>
      <w:proofErr w:type="spellStart"/>
      <w:r w:rsidRPr="00D276FE">
        <w:rPr>
          <w:rFonts w:asciiTheme="majorHAnsi" w:hAnsiTheme="majorHAnsi"/>
          <w:lang w:val="en-US"/>
        </w:rPr>
        <w:t>centred</w:t>
      </w:r>
      <w:proofErr w:type="spellEnd"/>
      <w:r w:rsidRPr="00D276FE">
        <w:rPr>
          <w:rFonts w:asciiTheme="majorHAnsi" w:hAnsiTheme="majorHAnsi"/>
          <w:lang w:val="en-US"/>
        </w:rPr>
        <w:t xml:space="preserve"> design for interactive systems (2010).</w:t>
      </w:r>
    </w:p>
    <w:p w14:paraId="23C5717A"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lastRenderedPageBreak/>
        <w:t xml:space="preserve">Martinez, G. et al. Societal local and regional resiliency spurred by contextualized climate services: The role of culture in co-production.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26</w:t>
      </w:r>
      <w:r w:rsidRPr="00D276FE">
        <w:rPr>
          <w:rFonts w:asciiTheme="majorHAnsi" w:hAnsiTheme="majorHAnsi"/>
          <w:lang w:val="en-US"/>
        </w:rPr>
        <w:t xml:space="preserve"> (2022).</w:t>
      </w:r>
    </w:p>
    <w:p w14:paraId="1FB9084E"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Clifford, K. R., Travis, W. R. &amp; Nordgren, L. T. A climate knowledges approach to climate services.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18</w:t>
      </w:r>
      <w:r w:rsidRPr="00D276FE">
        <w:rPr>
          <w:rFonts w:asciiTheme="majorHAnsi" w:hAnsiTheme="majorHAnsi"/>
          <w:lang w:val="en-US"/>
        </w:rPr>
        <w:t xml:space="preserve"> (2020).</w:t>
      </w:r>
    </w:p>
    <w:p w14:paraId="6681E036"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Buontempo, C. et al. What have we learnt from </w:t>
      </w:r>
      <w:proofErr w:type="spellStart"/>
      <w:r w:rsidRPr="00D276FE">
        <w:rPr>
          <w:rFonts w:asciiTheme="majorHAnsi" w:hAnsiTheme="majorHAnsi"/>
          <w:lang w:val="en-US"/>
        </w:rPr>
        <w:t>euporias</w:t>
      </w:r>
      <w:proofErr w:type="spellEnd"/>
      <w:r w:rsidRPr="00D276FE">
        <w:rPr>
          <w:rFonts w:asciiTheme="majorHAnsi" w:hAnsiTheme="majorHAnsi"/>
          <w:lang w:val="en-US"/>
        </w:rPr>
        <w:t xml:space="preserve"> climate service prototypes?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9</w:t>
      </w:r>
      <w:r w:rsidRPr="00D276FE">
        <w:rPr>
          <w:rFonts w:asciiTheme="majorHAnsi" w:hAnsiTheme="majorHAnsi"/>
          <w:lang w:val="en-US"/>
        </w:rPr>
        <w:t>, 21–32 (2018).</w:t>
      </w:r>
    </w:p>
    <w:p w14:paraId="6B9D6D72"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Swart, R. J. et al. Developing climate information portals with users: Promises and pitfalls.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6</w:t>
      </w:r>
      <w:r w:rsidRPr="00D276FE">
        <w:rPr>
          <w:rFonts w:asciiTheme="majorHAnsi" w:hAnsiTheme="majorHAnsi"/>
          <w:lang w:val="en-US"/>
        </w:rPr>
        <w:t>, 12–22 (2017).</w:t>
      </w:r>
    </w:p>
    <w:p w14:paraId="1D7BC800"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Jevne, F. L., Åshild </w:t>
      </w:r>
      <w:proofErr w:type="spellStart"/>
      <w:r w:rsidRPr="00D276FE">
        <w:rPr>
          <w:rFonts w:asciiTheme="majorHAnsi" w:hAnsiTheme="majorHAnsi"/>
          <w:lang w:val="en-US"/>
        </w:rPr>
        <w:t>Lappegard</w:t>
      </w:r>
      <w:proofErr w:type="spellEnd"/>
      <w:r w:rsidRPr="00D276FE">
        <w:rPr>
          <w:rFonts w:asciiTheme="majorHAnsi" w:hAnsiTheme="majorHAnsi"/>
          <w:lang w:val="en-US"/>
        </w:rPr>
        <w:t xml:space="preserve"> Hauge &amp; Thomassen, M. K. User evaluation of a national web portal for climate change adaptation – a qualitative case study of the knowledge bank.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30</w:t>
      </w:r>
      <w:r w:rsidRPr="00D276FE">
        <w:rPr>
          <w:rFonts w:asciiTheme="majorHAnsi" w:hAnsiTheme="majorHAnsi"/>
          <w:lang w:val="en-US"/>
        </w:rPr>
        <w:t xml:space="preserve"> (2023).</w:t>
      </w:r>
    </w:p>
    <w:p w14:paraId="1593EACE"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Williams, A. User-centered design, activity-centered design, and goal-directed design: A review of three methods for designing web applications, 1–8 (ACM, 2009).</w:t>
      </w:r>
    </w:p>
    <w:p w14:paraId="72555735"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Mao, J.-Y., Vredenburg, K., Smith, P. W. &amp; Carey, T. The state of user-centered design practice. </w:t>
      </w:r>
      <w:r w:rsidRPr="00D276FE">
        <w:rPr>
          <w:rFonts w:asciiTheme="majorHAnsi" w:hAnsiTheme="majorHAnsi"/>
          <w:i/>
          <w:iCs/>
          <w:lang w:val="en-US"/>
        </w:rPr>
        <w:t>Communications of the ACM</w:t>
      </w:r>
      <w:r w:rsidRPr="00D276FE">
        <w:rPr>
          <w:rFonts w:asciiTheme="majorHAnsi" w:hAnsiTheme="majorHAnsi"/>
          <w:lang w:val="en-US"/>
        </w:rPr>
        <w:t xml:space="preserve"> </w:t>
      </w:r>
      <w:r w:rsidRPr="00D276FE">
        <w:rPr>
          <w:rFonts w:asciiTheme="majorHAnsi" w:hAnsiTheme="majorHAnsi"/>
          <w:b/>
          <w:bCs/>
          <w:lang w:val="en-US"/>
        </w:rPr>
        <w:t>48</w:t>
      </w:r>
      <w:r w:rsidRPr="00D276FE">
        <w:rPr>
          <w:rFonts w:asciiTheme="majorHAnsi" w:hAnsiTheme="majorHAnsi"/>
          <w:lang w:val="en-US"/>
        </w:rPr>
        <w:t xml:space="preserve"> (2005).</w:t>
      </w:r>
    </w:p>
    <w:p w14:paraId="544ECCAF"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Turnhout, E., Metze, T., </w:t>
      </w:r>
      <w:proofErr w:type="spellStart"/>
      <w:r w:rsidRPr="00D276FE">
        <w:rPr>
          <w:rFonts w:asciiTheme="majorHAnsi" w:hAnsiTheme="majorHAnsi"/>
          <w:lang w:val="en-US"/>
        </w:rPr>
        <w:t>Wyborn</w:t>
      </w:r>
      <w:proofErr w:type="spellEnd"/>
      <w:r w:rsidRPr="00D276FE">
        <w:rPr>
          <w:rFonts w:asciiTheme="majorHAnsi" w:hAnsiTheme="majorHAnsi"/>
          <w:lang w:val="en-US"/>
        </w:rPr>
        <w:t xml:space="preserve">, C., Klenk, N. &amp; Louder, E. The politics of co-production: participation, power, and transformation. </w:t>
      </w:r>
      <w:r w:rsidRPr="00D276FE">
        <w:rPr>
          <w:rFonts w:asciiTheme="majorHAnsi" w:hAnsiTheme="majorHAnsi"/>
          <w:i/>
          <w:iCs/>
          <w:lang w:val="en-US"/>
        </w:rPr>
        <w:t>Current Opinion in Environmental Sustainability</w:t>
      </w:r>
      <w:r w:rsidRPr="00D276FE">
        <w:rPr>
          <w:rFonts w:asciiTheme="majorHAnsi" w:hAnsiTheme="majorHAnsi"/>
          <w:lang w:val="en-US"/>
        </w:rPr>
        <w:t xml:space="preserve"> </w:t>
      </w:r>
      <w:r w:rsidRPr="00D276FE">
        <w:rPr>
          <w:rFonts w:asciiTheme="majorHAnsi" w:hAnsiTheme="majorHAnsi"/>
          <w:b/>
          <w:bCs/>
          <w:lang w:val="en-US"/>
        </w:rPr>
        <w:t>42</w:t>
      </w:r>
      <w:r w:rsidRPr="00D276FE">
        <w:rPr>
          <w:rFonts w:asciiTheme="majorHAnsi" w:hAnsiTheme="majorHAnsi"/>
          <w:lang w:val="en-US"/>
        </w:rPr>
        <w:t xml:space="preserve">, 15–21 (2020). URL </w:t>
      </w:r>
      <w:hyperlink r:id="rId18" w:tgtFrame="_new" w:history="1">
        <w:r w:rsidRPr="00D276FE">
          <w:rPr>
            <w:rStyle w:val="Hyperlink"/>
            <w:rFonts w:asciiTheme="majorHAnsi" w:hAnsiTheme="majorHAnsi"/>
            <w:lang w:val="en-US"/>
          </w:rPr>
          <w:t>https://www.sciencedirect.com/science/article/pii/S1877343519301010</w:t>
        </w:r>
      </w:hyperlink>
      <w:r w:rsidRPr="00D276FE">
        <w:rPr>
          <w:rFonts w:asciiTheme="majorHAnsi" w:hAnsiTheme="majorHAnsi"/>
          <w:lang w:val="en-US"/>
        </w:rPr>
        <w:t>.</w:t>
      </w:r>
    </w:p>
    <w:p w14:paraId="05C67790" w14:textId="77777777" w:rsidR="00EC1EBE" w:rsidRPr="00D276FE" w:rsidRDefault="00EC1EBE" w:rsidP="00EC1EBE">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Vincent, K., Carter, S., </w:t>
      </w:r>
      <w:proofErr w:type="spellStart"/>
      <w:r w:rsidRPr="00D276FE">
        <w:rPr>
          <w:rFonts w:asciiTheme="majorHAnsi" w:hAnsiTheme="majorHAnsi"/>
          <w:lang w:val="en-US"/>
        </w:rPr>
        <w:t>Steynor</w:t>
      </w:r>
      <w:proofErr w:type="spellEnd"/>
      <w:r w:rsidRPr="00D276FE">
        <w:rPr>
          <w:rFonts w:asciiTheme="majorHAnsi" w:hAnsiTheme="majorHAnsi"/>
          <w:lang w:val="en-US"/>
        </w:rPr>
        <w:t xml:space="preserve">, A., Visman, E. &amp; </w:t>
      </w:r>
      <w:proofErr w:type="spellStart"/>
      <w:r w:rsidRPr="00D276FE">
        <w:rPr>
          <w:rFonts w:asciiTheme="majorHAnsi" w:hAnsiTheme="majorHAnsi"/>
          <w:lang w:val="en-US"/>
        </w:rPr>
        <w:t>Wågsæther</w:t>
      </w:r>
      <w:proofErr w:type="spellEnd"/>
      <w:r w:rsidRPr="00D276FE">
        <w:rPr>
          <w:rFonts w:asciiTheme="majorHAnsi" w:hAnsiTheme="majorHAnsi"/>
          <w:lang w:val="en-US"/>
        </w:rPr>
        <w:t xml:space="preserve">, K. L. Addressing power imbalances in co-production. </w:t>
      </w:r>
      <w:r w:rsidRPr="00D276FE">
        <w:rPr>
          <w:rFonts w:asciiTheme="majorHAnsi" w:hAnsiTheme="majorHAnsi"/>
          <w:i/>
          <w:iCs/>
          <w:lang w:val="en-US"/>
        </w:rPr>
        <w:t>Nature Climate Change</w:t>
      </w:r>
      <w:r w:rsidRPr="00D276FE">
        <w:rPr>
          <w:rFonts w:asciiTheme="majorHAnsi" w:hAnsiTheme="majorHAnsi"/>
          <w:lang w:val="en-US"/>
        </w:rPr>
        <w:t xml:space="preserve"> </w:t>
      </w:r>
      <w:r w:rsidRPr="00D276FE">
        <w:rPr>
          <w:rFonts w:asciiTheme="majorHAnsi" w:hAnsiTheme="majorHAnsi"/>
          <w:b/>
          <w:bCs/>
          <w:lang w:val="en-US"/>
        </w:rPr>
        <w:t>10</w:t>
      </w:r>
      <w:r w:rsidRPr="00D276FE">
        <w:rPr>
          <w:rFonts w:asciiTheme="majorHAnsi" w:hAnsiTheme="majorHAnsi"/>
          <w:lang w:val="en-US"/>
        </w:rPr>
        <w:t xml:space="preserve">, 877–878 (2020). URL </w:t>
      </w:r>
      <w:hyperlink r:id="rId19" w:tgtFrame="_new" w:history="1">
        <w:r w:rsidRPr="00D276FE">
          <w:rPr>
            <w:rStyle w:val="Hyperlink"/>
            <w:rFonts w:asciiTheme="majorHAnsi" w:hAnsiTheme="majorHAnsi"/>
            <w:lang w:val="en-US"/>
          </w:rPr>
          <w:t>https://doi.org/10.1038/s41558-020-00910-w</w:t>
        </w:r>
      </w:hyperlink>
      <w:r w:rsidRPr="00D276FE">
        <w:rPr>
          <w:rFonts w:asciiTheme="majorHAnsi" w:hAnsiTheme="majorHAnsi"/>
          <w:lang w:val="en-US"/>
        </w:rPr>
        <w:t>.</w:t>
      </w:r>
    </w:p>
    <w:p w14:paraId="21DE4E0E" w14:textId="56996D8F" w:rsidR="00804A93" w:rsidRPr="00D276FE" w:rsidRDefault="00EC1EBE" w:rsidP="00804A93">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Strategic </w:t>
      </w:r>
      <w:r w:rsidR="00083C88">
        <w:rPr>
          <w:rFonts w:asciiTheme="majorHAnsi" w:hAnsiTheme="majorHAnsi"/>
          <w:lang w:val="en-US"/>
        </w:rPr>
        <w:t>C</w:t>
      </w:r>
      <w:r w:rsidRPr="00D276FE">
        <w:rPr>
          <w:rFonts w:asciiTheme="majorHAnsi" w:hAnsiTheme="majorHAnsi"/>
          <w:lang w:val="en-US"/>
        </w:rPr>
        <w:t xml:space="preserve">onservation </w:t>
      </w:r>
      <w:r w:rsidR="00083C88">
        <w:rPr>
          <w:rFonts w:asciiTheme="majorHAnsi" w:hAnsiTheme="majorHAnsi"/>
          <w:lang w:val="en-US"/>
        </w:rPr>
        <w:t>A</w:t>
      </w:r>
      <w:r w:rsidRPr="00D276FE">
        <w:rPr>
          <w:rFonts w:asciiTheme="majorHAnsi" w:hAnsiTheme="majorHAnsi"/>
          <w:lang w:val="en-US"/>
        </w:rPr>
        <w:t xml:space="preserve">ssessment of </w:t>
      </w:r>
      <w:r w:rsidR="00083C88">
        <w:rPr>
          <w:rFonts w:asciiTheme="majorHAnsi" w:hAnsiTheme="majorHAnsi"/>
          <w:lang w:val="en-US"/>
        </w:rPr>
        <w:t>G</w:t>
      </w:r>
      <w:r w:rsidRPr="00D276FE">
        <w:rPr>
          <w:rFonts w:asciiTheme="majorHAnsi" w:hAnsiTheme="majorHAnsi"/>
          <w:lang w:val="en-US"/>
        </w:rPr>
        <w:t xml:space="preserve">ulf </w:t>
      </w:r>
      <w:r w:rsidR="00083C88">
        <w:rPr>
          <w:rFonts w:asciiTheme="majorHAnsi" w:hAnsiTheme="majorHAnsi"/>
          <w:lang w:val="en-US"/>
        </w:rPr>
        <w:t>C</w:t>
      </w:r>
      <w:r w:rsidRPr="00D276FE">
        <w:rPr>
          <w:rFonts w:asciiTheme="majorHAnsi" w:hAnsiTheme="majorHAnsi"/>
          <w:lang w:val="en-US"/>
        </w:rPr>
        <w:t xml:space="preserve">oast </w:t>
      </w:r>
      <w:r w:rsidR="00083C88">
        <w:rPr>
          <w:rFonts w:asciiTheme="majorHAnsi" w:hAnsiTheme="majorHAnsi"/>
          <w:lang w:val="en-US"/>
        </w:rPr>
        <w:t>L</w:t>
      </w:r>
      <w:r w:rsidRPr="00D276FE">
        <w:rPr>
          <w:rFonts w:asciiTheme="majorHAnsi" w:hAnsiTheme="majorHAnsi"/>
          <w:lang w:val="en-US"/>
        </w:rPr>
        <w:t xml:space="preserve">andscapes (2024). </w:t>
      </w:r>
      <w:hyperlink r:id="rId20" w:tgtFrame="_new" w:history="1">
        <w:r w:rsidRPr="00D276FE">
          <w:rPr>
            <w:rStyle w:val="Hyperlink"/>
            <w:rFonts w:asciiTheme="majorHAnsi" w:hAnsiTheme="majorHAnsi"/>
            <w:lang w:val="en-US"/>
          </w:rPr>
          <w:t>https://www.quest.fwrc.msstate.edu/sca-project.php</w:t>
        </w:r>
      </w:hyperlink>
      <w:r w:rsidRPr="00D276FE">
        <w:rPr>
          <w:rFonts w:asciiTheme="majorHAnsi" w:hAnsiTheme="majorHAnsi"/>
          <w:lang w:val="en-US"/>
        </w:rPr>
        <w:t xml:space="preserve"> [Accessed 10</w:t>
      </w:r>
      <w:r w:rsidR="00D8374E">
        <w:rPr>
          <w:rFonts w:asciiTheme="majorHAnsi" w:hAnsiTheme="majorHAnsi"/>
          <w:lang w:val="en-US"/>
        </w:rPr>
        <w:t xml:space="preserve"> Dec </w:t>
      </w:r>
      <w:r w:rsidRPr="00D276FE">
        <w:rPr>
          <w:rFonts w:asciiTheme="majorHAnsi" w:hAnsiTheme="majorHAnsi"/>
          <w:lang w:val="en-US"/>
        </w:rPr>
        <w:t>2024].</w:t>
      </w:r>
    </w:p>
    <w:p w14:paraId="3C1396C6" w14:textId="4BE16B4D" w:rsidR="00EC1EBE" w:rsidRPr="00D276FE" w:rsidRDefault="00EC1EBE" w:rsidP="00804A93">
      <w:pPr>
        <w:pStyle w:val="ListParagraph"/>
        <w:numPr>
          <w:ilvl w:val="0"/>
          <w:numId w:val="20"/>
        </w:numPr>
        <w:spacing w:after="0" w:line="276" w:lineRule="auto"/>
        <w:rPr>
          <w:rFonts w:asciiTheme="majorHAnsi" w:hAnsiTheme="majorHAnsi"/>
        </w:rPr>
      </w:pPr>
      <w:proofErr w:type="spellStart"/>
      <w:r w:rsidRPr="00D276FE">
        <w:rPr>
          <w:rFonts w:asciiTheme="majorHAnsi" w:hAnsiTheme="majorHAnsi"/>
          <w:lang w:val="en-US"/>
        </w:rPr>
        <w:t>Zulkafli</w:t>
      </w:r>
      <w:proofErr w:type="spellEnd"/>
      <w:r w:rsidRPr="00D276FE">
        <w:rPr>
          <w:rFonts w:asciiTheme="majorHAnsi" w:hAnsiTheme="majorHAnsi"/>
          <w:lang w:val="en-US"/>
        </w:rPr>
        <w:t xml:space="preserve">, Z. et al. User-driven design of decision support systems for polycentric environmental resources management. </w:t>
      </w:r>
      <w:r w:rsidRPr="00D276FE">
        <w:rPr>
          <w:rFonts w:asciiTheme="majorHAnsi" w:hAnsiTheme="majorHAnsi"/>
          <w:i/>
          <w:iCs/>
          <w:lang w:val="en-US"/>
        </w:rPr>
        <w:t>Environmental Modelling and Software</w:t>
      </w:r>
      <w:r w:rsidRPr="00D276FE">
        <w:rPr>
          <w:rFonts w:asciiTheme="majorHAnsi" w:hAnsiTheme="majorHAnsi"/>
          <w:lang w:val="en-US"/>
        </w:rPr>
        <w:t xml:space="preserve"> </w:t>
      </w:r>
      <w:r w:rsidRPr="00D276FE">
        <w:rPr>
          <w:rFonts w:asciiTheme="majorHAnsi" w:hAnsiTheme="majorHAnsi"/>
          <w:b/>
          <w:bCs/>
          <w:lang w:val="en-US"/>
        </w:rPr>
        <w:t>88</w:t>
      </w:r>
      <w:r w:rsidRPr="00D276FE">
        <w:rPr>
          <w:rFonts w:asciiTheme="majorHAnsi" w:hAnsiTheme="majorHAnsi"/>
          <w:lang w:val="en-US"/>
        </w:rPr>
        <w:t>, 58–73 (2017).</w:t>
      </w:r>
    </w:p>
    <w:p w14:paraId="3F61AAC9" w14:textId="77777777" w:rsidR="00B032AC" w:rsidRPr="00D276FE" w:rsidRDefault="00B032AC" w:rsidP="004E7693">
      <w:pPr>
        <w:spacing w:before="120" w:after="120" w:line="240" w:lineRule="auto"/>
        <w:ind w:firstLine="0"/>
        <w:rPr>
          <w:rFonts w:asciiTheme="majorHAnsi" w:hAnsiTheme="majorHAnsi"/>
        </w:rPr>
      </w:pPr>
    </w:p>
    <w:p w14:paraId="189C92F8" w14:textId="77777777" w:rsidR="0033532F" w:rsidRPr="00D276FE" w:rsidRDefault="0033532F" w:rsidP="004E7693">
      <w:pPr>
        <w:spacing w:before="120" w:after="120" w:line="240" w:lineRule="auto"/>
        <w:ind w:firstLine="0"/>
        <w:rPr>
          <w:rFonts w:asciiTheme="majorHAnsi" w:hAnsiTheme="majorHAnsi"/>
        </w:rPr>
      </w:pPr>
    </w:p>
    <w:p w14:paraId="3EBD7B92" w14:textId="77777777" w:rsidR="0033532F" w:rsidRPr="00D276FE" w:rsidRDefault="0033532F" w:rsidP="004E7693">
      <w:pPr>
        <w:spacing w:before="120" w:after="120" w:line="240" w:lineRule="auto"/>
        <w:ind w:firstLine="0"/>
        <w:rPr>
          <w:rFonts w:asciiTheme="majorHAnsi" w:hAnsiTheme="majorHAnsi"/>
        </w:rPr>
      </w:pPr>
    </w:p>
    <w:p w14:paraId="07DA86FC" w14:textId="77777777" w:rsidR="0033532F" w:rsidRPr="00D276FE" w:rsidRDefault="0033532F" w:rsidP="004E7693">
      <w:pPr>
        <w:spacing w:before="120" w:after="120" w:line="240" w:lineRule="auto"/>
        <w:ind w:firstLine="0"/>
        <w:rPr>
          <w:rFonts w:asciiTheme="majorHAnsi" w:hAnsiTheme="majorHAnsi"/>
        </w:rPr>
      </w:pPr>
    </w:p>
    <w:p w14:paraId="75D88E77" w14:textId="77777777" w:rsidR="0033532F" w:rsidRPr="00D276FE" w:rsidRDefault="0033532F" w:rsidP="004E7693">
      <w:pPr>
        <w:spacing w:before="120" w:after="120" w:line="240" w:lineRule="auto"/>
        <w:ind w:firstLine="0"/>
        <w:rPr>
          <w:rFonts w:asciiTheme="majorHAnsi" w:hAnsiTheme="majorHAnsi"/>
        </w:rPr>
      </w:pPr>
    </w:p>
    <w:p w14:paraId="63398E28" w14:textId="77777777" w:rsidR="0033532F" w:rsidRPr="00D276FE" w:rsidRDefault="0033532F" w:rsidP="004E7693">
      <w:pPr>
        <w:spacing w:before="120" w:after="120" w:line="240" w:lineRule="auto"/>
        <w:ind w:firstLine="0"/>
        <w:rPr>
          <w:rFonts w:asciiTheme="majorHAnsi" w:hAnsiTheme="majorHAnsi"/>
        </w:rPr>
      </w:pPr>
    </w:p>
    <w:p w14:paraId="158B5E5E" w14:textId="77777777" w:rsidR="0033532F" w:rsidRPr="00D276FE" w:rsidRDefault="0033532F" w:rsidP="004E7693">
      <w:pPr>
        <w:spacing w:before="120" w:after="120" w:line="240" w:lineRule="auto"/>
        <w:ind w:firstLine="0"/>
        <w:rPr>
          <w:rFonts w:asciiTheme="majorHAnsi" w:hAnsiTheme="majorHAnsi"/>
        </w:rPr>
      </w:pPr>
    </w:p>
    <w:p w14:paraId="5F6BB494" w14:textId="77777777" w:rsidR="0033532F" w:rsidRPr="00D276FE" w:rsidRDefault="0033532F" w:rsidP="004E7693">
      <w:pPr>
        <w:spacing w:before="120" w:after="120" w:line="240" w:lineRule="auto"/>
        <w:ind w:firstLine="0"/>
        <w:rPr>
          <w:rFonts w:asciiTheme="majorHAnsi" w:hAnsiTheme="majorHAnsi"/>
        </w:rPr>
      </w:pPr>
    </w:p>
    <w:p w14:paraId="683EA9BE" w14:textId="77777777" w:rsidR="0033532F" w:rsidRPr="00D276FE" w:rsidRDefault="0033532F" w:rsidP="004E7693">
      <w:pPr>
        <w:spacing w:before="120" w:after="120" w:line="240" w:lineRule="auto"/>
        <w:ind w:firstLine="0"/>
        <w:rPr>
          <w:rFonts w:asciiTheme="majorHAnsi" w:hAnsiTheme="majorHAnsi"/>
        </w:rPr>
      </w:pPr>
    </w:p>
    <w:p w14:paraId="5084F1BD" w14:textId="77777777" w:rsidR="0033532F" w:rsidRPr="00D276FE" w:rsidRDefault="0033532F" w:rsidP="004E7693">
      <w:pPr>
        <w:spacing w:before="120" w:after="120" w:line="240" w:lineRule="auto"/>
        <w:ind w:firstLine="0"/>
        <w:rPr>
          <w:rFonts w:asciiTheme="majorHAnsi" w:hAnsiTheme="majorHAnsi"/>
        </w:rPr>
      </w:pPr>
    </w:p>
    <w:p w14:paraId="43279275" w14:textId="77777777" w:rsidR="0033532F" w:rsidRPr="00D276FE" w:rsidRDefault="0033532F" w:rsidP="004E7693">
      <w:pPr>
        <w:spacing w:before="120" w:after="120" w:line="240" w:lineRule="auto"/>
        <w:ind w:firstLine="0"/>
        <w:rPr>
          <w:rFonts w:asciiTheme="majorHAnsi" w:hAnsiTheme="majorHAnsi"/>
        </w:rPr>
      </w:pPr>
    </w:p>
    <w:p w14:paraId="55016F5B" w14:textId="77777777" w:rsidR="0033532F" w:rsidRPr="00D276FE" w:rsidRDefault="0033532F" w:rsidP="004E7693">
      <w:pPr>
        <w:spacing w:before="120" w:after="120" w:line="240" w:lineRule="auto"/>
        <w:ind w:firstLine="0"/>
        <w:rPr>
          <w:rFonts w:asciiTheme="majorHAnsi" w:hAnsiTheme="majorHAnsi"/>
        </w:rPr>
      </w:pPr>
    </w:p>
    <w:p w14:paraId="04572D8B" w14:textId="77777777" w:rsidR="0033532F" w:rsidRPr="00D276FE" w:rsidRDefault="0033532F" w:rsidP="004E7693">
      <w:pPr>
        <w:spacing w:before="120" w:after="120" w:line="240" w:lineRule="auto"/>
        <w:ind w:firstLine="0"/>
        <w:rPr>
          <w:rFonts w:asciiTheme="majorHAnsi" w:hAnsiTheme="majorHAnsi"/>
        </w:rPr>
      </w:pPr>
    </w:p>
    <w:p w14:paraId="4949144A" w14:textId="77777777" w:rsidR="0033532F" w:rsidRPr="00D276FE" w:rsidRDefault="0033532F" w:rsidP="004E7693">
      <w:pPr>
        <w:spacing w:before="120" w:after="120" w:line="240" w:lineRule="auto"/>
        <w:ind w:firstLine="0"/>
        <w:rPr>
          <w:rFonts w:asciiTheme="majorHAnsi" w:hAnsiTheme="majorHAnsi"/>
        </w:rPr>
      </w:pPr>
    </w:p>
    <w:p w14:paraId="7079321F" w14:textId="77777777" w:rsidR="00925306" w:rsidRDefault="00925306" w:rsidP="00925306">
      <w:pPr>
        <w:pStyle w:val="Heading1"/>
        <w:spacing w:before="0" w:line="276" w:lineRule="auto"/>
        <w:rPr>
          <w:i w:val="0"/>
        </w:rPr>
      </w:pPr>
    </w:p>
    <w:p w14:paraId="1CD4EFDA" w14:textId="00DB19CB" w:rsidR="00925306" w:rsidRPr="00D276FE" w:rsidRDefault="00925306" w:rsidP="00925306">
      <w:pPr>
        <w:pStyle w:val="Heading1"/>
        <w:spacing w:before="0" w:line="276" w:lineRule="auto"/>
        <w:rPr>
          <w:i w:val="0"/>
        </w:rPr>
      </w:pPr>
      <w:r>
        <w:rPr>
          <w:i w:val="0"/>
        </w:rPr>
        <w:lastRenderedPageBreak/>
        <w:t>Tables</w:t>
      </w:r>
    </w:p>
    <w:p w14:paraId="300246F4" w14:textId="77777777" w:rsidR="00925306" w:rsidRPr="00D276FE" w:rsidRDefault="00925306" w:rsidP="00925306">
      <w:pPr>
        <w:spacing w:after="0" w:line="276" w:lineRule="auto"/>
        <w:ind w:firstLine="0"/>
        <w:rPr>
          <w:rFonts w:asciiTheme="majorHAnsi" w:hAnsiTheme="majorHAnsi"/>
          <w:b/>
          <w:bCs/>
          <w:lang w:val="en-US"/>
        </w:rPr>
      </w:pPr>
      <w:r w:rsidRPr="00D276FE">
        <w:rPr>
          <w:rFonts w:asciiTheme="majorHAnsi" w:hAnsiTheme="majorHAnsi"/>
          <w:b/>
          <w:bCs/>
          <w:lang w:val="en-US"/>
        </w:rPr>
        <w:t>Table 1 | Co-production stages for product development</w:t>
      </w:r>
    </w:p>
    <w:tbl>
      <w:tblPr>
        <w:tblStyle w:val="TableGrid"/>
        <w:tblW w:w="0" w:type="auto"/>
        <w:tblLook w:val="04A0" w:firstRow="1" w:lastRow="0" w:firstColumn="1" w:lastColumn="0" w:noHBand="0" w:noVBand="1"/>
      </w:tblPr>
      <w:tblGrid>
        <w:gridCol w:w="2155"/>
        <w:gridCol w:w="6861"/>
      </w:tblGrid>
      <w:tr w:rsidR="00925306" w:rsidRPr="00D276FE" w14:paraId="26738D8C" w14:textId="77777777" w:rsidTr="00CE77C6">
        <w:tc>
          <w:tcPr>
            <w:tcW w:w="2155" w:type="dxa"/>
            <w:tcBorders>
              <w:bottom w:val="single" w:sz="18" w:space="0" w:color="auto"/>
            </w:tcBorders>
          </w:tcPr>
          <w:p w14:paraId="6268C06D" w14:textId="77777777" w:rsidR="00925306" w:rsidRPr="00D276FE" w:rsidRDefault="00925306" w:rsidP="00CE77C6">
            <w:pPr>
              <w:spacing w:line="276" w:lineRule="auto"/>
              <w:ind w:firstLine="0"/>
              <w:rPr>
                <w:rFonts w:asciiTheme="majorHAnsi" w:hAnsiTheme="majorHAnsi"/>
                <w:b/>
                <w:bCs/>
                <w:sz w:val="20"/>
                <w:szCs w:val="20"/>
              </w:rPr>
            </w:pPr>
            <w:r w:rsidRPr="00D276FE">
              <w:rPr>
                <w:rFonts w:asciiTheme="majorHAnsi" w:hAnsiTheme="majorHAnsi"/>
                <w:b/>
                <w:bCs/>
                <w:sz w:val="20"/>
                <w:szCs w:val="20"/>
              </w:rPr>
              <w:t>Stage</w:t>
            </w:r>
          </w:p>
        </w:tc>
        <w:tc>
          <w:tcPr>
            <w:tcW w:w="6861" w:type="dxa"/>
            <w:tcBorders>
              <w:bottom w:val="single" w:sz="18" w:space="0" w:color="auto"/>
            </w:tcBorders>
          </w:tcPr>
          <w:p w14:paraId="67AB01DE" w14:textId="77777777" w:rsidR="00925306" w:rsidRPr="00D276FE" w:rsidRDefault="00925306" w:rsidP="00CE77C6">
            <w:pPr>
              <w:spacing w:line="276" w:lineRule="auto"/>
              <w:ind w:firstLine="0"/>
              <w:rPr>
                <w:rFonts w:asciiTheme="majorHAnsi" w:hAnsiTheme="majorHAnsi"/>
                <w:b/>
                <w:bCs/>
                <w:sz w:val="20"/>
                <w:szCs w:val="20"/>
              </w:rPr>
            </w:pPr>
            <w:r w:rsidRPr="00D276FE">
              <w:rPr>
                <w:rFonts w:asciiTheme="majorHAnsi" w:hAnsiTheme="majorHAnsi"/>
                <w:b/>
                <w:bCs/>
                <w:sz w:val="20"/>
                <w:szCs w:val="20"/>
              </w:rPr>
              <w:t>Definition</w:t>
            </w:r>
          </w:p>
        </w:tc>
      </w:tr>
      <w:tr w:rsidR="00925306" w:rsidRPr="00D276FE" w14:paraId="0DC6CDE9" w14:textId="77777777" w:rsidTr="00CE77C6">
        <w:tc>
          <w:tcPr>
            <w:tcW w:w="2155" w:type="dxa"/>
            <w:tcBorders>
              <w:top w:val="single" w:sz="18" w:space="0" w:color="auto"/>
            </w:tcBorders>
          </w:tcPr>
          <w:p w14:paraId="3A09FCEA"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bCs/>
                <w:sz w:val="20"/>
                <w:szCs w:val="20"/>
              </w:rPr>
              <w:t>Identify Actors &amp; Build Partnerships</w:t>
            </w:r>
          </w:p>
        </w:tc>
        <w:tc>
          <w:tcPr>
            <w:tcW w:w="6861" w:type="dxa"/>
            <w:tcBorders>
              <w:top w:val="single" w:sz="18" w:space="0" w:color="auto"/>
            </w:tcBorders>
          </w:tcPr>
          <w:p w14:paraId="2C387AAB"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sz w:val="20"/>
                <w:szCs w:val="20"/>
                <w:lang w:val="en-US"/>
              </w:rPr>
              <w:t>Recognize and gather stakeholders from multiple disciplines</w:t>
            </w:r>
          </w:p>
        </w:tc>
      </w:tr>
      <w:tr w:rsidR="00925306" w:rsidRPr="00D276FE" w14:paraId="63E98CAD" w14:textId="77777777" w:rsidTr="00CE77C6">
        <w:tc>
          <w:tcPr>
            <w:tcW w:w="2155" w:type="dxa"/>
          </w:tcPr>
          <w:p w14:paraId="1ED62AAE"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bCs/>
                <w:sz w:val="20"/>
                <w:szCs w:val="20"/>
              </w:rPr>
              <w:t>Co-Explore Need</w:t>
            </w:r>
          </w:p>
        </w:tc>
        <w:tc>
          <w:tcPr>
            <w:tcW w:w="6861" w:type="dxa"/>
          </w:tcPr>
          <w:p w14:paraId="1930102F"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sz w:val="20"/>
                <w:szCs w:val="20"/>
                <w:lang w:val="en-US"/>
              </w:rPr>
              <w:t>Understand decision need and decisions that product can address</w:t>
            </w:r>
          </w:p>
        </w:tc>
      </w:tr>
      <w:tr w:rsidR="00925306" w:rsidRPr="00D276FE" w14:paraId="08DE574A" w14:textId="77777777" w:rsidTr="00CE77C6">
        <w:tc>
          <w:tcPr>
            <w:tcW w:w="2155" w:type="dxa"/>
          </w:tcPr>
          <w:p w14:paraId="11C6AC21"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bCs/>
                <w:sz w:val="20"/>
                <w:szCs w:val="20"/>
              </w:rPr>
              <w:t>Co-Develop Solution</w:t>
            </w:r>
          </w:p>
        </w:tc>
        <w:tc>
          <w:tcPr>
            <w:tcW w:w="6861" w:type="dxa"/>
          </w:tcPr>
          <w:p w14:paraId="0DC63B51"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sz w:val="20"/>
                <w:szCs w:val="20"/>
                <w:lang w:val="en-US"/>
              </w:rPr>
              <w:t>Build product in collaboration with stakeholders</w:t>
            </w:r>
          </w:p>
        </w:tc>
      </w:tr>
      <w:tr w:rsidR="00925306" w:rsidRPr="00D276FE" w14:paraId="17AEC028" w14:textId="77777777" w:rsidTr="00CE77C6">
        <w:tc>
          <w:tcPr>
            <w:tcW w:w="2155" w:type="dxa"/>
          </w:tcPr>
          <w:p w14:paraId="54C76296"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bCs/>
                <w:sz w:val="20"/>
                <w:szCs w:val="20"/>
              </w:rPr>
              <w:t>Co-Deliver Solution</w:t>
            </w:r>
          </w:p>
        </w:tc>
        <w:tc>
          <w:tcPr>
            <w:tcW w:w="6861" w:type="dxa"/>
          </w:tcPr>
          <w:p w14:paraId="001DF0E2"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sz w:val="20"/>
                <w:szCs w:val="20"/>
                <w:lang w:val="en-US"/>
              </w:rPr>
              <w:t>Distribute product to stakeholders</w:t>
            </w:r>
          </w:p>
        </w:tc>
      </w:tr>
      <w:tr w:rsidR="00925306" w:rsidRPr="00D276FE" w14:paraId="144BDEDD" w14:textId="77777777" w:rsidTr="00CE77C6">
        <w:tc>
          <w:tcPr>
            <w:tcW w:w="2155" w:type="dxa"/>
          </w:tcPr>
          <w:p w14:paraId="260E7EE6"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bCs/>
                <w:sz w:val="20"/>
                <w:szCs w:val="20"/>
              </w:rPr>
              <w:t>Evaluate</w:t>
            </w:r>
          </w:p>
        </w:tc>
        <w:tc>
          <w:tcPr>
            <w:tcW w:w="6861" w:type="dxa"/>
          </w:tcPr>
          <w:p w14:paraId="15270086"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sz w:val="20"/>
                <w:szCs w:val="20"/>
                <w:lang w:val="en-US"/>
              </w:rPr>
              <w:t>Test and refine product with stakeholders</w:t>
            </w:r>
          </w:p>
        </w:tc>
      </w:tr>
    </w:tbl>
    <w:p w14:paraId="3DB17105" w14:textId="77777777" w:rsidR="00925306" w:rsidRPr="00D276FE" w:rsidRDefault="00925306" w:rsidP="00925306">
      <w:pPr>
        <w:spacing w:after="0" w:line="276" w:lineRule="auto"/>
        <w:ind w:firstLine="0"/>
        <w:rPr>
          <w:rFonts w:asciiTheme="majorHAnsi" w:hAnsiTheme="majorHAnsi"/>
        </w:rPr>
      </w:pPr>
      <w:r w:rsidRPr="00D276FE">
        <w:rPr>
          <w:rFonts w:asciiTheme="majorHAnsi" w:hAnsiTheme="majorHAnsi"/>
          <w:i/>
          <w:iCs/>
        </w:rPr>
        <w:t>Notes:</w:t>
      </w:r>
      <w:r w:rsidRPr="00D276FE">
        <w:rPr>
          <w:rFonts w:asciiTheme="majorHAnsi" w:hAnsiTheme="majorHAnsi"/>
        </w:rPr>
        <w:t xml:space="preserve"> Stage definitions </w:t>
      </w:r>
      <w:r>
        <w:rPr>
          <w:rFonts w:asciiTheme="majorHAnsi" w:hAnsiTheme="majorHAnsi"/>
        </w:rPr>
        <w:t xml:space="preserve">draw </w:t>
      </w:r>
      <w:r w:rsidRPr="00CB0206">
        <w:rPr>
          <w:rFonts w:asciiTheme="majorHAnsi" w:hAnsiTheme="majorHAnsi"/>
        </w:rPr>
        <w:t>on</w:t>
      </w:r>
      <w:r>
        <w:rPr>
          <w:rFonts w:asciiTheme="majorHAnsi" w:hAnsiTheme="majorHAnsi"/>
        </w:rPr>
        <w:t xml:space="preserve"> the </w:t>
      </w:r>
      <w:r w:rsidRPr="00D276FE">
        <w:rPr>
          <w:rFonts w:asciiTheme="majorHAnsi" w:hAnsiTheme="majorHAnsi"/>
        </w:rPr>
        <w:t>Vincent et al. (2018) co-production approach</w:t>
      </w:r>
      <w:r w:rsidRPr="00D276FE">
        <w:rPr>
          <w:rFonts w:asciiTheme="majorHAnsi" w:hAnsiTheme="majorHAnsi"/>
          <w:color w:val="0432FF"/>
          <w:vertAlign w:val="superscript"/>
        </w:rPr>
        <w:t>5</w:t>
      </w:r>
      <w:r w:rsidRPr="00D276FE">
        <w:rPr>
          <w:rFonts w:asciiTheme="majorHAnsi" w:hAnsiTheme="majorHAnsi"/>
        </w:rPr>
        <w:t>.</w:t>
      </w:r>
    </w:p>
    <w:p w14:paraId="5B499126" w14:textId="77777777" w:rsidR="00925306" w:rsidRPr="00D276FE" w:rsidRDefault="00925306" w:rsidP="00925306">
      <w:pPr>
        <w:spacing w:after="0" w:line="276" w:lineRule="auto"/>
        <w:ind w:firstLine="0"/>
        <w:rPr>
          <w:rFonts w:asciiTheme="majorHAnsi" w:hAnsiTheme="majorHAnsi"/>
        </w:rPr>
      </w:pPr>
    </w:p>
    <w:p w14:paraId="305251D2" w14:textId="77777777" w:rsidR="00925306" w:rsidRPr="00D276FE" w:rsidRDefault="00925306" w:rsidP="00925306">
      <w:pPr>
        <w:spacing w:after="0" w:line="276" w:lineRule="auto"/>
        <w:ind w:firstLine="0"/>
        <w:rPr>
          <w:rFonts w:asciiTheme="majorHAnsi" w:hAnsiTheme="majorHAnsi"/>
          <w:b/>
          <w:bCs/>
          <w:lang w:val="en-US"/>
        </w:rPr>
      </w:pPr>
      <w:r w:rsidRPr="00D276FE">
        <w:rPr>
          <w:rFonts w:asciiTheme="majorHAnsi" w:hAnsiTheme="majorHAnsi"/>
          <w:b/>
          <w:bCs/>
          <w:lang w:val="en-US"/>
        </w:rPr>
        <w:t>Table 2 | User-centered design stages</w:t>
      </w:r>
    </w:p>
    <w:tbl>
      <w:tblPr>
        <w:tblStyle w:val="TableGrid"/>
        <w:tblW w:w="0" w:type="auto"/>
        <w:tblLook w:val="04A0" w:firstRow="1" w:lastRow="0" w:firstColumn="1" w:lastColumn="0" w:noHBand="0" w:noVBand="1"/>
      </w:tblPr>
      <w:tblGrid>
        <w:gridCol w:w="2155"/>
        <w:gridCol w:w="6861"/>
      </w:tblGrid>
      <w:tr w:rsidR="00925306" w:rsidRPr="00D276FE" w14:paraId="443182F4" w14:textId="77777777" w:rsidTr="00CE77C6">
        <w:tc>
          <w:tcPr>
            <w:tcW w:w="2155" w:type="dxa"/>
            <w:tcBorders>
              <w:bottom w:val="single" w:sz="18" w:space="0" w:color="auto"/>
            </w:tcBorders>
          </w:tcPr>
          <w:p w14:paraId="6119B828" w14:textId="77777777" w:rsidR="00925306" w:rsidRPr="00D276FE" w:rsidRDefault="00925306" w:rsidP="00CE77C6">
            <w:pPr>
              <w:spacing w:line="276" w:lineRule="auto"/>
              <w:ind w:firstLine="0"/>
              <w:rPr>
                <w:rFonts w:asciiTheme="majorHAnsi" w:hAnsiTheme="majorHAnsi"/>
                <w:b/>
                <w:bCs/>
                <w:sz w:val="20"/>
                <w:szCs w:val="20"/>
              </w:rPr>
            </w:pPr>
            <w:r w:rsidRPr="00D276FE">
              <w:rPr>
                <w:rFonts w:asciiTheme="majorHAnsi" w:hAnsiTheme="majorHAnsi"/>
                <w:b/>
                <w:bCs/>
                <w:sz w:val="20"/>
                <w:szCs w:val="20"/>
              </w:rPr>
              <w:t>Stage</w:t>
            </w:r>
          </w:p>
        </w:tc>
        <w:tc>
          <w:tcPr>
            <w:tcW w:w="6861" w:type="dxa"/>
            <w:tcBorders>
              <w:bottom w:val="single" w:sz="18" w:space="0" w:color="auto"/>
            </w:tcBorders>
          </w:tcPr>
          <w:p w14:paraId="32BAD2B0" w14:textId="77777777" w:rsidR="00925306" w:rsidRPr="00D276FE" w:rsidRDefault="00925306" w:rsidP="00CE77C6">
            <w:pPr>
              <w:spacing w:line="276" w:lineRule="auto"/>
              <w:ind w:firstLine="0"/>
              <w:rPr>
                <w:rFonts w:asciiTheme="majorHAnsi" w:hAnsiTheme="majorHAnsi"/>
                <w:b/>
                <w:bCs/>
                <w:sz w:val="20"/>
                <w:szCs w:val="20"/>
              </w:rPr>
            </w:pPr>
            <w:r w:rsidRPr="00D276FE">
              <w:rPr>
                <w:rFonts w:asciiTheme="majorHAnsi" w:hAnsiTheme="majorHAnsi"/>
                <w:b/>
                <w:bCs/>
                <w:sz w:val="20"/>
                <w:szCs w:val="20"/>
              </w:rPr>
              <w:t>Definition</w:t>
            </w:r>
          </w:p>
        </w:tc>
      </w:tr>
      <w:tr w:rsidR="00925306" w:rsidRPr="00D276FE" w14:paraId="26D5D442" w14:textId="77777777" w:rsidTr="00CE77C6">
        <w:tc>
          <w:tcPr>
            <w:tcW w:w="2155" w:type="dxa"/>
            <w:tcBorders>
              <w:top w:val="single" w:sz="18" w:space="0" w:color="auto"/>
            </w:tcBorders>
          </w:tcPr>
          <w:p w14:paraId="3A799C63"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sz w:val="20"/>
                <w:szCs w:val="20"/>
              </w:rPr>
              <w:t>Plan Process</w:t>
            </w:r>
          </w:p>
        </w:tc>
        <w:tc>
          <w:tcPr>
            <w:tcW w:w="6861" w:type="dxa"/>
            <w:tcBorders>
              <w:top w:val="single" w:sz="18" w:space="0" w:color="auto"/>
            </w:tcBorders>
          </w:tcPr>
          <w:p w14:paraId="66716252"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sz w:val="20"/>
                <w:szCs w:val="20"/>
                <w:lang w:val="en-US"/>
              </w:rPr>
              <w:t>Prepare project for user involvement</w:t>
            </w:r>
          </w:p>
        </w:tc>
      </w:tr>
      <w:tr w:rsidR="00925306" w:rsidRPr="00D276FE" w14:paraId="5039550E" w14:textId="77777777" w:rsidTr="00CE77C6">
        <w:tc>
          <w:tcPr>
            <w:tcW w:w="2155" w:type="dxa"/>
          </w:tcPr>
          <w:p w14:paraId="743CB41A"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sz w:val="20"/>
                <w:szCs w:val="20"/>
              </w:rPr>
              <w:t>Understand Context</w:t>
            </w:r>
          </w:p>
        </w:tc>
        <w:tc>
          <w:tcPr>
            <w:tcW w:w="6861" w:type="dxa"/>
          </w:tcPr>
          <w:p w14:paraId="57D63843"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sz w:val="20"/>
                <w:szCs w:val="20"/>
                <w:lang w:val="en-US"/>
              </w:rPr>
              <w:t>Identify the users, user needs, and user preferences and behaviors</w:t>
            </w:r>
          </w:p>
        </w:tc>
      </w:tr>
      <w:tr w:rsidR="00925306" w:rsidRPr="00D276FE" w14:paraId="27315BD2" w14:textId="77777777" w:rsidTr="00CE77C6">
        <w:tc>
          <w:tcPr>
            <w:tcW w:w="2155" w:type="dxa"/>
          </w:tcPr>
          <w:p w14:paraId="4280D772"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sz w:val="20"/>
                <w:szCs w:val="20"/>
              </w:rPr>
              <w:t>Specify User Requirements</w:t>
            </w:r>
          </w:p>
        </w:tc>
        <w:tc>
          <w:tcPr>
            <w:tcW w:w="6861" w:type="dxa"/>
          </w:tcPr>
          <w:p w14:paraId="63D616B0"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sz w:val="20"/>
                <w:szCs w:val="20"/>
                <w:lang w:val="en-US"/>
              </w:rPr>
              <w:t>Identify and define user, business, and organizational goals</w:t>
            </w:r>
          </w:p>
        </w:tc>
      </w:tr>
      <w:tr w:rsidR="00925306" w:rsidRPr="00D276FE" w14:paraId="0D1E7C05" w14:textId="77777777" w:rsidTr="00CE77C6">
        <w:tc>
          <w:tcPr>
            <w:tcW w:w="2155" w:type="dxa"/>
          </w:tcPr>
          <w:p w14:paraId="2B9C40C3"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sz w:val="20"/>
                <w:szCs w:val="20"/>
              </w:rPr>
              <w:t>Produce Solutions</w:t>
            </w:r>
          </w:p>
        </w:tc>
        <w:tc>
          <w:tcPr>
            <w:tcW w:w="6861" w:type="dxa"/>
          </w:tcPr>
          <w:p w14:paraId="246D3888"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sz w:val="20"/>
                <w:szCs w:val="20"/>
                <w:lang w:val="en-US"/>
              </w:rPr>
              <w:t>Build initial to final products based on user needs and requirements</w:t>
            </w:r>
          </w:p>
        </w:tc>
      </w:tr>
      <w:tr w:rsidR="00925306" w:rsidRPr="00D276FE" w14:paraId="4D5334F9" w14:textId="77777777" w:rsidTr="00CE77C6">
        <w:tc>
          <w:tcPr>
            <w:tcW w:w="2155" w:type="dxa"/>
          </w:tcPr>
          <w:p w14:paraId="658891A6"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sz w:val="20"/>
                <w:szCs w:val="20"/>
              </w:rPr>
              <w:t>Evaluate Solutions</w:t>
            </w:r>
          </w:p>
        </w:tc>
        <w:tc>
          <w:tcPr>
            <w:tcW w:w="6861" w:type="dxa"/>
          </w:tcPr>
          <w:p w14:paraId="4348723C" w14:textId="77777777" w:rsidR="00925306" w:rsidRPr="00D276FE" w:rsidRDefault="00925306" w:rsidP="00CE77C6">
            <w:pPr>
              <w:spacing w:line="276" w:lineRule="auto"/>
              <w:ind w:firstLine="0"/>
              <w:rPr>
                <w:rFonts w:asciiTheme="majorHAnsi" w:hAnsiTheme="majorHAnsi"/>
                <w:sz w:val="20"/>
                <w:szCs w:val="20"/>
              </w:rPr>
            </w:pPr>
            <w:r w:rsidRPr="00D276FE">
              <w:rPr>
                <w:rFonts w:asciiTheme="majorHAnsi" w:hAnsiTheme="majorHAnsi"/>
                <w:sz w:val="20"/>
                <w:szCs w:val="20"/>
                <w:lang w:val="en-US"/>
              </w:rPr>
              <w:t>Test products with users and get feedback</w:t>
            </w:r>
          </w:p>
        </w:tc>
      </w:tr>
    </w:tbl>
    <w:p w14:paraId="0C2411BF" w14:textId="77777777" w:rsidR="00925306" w:rsidRPr="00D276FE" w:rsidRDefault="00925306" w:rsidP="00925306">
      <w:pPr>
        <w:spacing w:after="0" w:line="276" w:lineRule="auto"/>
        <w:ind w:firstLine="0"/>
        <w:rPr>
          <w:rFonts w:asciiTheme="majorHAnsi" w:hAnsiTheme="majorHAnsi"/>
        </w:rPr>
      </w:pPr>
      <w:r w:rsidRPr="00D276FE">
        <w:rPr>
          <w:rFonts w:asciiTheme="majorHAnsi" w:hAnsiTheme="majorHAnsi"/>
          <w:i/>
          <w:iCs/>
        </w:rPr>
        <w:t>Notes:</w:t>
      </w:r>
      <w:r w:rsidRPr="00D276FE">
        <w:rPr>
          <w:rFonts w:asciiTheme="majorHAnsi" w:hAnsiTheme="majorHAnsi"/>
        </w:rPr>
        <w:t xml:space="preserve"> Stage definitions </w:t>
      </w:r>
      <w:r>
        <w:rPr>
          <w:rFonts w:asciiTheme="majorHAnsi" w:hAnsiTheme="majorHAnsi"/>
        </w:rPr>
        <w:t xml:space="preserve">draw </w:t>
      </w:r>
      <w:r w:rsidRPr="00CB0206">
        <w:rPr>
          <w:rFonts w:asciiTheme="majorHAnsi" w:hAnsiTheme="majorHAnsi"/>
        </w:rPr>
        <w:t>on</w:t>
      </w:r>
      <w:r>
        <w:rPr>
          <w:rFonts w:asciiTheme="majorHAnsi" w:hAnsiTheme="majorHAnsi"/>
        </w:rPr>
        <w:t xml:space="preserve"> the </w:t>
      </w:r>
      <w:r w:rsidRPr="00D276FE">
        <w:rPr>
          <w:rFonts w:asciiTheme="majorHAnsi" w:hAnsiTheme="majorHAnsi"/>
          <w:lang w:val="en-US"/>
        </w:rPr>
        <w:t>ISO user-centered design approach</w:t>
      </w:r>
      <w:r w:rsidRPr="00D276FE">
        <w:rPr>
          <w:rFonts w:asciiTheme="majorHAnsi" w:hAnsiTheme="majorHAnsi"/>
          <w:color w:val="0432FF"/>
          <w:vertAlign w:val="superscript"/>
          <w:lang w:val="en-US"/>
        </w:rPr>
        <w:t>39</w:t>
      </w:r>
      <w:r w:rsidRPr="00D276FE">
        <w:rPr>
          <w:rFonts w:asciiTheme="majorHAnsi" w:hAnsiTheme="majorHAnsi"/>
          <w:lang w:val="en-US"/>
        </w:rPr>
        <w:t>.</w:t>
      </w:r>
    </w:p>
    <w:p w14:paraId="5EC98555" w14:textId="77777777" w:rsidR="00925306" w:rsidRPr="00D276FE" w:rsidRDefault="00925306" w:rsidP="00925306">
      <w:pPr>
        <w:spacing w:after="0" w:line="276" w:lineRule="auto"/>
        <w:ind w:firstLine="0"/>
        <w:rPr>
          <w:rFonts w:asciiTheme="majorHAnsi" w:hAnsiTheme="majorHAnsi"/>
        </w:rPr>
      </w:pPr>
    </w:p>
    <w:p w14:paraId="68A1A8C8" w14:textId="77777777" w:rsidR="00925306" w:rsidRDefault="00925306" w:rsidP="00490DAB">
      <w:pPr>
        <w:pStyle w:val="Heading1"/>
        <w:spacing w:before="0" w:line="276" w:lineRule="auto"/>
        <w:rPr>
          <w:i w:val="0"/>
        </w:rPr>
      </w:pPr>
    </w:p>
    <w:p w14:paraId="2460193B" w14:textId="77777777" w:rsidR="00925306" w:rsidRDefault="00925306" w:rsidP="00925306"/>
    <w:p w14:paraId="4FB1E4EF" w14:textId="77777777" w:rsidR="00925306" w:rsidRDefault="00925306" w:rsidP="00925306"/>
    <w:p w14:paraId="397D4C84" w14:textId="77777777" w:rsidR="00925306" w:rsidRDefault="00925306" w:rsidP="00925306"/>
    <w:p w14:paraId="25DE6CA1" w14:textId="77777777" w:rsidR="00925306" w:rsidRDefault="00925306" w:rsidP="00925306"/>
    <w:p w14:paraId="7517FED4" w14:textId="77777777" w:rsidR="00925306" w:rsidRDefault="00925306" w:rsidP="00925306"/>
    <w:p w14:paraId="482CB281" w14:textId="77777777" w:rsidR="00925306" w:rsidRDefault="00925306" w:rsidP="00925306"/>
    <w:p w14:paraId="354DE1A4" w14:textId="77777777" w:rsidR="00925306" w:rsidRDefault="00925306" w:rsidP="00925306"/>
    <w:p w14:paraId="3D0C6938" w14:textId="77777777" w:rsidR="00925306" w:rsidRDefault="00925306" w:rsidP="00925306"/>
    <w:p w14:paraId="0579F3D3" w14:textId="77777777" w:rsidR="00925306" w:rsidRPr="00925306" w:rsidRDefault="00925306" w:rsidP="00925306"/>
    <w:p w14:paraId="49BED70E" w14:textId="596DE972" w:rsidR="007A3F9B" w:rsidRPr="00D276FE" w:rsidRDefault="00CB0154" w:rsidP="00490DAB">
      <w:pPr>
        <w:pStyle w:val="Heading1"/>
        <w:spacing w:before="0" w:line="276" w:lineRule="auto"/>
        <w:rPr>
          <w:i w:val="0"/>
        </w:rPr>
      </w:pPr>
      <w:r>
        <w:rPr>
          <w:i w:val="0"/>
        </w:rPr>
        <w:lastRenderedPageBreak/>
        <w:t>F</w:t>
      </w:r>
      <w:r w:rsidR="0033532F" w:rsidRPr="00D276FE">
        <w:rPr>
          <w:i w:val="0"/>
        </w:rPr>
        <w:t>igure legends</w:t>
      </w:r>
    </w:p>
    <w:p w14:paraId="66BACF7C" w14:textId="5FCAD9FE" w:rsidR="007A3F9B" w:rsidRPr="00D276FE" w:rsidRDefault="007A3F9B" w:rsidP="008C027C">
      <w:pPr>
        <w:spacing w:after="0" w:line="276" w:lineRule="auto"/>
        <w:ind w:firstLine="0"/>
        <w:rPr>
          <w:rFonts w:asciiTheme="majorHAnsi" w:hAnsiTheme="majorHAnsi"/>
          <w:bCs/>
        </w:rPr>
      </w:pPr>
      <w:r w:rsidRPr="00D276FE">
        <w:rPr>
          <w:rFonts w:asciiTheme="majorHAnsi" w:hAnsiTheme="majorHAnsi"/>
          <w:b/>
        </w:rPr>
        <w:t xml:space="preserve">Fig. 1 | </w:t>
      </w:r>
      <w:r w:rsidRPr="00D276FE">
        <w:rPr>
          <w:rFonts w:asciiTheme="majorHAnsi" w:hAnsiTheme="majorHAnsi"/>
          <w:b/>
          <w:bCs/>
          <w:lang w:val="en-US"/>
        </w:rPr>
        <w:t>Co-production process for product development</w:t>
      </w:r>
      <w:r w:rsidRPr="00D276FE">
        <w:rPr>
          <w:rFonts w:asciiTheme="majorHAnsi" w:hAnsiTheme="majorHAnsi"/>
          <w:b/>
          <w:bCs/>
        </w:rPr>
        <w:t>.</w:t>
      </w:r>
      <w:r w:rsidRPr="00D276FE">
        <w:rPr>
          <w:rFonts w:asciiTheme="majorHAnsi" w:hAnsiTheme="majorHAnsi"/>
          <w:b/>
        </w:rPr>
        <w:t xml:space="preserve"> </w:t>
      </w:r>
      <w:r w:rsidR="0018328F" w:rsidRPr="00D276FE">
        <w:rPr>
          <w:rFonts w:asciiTheme="majorHAnsi" w:hAnsiTheme="majorHAnsi"/>
          <w:bCs/>
        </w:rPr>
        <w:t xml:space="preserve">Diagram of a five-stage co-production process for product development. The cycle proceeds through </w:t>
      </w:r>
      <w:r w:rsidR="0018328F" w:rsidRPr="00D276FE">
        <w:rPr>
          <w:rFonts w:asciiTheme="majorHAnsi" w:hAnsiTheme="majorHAnsi"/>
          <w:bCs/>
          <w:i/>
          <w:iCs/>
        </w:rPr>
        <w:t>Identify Actors &amp; Build Partnerships</w:t>
      </w:r>
      <w:r w:rsidR="0018328F" w:rsidRPr="00D276FE">
        <w:rPr>
          <w:rFonts w:asciiTheme="majorHAnsi" w:hAnsiTheme="majorHAnsi"/>
          <w:bCs/>
        </w:rPr>
        <w:t xml:space="preserve">, </w:t>
      </w:r>
      <w:r w:rsidR="0018328F" w:rsidRPr="00D276FE">
        <w:rPr>
          <w:rFonts w:asciiTheme="majorHAnsi" w:hAnsiTheme="majorHAnsi"/>
          <w:bCs/>
          <w:i/>
          <w:iCs/>
        </w:rPr>
        <w:t>Co-Explore Need</w:t>
      </w:r>
      <w:r w:rsidR="0018328F" w:rsidRPr="00D276FE">
        <w:rPr>
          <w:rFonts w:asciiTheme="majorHAnsi" w:hAnsiTheme="majorHAnsi"/>
          <w:bCs/>
        </w:rPr>
        <w:t xml:space="preserve">, </w:t>
      </w:r>
      <w:r w:rsidR="0018328F" w:rsidRPr="00D276FE">
        <w:rPr>
          <w:rFonts w:asciiTheme="majorHAnsi" w:hAnsiTheme="majorHAnsi"/>
          <w:bCs/>
          <w:i/>
          <w:iCs/>
        </w:rPr>
        <w:t>Co-Develop Solution</w:t>
      </w:r>
      <w:r w:rsidR="0018328F" w:rsidRPr="00D276FE">
        <w:rPr>
          <w:rFonts w:asciiTheme="majorHAnsi" w:hAnsiTheme="majorHAnsi"/>
          <w:bCs/>
        </w:rPr>
        <w:t xml:space="preserve">, </w:t>
      </w:r>
      <w:r w:rsidR="0018328F" w:rsidRPr="00D276FE">
        <w:rPr>
          <w:rFonts w:asciiTheme="majorHAnsi" w:hAnsiTheme="majorHAnsi"/>
          <w:bCs/>
          <w:i/>
          <w:iCs/>
        </w:rPr>
        <w:t>Co-Deliver Solution</w:t>
      </w:r>
      <w:r w:rsidR="0018328F" w:rsidRPr="00D276FE">
        <w:rPr>
          <w:rFonts w:asciiTheme="majorHAnsi" w:hAnsiTheme="majorHAnsi"/>
          <w:bCs/>
        </w:rPr>
        <w:t xml:space="preserve">, and </w:t>
      </w:r>
      <w:r w:rsidR="0018328F" w:rsidRPr="00D276FE">
        <w:rPr>
          <w:rFonts w:asciiTheme="majorHAnsi" w:hAnsiTheme="majorHAnsi"/>
          <w:bCs/>
          <w:i/>
          <w:iCs/>
        </w:rPr>
        <w:t>Evaluate</w:t>
      </w:r>
      <w:r w:rsidR="0018328F" w:rsidRPr="00D276FE">
        <w:rPr>
          <w:rFonts w:asciiTheme="majorHAnsi" w:hAnsiTheme="majorHAnsi"/>
          <w:bCs/>
        </w:rPr>
        <w:t>, and is organized around an inner loop of continuous knowledge exchange, monitoring, and learning</w:t>
      </w:r>
      <w:r w:rsidR="002C36E3" w:rsidRPr="00D276FE">
        <w:rPr>
          <w:rFonts w:asciiTheme="majorHAnsi" w:hAnsiTheme="majorHAnsi"/>
          <w:bCs/>
          <w:color w:val="0432FF"/>
          <w:vertAlign w:val="superscript"/>
        </w:rPr>
        <w:t>5</w:t>
      </w:r>
      <w:r w:rsidR="0018328F" w:rsidRPr="00D276FE">
        <w:rPr>
          <w:rFonts w:asciiTheme="majorHAnsi" w:hAnsiTheme="majorHAnsi"/>
          <w:bCs/>
        </w:rPr>
        <w:t>. The process is guided by the principles of inclusiveness, collaboration, and flexibility, and the resulting product is shaped by three principles: decision-driven, process-based, and time-managed</w:t>
      </w:r>
      <w:r w:rsidR="002C36E3" w:rsidRPr="00D276FE">
        <w:rPr>
          <w:rFonts w:asciiTheme="majorHAnsi" w:hAnsiTheme="majorHAnsi"/>
          <w:bCs/>
          <w:color w:val="0432FF"/>
          <w:vertAlign w:val="superscript"/>
        </w:rPr>
        <w:t>5</w:t>
      </w:r>
      <w:r w:rsidR="0018328F" w:rsidRPr="00D276FE">
        <w:rPr>
          <w:rFonts w:asciiTheme="majorHAnsi" w:hAnsiTheme="majorHAnsi"/>
          <w:bCs/>
        </w:rPr>
        <w:t>.</w:t>
      </w:r>
    </w:p>
    <w:p w14:paraId="32412ACA" w14:textId="77777777" w:rsidR="007A3F9B" w:rsidRPr="00D276FE" w:rsidRDefault="007A3F9B" w:rsidP="008C027C">
      <w:pPr>
        <w:spacing w:after="0" w:line="276" w:lineRule="auto"/>
        <w:ind w:firstLine="0"/>
        <w:rPr>
          <w:rFonts w:asciiTheme="majorHAnsi" w:hAnsiTheme="majorHAnsi"/>
        </w:rPr>
      </w:pPr>
    </w:p>
    <w:p w14:paraId="19BB9038" w14:textId="60B891D9" w:rsidR="002C36E3" w:rsidRDefault="007A3F9B" w:rsidP="008C027C">
      <w:pPr>
        <w:spacing w:after="0" w:line="276" w:lineRule="auto"/>
        <w:ind w:firstLine="0"/>
        <w:rPr>
          <w:rFonts w:asciiTheme="majorHAnsi" w:hAnsiTheme="majorHAnsi"/>
        </w:rPr>
      </w:pPr>
      <w:r w:rsidRPr="00D276FE">
        <w:rPr>
          <w:rFonts w:asciiTheme="majorHAnsi" w:hAnsiTheme="majorHAnsi"/>
          <w:b/>
        </w:rPr>
        <w:t xml:space="preserve">Fig. 2 | </w:t>
      </w:r>
      <w:r w:rsidRPr="00D276FE">
        <w:rPr>
          <w:rFonts w:asciiTheme="majorHAnsi" w:hAnsiTheme="majorHAnsi"/>
          <w:b/>
          <w:lang w:val="en-US"/>
        </w:rPr>
        <w:t>User-centered design process</w:t>
      </w:r>
      <w:r w:rsidRPr="00D276FE">
        <w:rPr>
          <w:rFonts w:asciiTheme="majorHAnsi" w:hAnsiTheme="majorHAnsi"/>
          <w:b/>
        </w:rPr>
        <w:t xml:space="preserve">. </w:t>
      </w:r>
      <w:r w:rsidR="0018328F" w:rsidRPr="00D276FE">
        <w:rPr>
          <w:rFonts w:asciiTheme="majorHAnsi" w:hAnsiTheme="majorHAnsi"/>
          <w:bCs/>
        </w:rPr>
        <w:t xml:space="preserve">Diagram of a </w:t>
      </w:r>
      <w:r w:rsidR="002C36E3" w:rsidRPr="00D276FE">
        <w:rPr>
          <w:rFonts w:asciiTheme="majorHAnsi" w:hAnsiTheme="majorHAnsi"/>
          <w:bCs/>
        </w:rPr>
        <w:t>five</w:t>
      </w:r>
      <w:r w:rsidR="0018328F" w:rsidRPr="00D276FE">
        <w:rPr>
          <w:rFonts w:asciiTheme="majorHAnsi" w:hAnsiTheme="majorHAnsi"/>
          <w:bCs/>
        </w:rPr>
        <w:t xml:space="preserve">-stage user-centered design process. The cycle </w:t>
      </w:r>
      <w:r w:rsidR="002C36E3" w:rsidRPr="00D276FE">
        <w:rPr>
          <w:rFonts w:asciiTheme="majorHAnsi" w:hAnsiTheme="majorHAnsi"/>
          <w:bCs/>
        </w:rPr>
        <w:t>iterates</w:t>
      </w:r>
      <w:r w:rsidR="0018328F" w:rsidRPr="00D276FE">
        <w:rPr>
          <w:rFonts w:asciiTheme="majorHAnsi" w:hAnsiTheme="majorHAnsi"/>
          <w:bCs/>
        </w:rPr>
        <w:t xml:space="preserve"> through </w:t>
      </w:r>
      <w:r w:rsidR="0018328F" w:rsidRPr="00D276FE">
        <w:rPr>
          <w:rFonts w:asciiTheme="majorHAnsi" w:hAnsiTheme="majorHAnsi"/>
          <w:i/>
          <w:iCs/>
        </w:rPr>
        <w:t>Plan Process</w:t>
      </w:r>
      <w:r w:rsidR="0018328F" w:rsidRPr="00D276FE">
        <w:rPr>
          <w:rFonts w:asciiTheme="majorHAnsi" w:hAnsiTheme="majorHAnsi"/>
        </w:rPr>
        <w:t xml:space="preserve">, </w:t>
      </w:r>
      <w:r w:rsidR="0018328F" w:rsidRPr="00D276FE">
        <w:rPr>
          <w:rFonts w:asciiTheme="majorHAnsi" w:hAnsiTheme="majorHAnsi"/>
          <w:i/>
          <w:iCs/>
        </w:rPr>
        <w:t>Understand Context</w:t>
      </w:r>
      <w:r w:rsidR="0018328F" w:rsidRPr="00D276FE">
        <w:rPr>
          <w:rFonts w:asciiTheme="majorHAnsi" w:hAnsiTheme="majorHAnsi"/>
        </w:rPr>
        <w:t xml:space="preserve">, </w:t>
      </w:r>
      <w:r w:rsidR="0018328F" w:rsidRPr="00D276FE">
        <w:rPr>
          <w:rFonts w:asciiTheme="majorHAnsi" w:hAnsiTheme="majorHAnsi"/>
          <w:i/>
          <w:iCs/>
        </w:rPr>
        <w:t>Specify User Requirements</w:t>
      </w:r>
      <w:r w:rsidR="0018328F" w:rsidRPr="00D276FE">
        <w:rPr>
          <w:rFonts w:asciiTheme="majorHAnsi" w:hAnsiTheme="majorHAnsi"/>
        </w:rPr>
        <w:t xml:space="preserve">, </w:t>
      </w:r>
      <w:r w:rsidR="0018328F" w:rsidRPr="00D276FE">
        <w:rPr>
          <w:rFonts w:asciiTheme="majorHAnsi" w:hAnsiTheme="majorHAnsi"/>
          <w:i/>
          <w:iCs/>
        </w:rPr>
        <w:t>Produce Solutions</w:t>
      </w:r>
      <w:r w:rsidR="0018328F" w:rsidRPr="00D276FE">
        <w:rPr>
          <w:rFonts w:asciiTheme="majorHAnsi" w:hAnsiTheme="majorHAnsi"/>
        </w:rPr>
        <w:t xml:space="preserve">, and </w:t>
      </w:r>
      <w:r w:rsidR="0018328F" w:rsidRPr="00D276FE">
        <w:rPr>
          <w:rFonts w:asciiTheme="majorHAnsi" w:hAnsiTheme="majorHAnsi"/>
          <w:i/>
          <w:iCs/>
        </w:rPr>
        <w:t>Evaluate Solutions</w:t>
      </w:r>
      <w:r w:rsidR="0018328F" w:rsidRPr="00D276FE">
        <w:rPr>
          <w:rFonts w:asciiTheme="majorHAnsi" w:hAnsiTheme="majorHAnsi"/>
        </w:rPr>
        <w:t xml:space="preserve">, </w:t>
      </w:r>
      <w:r w:rsidR="002C36E3" w:rsidRPr="00D276FE">
        <w:rPr>
          <w:rFonts w:asciiTheme="majorHAnsi" w:hAnsiTheme="majorHAnsi"/>
        </w:rPr>
        <w:t>with evaluation outcomes informing returns to earlier stages when requirements are not met</w:t>
      </w:r>
      <w:r w:rsidR="002C36E3" w:rsidRPr="00D276FE">
        <w:rPr>
          <w:rFonts w:asciiTheme="majorHAnsi" w:hAnsiTheme="majorHAnsi"/>
          <w:color w:val="0432FF"/>
          <w:vertAlign w:val="superscript"/>
        </w:rPr>
        <w:t>39</w:t>
      </w:r>
      <w:r w:rsidR="002C36E3" w:rsidRPr="00D276FE">
        <w:rPr>
          <w:rFonts w:asciiTheme="majorHAnsi" w:hAnsiTheme="majorHAnsi"/>
        </w:rPr>
        <w:t>. The process is guided by principles that emphasize an explicit understanding of users, tasks, and environments; continuous user involvement; evaluation-driven refinement; iteration; attention to the full user experience; and multidisciplinary design teams</w:t>
      </w:r>
      <w:r w:rsidR="002C36E3" w:rsidRPr="00D276FE">
        <w:rPr>
          <w:rFonts w:asciiTheme="majorHAnsi" w:hAnsiTheme="majorHAnsi"/>
          <w:color w:val="0432FF"/>
          <w:vertAlign w:val="superscript"/>
        </w:rPr>
        <w:t>39</w:t>
      </w:r>
      <w:r w:rsidR="002C36E3" w:rsidRPr="00D276FE">
        <w:rPr>
          <w:rFonts w:asciiTheme="majorHAnsi" w:hAnsiTheme="majorHAnsi"/>
        </w:rPr>
        <w:t>.</w:t>
      </w:r>
    </w:p>
    <w:p w14:paraId="1E9EA917" w14:textId="77777777" w:rsidR="00CB0154" w:rsidRDefault="00CB0154" w:rsidP="008C027C">
      <w:pPr>
        <w:spacing w:after="0" w:line="276" w:lineRule="auto"/>
        <w:ind w:firstLine="0"/>
        <w:rPr>
          <w:rFonts w:asciiTheme="majorHAnsi" w:hAnsiTheme="majorHAnsi"/>
        </w:rPr>
      </w:pPr>
    </w:p>
    <w:p w14:paraId="6DCA0E6C" w14:textId="67521241" w:rsidR="00CB0154" w:rsidRPr="00D276FE" w:rsidRDefault="00CB0154" w:rsidP="008C027C">
      <w:pPr>
        <w:pStyle w:val="Heading1"/>
        <w:spacing w:before="0" w:after="120" w:line="276" w:lineRule="auto"/>
        <w:rPr>
          <w:i w:val="0"/>
          <w:sz w:val="22"/>
          <w:szCs w:val="22"/>
        </w:rPr>
      </w:pPr>
      <w:r w:rsidRPr="00CB0154">
        <w:rPr>
          <w:i w:val="0"/>
          <w:sz w:val="22"/>
          <w:szCs w:val="22"/>
        </w:rPr>
        <w:t xml:space="preserve">Fig. </w:t>
      </w:r>
      <w:r>
        <w:rPr>
          <w:i w:val="0"/>
          <w:sz w:val="22"/>
          <w:szCs w:val="22"/>
        </w:rPr>
        <w:t>3</w:t>
      </w:r>
      <w:r w:rsidRPr="00CB0154">
        <w:rPr>
          <w:i w:val="0"/>
          <w:sz w:val="22"/>
          <w:szCs w:val="22"/>
        </w:rPr>
        <w:t xml:space="preserve"> </w:t>
      </w:r>
      <w:r w:rsidRPr="00D276FE">
        <w:rPr>
          <w:i w:val="0"/>
          <w:sz w:val="22"/>
          <w:szCs w:val="22"/>
        </w:rPr>
        <w:t xml:space="preserve">| Flow diagram of study identification, screening and inclusion. </w:t>
      </w:r>
      <w:r w:rsidRPr="00D276FE">
        <w:rPr>
          <w:b w:val="0"/>
          <w:bCs w:val="0"/>
          <w:i w:val="0"/>
          <w:sz w:val="22"/>
          <w:szCs w:val="22"/>
        </w:rPr>
        <w:t>Flow diagram of the systematic review based on PRISMA guidelines. Records were identified across five databases (ScienceDirect, ACM Digital Library, IEEE Xplore, Climate-ADAPT, and the ISO) for the co-production (n = 922) and user-centered design (n = 1,439) searches and subsequently screened (n = 2,361). Records were excluded during abstract screening (n = 2,179) and duplicates removed (n = 2) prior to full-text eligibility assessment (n = 180). Full-text exclusions (n = 100) were due to lack of topical focus (n = 68) or lack of relevance to digital or software-based technologies (n = 32). A total of 80 studies were included in the final review.</w:t>
      </w:r>
    </w:p>
    <w:p w14:paraId="02A77898" w14:textId="77777777" w:rsidR="00CB0154" w:rsidRPr="00D276FE" w:rsidRDefault="00CB0154" w:rsidP="002C36E3">
      <w:pPr>
        <w:spacing w:after="0" w:line="276" w:lineRule="auto"/>
        <w:ind w:firstLine="0"/>
        <w:rPr>
          <w:rFonts w:asciiTheme="majorHAnsi" w:hAnsiTheme="majorHAnsi"/>
        </w:rPr>
      </w:pPr>
    </w:p>
    <w:p w14:paraId="0D148575" w14:textId="77777777" w:rsidR="0018328F" w:rsidRPr="00D276FE" w:rsidRDefault="0018328F" w:rsidP="00490DAB">
      <w:pPr>
        <w:spacing w:after="0" w:line="276" w:lineRule="auto"/>
        <w:ind w:firstLine="0"/>
        <w:rPr>
          <w:rFonts w:asciiTheme="majorHAnsi" w:hAnsiTheme="majorHAnsi"/>
        </w:rPr>
      </w:pPr>
    </w:p>
    <w:p w14:paraId="124D3E19" w14:textId="77777777" w:rsidR="0012635B" w:rsidRPr="00D276FE" w:rsidRDefault="0012635B" w:rsidP="00490DAB">
      <w:pPr>
        <w:spacing w:after="0" w:line="276" w:lineRule="auto"/>
        <w:ind w:firstLine="0"/>
        <w:rPr>
          <w:rFonts w:asciiTheme="majorHAnsi" w:hAnsiTheme="majorHAnsi"/>
        </w:rPr>
      </w:pPr>
    </w:p>
    <w:p w14:paraId="07FA9D0E" w14:textId="77777777" w:rsidR="0012635B" w:rsidRPr="00D276FE" w:rsidRDefault="0012635B" w:rsidP="00490DAB">
      <w:pPr>
        <w:spacing w:after="0" w:line="276" w:lineRule="auto"/>
        <w:ind w:firstLine="0"/>
        <w:rPr>
          <w:rFonts w:asciiTheme="majorHAnsi" w:hAnsiTheme="majorHAnsi"/>
        </w:rPr>
      </w:pPr>
    </w:p>
    <w:p w14:paraId="1158A5E1" w14:textId="77777777" w:rsidR="0012635B" w:rsidRPr="00D276FE" w:rsidRDefault="0012635B" w:rsidP="00490DAB">
      <w:pPr>
        <w:spacing w:after="0" w:line="276" w:lineRule="auto"/>
        <w:ind w:firstLine="0"/>
        <w:rPr>
          <w:rFonts w:asciiTheme="majorHAnsi" w:hAnsiTheme="majorHAnsi"/>
        </w:rPr>
      </w:pPr>
    </w:p>
    <w:p w14:paraId="0D0D1B53" w14:textId="77777777" w:rsidR="0012635B" w:rsidRPr="00D276FE" w:rsidRDefault="0012635B" w:rsidP="00490DAB">
      <w:pPr>
        <w:spacing w:after="0" w:line="276" w:lineRule="auto"/>
        <w:ind w:firstLine="0"/>
        <w:rPr>
          <w:rFonts w:asciiTheme="majorHAnsi" w:hAnsiTheme="majorHAnsi"/>
        </w:rPr>
      </w:pPr>
    </w:p>
    <w:p w14:paraId="4075535E" w14:textId="77777777" w:rsidR="0012635B" w:rsidRPr="00D276FE" w:rsidRDefault="0012635B" w:rsidP="00490DAB">
      <w:pPr>
        <w:spacing w:after="0" w:line="276" w:lineRule="auto"/>
        <w:ind w:firstLine="0"/>
        <w:rPr>
          <w:rFonts w:asciiTheme="majorHAnsi" w:hAnsiTheme="majorHAnsi"/>
        </w:rPr>
      </w:pPr>
    </w:p>
    <w:p w14:paraId="19090E89" w14:textId="77777777" w:rsidR="0012635B" w:rsidRPr="00D276FE" w:rsidRDefault="0012635B" w:rsidP="00490DAB">
      <w:pPr>
        <w:spacing w:after="0" w:line="276" w:lineRule="auto"/>
        <w:ind w:firstLine="0"/>
        <w:rPr>
          <w:rFonts w:asciiTheme="majorHAnsi" w:hAnsiTheme="majorHAnsi"/>
        </w:rPr>
      </w:pPr>
    </w:p>
    <w:p w14:paraId="309B95B2" w14:textId="77777777" w:rsidR="0012635B" w:rsidRPr="00D276FE" w:rsidRDefault="0012635B" w:rsidP="00490DAB">
      <w:pPr>
        <w:spacing w:after="0" w:line="276" w:lineRule="auto"/>
        <w:ind w:firstLine="0"/>
        <w:rPr>
          <w:rFonts w:asciiTheme="majorHAnsi" w:hAnsiTheme="majorHAnsi"/>
        </w:rPr>
      </w:pPr>
    </w:p>
    <w:p w14:paraId="05AEB263" w14:textId="77777777" w:rsidR="0012635B" w:rsidRPr="00D276FE" w:rsidRDefault="0012635B" w:rsidP="00490DAB">
      <w:pPr>
        <w:spacing w:after="0" w:line="276" w:lineRule="auto"/>
        <w:ind w:firstLine="0"/>
        <w:rPr>
          <w:rFonts w:asciiTheme="majorHAnsi" w:hAnsiTheme="majorHAnsi"/>
        </w:rPr>
      </w:pPr>
    </w:p>
    <w:p w14:paraId="499AB59E" w14:textId="77777777" w:rsidR="0012635B" w:rsidRPr="00D276FE" w:rsidRDefault="0012635B" w:rsidP="00490DAB">
      <w:pPr>
        <w:spacing w:after="0" w:line="276" w:lineRule="auto"/>
        <w:ind w:firstLine="0"/>
        <w:rPr>
          <w:rFonts w:asciiTheme="majorHAnsi" w:hAnsiTheme="majorHAnsi"/>
        </w:rPr>
      </w:pPr>
    </w:p>
    <w:p w14:paraId="70336131" w14:textId="77777777" w:rsidR="0012635B" w:rsidRPr="00D276FE" w:rsidRDefault="0012635B" w:rsidP="00490DAB">
      <w:pPr>
        <w:spacing w:after="0" w:line="276" w:lineRule="auto"/>
        <w:ind w:firstLine="0"/>
        <w:rPr>
          <w:rFonts w:asciiTheme="majorHAnsi" w:hAnsiTheme="majorHAnsi"/>
        </w:rPr>
      </w:pPr>
    </w:p>
    <w:p w14:paraId="5B332798" w14:textId="77777777" w:rsidR="0012635B" w:rsidRPr="00D276FE" w:rsidRDefault="0012635B" w:rsidP="00490DAB">
      <w:pPr>
        <w:spacing w:after="0" w:line="276" w:lineRule="auto"/>
        <w:ind w:firstLine="0"/>
        <w:rPr>
          <w:rFonts w:asciiTheme="majorHAnsi" w:hAnsiTheme="majorHAnsi"/>
        </w:rPr>
      </w:pPr>
    </w:p>
    <w:p w14:paraId="3A061FAC" w14:textId="77777777" w:rsidR="0012635B" w:rsidRPr="00D276FE" w:rsidRDefault="0012635B" w:rsidP="00490DAB">
      <w:pPr>
        <w:spacing w:after="0" w:line="276" w:lineRule="auto"/>
        <w:ind w:firstLine="0"/>
        <w:rPr>
          <w:rFonts w:asciiTheme="majorHAnsi" w:hAnsiTheme="majorHAnsi"/>
        </w:rPr>
      </w:pPr>
    </w:p>
    <w:p w14:paraId="678484FB" w14:textId="77777777" w:rsidR="0012635B" w:rsidRPr="00D276FE" w:rsidRDefault="0012635B" w:rsidP="00490DAB">
      <w:pPr>
        <w:spacing w:after="0" w:line="276" w:lineRule="auto"/>
        <w:ind w:firstLine="0"/>
        <w:rPr>
          <w:rFonts w:asciiTheme="majorHAnsi" w:hAnsiTheme="majorHAnsi"/>
        </w:rPr>
      </w:pPr>
    </w:p>
    <w:p w14:paraId="130B112A" w14:textId="77777777" w:rsidR="0012635B" w:rsidRPr="00D276FE" w:rsidRDefault="0012635B" w:rsidP="00490DAB">
      <w:pPr>
        <w:spacing w:after="0" w:line="276" w:lineRule="auto"/>
        <w:ind w:firstLine="0"/>
        <w:rPr>
          <w:rFonts w:asciiTheme="majorHAnsi" w:hAnsiTheme="majorHAnsi"/>
        </w:rPr>
      </w:pPr>
    </w:p>
    <w:p w14:paraId="1281CBA4" w14:textId="77777777" w:rsidR="0012635B" w:rsidRPr="00D276FE" w:rsidRDefault="0012635B" w:rsidP="00490DAB">
      <w:pPr>
        <w:spacing w:after="0" w:line="276" w:lineRule="auto"/>
        <w:ind w:firstLine="0"/>
        <w:rPr>
          <w:rFonts w:asciiTheme="majorHAnsi" w:hAnsiTheme="majorHAnsi"/>
        </w:rPr>
      </w:pPr>
    </w:p>
    <w:p w14:paraId="5354F171" w14:textId="77777777" w:rsidR="0012635B" w:rsidRPr="00D276FE" w:rsidRDefault="0012635B" w:rsidP="00490DAB">
      <w:pPr>
        <w:spacing w:after="0" w:line="276" w:lineRule="auto"/>
        <w:ind w:firstLine="0"/>
        <w:rPr>
          <w:rFonts w:asciiTheme="majorHAnsi" w:hAnsiTheme="majorHAnsi"/>
        </w:rPr>
      </w:pPr>
    </w:p>
    <w:p w14:paraId="55378783" w14:textId="77777777" w:rsidR="0012635B" w:rsidRPr="00D276FE" w:rsidRDefault="0012635B" w:rsidP="00490DAB">
      <w:pPr>
        <w:spacing w:after="0" w:line="276" w:lineRule="auto"/>
        <w:ind w:firstLine="0"/>
        <w:rPr>
          <w:rFonts w:asciiTheme="majorHAnsi" w:hAnsiTheme="majorHAnsi"/>
        </w:rPr>
      </w:pPr>
    </w:p>
    <w:p w14:paraId="2E5C313C" w14:textId="77777777" w:rsidR="00925306" w:rsidRDefault="00925306" w:rsidP="004E7693">
      <w:pPr>
        <w:pStyle w:val="Heading1"/>
        <w:spacing w:before="120" w:after="120" w:line="240" w:lineRule="auto"/>
        <w:rPr>
          <w:i w:val="0"/>
        </w:rPr>
      </w:pPr>
    </w:p>
    <w:p w14:paraId="76B7A022" w14:textId="328B8AE5" w:rsidR="00FC43F9" w:rsidRPr="00D276FE" w:rsidRDefault="0033532F" w:rsidP="004E7693">
      <w:pPr>
        <w:pStyle w:val="Heading1"/>
        <w:spacing w:before="120" w:after="120" w:line="240" w:lineRule="auto"/>
        <w:rPr>
          <w:i w:val="0"/>
        </w:rPr>
      </w:pPr>
      <w:r w:rsidRPr="00D276FE">
        <w:rPr>
          <w:i w:val="0"/>
        </w:rPr>
        <w:lastRenderedPageBreak/>
        <w:t>M</w:t>
      </w:r>
      <w:r w:rsidR="00FC43F9" w:rsidRPr="00D276FE">
        <w:rPr>
          <w:i w:val="0"/>
        </w:rPr>
        <w:t>ethods</w:t>
      </w:r>
    </w:p>
    <w:p w14:paraId="49D392E2" w14:textId="7813CEF8" w:rsidR="00EC1EBE" w:rsidRPr="00D276FE" w:rsidRDefault="0033532F" w:rsidP="0033532F">
      <w:pPr>
        <w:spacing w:after="0" w:line="276" w:lineRule="auto"/>
        <w:ind w:firstLine="0"/>
        <w:rPr>
          <w:rFonts w:asciiTheme="majorHAnsi" w:hAnsiTheme="majorHAnsi"/>
        </w:rPr>
      </w:pPr>
      <w:r w:rsidRPr="00D276FE">
        <w:rPr>
          <w:rFonts w:asciiTheme="majorHAnsi" w:hAnsiTheme="majorHAnsi"/>
        </w:rPr>
        <w:t>Here we describe our methods for mapping co-production and user-centered design in climate adaptation product development, focusing on processes, mechanisms, and best practices. We also provide background and review on climate services, user needs, human-computer interaction, and user-centered design.</w:t>
      </w:r>
    </w:p>
    <w:p w14:paraId="03E31B62" w14:textId="77777777" w:rsidR="0033532F" w:rsidRPr="00D276FE" w:rsidRDefault="0033532F" w:rsidP="0033532F">
      <w:pPr>
        <w:spacing w:after="0" w:line="276" w:lineRule="auto"/>
        <w:ind w:firstLine="0"/>
        <w:rPr>
          <w:rFonts w:asciiTheme="majorHAnsi" w:hAnsiTheme="majorHAnsi"/>
        </w:rPr>
      </w:pPr>
    </w:p>
    <w:p w14:paraId="0E8DD268" w14:textId="7F3DBBE2" w:rsidR="0033532F" w:rsidRPr="00D276FE" w:rsidRDefault="0033532F" w:rsidP="0033532F">
      <w:pPr>
        <w:spacing w:after="0" w:line="276" w:lineRule="auto"/>
        <w:ind w:firstLine="0"/>
        <w:rPr>
          <w:rFonts w:asciiTheme="majorHAnsi" w:hAnsiTheme="majorHAnsi"/>
        </w:rPr>
      </w:pPr>
      <w:r w:rsidRPr="00D276FE">
        <w:rPr>
          <w:rFonts w:asciiTheme="majorHAnsi" w:hAnsiTheme="majorHAnsi"/>
        </w:rPr>
        <w:t>We conducted a systematic review of journal articles and white papers using five databases spanning climate services and human-computer interaction: ScienceDirect, ACM Digital Library, IEEE Xplore, Climate-ADAPT, and the International Organization for Standardization</w:t>
      </w:r>
      <w:r w:rsidR="00401644" w:rsidRPr="00D276FE">
        <w:rPr>
          <w:rFonts w:asciiTheme="majorHAnsi" w:hAnsiTheme="majorHAnsi"/>
        </w:rPr>
        <w:t xml:space="preserve"> (ISO)</w:t>
      </w:r>
      <w:r w:rsidRPr="00D276FE">
        <w:rPr>
          <w:rFonts w:asciiTheme="majorHAnsi" w:hAnsiTheme="majorHAnsi"/>
        </w:rPr>
        <w:t xml:space="preserve">. Searches were run July 25-26, </w:t>
      </w:r>
      <w:proofErr w:type="gramStart"/>
      <w:r w:rsidRPr="00D276FE">
        <w:rPr>
          <w:rFonts w:asciiTheme="majorHAnsi" w:hAnsiTheme="majorHAnsi"/>
        </w:rPr>
        <w:t>2023</w:t>
      </w:r>
      <w:proofErr w:type="gramEnd"/>
      <w:r w:rsidRPr="00D276FE">
        <w:rPr>
          <w:rFonts w:asciiTheme="majorHAnsi" w:hAnsiTheme="majorHAnsi"/>
        </w:rPr>
        <w:t xml:space="preserve"> across available database fields, including titles, abstracts, and full text, using terms targeting digital or software-based climate adaptation products. </w:t>
      </w:r>
    </w:p>
    <w:p w14:paraId="75C825F5" w14:textId="77777777" w:rsidR="0033532F" w:rsidRPr="00D276FE" w:rsidRDefault="0033532F" w:rsidP="0033532F">
      <w:pPr>
        <w:spacing w:after="0" w:line="276" w:lineRule="auto"/>
        <w:ind w:firstLine="0"/>
        <w:rPr>
          <w:rFonts w:asciiTheme="majorHAnsi" w:hAnsiTheme="majorHAnsi"/>
        </w:rPr>
      </w:pPr>
    </w:p>
    <w:p w14:paraId="6A9C6043" w14:textId="77777777" w:rsidR="007E558E" w:rsidRPr="00D276FE" w:rsidRDefault="0033532F" w:rsidP="007E558E">
      <w:pPr>
        <w:spacing w:after="0" w:line="276" w:lineRule="auto"/>
        <w:ind w:firstLine="0"/>
        <w:rPr>
          <w:rFonts w:asciiTheme="majorHAnsi" w:hAnsiTheme="majorHAnsi"/>
        </w:rPr>
      </w:pPr>
      <w:r w:rsidRPr="00D276FE">
        <w:rPr>
          <w:rFonts w:asciiTheme="majorHAnsi" w:hAnsiTheme="majorHAnsi"/>
        </w:rPr>
        <w:t>For the co-production portion of the review, we used the following syntax, modified for each database’s search interface:</w:t>
      </w:r>
    </w:p>
    <w:p w14:paraId="2D6881CF" w14:textId="77777777" w:rsidR="007E558E" w:rsidRPr="00D276FE" w:rsidRDefault="007E558E" w:rsidP="007E558E">
      <w:pPr>
        <w:spacing w:after="0" w:line="276" w:lineRule="auto"/>
        <w:ind w:firstLine="0"/>
        <w:rPr>
          <w:rFonts w:asciiTheme="majorHAnsi" w:hAnsiTheme="majorHAnsi"/>
        </w:rPr>
      </w:pPr>
    </w:p>
    <w:p w14:paraId="6086EB5C" w14:textId="53904B31" w:rsidR="0033532F" w:rsidRPr="00D276FE" w:rsidRDefault="0033532F" w:rsidP="007E558E">
      <w:pPr>
        <w:pStyle w:val="ListParagraph"/>
        <w:numPr>
          <w:ilvl w:val="0"/>
          <w:numId w:val="23"/>
        </w:numPr>
        <w:spacing w:after="0" w:line="276" w:lineRule="auto"/>
        <w:rPr>
          <w:rFonts w:asciiTheme="majorHAnsi" w:hAnsiTheme="majorHAnsi"/>
        </w:rPr>
      </w:pPr>
      <w:r w:rsidRPr="00D276FE">
        <w:rPr>
          <w:rFonts w:asciiTheme="majorHAnsi" w:hAnsiTheme="majorHAnsi"/>
        </w:rPr>
        <w:t>(“climate service” OR “climate information service” OR “climate change service”) AND (adapt!) AND (software OR digital OR tech! OR web! OR app!)</w:t>
      </w:r>
    </w:p>
    <w:p w14:paraId="66F07969" w14:textId="77777777" w:rsidR="0033532F" w:rsidRPr="00D276FE" w:rsidRDefault="0033532F" w:rsidP="0033532F">
      <w:pPr>
        <w:spacing w:after="0" w:line="276" w:lineRule="auto"/>
        <w:ind w:firstLine="0"/>
        <w:rPr>
          <w:rFonts w:asciiTheme="majorHAnsi" w:hAnsiTheme="majorHAnsi"/>
        </w:rPr>
      </w:pPr>
    </w:p>
    <w:p w14:paraId="41141DB0" w14:textId="02FDFD71" w:rsidR="007E558E" w:rsidRPr="00D276FE" w:rsidRDefault="0033532F" w:rsidP="007E558E">
      <w:pPr>
        <w:spacing w:after="0" w:line="276" w:lineRule="auto"/>
        <w:ind w:firstLine="0"/>
        <w:rPr>
          <w:rFonts w:asciiTheme="majorHAnsi" w:hAnsiTheme="majorHAnsi"/>
        </w:rPr>
      </w:pPr>
      <w:r w:rsidRPr="00D276FE">
        <w:rPr>
          <w:rFonts w:asciiTheme="majorHAnsi" w:hAnsiTheme="majorHAnsi"/>
        </w:rPr>
        <w:t xml:space="preserve">For the user-centered design portion of the review, few studies addressed climate products, so we expanded the search on July 26, </w:t>
      </w:r>
      <w:proofErr w:type="gramStart"/>
      <w:r w:rsidRPr="00D276FE">
        <w:rPr>
          <w:rFonts w:asciiTheme="majorHAnsi" w:hAnsiTheme="majorHAnsi"/>
        </w:rPr>
        <w:t>2023</w:t>
      </w:r>
      <w:proofErr w:type="gramEnd"/>
      <w:r w:rsidRPr="00D276FE">
        <w:rPr>
          <w:rFonts w:asciiTheme="majorHAnsi" w:hAnsiTheme="majorHAnsi"/>
        </w:rPr>
        <w:t xml:space="preserve"> to include environmental and sustainability-themed products. The following syntax was modified for each database’s search interface: </w:t>
      </w:r>
    </w:p>
    <w:p w14:paraId="78A7686D" w14:textId="77777777" w:rsidR="007E558E" w:rsidRPr="00D276FE" w:rsidRDefault="007E558E" w:rsidP="007E558E">
      <w:pPr>
        <w:spacing w:after="0" w:line="276" w:lineRule="auto"/>
        <w:ind w:firstLine="0"/>
        <w:rPr>
          <w:rFonts w:asciiTheme="majorHAnsi" w:hAnsiTheme="majorHAnsi"/>
        </w:rPr>
      </w:pPr>
    </w:p>
    <w:p w14:paraId="4C975AF4" w14:textId="2175D90A" w:rsidR="0033532F" w:rsidRPr="00D276FE" w:rsidRDefault="0033532F" w:rsidP="007E558E">
      <w:pPr>
        <w:pStyle w:val="ListParagraph"/>
        <w:numPr>
          <w:ilvl w:val="0"/>
          <w:numId w:val="23"/>
        </w:numPr>
        <w:spacing w:after="0" w:line="276" w:lineRule="auto"/>
        <w:rPr>
          <w:rFonts w:asciiTheme="majorHAnsi" w:hAnsiTheme="majorHAnsi"/>
        </w:rPr>
      </w:pPr>
      <w:r w:rsidRPr="00D276FE">
        <w:rPr>
          <w:rFonts w:asciiTheme="majorHAnsi" w:hAnsiTheme="majorHAnsi"/>
        </w:rPr>
        <w:t>(“human computer interaction” OR “</w:t>
      </w:r>
      <w:proofErr w:type="spellStart"/>
      <w:r w:rsidRPr="00D276FE">
        <w:rPr>
          <w:rFonts w:asciiTheme="majorHAnsi" w:hAnsiTheme="majorHAnsi"/>
        </w:rPr>
        <w:t>hci</w:t>
      </w:r>
      <w:proofErr w:type="spellEnd"/>
      <w:r w:rsidRPr="00D276FE">
        <w:rPr>
          <w:rFonts w:asciiTheme="majorHAnsi" w:hAnsiTheme="majorHAnsi"/>
        </w:rPr>
        <w:t>”) AND (“user centered design” OR “</w:t>
      </w:r>
      <w:proofErr w:type="spellStart"/>
      <w:r w:rsidRPr="00D276FE">
        <w:rPr>
          <w:rFonts w:asciiTheme="majorHAnsi" w:hAnsiTheme="majorHAnsi"/>
        </w:rPr>
        <w:t>ucd</w:t>
      </w:r>
      <w:proofErr w:type="spellEnd"/>
      <w:r w:rsidRPr="00D276FE">
        <w:rPr>
          <w:rFonts w:asciiTheme="majorHAnsi" w:hAnsiTheme="majorHAnsi"/>
        </w:rPr>
        <w:t>”) AND (“climate” OR “</w:t>
      </w:r>
      <w:proofErr w:type="spellStart"/>
      <w:r w:rsidRPr="00D276FE">
        <w:rPr>
          <w:rFonts w:asciiTheme="majorHAnsi" w:hAnsiTheme="majorHAnsi"/>
        </w:rPr>
        <w:t>sustainab</w:t>
      </w:r>
      <w:proofErr w:type="spellEnd"/>
      <w:r w:rsidRPr="00D276FE">
        <w:rPr>
          <w:rFonts w:asciiTheme="majorHAnsi" w:hAnsiTheme="majorHAnsi"/>
        </w:rPr>
        <w:t>!” OR “environmental”)</w:t>
      </w:r>
    </w:p>
    <w:p w14:paraId="0FB61E0B" w14:textId="77777777" w:rsidR="0033532F" w:rsidRPr="00D276FE" w:rsidRDefault="0033532F" w:rsidP="0033532F">
      <w:pPr>
        <w:spacing w:after="0" w:line="276" w:lineRule="auto"/>
        <w:ind w:firstLine="0"/>
        <w:rPr>
          <w:rFonts w:asciiTheme="majorHAnsi" w:hAnsiTheme="majorHAnsi"/>
        </w:rPr>
      </w:pPr>
    </w:p>
    <w:p w14:paraId="4110E73C" w14:textId="5EDBFA55" w:rsidR="00CB57E4" w:rsidRPr="00D276FE" w:rsidRDefault="0033532F" w:rsidP="0033532F">
      <w:pPr>
        <w:spacing w:after="0" w:line="276" w:lineRule="auto"/>
        <w:ind w:firstLine="0"/>
        <w:rPr>
          <w:rFonts w:asciiTheme="majorHAnsi" w:hAnsiTheme="majorHAnsi"/>
        </w:rPr>
      </w:pPr>
      <w:r w:rsidRPr="00D276FE">
        <w:rPr>
          <w:rFonts w:asciiTheme="majorHAnsi" w:hAnsiTheme="majorHAnsi"/>
        </w:rPr>
        <w:t xml:space="preserve">The search targeted articles published starting on January 1, 2005, with no defined end date. However, given the timing of the searches, the effective end date was July 26, 2023. </w:t>
      </w:r>
      <w:r w:rsidR="00CB57E4" w:rsidRPr="00D276FE">
        <w:rPr>
          <w:rFonts w:asciiTheme="majorHAnsi" w:hAnsiTheme="majorHAnsi"/>
        </w:rPr>
        <w:t>We used the databases listed below with structured, reproducible queries, applying consistent search strings across platforms and across both review portions, except for the ISO database. Database-specific ranking and sorting settings:</w:t>
      </w:r>
    </w:p>
    <w:p w14:paraId="31B4871C" w14:textId="77777777" w:rsidR="007E558E" w:rsidRPr="00D276FE" w:rsidRDefault="007E558E" w:rsidP="0033532F">
      <w:pPr>
        <w:spacing w:after="0" w:line="276" w:lineRule="auto"/>
        <w:ind w:firstLine="0"/>
        <w:rPr>
          <w:rFonts w:asciiTheme="majorHAnsi" w:hAnsiTheme="majorHAnsi"/>
        </w:rPr>
      </w:pPr>
    </w:p>
    <w:p w14:paraId="22C734C3" w14:textId="2E5843CA" w:rsidR="009D23BD" w:rsidRPr="00D276FE" w:rsidRDefault="0033532F" w:rsidP="009D23BD">
      <w:pPr>
        <w:pStyle w:val="ListParagraph"/>
        <w:numPr>
          <w:ilvl w:val="0"/>
          <w:numId w:val="21"/>
        </w:numPr>
        <w:spacing w:after="0" w:line="276" w:lineRule="auto"/>
        <w:rPr>
          <w:rFonts w:asciiTheme="majorHAnsi" w:hAnsiTheme="majorHAnsi"/>
        </w:rPr>
      </w:pPr>
      <w:r w:rsidRPr="00D276FE">
        <w:rPr>
          <w:rFonts w:asciiTheme="majorHAnsi" w:hAnsiTheme="majorHAnsi"/>
          <w:b/>
          <w:bCs/>
        </w:rPr>
        <w:t>ScienceDirect:</w:t>
      </w:r>
      <w:r w:rsidRPr="00D276FE">
        <w:rPr>
          <w:rFonts w:asciiTheme="majorHAnsi" w:hAnsiTheme="majorHAnsi"/>
        </w:rPr>
        <w:t xml:space="preserve"> </w:t>
      </w:r>
      <w:r w:rsidR="009D23BD" w:rsidRPr="00D276FE">
        <w:rPr>
          <w:rFonts w:asciiTheme="majorHAnsi" w:hAnsiTheme="majorHAnsi"/>
        </w:rPr>
        <w:t>Advanced search used with the specified strings; results sorted by relevance (ranked by how closely records matched the search terms).</w:t>
      </w:r>
    </w:p>
    <w:p w14:paraId="31A3EF28" w14:textId="78955F34" w:rsidR="009D23BD" w:rsidRPr="00D276FE" w:rsidRDefault="0033532F" w:rsidP="0033532F">
      <w:pPr>
        <w:pStyle w:val="ListParagraph"/>
        <w:numPr>
          <w:ilvl w:val="0"/>
          <w:numId w:val="21"/>
        </w:numPr>
        <w:spacing w:after="0" w:line="276" w:lineRule="auto"/>
        <w:rPr>
          <w:rFonts w:asciiTheme="majorHAnsi" w:hAnsiTheme="majorHAnsi"/>
        </w:rPr>
      </w:pPr>
      <w:r w:rsidRPr="00D276FE">
        <w:rPr>
          <w:rFonts w:asciiTheme="majorHAnsi" w:hAnsiTheme="majorHAnsi"/>
          <w:b/>
          <w:bCs/>
        </w:rPr>
        <w:t>ACM Digital Library:</w:t>
      </w:r>
      <w:r w:rsidRPr="00D276FE">
        <w:rPr>
          <w:rFonts w:asciiTheme="majorHAnsi" w:hAnsiTheme="majorHAnsi"/>
        </w:rPr>
        <w:t xml:space="preserve"> </w:t>
      </w:r>
      <w:r w:rsidR="009D23BD" w:rsidRPr="00D276FE">
        <w:rPr>
          <w:rFonts w:asciiTheme="majorHAnsi" w:hAnsiTheme="majorHAnsi"/>
        </w:rPr>
        <w:t>Advanced search used with the specified strings; results sorted by recency (ranked by relevance with an additional penalty for older publications).</w:t>
      </w:r>
    </w:p>
    <w:p w14:paraId="5E7DF134" w14:textId="0A9694C1" w:rsidR="009D23BD" w:rsidRPr="00D276FE" w:rsidRDefault="0033532F" w:rsidP="0033532F">
      <w:pPr>
        <w:pStyle w:val="ListParagraph"/>
        <w:numPr>
          <w:ilvl w:val="0"/>
          <w:numId w:val="21"/>
        </w:numPr>
        <w:spacing w:after="0" w:line="276" w:lineRule="auto"/>
        <w:rPr>
          <w:rFonts w:asciiTheme="majorHAnsi" w:hAnsiTheme="majorHAnsi"/>
        </w:rPr>
      </w:pPr>
      <w:r w:rsidRPr="00D276FE">
        <w:rPr>
          <w:rFonts w:asciiTheme="majorHAnsi" w:hAnsiTheme="majorHAnsi"/>
          <w:b/>
          <w:bCs/>
        </w:rPr>
        <w:t>IEEE Xplore:</w:t>
      </w:r>
      <w:r w:rsidRPr="00D276FE">
        <w:rPr>
          <w:rFonts w:asciiTheme="majorHAnsi" w:hAnsiTheme="majorHAnsi"/>
        </w:rPr>
        <w:t xml:space="preserve"> </w:t>
      </w:r>
      <w:r w:rsidR="009D23BD" w:rsidRPr="00D276FE">
        <w:rPr>
          <w:rFonts w:asciiTheme="majorHAnsi" w:hAnsiTheme="majorHAnsi"/>
        </w:rPr>
        <w:t>Advanced search used with the specified strings; results sorted by relevance (ranked by how closely records matched the search terms).</w:t>
      </w:r>
    </w:p>
    <w:p w14:paraId="0F90DB90" w14:textId="308A13D8" w:rsidR="009D23BD" w:rsidRPr="00D276FE" w:rsidRDefault="0033532F" w:rsidP="0033532F">
      <w:pPr>
        <w:pStyle w:val="ListParagraph"/>
        <w:numPr>
          <w:ilvl w:val="0"/>
          <w:numId w:val="21"/>
        </w:numPr>
        <w:spacing w:after="0" w:line="276" w:lineRule="auto"/>
        <w:rPr>
          <w:rFonts w:asciiTheme="majorHAnsi" w:hAnsiTheme="majorHAnsi"/>
        </w:rPr>
      </w:pPr>
      <w:r w:rsidRPr="00D276FE">
        <w:rPr>
          <w:rFonts w:asciiTheme="majorHAnsi" w:hAnsiTheme="majorHAnsi"/>
          <w:b/>
          <w:bCs/>
        </w:rPr>
        <w:t>Climate-ADAPT:</w:t>
      </w:r>
      <w:r w:rsidRPr="00D276FE">
        <w:rPr>
          <w:rFonts w:asciiTheme="majorHAnsi" w:hAnsiTheme="majorHAnsi"/>
        </w:rPr>
        <w:t xml:space="preserve"> </w:t>
      </w:r>
      <w:r w:rsidR="009D23BD" w:rsidRPr="00D276FE">
        <w:rPr>
          <w:rFonts w:asciiTheme="majorHAnsi" w:hAnsiTheme="majorHAnsi"/>
        </w:rPr>
        <w:t>Resource Catalogue search used with the specified strings; results sorted by relevance (ranked by how closely records matched the search terms).</w:t>
      </w:r>
    </w:p>
    <w:p w14:paraId="6F2B4DCA" w14:textId="36395CA8" w:rsidR="007E558E" w:rsidRPr="00D276FE" w:rsidRDefault="0033532F" w:rsidP="009D23BD">
      <w:pPr>
        <w:pStyle w:val="ListParagraph"/>
        <w:numPr>
          <w:ilvl w:val="0"/>
          <w:numId w:val="21"/>
        </w:numPr>
        <w:spacing w:after="0" w:line="276" w:lineRule="auto"/>
        <w:rPr>
          <w:rFonts w:asciiTheme="majorHAnsi" w:hAnsiTheme="majorHAnsi"/>
        </w:rPr>
      </w:pPr>
      <w:r w:rsidRPr="00D276FE">
        <w:rPr>
          <w:rFonts w:asciiTheme="majorHAnsi" w:hAnsiTheme="majorHAnsi"/>
          <w:b/>
          <w:bCs/>
        </w:rPr>
        <w:t>ISO:</w:t>
      </w:r>
      <w:r w:rsidRPr="00D276FE">
        <w:rPr>
          <w:rFonts w:asciiTheme="majorHAnsi" w:hAnsiTheme="majorHAnsi"/>
        </w:rPr>
        <w:t xml:space="preserve"> </w:t>
      </w:r>
      <w:r w:rsidR="009D23BD" w:rsidRPr="00D276FE">
        <w:rPr>
          <w:rFonts w:asciiTheme="majorHAnsi" w:hAnsiTheme="majorHAnsi"/>
        </w:rPr>
        <w:t>Advanced search used; initial queries returned no results, so queries were broadened to identify relevant standards. The platform does not specify ranking criteria and does not allow sorting. Modified queries included:</w:t>
      </w:r>
    </w:p>
    <w:p w14:paraId="217EB593" w14:textId="77777777" w:rsidR="007E558E" w:rsidRPr="00D276FE" w:rsidRDefault="0033532F" w:rsidP="007E558E">
      <w:pPr>
        <w:pStyle w:val="ListParagraph"/>
        <w:numPr>
          <w:ilvl w:val="1"/>
          <w:numId w:val="21"/>
        </w:numPr>
        <w:spacing w:after="0" w:line="276" w:lineRule="auto"/>
        <w:rPr>
          <w:rFonts w:asciiTheme="majorHAnsi" w:hAnsiTheme="majorHAnsi"/>
        </w:rPr>
      </w:pPr>
      <w:r w:rsidRPr="00D276FE">
        <w:rPr>
          <w:rFonts w:asciiTheme="majorHAnsi" w:hAnsiTheme="majorHAnsi"/>
        </w:rPr>
        <w:t>(climate service OR climate information service OR climate change service) OR (climate adapt)</w:t>
      </w:r>
    </w:p>
    <w:p w14:paraId="523D3678" w14:textId="52083FA6" w:rsidR="0033532F" w:rsidRPr="00D276FE" w:rsidRDefault="0033532F" w:rsidP="007E558E">
      <w:pPr>
        <w:pStyle w:val="ListParagraph"/>
        <w:numPr>
          <w:ilvl w:val="1"/>
          <w:numId w:val="21"/>
        </w:numPr>
        <w:spacing w:after="0" w:line="276" w:lineRule="auto"/>
        <w:rPr>
          <w:rFonts w:asciiTheme="majorHAnsi" w:hAnsiTheme="majorHAnsi"/>
        </w:rPr>
      </w:pPr>
      <w:r w:rsidRPr="00D276FE">
        <w:rPr>
          <w:rFonts w:asciiTheme="majorHAnsi" w:hAnsiTheme="majorHAnsi"/>
        </w:rPr>
        <w:t xml:space="preserve">(human computer interaction OR </w:t>
      </w:r>
      <w:proofErr w:type="spellStart"/>
      <w:r w:rsidRPr="00D276FE">
        <w:rPr>
          <w:rFonts w:asciiTheme="majorHAnsi" w:hAnsiTheme="majorHAnsi"/>
        </w:rPr>
        <w:t>hci</w:t>
      </w:r>
      <w:proofErr w:type="spellEnd"/>
      <w:r w:rsidRPr="00D276FE">
        <w:rPr>
          <w:rFonts w:asciiTheme="majorHAnsi" w:hAnsiTheme="majorHAnsi"/>
        </w:rPr>
        <w:t xml:space="preserve">) OR (user centered design OR </w:t>
      </w:r>
      <w:proofErr w:type="spellStart"/>
      <w:r w:rsidRPr="00D276FE">
        <w:rPr>
          <w:rFonts w:asciiTheme="majorHAnsi" w:hAnsiTheme="majorHAnsi"/>
        </w:rPr>
        <w:t>ucd</w:t>
      </w:r>
      <w:proofErr w:type="spellEnd"/>
      <w:r w:rsidRPr="00D276FE">
        <w:rPr>
          <w:rFonts w:asciiTheme="majorHAnsi" w:hAnsiTheme="majorHAnsi"/>
        </w:rPr>
        <w:t>)</w:t>
      </w:r>
    </w:p>
    <w:p w14:paraId="19C7FC5A" w14:textId="77777777" w:rsidR="007E558E" w:rsidRPr="00D276FE" w:rsidRDefault="007E558E" w:rsidP="007E558E">
      <w:pPr>
        <w:spacing w:after="0" w:line="276" w:lineRule="auto"/>
        <w:ind w:firstLine="0"/>
        <w:rPr>
          <w:rFonts w:asciiTheme="majorHAnsi" w:hAnsiTheme="majorHAnsi"/>
        </w:rPr>
      </w:pPr>
    </w:p>
    <w:p w14:paraId="3BBEBFE3" w14:textId="7D02BBB1" w:rsidR="007E558E" w:rsidRPr="00D276FE" w:rsidRDefault="007E558E" w:rsidP="007E558E">
      <w:pPr>
        <w:spacing w:after="0" w:line="276" w:lineRule="auto"/>
        <w:ind w:firstLine="0"/>
        <w:rPr>
          <w:rFonts w:asciiTheme="majorHAnsi" w:hAnsiTheme="majorHAnsi"/>
        </w:rPr>
      </w:pPr>
      <w:r w:rsidRPr="00D276FE">
        <w:rPr>
          <w:rFonts w:asciiTheme="majorHAnsi" w:hAnsiTheme="majorHAnsi"/>
        </w:rPr>
        <w:lastRenderedPageBreak/>
        <w:t>After retrieval, abstracts were initially screened against inclusion criteria. The inclusion criteria were specifically designed as an initial quality filter, prioritizing studies of high relevance. Following this initial screening, duplicates were removed, and a secondary screening was conducted. During the secondary screening, each paper’s full text was read and reviewed against the inclusion criteria to ensure relevance, quality, and methodological rigor. Papers that were challenging to assess against the inclusion criteria were re-evaluated and assessed collaboratively with another author. Search syntax, screening methodology, and inclusion criteria were reviewed by all authors. For the co-production portion, we applied the following inclusion criteria:</w:t>
      </w:r>
    </w:p>
    <w:p w14:paraId="61524CC0" w14:textId="77777777" w:rsidR="007E558E" w:rsidRPr="00D276FE" w:rsidRDefault="007E558E" w:rsidP="007E558E">
      <w:pPr>
        <w:spacing w:after="0" w:line="276" w:lineRule="auto"/>
        <w:ind w:firstLine="0"/>
        <w:rPr>
          <w:rFonts w:asciiTheme="majorHAnsi" w:hAnsiTheme="majorHAnsi"/>
        </w:rPr>
      </w:pPr>
    </w:p>
    <w:p w14:paraId="25FFBE69" w14:textId="77777777" w:rsidR="007E558E" w:rsidRPr="00D276FE" w:rsidRDefault="007E558E" w:rsidP="007E558E">
      <w:pPr>
        <w:pStyle w:val="ListParagraph"/>
        <w:numPr>
          <w:ilvl w:val="0"/>
          <w:numId w:val="25"/>
        </w:numPr>
        <w:spacing w:after="0" w:line="276" w:lineRule="auto"/>
        <w:rPr>
          <w:rFonts w:asciiTheme="majorHAnsi" w:hAnsiTheme="majorHAnsi"/>
        </w:rPr>
      </w:pPr>
      <w:r w:rsidRPr="00D276FE">
        <w:rPr>
          <w:rFonts w:asciiTheme="majorHAnsi" w:hAnsiTheme="majorHAnsi"/>
        </w:rPr>
        <w:t>Paper is focused on one or multiple of the following themes:</w:t>
      </w:r>
    </w:p>
    <w:p w14:paraId="44780EFE" w14:textId="77777777" w:rsidR="007E558E" w:rsidRPr="00D276FE" w:rsidRDefault="007E558E" w:rsidP="007E558E">
      <w:pPr>
        <w:pStyle w:val="ListParagraph"/>
        <w:numPr>
          <w:ilvl w:val="1"/>
          <w:numId w:val="25"/>
        </w:numPr>
        <w:spacing w:after="0" w:line="276" w:lineRule="auto"/>
        <w:rPr>
          <w:rFonts w:asciiTheme="majorHAnsi" w:hAnsiTheme="majorHAnsi"/>
        </w:rPr>
      </w:pPr>
      <w:r w:rsidRPr="00D276FE">
        <w:rPr>
          <w:rFonts w:asciiTheme="majorHAnsi" w:hAnsiTheme="majorHAnsi"/>
        </w:rPr>
        <w:t>Building climate adaptation products</w:t>
      </w:r>
    </w:p>
    <w:p w14:paraId="3B24C5EB" w14:textId="77777777" w:rsidR="007E558E" w:rsidRPr="00D276FE" w:rsidRDefault="007E558E" w:rsidP="007E558E">
      <w:pPr>
        <w:pStyle w:val="ListParagraph"/>
        <w:numPr>
          <w:ilvl w:val="1"/>
          <w:numId w:val="25"/>
        </w:numPr>
        <w:spacing w:after="0" w:line="276" w:lineRule="auto"/>
        <w:rPr>
          <w:rFonts w:asciiTheme="majorHAnsi" w:hAnsiTheme="majorHAnsi"/>
        </w:rPr>
      </w:pPr>
      <w:r w:rsidRPr="00D276FE">
        <w:rPr>
          <w:rFonts w:asciiTheme="majorHAnsi" w:hAnsiTheme="majorHAnsi"/>
        </w:rPr>
        <w:t>Lessons in or best practices for building climate adaptation products</w:t>
      </w:r>
    </w:p>
    <w:p w14:paraId="75EEF07D" w14:textId="2E818DAC" w:rsidR="007E558E" w:rsidRPr="00D276FE" w:rsidRDefault="007E558E" w:rsidP="007E558E">
      <w:pPr>
        <w:pStyle w:val="ListParagraph"/>
        <w:numPr>
          <w:ilvl w:val="1"/>
          <w:numId w:val="25"/>
        </w:numPr>
        <w:spacing w:after="0" w:line="276" w:lineRule="auto"/>
        <w:rPr>
          <w:rFonts w:asciiTheme="majorHAnsi" w:hAnsiTheme="majorHAnsi"/>
        </w:rPr>
      </w:pPr>
      <w:r w:rsidRPr="00D276FE">
        <w:rPr>
          <w:rFonts w:asciiTheme="majorHAnsi" w:hAnsiTheme="majorHAnsi"/>
        </w:rPr>
        <w:t>User needs for climate adaptation products</w:t>
      </w:r>
    </w:p>
    <w:p w14:paraId="58B1E4D8" w14:textId="77777777" w:rsidR="007E558E" w:rsidRPr="00D276FE" w:rsidRDefault="007E558E" w:rsidP="007E558E">
      <w:pPr>
        <w:pStyle w:val="ListParagraph"/>
        <w:numPr>
          <w:ilvl w:val="0"/>
          <w:numId w:val="25"/>
        </w:numPr>
        <w:spacing w:after="0" w:line="276" w:lineRule="auto"/>
        <w:rPr>
          <w:rFonts w:asciiTheme="majorHAnsi" w:hAnsiTheme="majorHAnsi"/>
        </w:rPr>
      </w:pPr>
      <w:r w:rsidRPr="00D276FE">
        <w:rPr>
          <w:rFonts w:asciiTheme="majorHAnsi" w:hAnsiTheme="majorHAnsi"/>
        </w:rPr>
        <w:t>Paper mentions digital or software-based technologies</w:t>
      </w:r>
    </w:p>
    <w:p w14:paraId="19973DA6" w14:textId="77777777" w:rsidR="007E558E" w:rsidRPr="00D276FE" w:rsidRDefault="007E558E" w:rsidP="007E558E">
      <w:pPr>
        <w:pStyle w:val="ListParagraph"/>
        <w:numPr>
          <w:ilvl w:val="0"/>
          <w:numId w:val="25"/>
        </w:numPr>
        <w:spacing w:after="0" w:line="276" w:lineRule="auto"/>
        <w:rPr>
          <w:rFonts w:asciiTheme="majorHAnsi" w:hAnsiTheme="majorHAnsi"/>
        </w:rPr>
      </w:pPr>
      <w:r w:rsidRPr="00D276FE">
        <w:rPr>
          <w:rFonts w:asciiTheme="majorHAnsi" w:hAnsiTheme="majorHAnsi"/>
        </w:rPr>
        <w:t>Paper is published in or after 2005</w:t>
      </w:r>
    </w:p>
    <w:p w14:paraId="5039E182" w14:textId="77777777" w:rsidR="007E558E" w:rsidRPr="00D276FE" w:rsidRDefault="007E558E" w:rsidP="007E558E">
      <w:pPr>
        <w:pStyle w:val="ListParagraph"/>
        <w:numPr>
          <w:ilvl w:val="0"/>
          <w:numId w:val="25"/>
        </w:numPr>
        <w:spacing w:after="0" w:line="276" w:lineRule="auto"/>
        <w:rPr>
          <w:rFonts w:asciiTheme="majorHAnsi" w:hAnsiTheme="majorHAnsi"/>
        </w:rPr>
      </w:pPr>
      <w:r w:rsidRPr="00D276FE">
        <w:rPr>
          <w:rFonts w:asciiTheme="majorHAnsi" w:hAnsiTheme="majorHAnsi"/>
        </w:rPr>
        <w:t xml:space="preserve">Paper is in English </w:t>
      </w:r>
    </w:p>
    <w:p w14:paraId="76F8826C" w14:textId="77777777" w:rsidR="007E558E" w:rsidRPr="00D276FE" w:rsidRDefault="007E558E" w:rsidP="007E558E">
      <w:pPr>
        <w:spacing w:after="0" w:line="276" w:lineRule="auto"/>
        <w:ind w:firstLine="0"/>
        <w:rPr>
          <w:rFonts w:asciiTheme="majorHAnsi" w:hAnsiTheme="majorHAnsi"/>
        </w:rPr>
      </w:pPr>
    </w:p>
    <w:p w14:paraId="27261251" w14:textId="77777777" w:rsidR="007E558E" w:rsidRPr="00D276FE" w:rsidRDefault="007E558E" w:rsidP="007E558E">
      <w:pPr>
        <w:spacing w:after="0" w:line="276" w:lineRule="auto"/>
        <w:ind w:firstLine="0"/>
        <w:rPr>
          <w:rFonts w:asciiTheme="majorHAnsi" w:hAnsiTheme="majorHAnsi"/>
        </w:rPr>
      </w:pPr>
      <w:r w:rsidRPr="00D276FE">
        <w:rPr>
          <w:rFonts w:asciiTheme="majorHAnsi" w:hAnsiTheme="majorHAnsi"/>
        </w:rPr>
        <w:t xml:space="preserve">For the user-centered design portion, we applied the following inclusion criteria: </w:t>
      </w:r>
    </w:p>
    <w:p w14:paraId="6E0F7712" w14:textId="77777777" w:rsidR="007E558E" w:rsidRPr="00D276FE" w:rsidRDefault="007E558E" w:rsidP="007E558E">
      <w:pPr>
        <w:spacing w:after="0" w:line="276" w:lineRule="auto"/>
        <w:ind w:firstLine="0"/>
        <w:rPr>
          <w:rFonts w:asciiTheme="majorHAnsi" w:hAnsiTheme="majorHAnsi"/>
        </w:rPr>
      </w:pPr>
    </w:p>
    <w:p w14:paraId="4720F71E" w14:textId="77777777" w:rsidR="007E558E" w:rsidRPr="00D276FE" w:rsidRDefault="007E558E" w:rsidP="007E558E">
      <w:pPr>
        <w:pStyle w:val="ListParagraph"/>
        <w:numPr>
          <w:ilvl w:val="0"/>
          <w:numId w:val="26"/>
        </w:numPr>
        <w:spacing w:after="0" w:line="276" w:lineRule="auto"/>
        <w:rPr>
          <w:rFonts w:asciiTheme="majorHAnsi" w:hAnsiTheme="majorHAnsi"/>
        </w:rPr>
      </w:pPr>
      <w:r w:rsidRPr="00D276FE">
        <w:rPr>
          <w:rFonts w:asciiTheme="majorHAnsi" w:hAnsiTheme="majorHAnsi"/>
        </w:rPr>
        <w:t>Paper is focused on one or multiple of the following themes:</w:t>
      </w:r>
    </w:p>
    <w:p w14:paraId="6B0ED776" w14:textId="77777777" w:rsidR="007E558E" w:rsidRPr="00D276FE" w:rsidRDefault="007E558E" w:rsidP="007E558E">
      <w:pPr>
        <w:pStyle w:val="ListParagraph"/>
        <w:numPr>
          <w:ilvl w:val="1"/>
          <w:numId w:val="26"/>
        </w:numPr>
        <w:spacing w:after="0" w:line="276" w:lineRule="auto"/>
        <w:rPr>
          <w:rFonts w:asciiTheme="majorHAnsi" w:hAnsiTheme="majorHAnsi"/>
        </w:rPr>
      </w:pPr>
      <w:r w:rsidRPr="00D276FE">
        <w:rPr>
          <w:rFonts w:asciiTheme="majorHAnsi" w:hAnsiTheme="majorHAnsi"/>
        </w:rPr>
        <w:t>Building climate, sustainability, or environmental products</w:t>
      </w:r>
    </w:p>
    <w:p w14:paraId="6C9FAD16" w14:textId="77777777" w:rsidR="007E558E" w:rsidRPr="00D276FE" w:rsidRDefault="007E558E" w:rsidP="007E558E">
      <w:pPr>
        <w:pStyle w:val="ListParagraph"/>
        <w:numPr>
          <w:ilvl w:val="1"/>
          <w:numId w:val="26"/>
        </w:numPr>
        <w:spacing w:after="0" w:line="276" w:lineRule="auto"/>
        <w:rPr>
          <w:rFonts w:asciiTheme="majorHAnsi" w:hAnsiTheme="majorHAnsi"/>
        </w:rPr>
      </w:pPr>
      <w:r w:rsidRPr="00D276FE">
        <w:rPr>
          <w:rFonts w:asciiTheme="majorHAnsi" w:hAnsiTheme="majorHAnsi"/>
        </w:rPr>
        <w:t>User-centered design mechanisms</w:t>
      </w:r>
    </w:p>
    <w:p w14:paraId="134BD72F" w14:textId="77777777" w:rsidR="007E558E" w:rsidRPr="00D276FE" w:rsidRDefault="007E558E" w:rsidP="007E558E">
      <w:pPr>
        <w:pStyle w:val="ListParagraph"/>
        <w:numPr>
          <w:ilvl w:val="1"/>
          <w:numId w:val="26"/>
        </w:numPr>
        <w:spacing w:after="0" w:line="276" w:lineRule="auto"/>
        <w:rPr>
          <w:rFonts w:asciiTheme="majorHAnsi" w:hAnsiTheme="majorHAnsi"/>
        </w:rPr>
      </w:pPr>
      <w:r w:rsidRPr="00D276FE">
        <w:rPr>
          <w:rFonts w:asciiTheme="majorHAnsi" w:hAnsiTheme="majorHAnsi"/>
        </w:rPr>
        <w:t>Lessons in or best practices for user-centered design</w:t>
      </w:r>
    </w:p>
    <w:p w14:paraId="3096939D" w14:textId="77777777" w:rsidR="007E558E" w:rsidRPr="00D276FE" w:rsidRDefault="007E558E" w:rsidP="007E558E">
      <w:pPr>
        <w:pStyle w:val="ListParagraph"/>
        <w:numPr>
          <w:ilvl w:val="0"/>
          <w:numId w:val="26"/>
        </w:numPr>
        <w:spacing w:after="0" w:line="276" w:lineRule="auto"/>
        <w:rPr>
          <w:rFonts w:asciiTheme="majorHAnsi" w:hAnsiTheme="majorHAnsi"/>
        </w:rPr>
      </w:pPr>
      <w:r w:rsidRPr="00D276FE">
        <w:rPr>
          <w:rFonts w:asciiTheme="majorHAnsi" w:hAnsiTheme="majorHAnsi"/>
        </w:rPr>
        <w:t>Paper mentions digital or software-based technologies</w:t>
      </w:r>
    </w:p>
    <w:p w14:paraId="257CD44F" w14:textId="77777777" w:rsidR="007E558E" w:rsidRPr="00D276FE" w:rsidRDefault="007E558E" w:rsidP="007E558E">
      <w:pPr>
        <w:pStyle w:val="ListParagraph"/>
        <w:numPr>
          <w:ilvl w:val="0"/>
          <w:numId w:val="26"/>
        </w:numPr>
        <w:spacing w:after="0" w:line="276" w:lineRule="auto"/>
        <w:rPr>
          <w:rFonts w:asciiTheme="majorHAnsi" w:hAnsiTheme="majorHAnsi"/>
        </w:rPr>
      </w:pPr>
      <w:r w:rsidRPr="00D276FE">
        <w:rPr>
          <w:rFonts w:asciiTheme="majorHAnsi" w:hAnsiTheme="majorHAnsi"/>
        </w:rPr>
        <w:t>Paper is published in or after 2005</w:t>
      </w:r>
    </w:p>
    <w:p w14:paraId="2CE5545D" w14:textId="6D886AF9" w:rsidR="007E558E" w:rsidRPr="00D276FE" w:rsidRDefault="007E558E" w:rsidP="007E558E">
      <w:pPr>
        <w:pStyle w:val="ListParagraph"/>
        <w:numPr>
          <w:ilvl w:val="0"/>
          <w:numId w:val="26"/>
        </w:numPr>
        <w:spacing w:after="0" w:line="276" w:lineRule="auto"/>
        <w:rPr>
          <w:rFonts w:asciiTheme="majorHAnsi" w:hAnsiTheme="majorHAnsi"/>
        </w:rPr>
      </w:pPr>
      <w:r w:rsidRPr="00D276FE">
        <w:rPr>
          <w:rFonts w:asciiTheme="majorHAnsi" w:hAnsiTheme="majorHAnsi"/>
        </w:rPr>
        <w:t>Paper is in English</w:t>
      </w:r>
    </w:p>
    <w:p w14:paraId="32F7C790" w14:textId="77777777" w:rsidR="007E558E" w:rsidRPr="00D276FE" w:rsidRDefault="007E558E" w:rsidP="007E558E">
      <w:pPr>
        <w:spacing w:after="0" w:line="276" w:lineRule="auto"/>
        <w:ind w:firstLine="0"/>
        <w:rPr>
          <w:rFonts w:asciiTheme="majorHAnsi" w:hAnsiTheme="majorHAnsi"/>
        </w:rPr>
      </w:pPr>
    </w:p>
    <w:p w14:paraId="27C21D83" w14:textId="0F4E91AD" w:rsidR="007E558E" w:rsidRPr="00D276FE" w:rsidRDefault="007E558E" w:rsidP="007E558E">
      <w:pPr>
        <w:spacing w:after="0" w:line="276" w:lineRule="auto"/>
        <w:ind w:firstLine="0"/>
        <w:rPr>
          <w:rFonts w:asciiTheme="majorHAnsi" w:hAnsiTheme="majorHAnsi"/>
        </w:rPr>
      </w:pPr>
      <w:r w:rsidRPr="00D276FE">
        <w:rPr>
          <w:rFonts w:asciiTheme="majorHAnsi" w:hAnsiTheme="majorHAnsi"/>
        </w:rPr>
        <w:t>Following this process, 45 papers remained in the final database for the co-production portion of the review, published between 2016 and 2023 (inclusive)</w:t>
      </w:r>
      <w:r w:rsidR="00EA4ADB" w:rsidRPr="00D276FE">
        <w:rPr>
          <w:rFonts w:asciiTheme="majorHAnsi" w:hAnsiTheme="majorHAnsi"/>
        </w:rPr>
        <w:t xml:space="preserve"> (</w:t>
      </w:r>
      <w:r w:rsidR="009F59C4" w:rsidRPr="009F59C4">
        <w:rPr>
          <w:rFonts w:asciiTheme="majorHAnsi" w:hAnsiTheme="majorHAnsi"/>
        </w:rPr>
        <w:t>Supplementary</w:t>
      </w:r>
      <w:r w:rsidR="000166EF" w:rsidRPr="00D276FE">
        <w:rPr>
          <w:rFonts w:asciiTheme="majorHAnsi" w:hAnsiTheme="majorHAnsi"/>
        </w:rPr>
        <w:t xml:space="preserve"> Table 5</w:t>
      </w:r>
      <w:r w:rsidR="00EA4ADB" w:rsidRPr="00D276FE">
        <w:rPr>
          <w:rFonts w:asciiTheme="majorHAnsi" w:hAnsiTheme="majorHAnsi"/>
        </w:rPr>
        <w:t>)</w:t>
      </w:r>
      <w:r w:rsidRPr="00D276FE">
        <w:rPr>
          <w:rFonts w:asciiTheme="majorHAnsi" w:hAnsiTheme="majorHAnsi"/>
        </w:rPr>
        <w:t>. In contrast, 35 papers remained in the final database for the user-centered design portion, published between 2005 and 2023 (inclusive)</w:t>
      </w:r>
      <w:r w:rsidR="00EA4ADB" w:rsidRPr="00D276FE">
        <w:rPr>
          <w:rFonts w:asciiTheme="majorHAnsi" w:hAnsiTheme="majorHAnsi"/>
        </w:rPr>
        <w:t xml:space="preserve"> (</w:t>
      </w:r>
      <w:r w:rsidR="009F59C4" w:rsidRPr="009F59C4">
        <w:rPr>
          <w:rFonts w:asciiTheme="majorHAnsi" w:hAnsiTheme="majorHAnsi"/>
        </w:rPr>
        <w:t>Supplementary</w:t>
      </w:r>
      <w:r w:rsidR="009F59C4">
        <w:rPr>
          <w:rFonts w:asciiTheme="majorHAnsi" w:hAnsiTheme="majorHAnsi"/>
        </w:rPr>
        <w:t xml:space="preserve"> </w:t>
      </w:r>
      <w:r w:rsidR="000166EF" w:rsidRPr="00D276FE">
        <w:rPr>
          <w:rFonts w:asciiTheme="majorHAnsi" w:hAnsiTheme="majorHAnsi"/>
        </w:rPr>
        <w:t>Table 6</w:t>
      </w:r>
      <w:r w:rsidR="00EA4ADB" w:rsidRPr="00D276FE">
        <w:rPr>
          <w:rFonts w:asciiTheme="majorHAnsi" w:hAnsiTheme="majorHAnsi"/>
        </w:rPr>
        <w:t>)</w:t>
      </w:r>
      <w:r w:rsidRPr="00D276FE">
        <w:rPr>
          <w:rFonts w:asciiTheme="majorHAnsi" w:hAnsiTheme="majorHAnsi"/>
        </w:rPr>
        <w:t xml:space="preserve">. </w:t>
      </w:r>
      <w:r w:rsidR="00EA4ADB" w:rsidRPr="00D276FE">
        <w:rPr>
          <w:rFonts w:asciiTheme="majorHAnsi" w:hAnsiTheme="majorHAnsi"/>
        </w:rPr>
        <w:t>The literature search and screening process is summarized in a flow diagram (</w:t>
      </w:r>
      <w:r w:rsidR="004E6D2D" w:rsidRPr="00D276FE">
        <w:rPr>
          <w:rFonts w:asciiTheme="majorHAnsi" w:hAnsiTheme="majorHAnsi"/>
          <w:color w:val="000000" w:themeColor="text1"/>
        </w:rPr>
        <w:t xml:space="preserve">Fig. </w:t>
      </w:r>
      <w:r w:rsidR="00CB0154">
        <w:rPr>
          <w:rFonts w:asciiTheme="majorHAnsi" w:hAnsiTheme="majorHAnsi"/>
          <w:color w:val="000000" w:themeColor="text1"/>
        </w:rPr>
        <w:t>3</w:t>
      </w:r>
      <w:r w:rsidR="00EA4ADB" w:rsidRPr="00D276FE">
        <w:rPr>
          <w:rFonts w:asciiTheme="majorHAnsi" w:hAnsiTheme="majorHAnsi"/>
        </w:rPr>
        <w:t>).</w:t>
      </w:r>
    </w:p>
    <w:p w14:paraId="5F005DB2" w14:textId="77777777" w:rsidR="007E558E" w:rsidRPr="00D276FE" w:rsidRDefault="007E558E" w:rsidP="007E558E">
      <w:pPr>
        <w:spacing w:after="0" w:line="276" w:lineRule="auto"/>
        <w:ind w:firstLine="0"/>
        <w:rPr>
          <w:rFonts w:asciiTheme="majorHAnsi" w:hAnsiTheme="majorHAnsi"/>
        </w:rPr>
      </w:pPr>
    </w:p>
    <w:p w14:paraId="6B59A4FB" w14:textId="6FC5E75A" w:rsidR="00A86AB4" w:rsidRPr="00D276FE" w:rsidRDefault="007E558E" w:rsidP="00A86AB4">
      <w:pPr>
        <w:spacing w:after="0" w:line="276" w:lineRule="auto"/>
        <w:ind w:firstLine="0"/>
        <w:rPr>
          <w:rFonts w:asciiTheme="majorHAnsi" w:hAnsiTheme="majorHAnsi"/>
        </w:rPr>
      </w:pPr>
      <w:r w:rsidRPr="00D276FE">
        <w:rPr>
          <w:rFonts w:asciiTheme="majorHAnsi" w:hAnsiTheme="majorHAnsi"/>
        </w:rPr>
        <w:t>[</w:t>
      </w:r>
      <w:r w:rsidR="00CB0154" w:rsidRPr="00CB0154">
        <w:rPr>
          <w:rFonts w:asciiTheme="majorHAnsi" w:hAnsiTheme="majorHAnsi"/>
          <w:b/>
          <w:bCs/>
          <w:color w:val="000000" w:themeColor="text1"/>
        </w:rPr>
        <w:t>Fig. 3 | Flow diagram of study identification, screening and inclusion</w:t>
      </w:r>
      <w:r w:rsidRPr="00D276FE">
        <w:rPr>
          <w:rFonts w:asciiTheme="majorHAnsi" w:hAnsiTheme="majorHAnsi"/>
        </w:rPr>
        <w:t>]</w:t>
      </w:r>
    </w:p>
    <w:p w14:paraId="53901125" w14:textId="77777777" w:rsidR="00A86AB4" w:rsidRPr="00D276FE" w:rsidRDefault="00A86AB4" w:rsidP="00A86AB4">
      <w:pPr>
        <w:spacing w:after="0" w:line="276" w:lineRule="auto"/>
        <w:ind w:firstLine="0"/>
        <w:rPr>
          <w:rFonts w:asciiTheme="majorHAnsi" w:hAnsiTheme="majorHAnsi"/>
        </w:rPr>
      </w:pPr>
    </w:p>
    <w:p w14:paraId="3B2BCAA0" w14:textId="2CFB41AB" w:rsidR="00A86AB4" w:rsidRPr="00D276FE" w:rsidRDefault="00A86AB4" w:rsidP="00A86AB4">
      <w:pPr>
        <w:spacing w:after="0" w:line="276" w:lineRule="auto"/>
        <w:ind w:firstLine="0"/>
        <w:rPr>
          <w:rFonts w:asciiTheme="majorHAnsi" w:hAnsiTheme="majorHAnsi"/>
        </w:rPr>
      </w:pPr>
      <w:r w:rsidRPr="00D276FE">
        <w:rPr>
          <w:rFonts w:asciiTheme="majorHAnsi" w:hAnsiTheme="majorHAnsi"/>
          <w:b/>
          <w:bCs/>
          <w:i/>
          <w:iCs/>
          <w:sz w:val="28"/>
          <w:szCs w:val="28"/>
        </w:rPr>
        <w:t>Coding and analysis</w:t>
      </w:r>
    </w:p>
    <w:p w14:paraId="551ECA67" w14:textId="12E70259" w:rsidR="00A86AB4" w:rsidRPr="00D276FE" w:rsidRDefault="00DB4F28" w:rsidP="00A86AB4">
      <w:pPr>
        <w:spacing w:after="0" w:line="276" w:lineRule="auto"/>
        <w:ind w:firstLine="0"/>
        <w:rPr>
          <w:rFonts w:asciiTheme="majorHAnsi" w:hAnsiTheme="majorHAnsi"/>
        </w:rPr>
      </w:pPr>
      <w:r w:rsidRPr="00D276FE">
        <w:rPr>
          <w:rFonts w:asciiTheme="majorHAnsi" w:hAnsiTheme="majorHAnsi"/>
        </w:rPr>
        <w:t xml:space="preserve">From the final 80 papers, we selected representative co-production and user-centered design processes based on design quality, stage clarity, and consistency with the broader literature. </w:t>
      </w:r>
      <w:r w:rsidR="00A86AB4" w:rsidRPr="00D276FE">
        <w:rPr>
          <w:rFonts w:asciiTheme="majorHAnsi" w:hAnsiTheme="majorHAnsi"/>
        </w:rPr>
        <w:t xml:space="preserve">We then examined the papers for (1) mechanisms used in climate product development and (2) practices that contributed to, or were reported as supporting, product or process success. Similar mechanisms and practices were grouped within each corpus and mapped to the relevant stages of the selected co-production or user-centered design process (for full lists of mechanisms and practices, see </w:t>
      </w:r>
      <w:r w:rsidR="009F59C4" w:rsidRPr="009F59C4">
        <w:rPr>
          <w:rFonts w:asciiTheme="majorHAnsi" w:hAnsiTheme="majorHAnsi"/>
        </w:rPr>
        <w:t>Supplementary</w:t>
      </w:r>
      <w:r w:rsidR="009F59C4">
        <w:rPr>
          <w:rFonts w:asciiTheme="majorHAnsi" w:hAnsiTheme="majorHAnsi"/>
        </w:rPr>
        <w:t xml:space="preserve"> </w:t>
      </w:r>
      <w:r w:rsidR="00C506E5" w:rsidRPr="00D276FE">
        <w:rPr>
          <w:rFonts w:asciiTheme="majorHAnsi" w:hAnsiTheme="majorHAnsi"/>
        </w:rPr>
        <w:t>Tables 1-4</w:t>
      </w:r>
      <w:r w:rsidR="00A86AB4" w:rsidRPr="00D276FE">
        <w:rPr>
          <w:rFonts w:asciiTheme="majorHAnsi" w:hAnsiTheme="majorHAnsi"/>
        </w:rPr>
        <w:t>).</w:t>
      </w:r>
    </w:p>
    <w:p w14:paraId="7147A931" w14:textId="77777777" w:rsidR="00A86AB4" w:rsidRPr="00D276FE" w:rsidRDefault="00A86AB4" w:rsidP="00A86AB4">
      <w:pPr>
        <w:spacing w:after="0" w:line="276" w:lineRule="auto"/>
        <w:ind w:firstLine="0"/>
        <w:rPr>
          <w:rFonts w:asciiTheme="majorHAnsi" w:hAnsiTheme="majorHAnsi"/>
        </w:rPr>
      </w:pPr>
    </w:p>
    <w:p w14:paraId="61961C46" w14:textId="77777777" w:rsidR="00A86AB4" w:rsidRPr="00D276FE" w:rsidRDefault="00A86AB4" w:rsidP="00A86AB4">
      <w:pPr>
        <w:spacing w:after="0" w:line="276" w:lineRule="auto"/>
        <w:ind w:firstLine="0"/>
        <w:rPr>
          <w:rFonts w:asciiTheme="majorHAnsi" w:hAnsiTheme="majorHAnsi"/>
        </w:rPr>
      </w:pPr>
      <w:r w:rsidRPr="00D276FE">
        <w:rPr>
          <w:rFonts w:asciiTheme="majorHAnsi" w:hAnsiTheme="majorHAnsi"/>
        </w:rPr>
        <w:lastRenderedPageBreak/>
        <w:t xml:space="preserve">In this review, we apply “mechanism” and “practice” broadly to capture as many elements as possible that were used, relevant, or considered useful for climate adaptation product development. This inclusive framing reflects the diversity found in the literature, where mechanisms and best practices are not always consistently labeled or defined but are nonetheless integral to product development processes. </w:t>
      </w:r>
    </w:p>
    <w:p w14:paraId="41C1202F" w14:textId="77777777" w:rsidR="00A86AB4" w:rsidRPr="00D276FE" w:rsidRDefault="00A86AB4" w:rsidP="00A86AB4">
      <w:pPr>
        <w:spacing w:after="0" w:line="276" w:lineRule="auto"/>
        <w:ind w:firstLine="0"/>
        <w:rPr>
          <w:rFonts w:asciiTheme="majorHAnsi" w:hAnsiTheme="majorHAnsi"/>
        </w:rPr>
      </w:pPr>
    </w:p>
    <w:p w14:paraId="793C256B" w14:textId="59F09CDC" w:rsidR="00A86AB4" w:rsidRPr="00D276FE" w:rsidRDefault="00A86AB4" w:rsidP="00A86AB4">
      <w:pPr>
        <w:spacing w:after="0" w:line="276" w:lineRule="auto"/>
        <w:ind w:firstLine="0"/>
        <w:rPr>
          <w:rFonts w:asciiTheme="majorHAnsi" w:hAnsiTheme="majorHAnsi"/>
        </w:rPr>
      </w:pPr>
      <w:r w:rsidRPr="00D276FE">
        <w:rPr>
          <w:rFonts w:asciiTheme="majorHAnsi" w:hAnsiTheme="majorHAnsi"/>
        </w:rPr>
        <w:t>“Mechanism” refers to the structured means by which product development is carried out. For further clarity, mechanisms can be distinguished between three types: artifact (for example, affinity diagram), activity (for example, interview), or actor (for example, knowledge broker). An “artifact” is a tangible output or tool that guides or results from the product development process. An “activity” is a structured engagement or procedure used to gather insights or test ideas. An “actor” is a person or group who participates in or supports the process. All mechanisms are categorized into one of these three types</w:t>
      </w:r>
      <w:r w:rsidR="008F1B65" w:rsidRPr="00D276FE">
        <w:rPr>
          <w:rFonts w:asciiTheme="majorHAnsi" w:hAnsiTheme="majorHAnsi"/>
        </w:rPr>
        <w:t xml:space="preserve"> (for more details, see </w:t>
      </w:r>
      <w:r w:rsidR="009F59C4" w:rsidRPr="009F59C4">
        <w:rPr>
          <w:rFonts w:asciiTheme="majorHAnsi" w:hAnsiTheme="majorHAnsi"/>
        </w:rPr>
        <w:t>Supplementary</w:t>
      </w:r>
      <w:r w:rsidR="009F59C4">
        <w:rPr>
          <w:rFonts w:asciiTheme="majorHAnsi" w:hAnsiTheme="majorHAnsi"/>
        </w:rPr>
        <w:t xml:space="preserve"> Information</w:t>
      </w:r>
      <w:r w:rsidR="008F1B65" w:rsidRPr="00D276FE">
        <w:rPr>
          <w:rFonts w:asciiTheme="majorHAnsi" w:hAnsiTheme="majorHAnsi"/>
        </w:rPr>
        <w:t>)</w:t>
      </w:r>
      <w:r w:rsidRPr="00D276FE">
        <w:rPr>
          <w:rFonts w:asciiTheme="majorHAnsi" w:hAnsiTheme="majorHAnsi"/>
        </w:rPr>
        <w:t xml:space="preserve">. This typology is intended as a practical categorization to aid interpretation, recognizing that in practice the boundaries between these three types of mechanisms are often fuzzy rather than rigid. </w:t>
      </w:r>
    </w:p>
    <w:p w14:paraId="77D4ED20" w14:textId="77777777" w:rsidR="00A86AB4" w:rsidRPr="00D276FE" w:rsidRDefault="00A86AB4" w:rsidP="00A86AB4">
      <w:pPr>
        <w:spacing w:after="0" w:line="276" w:lineRule="auto"/>
        <w:ind w:firstLine="0"/>
        <w:rPr>
          <w:rFonts w:asciiTheme="majorHAnsi" w:hAnsiTheme="majorHAnsi"/>
        </w:rPr>
      </w:pPr>
    </w:p>
    <w:p w14:paraId="645FE25D" w14:textId="0B9B9C09" w:rsidR="007E558E" w:rsidRPr="00D276FE" w:rsidRDefault="00A86AB4" w:rsidP="00A86AB4">
      <w:pPr>
        <w:spacing w:after="0" w:line="276" w:lineRule="auto"/>
        <w:ind w:firstLine="0"/>
        <w:rPr>
          <w:rFonts w:asciiTheme="majorHAnsi" w:hAnsiTheme="majorHAnsi"/>
        </w:rPr>
      </w:pPr>
      <w:r w:rsidRPr="00D276FE">
        <w:rPr>
          <w:rFonts w:asciiTheme="majorHAnsi" w:hAnsiTheme="majorHAnsi"/>
        </w:rPr>
        <w:t>“Practice” refers to any recurring activity, behavior, or procedural action that contributes to or supports product development. Practices range from high-level process elements (for example, defining roles) to applied and operational actions (for example, developing multiple prototypes). This broad categorization reflects the practical and conceptual variety of strategies used in the development of climate adaptation products.</w:t>
      </w:r>
    </w:p>
    <w:p w14:paraId="67B9407C" w14:textId="77777777" w:rsidR="008F1B65" w:rsidRPr="00D276FE" w:rsidRDefault="008F1B65" w:rsidP="00A86AB4">
      <w:pPr>
        <w:spacing w:after="0" w:line="276" w:lineRule="auto"/>
        <w:ind w:firstLine="0"/>
        <w:rPr>
          <w:rFonts w:asciiTheme="majorHAnsi" w:hAnsiTheme="majorHAnsi"/>
        </w:rPr>
      </w:pPr>
    </w:p>
    <w:p w14:paraId="050A1F21" w14:textId="1C566AFA" w:rsidR="008F1B65" w:rsidRPr="00D276FE" w:rsidRDefault="008F1B65" w:rsidP="008F1B65">
      <w:pPr>
        <w:spacing w:after="0" w:line="276" w:lineRule="auto"/>
        <w:ind w:firstLine="0"/>
        <w:rPr>
          <w:rFonts w:asciiTheme="majorHAnsi" w:hAnsiTheme="majorHAnsi"/>
        </w:rPr>
      </w:pPr>
      <w:r w:rsidRPr="00D276FE">
        <w:rPr>
          <w:rFonts w:asciiTheme="majorHAnsi" w:hAnsiTheme="majorHAnsi"/>
          <w:b/>
          <w:bCs/>
          <w:i/>
          <w:iCs/>
          <w:sz w:val="28"/>
          <w:szCs w:val="28"/>
        </w:rPr>
        <w:t>Limitations</w:t>
      </w:r>
    </w:p>
    <w:p w14:paraId="1FB31F32" w14:textId="77777777" w:rsidR="008F1B65" w:rsidRPr="00D276FE" w:rsidRDefault="008F1B65" w:rsidP="0033532F">
      <w:pPr>
        <w:spacing w:after="0" w:line="276" w:lineRule="auto"/>
        <w:ind w:firstLine="0"/>
        <w:rPr>
          <w:rFonts w:asciiTheme="majorHAnsi" w:hAnsiTheme="majorHAnsi"/>
        </w:rPr>
      </w:pPr>
      <w:r w:rsidRPr="00D276FE">
        <w:rPr>
          <w:rFonts w:asciiTheme="majorHAnsi" w:hAnsiTheme="majorHAnsi"/>
        </w:rPr>
        <w:t xml:space="preserve">Several limitations shape the findings of this review. In study design and methodology, we faced interpretive challenges, and some differences between co-production and user-centered design may reflect terminology rather than fundamental distinctions. Given the interdisciplinary nature of human-computer interaction and the flexible, case-specific application of co-production, comparable mechanisms and practices may be described differently across fields. For example, workshops, interviews, user assessments, and prototyping techniques may be labeled differently in climate services versus human-computer interaction literature. This creates interpretive challenges and suggests that apparent differences between co-production and user-centered design may be smaller than they seem. Although our goal was to capture a wide range of mechanisms and practices as a developer-facing reference, this breadth is a limitation and warrants further clarification. Even so, user-centered design offers tested mechanisms that can strengthen climate adaptation product development, particularly for digital and software-based products. For example, user-centered design includes mature, widely used mechanisms that can support a more structured and rigorous product development process, such as context-of-use, user requirements specification, user testing, and usability metrics. These kinds of mechanisms could offer a way to introduce methodological diversity, practicality, and structure into co-production processes, potentially helping to translate user needs into more testable, design-oriented outputs. </w:t>
      </w:r>
    </w:p>
    <w:p w14:paraId="37A5B6F1" w14:textId="77777777" w:rsidR="008F1B65" w:rsidRPr="00D276FE" w:rsidRDefault="008F1B65" w:rsidP="0033532F">
      <w:pPr>
        <w:spacing w:after="0" w:line="276" w:lineRule="auto"/>
        <w:ind w:firstLine="0"/>
        <w:rPr>
          <w:rFonts w:asciiTheme="majorHAnsi" w:hAnsiTheme="majorHAnsi"/>
        </w:rPr>
      </w:pPr>
    </w:p>
    <w:p w14:paraId="143181AF" w14:textId="77777777" w:rsidR="008F1B65" w:rsidRPr="00D276FE" w:rsidRDefault="008F1B65" w:rsidP="0033532F">
      <w:pPr>
        <w:spacing w:after="0" w:line="276" w:lineRule="auto"/>
        <w:ind w:firstLine="0"/>
        <w:rPr>
          <w:rFonts w:asciiTheme="majorHAnsi" w:hAnsiTheme="majorHAnsi"/>
        </w:rPr>
      </w:pPr>
      <w:r w:rsidRPr="00D276FE">
        <w:rPr>
          <w:rFonts w:asciiTheme="majorHAnsi" w:hAnsiTheme="majorHAnsi"/>
        </w:rPr>
        <w:t xml:space="preserve">Additionally, study findings may vary due to search timing, inclusion criteria, and the human screening and mapping process. These factors could introduce heterogeneity, as different reviewers might interpret the inclusion criteria or classify mechanisms and practices in varying </w:t>
      </w:r>
      <w:r w:rsidRPr="00D276FE">
        <w:rPr>
          <w:rFonts w:asciiTheme="majorHAnsi" w:hAnsiTheme="majorHAnsi"/>
        </w:rPr>
        <w:lastRenderedPageBreak/>
        <w:t xml:space="preserve">ways. However, we identified these potential sources of variation during the review process and consulted additional researchers to validate both the approach and the quality of the findings. </w:t>
      </w:r>
    </w:p>
    <w:p w14:paraId="650EEB4F" w14:textId="77777777" w:rsidR="008F1B65" w:rsidRPr="00D276FE" w:rsidRDefault="008F1B65" w:rsidP="0033532F">
      <w:pPr>
        <w:spacing w:after="0" w:line="276" w:lineRule="auto"/>
        <w:ind w:firstLine="0"/>
        <w:rPr>
          <w:rFonts w:asciiTheme="majorHAnsi" w:hAnsiTheme="majorHAnsi"/>
        </w:rPr>
      </w:pPr>
    </w:p>
    <w:p w14:paraId="134C864B" w14:textId="5F706F07" w:rsidR="008F1B65" w:rsidRPr="00D276FE" w:rsidRDefault="008F1B65" w:rsidP="0033532F">
      <w:pPr>
        <w:spacing w:after="0" w:line="276" w:lineRule="auto"/>
        <w:ind w:firstLine="0"/>
        <w:rPr>
          <w:rFonts w:asciiTheme="majorHAnsi" w:hAnsiTheme="majorHAnsi"/>
        </w:rPr>
      </w:pPr>
      <w:r w:rsidRPr="00D276FE">
        <w:rPr>
          <w:rFonts w:asciiTheme="majorHAnsi" w:hAnsiTheme="majorHAnsi"/>
        </w:rPr>
        <w:t xml:space="preserve">Another methodological limitation is potential publication bias, as the peer-reviewed literature skews toward studies with positive results. To mitigate publication bias and diversify sources, we included Climate-ADAPT and </w:t>
      </w:r>
      <w:r w:rsidR="00401644" w:rsidRPr="00D276FE">
        <w:rPr>
          <w:rFonts w:asciiTheme="majorHAnsi" w:hAnsiTheme="majorHAnsi"/>
        </w:rPr>
        <w:t xml:space="preserve">ISO </w:t>
      </w:r>
      <w:r w:rsidRPr="00D276FE">
        <w:rPr>
          <w:rFonts w:asciiTheme="majorHAnsi" w:hAnsiTheme="majorHAnsi"/>
        </w:rPr>
        <w:t xml:space="preserve">white papers alongside peer-reviewed studies. Finally, limiting searches to five databases may have missed relevant academic or grey literature, potentially omitting additional processes, mechanisms, practices, or cases. </w:t>
      </w:r>
    </w:p>
    <w:p w14:paraId="20C5CDA6" w14:textId="77777777" w:rsidR="008F1B65" w:rsidRPr="00D276FE" w:rsidRDefault="008F1B65" w:rsidP="0033532F">
      <w:pPr>
        <w:spacing w:after="0" w:line="276" w:lineRule="auto"/>
        <w:ind w:firstLine="0"/>
        <w:rPr>
          <w:rFonts w:asciiTheme="majorHAnsi" w:hAnsiTheme="majorHAnsi"/>
        </w:rPr>
      </w:pPr>
    </w:p>
    <w:p w14:paraId="440A9227" w14:textId="605E5461" w:rsidR="008F1B65" w:rsidRPr="00D276FE" w:rsidRDefault="008F1B65" w:rsidP="0033532F">
      <w:pPr>
        <w:spacing w:after="0" w:line="276" w:lineRule="auto"/>
        <w:ind w:firstLine="0"/>
        <w:rPr>
          <w:rFonts w:asciiTheme="majorHAnsi" w:hAnsiTheme="majorHAnsi"/>
        </w:rPr>
      </w:pPr>
      <w:r w:rsidRPr="00D276FE">
        <w:rPr>
          <w:rFonts w:asciiTheme="majorHAnsi" w:hAnsiTheme="majorHAnsi"/>
        </w:rPr>
        <w:t>There are also practical limitations of pursuing an integrated approach to product development as well. For instance, determining the minimum requirements for developing a user-driven climate adaptation product can be challenging, as necessary processes, mechanisms, and practices depend on the context. Similarly, funding or time constraints can limit the ability to implement an extensive product development approach. Time- and budget-planning across product development stages, paired with lower-cost engagement mechanisms (for example, remote interactions) and time-bound goals, can help mitigate these constraints</w:t>
      </w:r>
      <w:r w:rsidRPr="00D276FE">
        <w:rPr>
          <w:rFonts w:asciiTheme="majorHAnsi" w:hAnsiTheme="majorHAnsi"/>
          <w:color w:val="0432FF"/>
          <w:vertAlign w:val="superscript"/>
        </w:rPr>
        <w:t>5, 18, 51</w:t>
      </w:r>
      <w:r w:rsidRPr="00D276FE">
        <w:rPr>
          <w:rFonts w:asciiTheme="majorHAnsi" w:hAnsiTheme="majorHAnsi"/>
        </w:rPr>
        <w:t>. To maintain co-production and user-centered design benefits while accelerating timelines, agile, modular approaches can gather feedback quickly and deliver functional prototypes earlier</w:t>
      </w:r>
      <w:r w:rsidRPr="00D276FE">
        <w:rPr>
          <w:rFonts w:asciiTheme="majorHAnsi" w:hAnsiTheme="majorHAnsi"/>
          <w:color w:val="0432FF"/>
          <w:vertAlign w:val="superscript"/>
        </w:rPr>
        <w:t>16, 36, 52</w:t>
      </w:r>
      <w:r w:rsidRPr="00D276FE">
        <w:rPr>
          <w:rFonts w:asciiTheme="majorHAnsi" w:hAnsiTheme="majorHAnsi"/>
        </w:rPr>
        <w:t>. In particularly time-sensitive contexts such as disaster preparedness or narrow policy windows, prioritizing climate adaptation products that are delivered quickly and are “good enough” may be more effective than pursuing more refined but time-intensive tools. In the long run, user-driven product development may even save time by using early prototyping and testing to ensure products are usable and successful from launch</w:t>
      </w:r>
      <w:r w:rsidRPr="00D276FE">
        <w:rPr>
          <w:rFonts w:asciiTheme="majorHAnsi" w:hAnsiTheme="majorHAnsi"/>
          <w:color w:val="0432FF"/>
          <w:vertAlign w:val="superscript"/>
        </w:rPr>
        <w:t>50</w:t>
      </w:r>
      <w:r w:rsidRPr="00D276FE">
        <w:rPr>
          <w:rFonts w:asciiTheme="majorHAnsi" w:hAnsiTheme="majorHAnsi"/>
        </w:rPr>
        <w:t xml:space="preserve">. </w:t>
      </w:r>
    </w:p>
    <w:p w14:paraId="60AD9B23" w14:textId="77777777" w:rsidR="008F1B65" w:rsidRPr="00D276FE" w:rsidRDefault="008F1B65" w:rsidP="0033532F">
      <w:pPr>
        <w:spacing w:after="0" w:line="276" w:lineRule="auto"/>
        <w:ind w:firstLine="0"/>
        <w:rPr>
          <w:rFonts w:asciiTheme="majorHAnsi" w:hAnsiTheme="majorHAnsi"/>
        </w:rPr>
      </w:pPr>
    </w:p>
    <w:p w14:paraId="2C1575DC" w14:textId="6F5047A2" w:rsidR="0033532F" w:rsidRPr="00D276FE" w:rsidRDefault="008F1B65" w:rsidP="0033532F">
      <w:pPr>
        <w:spacing w:after="0" w:line="276" w:lineRule="auto"/>
        <w:ind w:firstLine="0"/>
        <w:rPr>
          <w:rFonts w:asciiTheme="majorHAnsi" w:hAnsiTheme="majorHAnsi"/>
        </w:rPr>
      </w:pPr>
      <w:r w:rsidRPr="00D276FE">
        <w:rPr>
          <w:rFonts w:asciiTheme="majorHAnsi" w:hAnsiTheme="majorHAnsi"/>
        </w:rPr>
        <w:t>These constraints also intersect with questions of scalability and generalizability. While many user-driven climate adaptation products are designed for specific user contexts, it remains an open question how well these tailored solutions can scale or transfer across different settings. However, integrating user-centered design into co-production may generate reusable approaches, design insights, or templates that support extension to new or adjacent contexts. User-centered design mechanisms such as context-of-use documentation and user requirements specifications can facilitate this process by providing structured insights into the original product’s user group, decision environment, and contextual conditions, forming a basis for modifying the product to other settings</w:t>
      </w:r>
      <w:r w:rsidRPr="00D276FE">
        <w:rPr>
          <w:rFonts w:asciiTheme="majorHAnsi" w:hAnsiTheme="majorHAnsi"/>
          <w:color w:val="0432FF"/>
          <w:vertAlign w:val="superscript"/>
        </w:rPr>
        <w:t>39</w:t>
      </w:r>
      <w:r w:rsidRPr="00D276FE">
        <w:rPr>
          <w:rFonts w:asciiTheme="majorHAnsi" w:hAnsiTheme="majorHAnsi"/>
        </w:rPr>
        <w:t>.</w:t>
      </w:r>
    </w:p>
    <w:p w14:paraId="4BFF4A81" w14:textId="77777777" w:rsidR="008F1B65" w:rsidRPr="00D276FE" w:rsidRDefault="008F1B65" w:rsidP="0033532F">
      <w:pPr>
        <w:spacing w:after="0" w:line="276" w:lineRule="auto"/>
        <w:ind w:firstLine="0"/>
        <w:rPr>
          <w:rFonts w:asciiTheme="majorHAnsi" w:hAnsiTheme="majorHAnsi"/>
        </w:rPr>
      </w:pPr>
    </w:p>
    <w:p w14:paraId="0F4B6580" w14:textId="4EE5B7F8" w:rsidR="008F1B65" w:rsidRPr="00D276FE" w:rsidRDefault="008F1B65" w:rsidP="008F1B65">
      <w:pPr>
        <w:spacing w:after="0" w:line="276" w:lineRule="auto"/>
        <w:ind w:firstLine="0"/>
        <w:rPr>
          <w:rFonts w:asciiTheme="majorHAnsi" w:hAnsiTheme="majorHAnsi"/>
        </w:rPr>
      </w:pPr>
      <w:r w:rsidRPr="00D276FE">
        <w:rPr>
          <w:rFonts w:asciiTheme="majorHAnsi" w:hAnsiTheme="majorHAnsi"/>
          <w:b/>
          <w:bCs/>
          <w:i/>
          <w:iCs/>
          <w:sz w:val="28"/>
          <w:szCs w:val="28"/>
        </w:rPr>
        <w:t>Climate services background</w:t>
      </w:r>
    </w:p>
    <w:p w14:paraId="5356FCDF" w14:textId="0C50D441" w:rsidR="008F1B65" w:rsidRPr="00D276FE" w:rsidRDefault="008F1B65" w:rsidP="008F1B65">
      <w:pPr>
        <w:spacing w:after="0" w:line="276" w:lineRule="auto"/>
        <w:ind w:firstLine="0"/>
        <w:rPr>
          <w:rFonts w:asciiTheme="majorHAnsi" w:hAnsiTheme="majorHAnsi"/>
        </w:rPr>
      </w:pPr>
      <w:r w:rsidRPr="00D276FE">
        <w:rPr>
          <w:rFonts w:asciiTheme="majorHAnsi" w:hAnsiTheme="majorHAnsi"/>
        </w:rPr>
        <w:t>Climate services encompass the development and dissemination of climate adaptation products and other climate-related tools. Since emerging a few decades ago, the field has grown through initiatives such as the World Meteorological Organization’s Global Framework for Climate Services (GFCS), national climate services centers, and promotion by organizations including the European Union</w:t>
      </w:r>
      <w:r w:rsidRPr="00D276FE">
        <w:rPr>
          <w:rFonts w:asciiTheme="majorHAnsi" w:hAnsiTheme="majorHAnsi"/>
          <w:color w:val="0432FF"/>
          <w:vertAlign w:val="superscript"/>
        </w:rPr>
        <w:t>13, 14, 29</w:t>
      </w:r>
      <w:r w:rsidRPr="00D276FE">
        <w:rPr>
          <w:rFonts w:asciiTheme="majorHAnsi" w:hAnsiTheme="majorHAnsi"/>
        </w:rPr>
        <w:t xml:space="preserve">. </w:t>
      </w:r>
    </w:p>
    <w:p w14:paraId="078297B1" w14:textId="77777777" w:rsidR="008F1B65" w:rsidRPr="00D276FE" w:rsidRDefault="008F1B65" w:rsidP="008F1B65">
      <w:pPr>
        <w:spacing w:after="0" w:line="276" w:lineRule="auto"/>
        <w:ind w:firstLine="0"/>
        <w:rPr>
          <w:rFonts w:asciiTheme="majorHAnsi" w:hAnsiTheme="majorHAnsi"/>
        </w:rPr>
      </w:pPr>
    </w:p>
    <w:p w14:paraId="44BE32A0" w14:textId="349CF295" w:rsidR="008F1B65" w:rsidRPr="00D276FE" w:rsidRDefault="008F1B65" w:rsidP="008F1B65">
      <w:pPr>
        <w:spacing w:after="0" w:line="276" w:lineRule="auto"/>
        <w:ind w:firstLine="0"/>
        <w:rPr>
          <w:rFonts w:asciiTheme="majorHAnsi" w:hAnsiTheme="majorHAnsi"/>
        </w:rPr>
      </w:pPr>
      <w:r w:rsidRPr="00D276FE">
        <w:rPr>
          <w:rFonts w:asciiTheme="majorHAnsi" w:hAnsiTheme="majorHAnsi"/>
        </w:rPr>
        <w:t>Although definitions and terminology vary, climate services generally refer to the use and tailoring of climate information to support decision-making on adaptation, mitigation, and other climate-related topics</w:t>
      </w:r>
      <w:r w:rsidRPr="00D276FE">
        <w:rPr>
          <w:rFonts w:asciiTheme="majorHAnsi" w:hAnsiTheme="majorHAnsi"/>
          <w:color w:val="0432FF"/>
          <w:vertAlign w:val="superscript"/>
        </w:rPr>
        <w:t>1, 2, 19, 30, 53, 54</w:t>
      </w:r>
      <w:r w:rsidRPr="00D276FE">
        <w:rPr>
          <w:rFonts w:asciiTheme="majorHAnsi" w:hAnsiTheme="majorHAnsi"/>
        </w:rPr>
        <w:t>. Climate services are often framed as the production, translation, and transfer of climate information, with an emphasis on usable, actionable, and tailored information for decision-makers</w:t>
      </w:r>
      <w:r w:rsidRPr="00D276FE">
        <w:rPr>
          <w:rFonts w:asciiTheme="majorHAnsi" w:hAnsiTheme="majorHAnsi"/>
          <w:color w:val="0432FF"/>
          <w:vertAlign w:val="superscript"/>
        </w:rPr>
        <w:t>11, 25</w:t>
      </w:r>
      <w:r w:rsidRPr="00D276FE">
        <w:rPr>
          <w:rFonts w:asciiTheme="majorHAnsi" w:hAnsiTheme="majorHAnsi"/>
        </w:rPr>
        <w:t xml:space="preserve">. </w:t>
      </w:r>
    </w:p>
    <w:p w14:paraId="22A7CCF2" w14:textId="77777777" w:rsidR="008F1B65" w:rsidRPr="00D276FE" w:rsidRDefault="008F1B65" w:rsidP="008F1B65">
      <w:pPr>
        <w:spacing w:after="0" w:line="276" w:lineRule="auto"/>
        <w:ind w:firstLine="0"/>
        <w:rPr>
          <w:rFonts w:asciiTheme="majorHAnsi" w:hAnsiTheme="majorHAnsi"/>
        </w:rPr>
      </w:pPr>
    </w:p>
    <w:p w14:paraId="3A1FBF0B" w14:textId="31D4CEE3" w:rsidR="008F1B65" w:rsidRPr="00D276FE" w:rsidRDefault="008F1B65" w:rsidP="008F1B65">
      <w:pPr>
        <w:spacing w:after="0" w:line="276" w:lineRule="auto"/>
        <w:ind w:firstLine="0"/>
        <w:rPr>
          <w:rFonts w:asciiTheme="majorHAnsi" w:hAnsiTheme="majorHAnsi"/>
        </w:rPr>
      </w:pPr>
      <w:r w:rsidRPr="00D276FE">
        <w:rPr>
          <w:rFonts w:asciiTheme="majorHAnsi" w:hAnsiTheme="majorHAnsi"/>
        </w:rPr>
        <w:t>For climate adaptation products, in particular, the information the products contain, use, or deliver can include shorter-term weather data, longer-term climate data, physical measurements, climate impact variables, expert advice, and more</w:t>
      </w:r>
      <w:r w:rsidRPr="00D276FE">
        <w:rPr>
          <w:rFonts w:asciiTheme="majorHAnsi" w:hAnsiTheme="majorHAnsi"/>
          <w:color w:val="0432FF"/>
          <w:vertAlign w:val="superscript"/>
        </w:rPr>
        <w:t>2, 25, 43</w:t>
      </w:r>
      <w:r w:rsidRPr="00D276FE">
        <w:rPr>
          <w:rFonts w:asciiTheme="majorHAnsi" w:hAnsiTheme="majorHAnsi"/>
        </w:rPr>
        <w:t>. Climate adaptation products can also span timescales from sub-seasonal to decadal and delivery mediums from fully digital and software-based products to non-digital formats</w:t>
      </w:r>
      <w:r w:rsidRPr="00D276FE">
        <w:rPr>
          <w:rFonts w:asciiTheme="majorHAnsi" w:hAnsiTheme="majorHAnsi"/>
          <w:color w:val="0432FF"/>
          <w:vertAlign w:val="superscript"/>
        </w:rPr>
        <w:t>3</w:t>
      </w:r>
      <w:r w:rsidRPr="00D276FE">
        <w:rPr>
          <w:rFonts w:asciiTheme="majorHAnsi" w:hAnsiTheme="majorHAnsi"/>
        </w:rPr>
        <w:t>. These products can support decisions in areas such as climate risk and impact assessment, planning and infrastructure, and resource management</w:t>
      </w:r>
      <w:r w:rsidRPr="00D276FE">
        <w:rPr>
          <w:rFonts w:asciiTheme="majorHAnsi" w:hAnsiTheme="majorHAnsi"/>
          <w:color w:val="0432FF"/>
          <w:vertAlign w:val="superscript"/>
        </w:rPr>
        <w:t>16, 55-57</w:t>
      </w:r>
      <w:r w:rsidRPr="00D276FE">
        <w:rPr>
          <w:rFonts w:asciiTheme="majorHAnsi" w:hAnsiTheme="majorHAnsi"/>
        </w:rPr>
        <w:t xml:space="preserve">. </w:t>
      </w:r>
    </w:p>
    <w:p w14:paraId="28F06C4A" w14:textId="77777777" w:rsidR="008F1B65" w:rsidRPr="00D276FE" w:rsidRDefault="008F1B65" w:rsidP="008F1B65">
      <w:pPr>
        <w:spacing w:after="0" w:line="276" w:lineRule="auto"/>
        <w:ind w:firstLine="0"/>
        <w:rPr>
          <w:rFonts w:asciiTheme="majorHAnsi" w:hAnsiTheme="majorHAnsi"/>
        </w:rPr>
      </w:pPr>
    </w:p>
    <w:p w14:paraId="16CB460F" w14:textId="6BA38E3A" w:rsidR="008F1B65" w:rsidRPr="00D276FE" w:rsidRDefault="008F1B65" w:rsidP="008F1B65">
      <w:pPr>
        <w:spacing w:after="0" w:line="276" w:lineRule="auto"/>
        <w:ind w:firstLine="0"/>
        <w:rPr>
          <w:rFonts w:asciiTheme="majorHAnsi" w:hAnsiTheme="majorHAnsi"/>
        </w:rPr>
      </w:pPr>
      <w:r w:rsidRPr="00D276FE">
        <w:rPr>
          <w:rFonts w:asciiTheme="majorHAnsi" w:hAnsiTheme="majorHAnsi"/>
        </w:rPr>
        <w:t>Despite their intent, climate adaptation products often fall short of practical user needs and the urgency of current climate risks</w:t>
      </w:r>
      <w:r w:rsidRPr="00D276FE">
        <w:rPr>
          <w:rFonts w:asciiTheme="majorHAnsi" w:hAnsiTheme="majorHAnsi"/>
          <w:color w:val="0432FF"/>
          <w:vertAlign w:val="superscript"/>
        </w:rPr>
        <w:t>29, 44</w:t>
      </w:r>
      <w:r w:rsidRPr="00D276FE">
        <w:rPr>
          <w:rFonts w:asciiTheme="majorHAnsi" w:hAnsiTheme="majorHAnsi"/>
        </w:rPr>
        <w:t>. Many products fail to deliver timely, decision-relevant insights, limiting their value for adaptation action</w:t>
      </w:r>
      <w:r w:rsidRPr="00D276FE">
        <w:rPr>
          <w:rFonts w:asciiTheme="majorHAnsi" w:hAnsiTheme="majorHAnsi"/>
          <w:color w:val="0432FF"/>
          <w:vertAlign w:val="superscript"/>
        </w:rPr>
        <w:t>5, 23, 29</w:t>
      </w:r>
      <w:r w:rsidRPr="00D276FE">
        <w:rPr>
          <w:rFonts w:asciiTheme="majorHAnsi" w:hAnsiTheme="majorHAnsi"/>
        </w:rPr>
        <w:t>. As warming thresholds are surpassed, there is a growing need for product development approaches that help users interpret diverse climate information and support long-term as well as immediate and near-term adaptation decisions</w:t>
      </w:r>
      <w:r w:rsidRPr="00D276FE">
        <w:rPr>
          <w:rFonts w:asciiTheme="majorHAnsi" w:hAnsiTheme="majorHAnsi"/>
          <w:color w:val="0432FF"/>
          <w:vertAlign w:val="superscript"/>
        </w:rPr>
        <w:t>1, 12, 19, 20, 23, 54</w:t>
      </w:r>
      <w:r w:rsidRPr="00D276FE">
        <w:rPr>
          <w:rFonts w:asciiTheme="majorHAnsi" w:hAnsiTheme="majorHAnsi"/>
        </w:rPr>
        <w:t>.</w:t>
      </w:r>
    </w:p>
    <w:p w14:paraId="032DF297" w14:textId="77777777" w:rsidR="008F1B65" w:rsidRPr="00D276FE" w:rsidRDefault="008F1B65" w:rsidP="0033532F">
      <w:pPr>
        <w:spacing w:after="0" w:line="276" w:lineRule="auto"/>
        <w:ind w:firstLine="0"/>
        <w:rPr>
          <w:rFonts w:asciiTheme="majorHAnsi" w:hAnsiTheme="majorHAnsi"/>
        </w:rPr>
      </w:pPr>
    </w:p>
    <w:p w14:paraId="49B23157" w14:textId="6DE15A66" w:rsidR="00BD36A6" w:rsidRPr="00D276FE" w:rsidRDefault="00BD36A6" w:rsidP="00BD36A6">
      <w:pPr>
        <w:spacing w:after="0" w:line="276" w:lineRule="auto"/>
        <w:ind w:firstLine="0"/>
        <w:rPr>
          <w:rFonts w:asciiTheme="majorHAnsi" w:hAnsiTheme="majorHAnsi"/>
        </w:rPr>
      </w:pPr>
      <w:r w:rsidRPr="00D276FE">
        <w:rPr>
          <w:rFonts w:asciiTheme="majorHAnsi" w:hAnsiTheme="majorHAnsi"/>
          <w:b/>
          <w:bCs/>
          <w:i/>
          <w:iCs/>
          <w:sz w:val="28"/>
          <w:szCs w:val="28"/>
        </w:rPr>
        <w:t>User needs background</w:t>
      </w:r>
    </w:p>
    <w:p w14:paraId="42489FA0" w14:textId="68A1A657" w:rsidR="00BD36A6" w:rsidRPr="00D276FE" w:rsidRDefault="00BD36A6" w:rsidP="0033532F">
      <w:pPr>
        <w:spacing w:after="0" w:line="276" w:lineRule="auto"/>
        <w:ind w:firstLine="0"/>
        <w:rPr>
          <w:rFonts w:asciiTheme="majorHAnsi" w:hAnsiTheme="majorHAnsi"/>
        </w:rPr>
      </w:pPr>
      <w:r w:rsidRPr="00D276FE">
        <w:rPr>
          <w:rFonts w:asciiTheme="majorHAnsi" w:hAnsiTheme="majorHAnsi"/>
        </w:rPr>
        <w:t>Meeting user needs for climate adaptation requires addressing numerous aspects. There is the aspect of uncertainty in future climate conditions and the need for scientific expertise to interpret projections and results, alongside the need to understand adaptive capacity across organizational and governance scales</w:t>
      </w:r>
      <w:r w:rsidRPr="00D276FE">
        <w:rPr>
          <w:rFonts w:asciiTheme="majorHAnsi" w:hAnsiTheme="majorHAnsi"/>
          <w:color w:val="0432FF"/>
          <w:vertAlign w:val="superscript"/>
        </w:rPr>
        <w:t>1, 13, 19, 58</w:t>
      </w:r>
      <w:r w:rsidRPr="00D276FE">
        <w:rPr>
          <w:rFonts w:asciiTheme="majorHAnsi" w:hAnsiTheme="majorHAnsi"/>
        </w:rPr>
        <w:t>. There is the breadth of short- and long-term adaptation options and how they interact with broader societal and environmental dynamics</w:t>
      </w:r>
      <w:r w:rsidRPr="00D276FE">
        <w:rPr>
          <w:rFonts w:asciiTheme="majorHAnsi" w:hAnsiTheme="majorHAnsi"/>
          <w:color w:val="0432FF"/>
          <w:vertAlign w:val="superscript"/>
        </w:rPr>
        <w:t>56, 57</w:t>
      </w:r>
      <w:r w:rsidRPr="00D276FE">
        <w:rPr>
          <w:rFonts w:asciiTheme="majorHAnsi" w:hAnsiTheme="majorHAnsi"/>
        </w:rPr>
        <w:t>. There is the need to understand user context and the challenge of navigating multi-stakeholder decision-making with competing interests</w:t>
      </w:r>
      <w:r w:rsidRPr="00D276FE">
        <w:rPr>
          <w:rFonts w:asciiTheme="majorHAnsi" w:hAnsiTheme="majorHAnsi"/>
          <w:color w:val="0432FF"/>
          <w:vertAlign w:val="superscript"/>
        </w:rPr>
        <w:t>13, 28</w:t>
      </w:r>
      <w:r w:rsidRPr="00D276FE">
        <w:rPr>
          <w:rFonts w:asciiTheme="majorHAnsi" w:hAnsiTheme="majorHAnsi"/>
        </w:rPr>
        <w:t>. And there is the need for timely delivery to support decisions under urgent or rapidly evolving climate conditions</w:t>
      </w:r>
      <w:r w:rsidRPr="00D276FE">
        <w:rPr>
          <w:rFonts w:asciiTheme="majorHAnsi" w:hAnsiTheme="majorHAnsi"/>
          <w:color w:val="0432FF"/>
          <w:vertAlign w:val="superscript"/>
        </w:rPr>
        <w:t>4, 5</w:t>
      </w:r>
      <w:r w:rsidRPr="00D276FE">
        <w:rPr>
          <w:rFonts w:asciiTheme="majorHAnsi" w:hAnsiTheme="majorHAnsi"/>
        </w:rPr>
        <w:t xml:space="preserve">. </w:t>
      </w:r>
    </w:p>
    <w:p w14:paraId="3A23BE32" w14:textId="77777777" w:rsidR="00BD36A6" w:rsidRPr="00D276FE" w:rsidRDefault="00BD36A6" w:rsidP="0033532F">
      <w:pPr>
        <w:spacing w:after="0" w:line="276" w:lineRule="auto"/>
        <w:ind w:firstLine="0"/>
        <w:rPr>
          <w:rFonts w:asciiTheme="majorHAnsi" w:hAnsiTheme="majorHAnsi"/>
        </w:rPr>
      </w:pPr>
    </w:p>
    <w:p w14:paraId="303D9C5F" w14:textId="4A2A5F43" w:rsidR="008F1B65" w:rsidRPr="00D276FE" w:rsidRDefault="00BD36A6" w:rsidP="0033532F">
      <w:pPr>
        <w:spacing w:after="0" w:line="276" w:lineRule="auto"/>
        <w:ind w:firstLine="0"/>
        <w:rPr>
          <w:rFonts w:asciiTheme="majorHAnsi" w:hAnsiTheme="majorHAnsi"/>
        </w:rPr>
      </w:pPr>
      <w:r w:rsidRPr="00D276FE">
        <w:rPr>
          <w:rFonts w:asciiTheme="majorHAnsi" w:hAnsiTheme="majorHAnsi"/>
        </w:rPr>
        <w:t>To surmount these complexities and build efficacious climate adaptation products, the climate services literature typically emphasizes core tenets of salience (relevance), credibility (quality and dependability), and legitimacy (impartiality and fairness)</w:t>
      </w:r>
      <w:r w:rsidRPr="00D276FE">
        <w:rPr>
          <w:rFonts w:asciiTheme="majorHAnsi" w:hAnsiTheme="majorHAnsi"/>
          <w:color w:val="0432FF"/>
          <w:vertAlign w:val="superscript"/>
        </w:rPr>
        <w:t>5, 8, 19, 30, 43, 58-60</w:t>
      </w:r>
      <w:r w:rsidRPr="00D276FE">
        <w:rPr>
          <w:rFonts w:asciiTheme="majorHAnsi" w:hAnsiTheme="majorHAnsi"/>
        </w:rPr>
        <w:t>.</w:t>
      </w:r>
    </w:p>
    <w:p w14:paraId="49C9F854" w14:textId="77777777" w:rsidR="00BD36A6" w:rsidRPr="00D276FE" w:rsidRDefault="00BD36A6" w:rsidP="0033532F">
      <w:pPr>
        <w:spacing w:after="0" w:line="276" w:lineRule="auto"/>
        <w:ind w:firstLine="0"/>
        <w:rPr>
          <w:rFonts w:asciiTheme="majorHAnsi" w:hAnsiTheme="majorHAnsi"/>
        </w:rPr>
      </w:pPr>
    </w:p>
    <w:p w14:paraId="35D7D04B" w14:textId="50AF56D3" w:rsidR="00BD36A6" w:rsidRPr="00D276FE" w:rsidRDefault="00BD36A6" w:rsidP="0033532F">
      <w:pPr>
        <w:spacing w:after="0" w:line="276" w:lineRule="auto"/>
        <w:ind w:firstLine="0"/>
        <w:rPr>
          <w:rFonts w:asciiTheme="majorHAnsi" w:hAnsiTheme="majorHAnsi"/>
        </w:rPr>
      </w:pPr>
      <w:r w:rsidRPr="00D276FE">
        <w:rPr>
          <w:rFonts w:asciiTheme="majorHAnsi" w:hAnsiTheme="majorHAnsi"/>
        </w:rPr>
        <w:t>Salience underscores that one-size-fits-all, supply-driven information is often ineffective because user groups need different types of information</w:t>
      </w:r>
      <w:r w:rsidRPr="00D276FE">
        <w:rPr>
          <w:rFonts w:asciiTheme="majorHAnsi" w:hAnsiTheme="majorHAnsi"/>
          <w:color w:val="0432FF"/>
          <w:vertAlign w:val="superscript"/>
        </w:rPr>
        <w:t>42</w:t>
      </w:r>
      <w:r w:rsidRPr="00D276FE">
        <w:rPr>
          <w:rFonts w:asciiTheme="majorHAnsi" w:hAnsiTheme="majorHAnsi"/>
        </w:rPr>
        <w:t>. For climate adaptation products, this means tailoring information and delivery to ensure it is relevant to the decisions it will inform</w:t>
      </w:r>
      <w:r w:rsidRPr="00D276FE">
        <w:rPr>
          <w:rFonts w:asciiTheme="majorHAnsi" w:hAnsiTheme="majorHAnsi"/>
          <w:color w:val="0432FF"/>
          <w:vertAlign w:val="superscript"/>
        </w:rPr>
        <w:t>41</w:t>
      </w:r>
      <w:r w:rsidRPr="00D276FE">
        <w:rPr>
          <w:rFonts w:asciiTheme="majorHAnsi" w:hAnsiTheme="majorHAnsi"/>
        </w:rPr>
        <w:t>. Salience can also involve adjusting spatial and temporal scales to fit decision context, using clear prose or visuals, tailoring the level of detail to help users absorb information, linking information to local contexts through customized metrics, and using stories that resonate with users’ livelihoods</w:t>
      </w:r>
      <w:r w:rsidRPr="00D276FE">
        <w:rPr>
          <w:rFonts w:asciiTheme="majorHAnsi" w:hAnsiTheme="majorHAnsi"/>
          <w:color w:val="0432FF"/>
          <w:vertAlign w:val="superscript"/>
        </w:rPr>
        <w:t>42, 61-65</w:t>
      </w:r>
      <w:r w:rsidRPr="00D276FE">
        <w:rPr>
          <w:rFonts w:asciiTheme="majorHAnsi" w:hAnsiTheme="majorHAnsi"/>
        </w:rPr>
        <w:t xml:space="preserve">. </w:t>
      </w:r>
    </w:p>
    <w:p w14:paraId="4DAAB1CA" w14:textId="77777777" w:rsidR="00BD36A6" w:rsidRPr="00D276FE" w:rsidRDefault="00BD36A6" w:rsidP="0033532F">
      <w:pPr>
        <w:spacing w:after="0" w:line="276" w:lineRule="auto"/>
        <w:ind w:firstLine="0"/>
        <w:rPr>
          <w:rFonts w:asciiTheme="majorHAnsi" w:hAnsiTheme="majorHAnsi"/>
        </w:rPr>
      </w:pPr>
    </w:p>
    <w:p w14:paraId="269DB033" w14:textId="2B1B1853" w:rsidR="00BD36A6" w:rsidRPr="00D276FE" w:rsidRDefault="00BD36A6" w:rsidP="0033532F">
      <w:pPr>
        <w:spacing w:after="0" w:line="276" w:lineRule="auto"/>
        <w:ind w:firstLine="0"/>
        <w:rPr>
          <w:rFonts w:asciiTheme="majorHAnsi" w:hAnsiTheme="majorHAnsi"/>
        </w:rPr>
      </w:pPr>
      <w:r w:rsidRPr="00D276FE">
        <w:rPr>
          <w:rFonts w:asciiTheme="majorHAnsi" w:hAnsiTheme="majorHAnsi"/>
        </w:rPr>
        <w:t>Credibility centers on information quality and whether users trust a product’s results</w:t>
      </w:r>
      <w:r w:rsidRPr="00D276FE">
        <w:rPr>
          <w:rFonts w:asciiTheme="majorHAnsi" w:hAnsiTheme="majorHAnsi"/>
          <w:color w:val="0432FF"/>
          <w:vertAlign w:val="superscript"/>
        </w:rPr>
        <w:t>8, 42</w:t>
      </w:r>
      <w:r w:rsidRPr="00D276FE">
        <w:rPr>
          <w:rFonts w:asciiTheme="majorHAnsi" w:hAnsiTheme="majorHAnsi"/>
        </w:rPr>
        <w:t>. For climate adaptation products using weather forecasts or climate projections, credibility depends on clearly communicating uncertainty so users’ expectations for future scenarios are aligned with what the information can support</w:t>
      </w:r>
      <w:r w:rsidRPr="00D276FE">
        <w:rPr>
          <w:rFonts w:asciiTheme="majorHAnsi" w:hAnsiTheme="majorHAnsi"/>
          <w:color w:val="0432FF"/>
          <w:vertAlign w:val="superscript"/>
        </w:rPr>
        <w:t>8, 63</w:t>
      </w:r>
      <w:r w:rsidRPr="00D276FE">
        <w:rPr>
          <w:rFonts w:asciiTheme="majorHAnsi" w:hAnsiTheme="majorHAnsi"/>
        </w:rPr>
        <w:t>. Credibility can also involve using trusted data sources, documenting assumptions and methods, adhering to data and metadata standards, implementing quality assurance, and tailoring communication about confidence and uncertainty</w:t>
      </w:r>
      <w:r w:rsidRPr="00D276FE">
        <w:rPr>
          <w:rFonts w:asciiTheme="majorHAnsi" w:hAnsiTheme="majorHAnsi"/>
          <w:color w:val="0432FF"/>
          <w:vertAlign w:val="superscript"/>
        </w:rPr>
        <w:t>3, 25, 26, 43, 62</w:t>
      </w:r>
      <w:r w:rsidRPr="00D276FE">
        <w:rPr>
          <w:rFonts w:asciiTheme="majorHAnsi" w:hAnsiTheme="majorHAnsi"/>
        </w:rPr>
        <w:t xml:space="preserve">. </w:t>
      </w:r>
    </w:p>
    <w:p w14:paraId="0811488F" w14:textId="77777777" w:rsidR="00BD36A6" w:rsidRPr="00D276FE" w:rsidRDefault="00BD36A6" w:rsidP="0033532F">
      <w:pPr>
        <w:spacing w:after="0" w:line="276" w:lineRule="auto"/>
        <w:ind w:firstLine="0"/>
        <w:rPr>
          <w:rFonts w:asciiTheme="majorHAnsi" w:hAnsiTheme="majorHAnsi"/>
        </w:rPr>
      </w:pPr>
    </w:p>
    <w:p w14:paraId="4EBD900E" w14:textId="517E9BED" w:rsidR="00BD36A6" w:rsidRPr="00D276FE" w:rsidRDefault="00BD36A6" w:rsidP="0033532F">
      <w:pPr>
        <w:spacing w:after="0" w:line="276" w:lineRule="auto"/>
        <w:ind w:firstLine="0"/>
        <w:rPr>
          <w:rFonts w:asciiTheme="majorHAnsi" w:hAnsiTheme="majorHAnsi"/>
        </w:rPr>
      </w:pPr>
      <w:r w:rsidRPr="00D276FE">
        <w:rPr>
          <w:rFonts w:asciiTheme="majorHAnsi" w:hAnsiTheme="majorHAnsi"/>
        </w:rPr>
        <w:lastRenderedPageBreak/>
        <w:t>Legitimacy involves aligning with users’ standards, values, and norms and maintaining transparency in the process</w:t>
      </w:r>
      <w:r w:rsidRPr="00D276FE">
        <w:rPr>
          <w:rFonts w:asciiTheme="majorHAnsi" w:hAnsiTheme="majorHAnsi"/>
          <w:color w:val="0432FF"/>
          <w:vertAlign w:val="superscript"/>
        </w:rPr>
        <w:t>8, 26, 63</w:t>
      </w:r>
      <w:r w:rsidRPr="00D276FE">
        <w:rPr>
          <w:rFonts w:asciiTheme="majorHAnsi" w:hAnsiTheme="majorHAnsi"/>
        </w:rPr>
        <w:t>. For climate adaptation products, legitimacy depends on respecting user views and feedback to build mutual trust between developers and users</w:t>
      </w:r>
      <w:r w:rsidRPr="00D276FE">
        <w:rPr>
          <w:rFonts w:asciiTheme="majorHAnsi" w:hAnsiTheme="majorHAnsi"/>
          <w:color w:val="0432FF"/>
          <w:vertAlign w:val="superscript"/>
        </w:rPr>
        <w:t>36, 63</w:t>
      </w:r>
      <w:r w:rsidRPr="00D276FE">
        <w:rPr>
          <w:rFonts w:asciiTheme="majorHAnsi" w:hAnsiTheme="majorHAnsi"/>
        </w:rPr>
        <w:t>. Legitimacy can also involve adhering to national and global standards, incorporating feedback, tracing results to reliable sources, following agreed work plans, aligning with local knowledge and values, and communicating transparently</w:t>
      </w:r>
      <w:r w:rsidRPr="00D276FE">
        <w:rPr>
          <w:rFonts w:asciiTheme="majorHAnsi" w:hAnsiTheme="majorHAnsi"/>
          <w:color w:val="0432FF"/>
          <w:vertAlign w:val="superscript"/>
        </w:rPr>
        <w:t>8, 25, 26, 44, 63, 66</w:t>
      </w:r>
      <w:r w:rsidRPr="00D276FE">
        <w:rPr>
          <w:rFonts w:asciiTheme="majorHAnsi" w:hAnsiTheme="majorHAnsi"/>
        </w:rPr>
        <w:t>. Salience, credibility, and legitimacy are interconnected and rely on sustained dialogue and collaboration between developers and users</w:t>
      </w:r>
      <w:r w:rsidRPr="00D276FE">
        <w:rPr>
          <w:rFonts w:asciiTheme="majorHAnsi" w:hAnsiTheme="majorHAnsi"/>
          <w:color w:val="0432FF"/>
          <w:vertAlign w:val="superscript"/>
        </w:rPr>
        <w:t>42</w:t>
      </w:r>
      <w:r w:rsidRPr="00D276FE">
        <w:rPr>
          <w:rFonts w:asciiTheme="majorHAnsi" w:hAnsiTheme="majorHAnsi"/>
        </w:rPr>
        <w:t>. These criteria provide a benchmark for how to pursue a demand-driven model for climate adaptation product development and build products that are more likely to meet users’ needs, be used by decision-makers, and influence adaptation action</w:t>
      </w:r>
      <w:r w:rsidRPr="00D276FE">
        <w:rPr>
          <w:rFonts w:asciiTheme="majorHAnsi" w:hAnsiTheme="majorHAnsi"/>
          <w:color w:val="0432FF"/>
          <w:vertAlign w:val="superscript"/>
        </w:rPr>
        <w:t>3</w:t>
      </w:r>
      <w:r w:rsidRPr="00D276FE">
        <w:rPr>
          <w:rFonts w:asciiTheme="majorHAnsi" w:hAnsiTheme="majorHAnsi"/>
        </w:rPr>
        <w:t>.</w:t>
      </w:r>
    </w:p>
    <w:p w14:paraId="45D1490E" w14:textId="77777777" w:rsidR="00BD36A6" w:rsidRPr="00D276FE" w:rsidRDefault="00BD36A6" w:rsidP="0033532F">
      <w:pPr>
        <w:spacing w:after="0" w:line="276" w:lineRule="auto"/>
        <w:ind w:firstLine="0"/>
        <w:rPr>
          <w:rFonts w:asciiTheme="majorHAnsi" w:hAnsiTheme="majorHAnsi"/>
        </w:rPr>
      </w:pPr>
    </w:p>
    <w:p w14:paraId="6F81AF13" w14:textId="46416EE6" w:rsidR="00BD36A6" w:rsidRPr="00D276FE" w:rsidRDefault="00BD36A6" w:rsidP="00BD36A6">
      <w:pPr>
        <w:spacing w:after="0" w:line="276" w:lineRule="auto"/>
        <w:ind w:firstLine="0"/>
        <w:rPr>
          <w:rFonts w:asciiTheme="majorHAnsi" w:hAnsiTheme="majorHAnsi"/>
        </w:rPr>
      </w:pPr>
      <w:r w:rsidRPr="00D276FE">
        <w:rPr>
          <w:rFonts w:asciiTheme="majorHAnsi" w:hAnsiTheme="majorHAnsi"/>
          <w:b/>
          <w:bCs/>
          <w:i/>
          <w:iCs/>
          <w:sz w:val="28"/>
          <w:szCs w:val="28"/>
        </w:rPr>
        <w:t>Co-production background</w:t>
      </w:r>
    </w:p>
    <w:p w14:paraId="3F945F9C" w14:textId="345EC49D" w:rsidR="00BD36A6" w:rsidRPr="00D276FE" w:rsidRDefault="00BD36A6" w:rsidP="0033532F">
      <w:pPr>
        <w:spacing w:after="0" w:line="276" w:lineRule="auto"/>
        <w:ind w:firstLine="0"/>
        <w:rPr>
          <w:rFonts w:asciiTheme="majorHAnsi" w:hAnsiTheme="majorHAnsi"/>
        </w:rPr>
      </w:pPr>
      <w:r w:rsidRPr="00D276FE">
        <w:rPr>
          <w:rFonts w:asciiTheme="majorHAnsi" w:hAnsiTheme="majorHAnsi"/>
        </w:rPr>
        <w:t>Climate services literature often advocates for co-production, a wide-ranging theory of research engagement, interaction, and collaboration, to build salient, credible, and legitimate products and help close the usability gap</w:t>
      </w:r>
      <w:r w:rsidRPr="00D276FE">
        <w:rPr>
          <w:rFonts w:asciiTheme="majorHAnsi" w:hAnsiTheme="majorHAnsi"/>
          <w:color w:val="0432FF"/>
          <w:vertAlign w:val="superscript"/>
        </w:rPr>
        <w:t>5, 6, 18, 29, 31, 34, 36, 64</w:t>
      </w:r>
      <w:r w:rsidRPr="00D276FE">
        <w:rPr>
          <w:rFonts w:asciiTheme="majorHAnsi" w:hAnsiTheme="majorHAnsi"/>
        </w:rPr>
        <w:t>. Co-production is typically described as the integration of diverse knowledge, experiences, and practices to foster mutual learning and develop new ideas, products, processes, or outcomes</w:t>
      </w:r>
      <w:r w:rsidRPr="00D276FE">
        <w:rPr>
          <w:rFonts w:asciiTheme="majorHAnsi" w:hAnsiTheme="majorHAnsi"/>
          <w:color w:val="0432FF"/>
          <w:vertAlign w:val="superscript"/>
        </w:rPr>
        <w:t>6, 67, 68</w:t>
      </w:r>
      <w:r w:rsidRPr="00D276FE">
        <w:rPr>
          <w:rFonts w:asciiTheme="majorHAnsi" w:hAnsiTheme="majorHAnsi"/>
        </w:rPr>
        <w:t>. It often integrates participatory approaches, including related ‘co-’ terms such as co-design and co-development</w:t>
      </w:r>
      <w:r w:rsidRPr="00D276FE">
        <w:rPr>
          <w:rFonts w:asciiTheme="majorHAnsi" w:hAnsiTheme="majorHAnsi"/>
          <w:color w:val="0432FF"/>
          <w:vertAlign w:val="superscript"/>
        </w:rPr>
        <w:t>6, 29, 31, 34, 61, 64, 69</w:t>
      </w:r>
      <w:r w:rsidRPr="00D276FE">
        <w:rPr>
          <w:rFonts w:asciiTheme="majorHAnsi" w:hAnsiTheme="majorHAnsi"/>
        </w:rPr>
        <w:t xml:space="preserve">. </w:t>
      </w:r>
    </w:p>
    <w:p w14:paraId="2D8FE763" w14:textId="77777777" w:rsidR="00BD36A6" w:rsidRPr="00D276FE" w:rsidRDefault="00BD36A6" w:rsidP="0033532F">
      <w:pPr>
        <w:spacing w:after="0" w:line="276" w:lineRule="auto"/>
        <w:ind w:firstLine="0"/>
        <w:rPr>
          <w:rFonts w:asciiTheme="majorHAnsi" w:hAnsiTheme="majorHAnsi"/>
        </w:rPr>
      </w:pPr>
    </w:p>
    <w:p w14:paraId="72238358" w14:textId="520D7C6F" w:rsidR="00BD36A6" w:rsidRPr="00D276FE" w:rsidRDefault="00BD36A6" w:rsidP="0033532F">
      <w:pPr>
        <w:spacing w:after="0" w:line="276" w:lineRule="auto"/>
        <w:ind w:firstLine="0"/>
        <w:rPr>
          <w:rFonts w:asciiTheme="majorHAnsi" w:hAnsiTheme="majorHAnsi"/>
        </w:rPr>
      </w:pPr>
      <w:r w:rsidRPr="00D276FE">
        <w:rPr>
          <w:rFonts w:asciiTheme="majorHAnsi" w:hAnsiTheme="majorHAnsi"/>
        </w:rPr>
        <w:t>Co-production spans disciplines beyond climate services, with roots in participatory development, public services administration, and science, technology, and policy, and is conceptualized differently across fields</w:t>
      </w:r>
      <w:r w:rsidRPr="00D276FE">
        <w:rPr>
          <w:rFonts w:asciiTheme="majorHAnsi" w:hAnsiTheme="majorHAnsi"/>
          <w:color w:val="0432FF"/>
          <w:vertAlign w:val="superscript"/>
        </w:rPr>
        <w:t>5, 18</w:t>
      </w:r>
      <w:r w:rsidRPr="00D276FE">
        <w:rPr>
          <w:rFonts w:asciiTheme="majorHAnsi" w:hAnsiTheme="majorHAnsi"/>
        </w:rPr>
        <w:t>. Even within climate services, co-production lacks a standardized approach</w:t>
      </w:r>
      <w:r w:rsidRPr="00D276FE">
        <w:rPr>
          <w:rFonts w:asciiTheme="majorHAnsi" w:hAnsiTheme="majorHAnsi"/>
          <w:color w:val="0432FF"/>
          <w:vertAlign w:val="superscript"/>
        </w:rPr>
        <w:t>13, 16, 29, 30</w:t>
      </w:r>
      <w:r w:rsidRPr="00D276FE">
        <w:rPr>
          <w:rFonts w:asciiTheme="majorHAnsi" w:hAnsiTheme="majorHAnsi"/>
        </w:rPr>
        <w:t>. While recent discussions have explored the potential for greater standardization in the development and delivery of climate services</w:t>
      </w:r>
      <w:r w:rsidRPr="00D276FE">
        <w:rPr>
          <w:rFonts w:asciiTheme="majorHAnsi" w:hAnsiTheme="majorHAnsi"/>
          <w:color w:val="0432FF"/>
          <w:vertAlign w:val="superscript"/>
        </w:rPr>
        <w:t>30</w:t>
      </w:r>
      <w:r w:rsidRPr="00D276FE">
        <w:rPr>
          <w:rFonts w:asciiTheme="majorHAnsi" w:hAnsiTheme="majorHAnsi"/>
        </w:rPr>
        <w:t>, co-production is still widely understood as a guiding framework that is case-dependent and shaped by the specific purpose, users, and decision-making environment</w:t>
      </w:r>
      <w:r w:rsidRPr="00D276FE">
        <w:rPr>
          <w:rFonts w:asciiTheme="majorHAnsi" w:hAnsiTheme="majorHAnsi"/>
          <w:color w:val="0432FF"/>
          <w:vertAlign w:val="superscript"/>
        </w:rPr>
        <w:t>5, 13, 16, 29, 31, 34, 36</w:t>
      </w:r>
      <w:r w:rsidRPr="00D276FE">
        <w:rPr>
          <w:rFonts w:asciiTheme="majorHAnsi" w:hAnsiTheme="majorHAnsi"/>
        </w:rPr>
        <w:t>.</w:t>
      </w:r>
    </w:p>
    <w:p w14:paraId="6FA8E7CD" w14:textId="77777777" w:rsidR="00BD36A6" w:rsidRPr="00D276FE" w:rsidRDefault="00BD36A6" w:rsidP="0033532F">
      <w:pPr>
        <w:spacing w:after="0" w:line="276" w:lineRule="auto"/>
        <w:ind w:firstLine="0"/>
        <w:rPr>
          <w:rFonts w:asciiTheme="majorHAnsi" w:hAnsiTheme="majorHAnsi"/>
        </w:rPr>
      </w:pPr>
    </w:p>
    <w:p w14:paraId="757E23F9" w14:textId="319EB767" w:rsidR="00BD36A6" w:rsidRPr="00D276FE" w:rsidRDefault="00BD36A6" w:rsidP="00BD36A6">
      <w:pPr>
        <w:spacing w:after="0" w:line="276" w:lineRule="auto"/>
        <w:ind w:firstLine="0"/>
        <w:rPr>
          <w:rFonts w:asciiTheme="majorHAnsi" w:hAnsiTheme="majorHAnsi"/>
        </w:rPr>
      </w:pPr>
      <w:r w:rsidRPr="00D276FE">
        <w:rPr>
          <w:rFonts w:asciiTheme="majorHAnsi" w:hAnsiTheme="majorHAnsi"/>
          <w:b/>
          <w:bCs/>
          <w:i/>
          <w:iCs/>
          <w:sz w:val="28"/>
          <w:szCs w:val="28"/>
        </w:rPr>
        <w:t>Human-computer interaction background</w:t>
      </w:r>
    </w:p>
    <w:p w14:paraId="7A3C0734" w14:textId="19FD6B33" w:rsidR="00BD36A6" w:rsidRPr="00D276FE" w:rsidRDefault="00BD36A6" w:rsidP="0033532F">
      <w:pPr>
        <w:spacing w:after="0" w:line="276" w:lineRule="auto"/>
        <w:ind w:firstLine="0"/>
        <w:rPr>
          <w:rFonts w:asciiTheme="majorHAnsi" w:hAnsiTheme="majorHAnsi"/>
        </w:rPr>
      </w:pPr>
      <w:r w:rsidRPr="00D276FE">
        <w:rPr>
          <w:rFonts w:asciiTheme="majorHAnsi" w:hAnsiTheme="majorHAnsi"/>
        </w:rPr>
        <w:t>Human-computer interaction emerged in the 1980s to improve the interface between users and computers</w:t>
      </w:r>
      <w:r w:rsidRPr="00D276FE">
        <w:rPr>
          <w:rFonts w:asciiTheme="majorHAnsi" w:hAnsiTheme="majorHAnsi"/>
          <w:color w:val="0432FF"/>
          <w:vertAlign w:val="superscript"/>
        </w:rPr>
        <w:t>33</w:t>
      </w:r>
      <w:r w:rsidRPr="00D276FE">
        <w:rPr>
          <w:rFonts w:asciiTheme="majorHAnsi" w:hAnsiTheme="majorHAnsi"/>
        </w:rPr>
        <w:t>. The interdisciplinary field aims to design systems that improve interactions among users, tasks, tools, and environments</w:t>
      </w:r>
      <w:r w:rsidRPr="00D276FE">
        <w:rPr>
          <w:rFonts w:asciiTheme="majorHAnsi" w:hAnsiTheme="majorHAnsi"/>
          <w:color w:val="0432FF"/>
          <w:vertAlign w:val="superscript"/>
        </w:rPr>
        <w:t>70</w:t>
      </w:r>
      <w:r w:rsidRPr="00D276FE">
        <w:rPr>
          <w:rFonts w:asciiTheme="majorHAnsi" w:hAnsiTheme="majorHAnsi"/>
        </w:rPr>
        <w:t>. To guide this aim, human-computer interaction draws on psychology, emphasizing user cognition, perception, mental models, and attention</w:t>
      </w:r>
      <w:r w:rsidRPr="00D276FE">
        <w:rPr>
          <w:rFonts w:asciiTheme="majorHAnsi" w:hAnsiTheme="majorHAnsi"/>
          <w:color w:val="0432FF"/>
          <w:vertAlign w:val="superscript"/>
        </w:rPr>
        <w:t>50</w:t>
      </w:r>
      <w:r w:rsidRPr="00D276FE">
        <w:rPr>
          <w:rFonts w:asciiTheme="majorHAnsi" w:hAnsiTheme="majorHAnsi"/>
        </w:rPr>
        <w:t>. In summary, human-computer interaction strives to build usable products and positive user experiences, often through usability principles and user-centered design</w:t>
      </w:r>
      <w:r w:rsidRPr="00D276FE">
        <w:rPr>
          <w:rFonts w:asciiTheme="majorHAnsi" w:hAnsiTheme="majorHAnsi"/>
          <w:color w:val="0432FF"/>
          <w:vertAlign w:val="superscript"/>
        </w:rPr>
        <w:t>33, 50</w:t>
      </w:r>
      <w:r w:rsidRPr="00D276FE">
        <w:rPr>
          <w:rFonts w:asciiTheme="majorHAnsi" w:hAnsiTheme="majorHAnsi"/>
        </w:rPr>
        <w:t xml:space="preserve">. </w:t>
      </w:r>
    </w:p>
    <w:p w14:paraId="0A6BAFB6" w14:textId="77777777" w:rsidR="00BD36A6" w:rsidRPr="00D276FE" w:rsidRDefault="00BD36A6" w:rsidP="0033532F">
      <w:pPr>
        <w:spacing w:after="0" w:line="276" w:lineRule="auto"/>
        <w:ind w:firstLine="0"/>
        <w:rPr>
          <w:rFonts w:asciiTheme="majorHAnsi" w:hAnsiTheme="majorHAnsi"/>
        </w:rPr>
      </w:pPr>
    </w:p>
    <w:p w14:paraId="2C19D146" w14:textId="286C08F7" w:rsidR="00BD36A6" w:rsidRPr="00D276FE" w:rsidRDefault="00BD36A6" w:rsidP="0033532F">
      <w:pPr>
        <w:spacing w:after="0" w:line="276" w:lineRule="auto"/>
        <w:ind w:firstLine="0"/>
        <w:rPr>
          <w:rFonts w:asciiTheme="majorHAnsi" w:hAnsiTheme="majorHAnsi"/>
        </w:rPr>
      </w:pPr>
      <w:r w:rsidRPr="00D276FE">
        <w:rPr>
          <w:rFonts w:asciiTheme="majorHAnsi" w:hAnsiTheme="majorHAnsi"/>
        </w:rPr>
        <w:t>Usability is the degree to which a user can utilize a product to meet specified goals within a particular context</w:t>
      </w:r>
      <w:r w:rsidRPr="00D276FE">
        <w:rPr>
          <w:rFonts w:asciiTheme="majorHAnsi" w:hAnsiTheme="majorHAnsi"/>
          <w:color w:val="0432FF"/>
          <w:vertAlign w:val="superscript"/>
        </w:rPr>
        <w:t>71</w:t>
      </w:r>
      <w:r w:rsidRPr="00D276FE">
        <w:rPr>
          <w:rFonts w:asciiTheme="majorHAnsi" w:hAnsiTheme="majorHAnsi"/>
        </w:rPr>
        <w:t>. The theory reflects how well users can achieve goals with effectiveness (goals achieved completely and accurately), efficiency (goals achieved in a timely manner), and satisfaction (goals achieved with comfort and positive emotions)</w:t>
      </w:r>
      <w:r w:rsidRPr="00D276FE">
        <w:rPr>
          <w:rFonts w:asciiTheme="majorHAnsi" w:hAnsiTheme="majorHAnsi"/>
          <w:color w:val="0432FF"/>
          <w:vertAlign w:val="superscript"/>
        </w:rPr>
        <w:t>32, 39, 71, 72</w:t>
      </w:r>
      <w:r w:rsidRPr="00D276FE">
        <w:rPr>
          <w:rFonts w:asciiTheme="majorHAnsi" w:hAnsiTheme="majorHAnsi"/>
        </w:rPr>
        <w:t>. More recently, usability has expanded to include learnability, accessibility, maintainability, recognizability, and operability</w:t>
      </w:r>
      <w:r w:rsidRPr="00D276FE">
        <w:rPr>
          <w:rFonts w:asciiTheme="majorHAnsi" w:hAnsiTheme="majorHAnsi"/>
          <w:color w:val="0432FF"/>
          <w:vertAlign w:val="superscript"/>
        </w:rPr>
        <w:t>33, 71</w:t>
      </w:r>
      <w:r w:rsidRPr="00D276FE">
        <w:rPr>
          <w:rFonts w:asciiTheme="majorHAnsi" w:hAnsiTheme="majorHAnsi"/>
        </w:rPr>
        <w:t>. User-centered design is frequently cited in human-computer interaction as an approach that can improve and help realize usability</w:t>
      </w:r>
      <w:r w:rsidRPr="00D276FE">
        <w:rPr>
          <w:rFonts w:asciiTheme="majorHAnsi" w:hAnsiTheme="majorHAnsi"/>
          <w:color w:val="0432FF"/>
          <w:vertAlign w:val="superscript"/>
        </w:rPr>
        <w:t>32, 46, 73</w:t>
      </w:r>
      <w:r w:rsidRPr="00D276FE">
        <w:rPr>
          <w:rFonts w:asciiTheme="majorHAnsi" w:hAnsiTheme="majorHAnsi"/>
        </w:rPr>
        <w:t>. In fact, usability is a core criterion for evaluating the success of a user-centered design process</w:t>
      </w:r>
      <w:r w:rsidRPr="00D276FE">
        <w:rPr>
          <w:rFonts w:asciiTheme="majorHAnsi" w:hAnsiTheme="majorHAnsi"/>
          <w:color w:val="0432FF"/>
          <w:vertAlign w:val="superscript"/>
        </w:rPr>
        <w:t>38</w:t>
      </w:r>
      <w:r w:rsidRPr="00D276FE">
        <w:rPr>
          <w:rFonts w:asciiTheme="majorHAnsi" w:hAnsiTheme="majorHAnsi"/>
        </w:rPr>
        <w:t>.</w:t>
      </w:r>
    </w:p>
    <w:p w14:paraId="48E90237" w14:textId="77777777" w:rsidR="00BD36A6" w:rsidRPr="00D276FE" w:rsidRDefault="00BD36A6" w:rsidP="0033532F">
      <w:pPr>
        <w:spacing w:after="0" w:line="276" w:lineRule="auto"/>
        <w:ind w:firstLine="0"/>
        <w:rPr>
          <w:rFonts w:asciiTheme="majorHAnsi" w:hAnsiTheme="majorHAnsi"/>
        </w:rPr>
      </w:pPr>
    </w:p>
    <w:p w14:paraId="747F767D" w14:textId="2066B650" w:rsidR="00BD36A6" w:rsidRPr="00D276FE" w:rsidRDefault="00BD36A6" w:rsidP="00BD36A6">
      <w:pPr>
        <w:spacing w:after="0" w:line="276" w:lineRule="auto"/>
        <w:ind w:firstLine="0"/>
        <w:rPr>
          <w:rFonts w:asciiTheme="majorHAnsi" w:hAnsiTheme="majorHAnsi"/>
        </w:rPr>
      </w:pPr>
      <w:r w:rsidRPr="00D276FE">
        <w:rPr>
          <w:rFonts w:asciiTheme="majorHAnsi" w:hAnsiTheme="majorHAnsi"/>
          <w:b/>
          <w:bCs/>
          <w:i/>
          <w:iCs/>
          <w:sz w:val="28"/>
          <w:szCs w:val="28"/>
        </w:rPr>
        <w:t>User-centered design background</w:t>
      </w:r>
    </w:p>
    <w:p w14:paraId="3D95C3C2" w14:textId="054C921B" w:rsidR="00BD36A6" w:rsidRPr="00D276FE" w:rsidRDefault="00BD36A6" w:rsidP="0033532F">
      <w:pPr>
        <w:spacing w:after="0" w:line="276" w:lineRule="auto"/>
        <w:ind w:firstLine="0"/>
        <w:rPr>
          <w:rFonts w:asciiTheme="majorHAnsi" w:hAnsiTheme="majorHAnsi"/>
        </w:rPr>
      </w:pPr>
      <w:r w:rsidRPr="00D276FE">
        <w:rPr>
          <w:rFonts w:asciiTheme="majorHAnsi" w:hAnsiTheme="majorHAnsi"/>
        </w:rPr>
        <w:lastRenderedPageBreak/>
        <w:t>User-centered design, often referred to as human-centered design, is a design approach and methodology focused on developing products that meet user needs</w:t>
      </w:r>
      <w:r w:rsidRPr="00D276FE">
        <w:rPr>
          <w:rFonts w:asciiTheme="majorHAnsi" w:hAnsiTheme="majorHAnsi"/>
          <w:color w:val="0432FF"/>
          <w:vertAlign w:val="superscript"/>
        </w:rPr>
        <w:t>32, 38, 39</w:t>
      </w:r>
      <w:r w:rsidRPr="00D276FE">
        <w:rPr>
          <w:rFonts w:asciiTheme="majorHAnsi" w:hAnsiTheme="majorHAnsi"/>
        </w:rPr>
        <w:t>. It can be viewed as a framework, craft, or philosophy, but regardless of its classification, user-centered design emphasizes placing users at the center of the product development process and understanding their characteristics, needs, wants, and limitations</w:t>
      </w:r>
      <w:r w:rsidRPr="00D276FE">
        <w:rPr>
          <w:rFonts w:asciiTheme="majorHAnsi" w:hAnsiTheme="majorHAnsi"/>
          <w:color w:val="0432FF"/>
          <w:vertAlign w:val="superscript"/>
        </w:rPr>
        <w:t>8, 45</w:t>
      </w:r>
      <w:r w:rsidRPr="00D276FE">
        <w:rPr>
          <w:rFonts w:asciiTheme="majorHAnsi" w:hAnsiTheme="majorHAnsi"/>
        </w:rPr>
        <w:t>. Key principles of this approach include ideation, prototyping, iteration, validation, usability, utility, and verification</w:t>
      </w:r>
      <w:r w:rsidRPr="00D276FE">
        <w:rPr>
          <w:rFonts w:asciiTheme="majorHAnsi" w:hAnsiTheme="majorHAnsi"/>
          <w:color w:val="0432FF"/>
          <w:vertAlign w:val="superscript"/>
        </w:rPr>
        <w:t>32, 39, 50, 73, 74</w:t>
      </w:r>
      <w:r w:rsidRPr="00D276FE">
        <w:rPr>
          <w:rFonts w:asciiTheme="majorHAnsi" w:hAnsiTheme="majorHAnsi"/>
        </w:rPr>
        <w:t>. Given its foundation in usability and user experience, user-centered design is widely applied in developing websites, software applications, and other digital or software-based products</w:t>
      </w:r>
      <w:r w:rsidRPr="00D276FE">
        <w:rPr>
          <w:rFonts w:asciiTheme="majorHAnsi" w:hAnsiTheme="majorHAnsi"/>
          <w:color w:val="0432FF"/>
          <w:vertAlign w:val="superscript"/>
        </w:rPr>
        <w:t>32, 75, 76</w:t>
      </w:r>
      <w:r w:rsidRPr="00D276FE">
        <w:rPr>
          <w:rFonts w:asciiTheme="majorHAnsi" w:hAnsiTheme="majorHAnsi"/>
        </w:rPr>
        <w:t>. Similar to co-production approaches to product development, user-centered design emphasizes user interaction and aims to build products that are useful, usable, and used</w:t>
      </w:r>
      <w:r w:rsidRPr="00D276FE">
        <w:rPr>
          <w:rFonts w:asciiTheme="majorHAnsi" w:hAnsiTheme="majorHAnsi"/>
          <w:color w:val="0432FF"/>
          <w:vertAlign w:val="superscript"/>
        </w:rPr>
        <w:t>10, 50</w:t>
      </w:r>
      <w:r w:rsidRPr="00D276FE">
        <w:rPr>
          <w:rFonts w:asciiTheme="majorHAnsi" w:hAnsiTheme="majorHAnsi"/>
        </w:rPr>
        <w:t xml:space="preserve">. </w:t>
      </w:r>
    </w:p>
    <w:p w14:paraId="184F5A14" w14:textId="77777777" w:rsidR="00BD36A6" w:rsidRPr="00D276FE" w:rsidRDefault="00BD36A6" w:rsidP="0033532F">
      <w:pPr>
        <w:spacing w:after="0" w:line="276" w:lineRule="auto"/>
        <w:ind w:firstLine="0"/>
        <w:rPr>
          <w:rFonts w:asciiTheme="majorHAnsi" w:hAnsiTheme="majorHAnsi"/>
        </w:rPr>
      </w:pPr>
    </w:p>
    <w:p w14:paraId="18563D35" w14:textId="27E98376" w:rsidR="00BD36A6" w:rsidRPr="00D276FE" w:rsidRDefault="00BD36A6" w:rsidP="0033532F">
      <w:pPr>
        <w:spacing w:after="0" w:line="276" w:lineRule="auto"/>
        <w:ind w:firstLine="0"/>
        <w:rPr>
          <w:rFonts w:asciiTheme="majorHAnsi" w:hAnsiTheme="majorHAnsi"/>
        </w:rPr>
      </w:pPr>
      <w:r w:rsidRPr="00D276FE">
        <w:rPr>
          <w:rFonts w:asciiTheme="majorHAnsi" w:hAnsiTheme="majorHAnsi"/>
        </w:rPr>
        <w:t>Although user-centered design is well established in human-computer interaction and aligns with co-production principles, it is one of several user-engagement traditions in the field</w:t>
      </w:r>
      <w:r w:rsidRPr="00D276FE">
        <w:rPr>
          <w:rFonts w:asciiTheme="majorHAnsi" w:hAnsiTheme="majorHAnsi"/>
          <w:color w:val="0432FF"/>
          <w:vertAlign w:val="superscript"/>
        </w:rPr>
        <w:t>77, 78</w:t>
      </w:r>
      <w:r w:rsidRPr="00D276FE">
        <w:rPr>
          <w:rFonts w:asciiTheme="majorHAnsi" w:hAnsiTheme="majorHAnsi"/>
        </w:rPr>
        <w:t>. Other approaches such as participatory design, co-design, critical design, and design and emotion reflect different conceptualizations of the developer</w:t>
      </w:r>
      <w:r w:rsidR="00401644" w:rsidRPr="00D276FE">
        <w:rPr>
          <w:rFonts w:asciiTheme="majorHAnsi" w:hAnsiTheme="majorHAnsi"/>
        </w:rPr>
        <w:t>-</w:t>
      </w:r>
      <w:r w:rsidRPr="00D276FE">
        <w:rPr>
          <w:rFonts w:asciiTheme="majorHAnsi" w:hAnsiTheme="majorHAnsi"/>
        </w:rPr>
        <w:t>user relationship and offer alternative frameworks for user involvement</w:t>
      </w:r>
      <w:r w:rsidRPr="00D276FE">
        <w:rPr>
          <w:rFonts w:asciiTheme="majorHAnsi" w:hAnsiTheme="majorHAnsi"/>
          <w:color w:val="0432FF"/>
          <w:vertAlign w:val="superscript"/>
        </w:rPr>
        <w:t>77, 78</w:t>
      </w:r>
      <w:r w:rsidRPr="00D276FE">
        <w:rPr>
          <w:rFonts w:asciiTheme="majorHAnsi" w:hAnsiTheme="majorHAnsi"/>
        </w:rPr>
        <w:t>. We focus on user-centered design because it is methodologically mature, stage-structured, and centered on usability and iteration, closely paralleling co-production and offering an accessible entry point for developers less familiar with human-computer interaction</w:t>
      </w:r>
      <w:r w:rsidRPr="00D276FE">
        <w:rPr>
          <w:rFonts w:asciiTheme="majorHAnsi" w:hAnsiTheme="majorHAnsi"/>
          <w:color w:val="0432FF"/>
          <w:vertAlign w:val="superscript"/>
        </w:rPr>
        <w:t>2, 38, 73, 75, 78</w:t>
      </w:r>
      <w:r w:rsidRPr="00D276FE">
        <w:rPr>
          <w:rFonts w:asciiTheme="majorHAnsi" w:hAnsiTheme="majorHAnsi"/>
        </w:rPr>
        <w:t>. At the same time, critiques of user-centered design also note how it can position users too passively or narrowly</w:t>
      </w:r>
      <w:r w:rsidRPr="00D276FE">
        <w:rPr>
          <w:rFonts w:asciiTheme="majorHAnsi" w:hAnsiTheme="majorHAnsi"/>
          <w:color w:val="0432FF"/>
          <w:vertAlign w:val="superscript"/>
        </w:rPr>
        <w:t>78, 79</w:t>
      </w:r>
      <w:r w:rsidRPr="00D276FE">
        <w:rPr>
          <w:rFonts w:asciiTheme="majorHAnsi" w:hAnsiTheme="majorHAnsi"/>
        </w:rPr>
        <w:t>. In sustainable human-computer interaction, which applies a critical environmental lens to product and systems design, some argue that user-centered design’s human-centeredness can overlook ecological systems and non-human actors</w:t>
      </w:r>
      <w:r w:rsidRPr="00D276FE">
        <w:rPr>
          <w:rFonts w:asciiTheme="majorHAnsi" w:hAnsiTheme="majorHAnsi"/>
          <w:color w:val="0432FF"/>
          <w:vertAlign w:val="superscript"/>
        </w:rPr>
        <w:t>79</w:t>
      </w:r>
      <w:r w:rsidR="00401644" w:rsidRPr="00D276FE">
        <w:rPr>
          <w:rFonts w:asciiTheme="majorHAnsi" w:hAnsiTheme="majorHAnsi"/>
          <w:color w:val="0432FF"/>
          <w:vertAlign w:val="superscript"/>
        </w:rPr>
        <w:t>-</w:t>
      </w:r>
      <w:r w:rsidRPr="00D276FE">
        <w:rPr>
          <w:rFonts w:asciiTheme="majorHAnsi" w:hAnsiTheme="majorHAnsi"/>
          <w:color w:val="0432FF"/>
          <w:vertAlign w:val="superscript"/>
        </w:rPr>
        <w:t>82</w:t>
      </w:r>
      <w:r w:rsidRPr="00D276FE">
        <w:rPr>
          <w:rFonts w:asciiTheme="majorHAnsi" w:hAnsiTheme="majorHAnsi"/>
        </w:rPr>
        <w:t>. Given our focus on digital and software-based climate adaptation products, user-centered design offers a pragmatic, well-documented foundation for integration, while future work can examine how other human-computer interaction approaches, particularly sustainability-oriented ones, might further extend these processes.</w:t>
      </w:r>
    </w:p>
    <w:p w14:paraId="4FB32315" w14:textId="77777777" w:rsidR="00BD36A6" w:rsidRPr="00D276FE" w:rsidRDefault="00BD36A6" w:rsidP="0033532F">
      <w:pPr>
        <w:spacing w:after="0" w:line="276" w:lineRule="auto"/>
        <w:ind w:firstLine="0"/>
        <w:rPr>
          <w:rFonts w:asciiTheme="majorHAnsi" w:hAnsiTheme="majorHAnsi"/>
        </w:rPr>
      </w:pPr>
    </w:p>
    <w:p w14:paraId="6D6AA311" w14:textId="77777777" w:rsidR="00B554BE" w:rsidRPr="00D276FE" w:rsidRDefault="00B554BE" w:rsidP="0033532F">
      <w:pPr>
        <w:spacing w:after="0" w:line="276" w:lineRule="auto"/>
        <w:ind w:firstLine="0"/>
        <w:rPr>
          <w:rFonts w:asciiTheme="majorHAnsi" w:hAnsiTheme="majorHAnsi"/>
        </w:rPr>
      </w:pPr>
    </w:p>
    <w:p w14:paraId="7E387661" w14:textId="77777777" w:rsidR="00B554BE" w:rsidRPr="00D276FE" w:rsidRDefault="00B554BE" w:rsidP="0033532F">
      <w:pPr>
        <w:spacing w:after="0" w:line="276" w:lineRule="auto"/>
        <w:ind w:firstLine="0"/>
        <w:rPr>
          <w:rFonts w:asciiTheme="majorHAnsi" w:hAnsiTheme="majorHAnsi"/>
        </w:rPr>
      </w:pPr>
    </w:p>
    <w:p w14:paraId="5CE1977D" w14:textId="77777777" w:rsidR="00B554BE" w:rsidRPr="00D276FE" w:rsidRDefault="00B554BE" w:rsidP="0033532F">
      <w:pPr>
        <w:spacing w:after="0" w:line="276" w:lineRule="auto"/>
        <w:ind w:firstLine="0"/>
        <w:rPr>
          <w:rFonts w:asciiTheme="majorHAnsi" w:hAnsiTheme="majorHAnsi"/>
        </w:rPr>
      </w:pPr>
    </w:p>
    <w:p w14:paraId="4CAC065B" w14:textId="77777777" w:rsidR="00B554BE" w:rsidRPr="00D276FE" w:rsidRDefault="00B554BE" w:rsidP="0033532F">
      <w:pPr>
        <w:spacing w:after="0" w:line="276" w:lineRule="auto"/>
        <w:ind w:firstLine="0"/>
        <w:rPr>
          <w:rFonts w:asciiTheme="majorHAnsi" w:hAnsiTheme="majorHAnsi"/>
        </w:rPr>
      </w:pPr>
    </w:p>
    <w:p w14:paraId="0FA0EC23" w14:textId="77777777" w:rsidR="00B554BE" w:rsidRPr="00D276FE" w:rsidRDefault="00B554BE" w:rsidP="0033532F">
      <w:pPr>
        <w:spacing w:after="0" w:line="276" w:lineRule="auto"/>
        <w:ind w:firstLine="0"/>
        <w:rPr>
          <w:rFonts w:asciiTheme="majorHAnsi" w:hAnsiTheme="majorHAnsi"/>
        </w:rPr>
      </w:pPr>
    </w:p>
    <w:p w14:paraId="409EF08B" w14:textId="77777777" w:rsidR="00B554BE" w:rsidRPr="00D276FE" w:rsidRDefault="00B554BE" w:rsidP="0033532F">
      <w:pPr>
        <w:spacing w:after="0" w:line="276" w:lineRule="auto"/>
        <w:ind w:firstLine="0"/>
        <w:rPr>
          <w:rFonts w:asciiTheme="majorHAnsi" w:hAnsiTheme="majorHAnsi"/>
        </w:rPr>
      </w:pPr>
    </w:p>
    <w:p w14:paraId="1B1B8FCB" w14:textId="77777777" w:rsidR="00B554BE" w:rsidRPr="00D276FE" w:rsidRDefault="00B554BE" w:rsidP="0033532F">
      <w:pPr>
        <w:spacing w:after="0" w:line="276" w:lineRule="auto"/>
        <w:ind w:firstLine="0"/>
        <w:rPr>
          <w:rFonts w:asciiTheme="majorHAnsi" w:hAnsiTheme="majorHAnsi"/>
        </w:rPr>
      </w:pPr>
    </w:p>
    <w:p w14:paraId="36DFB4B8" w14:textId="77777777" w:rsidR="00B554BE" w:rsidRPr="00D276FE" w:rsidRDefault="00B554BE" w:rsidP="0033532F">
      <w:pPr>
        <w:spacing w:after="0" w:line="276" w:lineRule="auto"/>
        <w:ind w:firstLine="0"/>
        <w:rPr>
          <w:rFonts w:asciiTheme="majorHAnsi" w:hAnsiTheme="majorHAnsi"/>
        </w:rPr>
      </w:pPr>
    </w:p>
    <w:p w14:paraId="00E56C94" w14:textId="77777777" w:rsidR="00B554BE" w:rsidRPr="00D276FE" w:rsidRDefault="00B554BE" w:rsidP="0033532F">
      <w:pPr>
        <w:spacing w:after="0" w:line="276" w:lineRule="auto"/>
        <w:ind w:firstLine="0"/>
        <w:rPr>
          <w:rFonts w:asciiTheme="majorHAnsi" w:hAnsiTheme="majorHAnsi"/>
        </w:rPr>
      </w:pPr>
    </w:p>
    <w:p w14:paraId="4F390BD9" w14:textId="77777777" w:rsidR="00B554BE" w:rsidRPr="00D276FE" w:rsidRDefault="00B554BE" w:rsidP="0033532F">
      <w:pPr>
        <w:spacing w:after="0" w:line="276" w:lineRule="auto"/>
        <w:ind w:firstLine="0"/>
        <w:rPr>
          <w:rFonts w:asciiTheme="majorHAnsi" w:hAnsiTheme="majorHAnsi"/>
        </w:rPr>
      </w:pPr>
    </w:p>
    <w:p w14:paraId="3DD751A3" w14:textId="77777777" w:rsidR="00B554BE" w:rsidRPr="00D276FE" w:rsidRDefault="00B554BE" w:rsidP="0033532F">
      <w:pPr>
        <w:spacing w:after="0" w:line="276" w:lineRule="auto"/>
        <w:ind w:firstLine="0"/>
        <w:rPr>
          <w:rFonts w:asciiTheme="majorHAnsi" w:hAnsiTheme="majorHAnsi"/>
        </w:rPr>
      </w:pPr>
    </w:p>
    <w:p w14:paraId="748F084A" w14:textId="77777777" w:rsidR="00B554BE" w:rsidRPr="00D276FE" w:rsidRDefault="00B554BE" w:rsidP="0033532F">
      <w:pPr>
        <w:spacing w:after="0" w:line="276" w:lineRule="auto"/>
        <w:ind w:firstLine="0"/>
        <w:rPr>
          <w:rFonts w:asciiTheme="majorHAnsi" w:hAnsiTheme="majorHAnsi"/>
        </w:rPr>
      </w:pPr>
    </w:p>
    <w:p w14:paraId="193C5A17" w14:textId="77777777" w:rsidR="00B554BE" w:rsidRPr="00D276FE" w:rsidRDefault="00B554BE" w:rsidP="0033532F">
      <w:pPr>
        <w:spacing w:after="0" w:line="276" w:lineRule="auto"/>
        <w:ind w:firstLine="0"/>
        <w:rPr>
          <w:rFonts w:asciiTheme="majorHAnsi" w:hAnsiTheme="majorHAnsi"/>
        </w:rPr>
      </w:pPr>
    </w:p>
    <w:p w14:paraId="5BA7692D" w14:textId="77777777" w:rsidR="00B554BE" w:rsidRPr="00D276FE" w:rsidRDefault="00B554BE" w:rsidP="0033532F">
      <w:pPr>
        <w:spacing w:after="0" w:line="276" w:lineRule="auto"/>
        <w:ind w:firstLine="0"/>
        <w:rPr>
          <w:rFonts w:asciiTheme="majorHAnsi" w:hAnsiTheme="majorHAnsi"/>
        </w:rPr>
      </w:pPr>
    </w:p>
    <w:p w14:paraId="435EE214" w14:textId="77777777" w:rsidR="00B554BE" w:rsidRPr="00D276FE" w:rsidRDefault="00B554BE" w:rsidP="0033532F">
      <w:pPr>
        <w:spacing w:after="0" w:line="276" w:lineRule="auto"/>
        <w:ind w:firstLine="0"/>
        <w:rPr>
          <w:rFonts w:asciiTheme="majorHAnsi" w:hAnsiTheme="majorHAnsi"/>
        </w:rPr>
      </w:pPr>
    </w:p>
    <w:p w14:paraId="5AD23F6F" w14:textId="77777777" w:rsidR="00B554BE" w:rsidRPr="00D276FE" w:rsidRDefault="00B554BE" w:rsidP="0033532F">
      <w:pPr>
        <w:spacing w:after="0" w:line="276" w:lineRule="auto"/>
        <w:ind w:firstLine="0"/>
        <w:rPr>
          <w:rFonts w:asciiTheme="majorHAnsi" w:hAnsiTheme="majorHAnsi"/>
        </w:rPr>
      </w:pPr>
    </w:p>
    <w:p w14:paraId="1EE6D7D6" w14:textId="77777777" w:rsidR="004E6D2D" w:rsidRPr="00D276FE" w:rsidRDefault="004E6D2D" w:rsidP="00B74784">
      <w:pPr>
        <w:pStyle w:val="Heading1"/>
        <w:spacing w:before="120" w:after="120" w:line="240" w:lineRule="auto"/>
        <w:rPr>
          <w:i w:val="0"/>
        </w:rPr>
      </w:pPr>
    </w:p>
    <w:p w14:paraId="180EE6C9" w14:textId="77777777" w:rsidR="00893FB7" w:rsidRDefault="00893FB7" w:rsidP="00B74784">
      <w:pPr>
        <w:pStyle w:val="Heading1"/>
        <w:spacing w:before="120" w:after="120" w:line="240" w:lineRule="auto"/>
        <w:rPr>
          <w:i w:val="0"/>
        </w:rPr>
      </w:pPr>
    </w:p>
    <w:p w14:paraId="129837BF" w14:textId="2E33E618" w:rsidR="00B74784" w:rsidRPr="00D276FE" w:rsidRDefault="00B74784" w:rsidP="00B74784">
      <w:pPr>
        <w:pStyle w:val="Heading1"/>
        <w:spacing w:before="120" w:after="120" w:line="240" w:lineRule="auto"/>
        <w:rPr>
          <w:i w:val="0"/>
        </w:rPr>
      </w:pPr>
      <w:r w:rsidRPr="00D276FE">
        <w:rPr>
          <w:i w:val="0"/>
        </w:rPr>
        <w:lastRenderedPageBreak/>
        <w:t>Data availability</w:t>
      </w:r>
    </w:p>
    <w:p w14:paraId="01DF7527" w14:textId="79F7704F" w:rsidR="00B74784" w:rsidRPr="00D276FE" w:rsidRDefault="00B74784" w:rsidP="00B74784">
      <w:pPr>
        <w:spacing w:after="0" w:line="276" w:lineRule="auto"/>
        <w:ind w:firstLine="0"/>
        <w:rPr>
          <w:rFonts w:asciiTheme="majorHAnsi" w:hAnsiTheme="majorHAnsi"/>
        </w:rPr>
      </w:pPr>
      <w:r w:rsidRPr="00D276FE">
        <w:rPr>
          <w:rFonts w:asciiTheme="majorHAnsi" w:hAnsiTheme="majorHAnsi"/>
        </w:rPr>
        <w:t xml:space="preserve">This study is a systematic review of published literature. All data supporting the findings of this review are publicly available in those sources, which are described in the Methods and listed in the </w:t>
      </w:r>
      <w:r w:rsidR="009F59C4" w:rsidRPr="009F59C4">
        <w:rPr>
          <w:rFonts w:asciiTheme="majorHAnsi" w:hAnsiTheme="majorHAnsi"/>
        </w:rPr>
        <w:t>Supplementary</w:t>
      </w:r>
      <w:r w:rsidR="009F59C4">
        <w:rPr>
          <w:rFonts w:asciiTheme="majorHAnsi" w:hAnsiTheme="majorHAnsi"/>
        </w:rPr>
        <w:t xml:space="preserve"> Information</w:t>
      </w:r>
      <w:r w:rsidRPr="00D276FE">
        <w:rPr>
          <w:rFonts w:asciiTheme="majorHAnsi" w:hAnsiTheme="majorHAnsi"/>
        </w:rPr>
        <w:t>.</w:t>
      </w:r>
    </w:p>
    <w:p w14:paraId="234E582E" w14:textId="77777777" w:rsidR="00AE3F07" w:rsidRPr="00D276FE" w:rsidRDefault="00AE3F07" w:rsidP="00B74784">
      <w:pPr>
        <w:spacing w:after="0" w:line="276" w:lineRule="auto"/>
        <w:ind w:firstLine="0"/>
        <w:rPr>
          <w:rFonts w:asciiTheme="majorHAnsi" w:hAnsiTheme="majorHAnsi"/>
        </w:rPr>
      </w:pPr>
    </w:p>
    <w:p w14:paraId="127A4CBA" w14:textId="35D2B026" w:rsidR="00E36F4D" w:rsidRPr="00D276FE" w:rsidRDefault="00E36F4D" w:rsidP="00E36F4D">
      <w:pPr>
        <w:pStyle w:val="Heading1"/>
        <w:spacing w:before="120" w:after="120" w:line="240" w:lineRule="auto"/>
        <w:rPr>
          <w:i w:val="0"/>
        </w:rPr>
      </w:pPr>
      <w:r>
        <w:rPr>
          <w:i w:val="0"/>
        </w:rPr>
        <w:t>Code</w:t>
      </w:r>
      <w:r w:rsidRPr="00D276FE">
        <w:rPr>
          <w:i w:val="0"/>
        </w:rPr>
        <w:t xml:space="preserve"> availability</w:t>
      </w:r>
    </w:p>
    <w:p w14:paraId="136AFA06" w14:textId="69C78685" w:rsidR="00AE3F07" w:rsidRPr="00D276FE" w:rsidRDefault="00E36F4D" w:rsidP="00B74784">
      <w:pPr>
        <w:spacing w:after="0" w:line="276" w:lineRule="auto"/>
        <w:ind w:firstLine="0"/>
        <w:rPr>
          <w:rFonts w:asciiTheme="majorHAnsi" w:hAnsiTheme="majorHAnsi"/>
        </w:rPr>
      </w:pPr>
      <w:r w:rsidRPr="00E36F4D">
        <w:rPr>
          <w:rFonts w:asciiTheme="majorHAnsi" w:hAnsiTheme="majorHAnsi"/>
        </w:rPr>
        <w:t xml:space="preserve">No custom code was used in this study, and no code is associated with this </w:t>
      </w:r>
      <w:r>
        <w:rPr>
          <w:rFonts w:asciiTheme="majorHAnsi" w:hAnsiTheme="majorHAnsi"/>
        </w:rPr>
        <w:t>work</w:t>
      </w:r>
      <w:r w:rsidRPr="00E36F4D">
        <w:rPr>
          <w:rFonts w:asciiTheme="majorHAnsi" w:hAnsiTheme="majorHAnsi"/>
        </w:rPr>
        <w:t>.</w:t>
      </w:r>
    </w:p>
    <w:p w14:paraId="1F68CD49" w14:textId="77777777" w:rsidR="00B74784" w:rsidRPr="00D276FE" w:rsidRDefault="00B74784" w:rsidP="0033532F">
      <w:pPr>
        <w:spacing w:after="0" w:line="276" w:lineRule="auto"/>
        <w:ind w:firstLine="0"/>
        <w:rPr>
          <w:rFonts w:asciiTheme="majorHAnsi" w:hAnsiTheme="majorHAnsi"/>
        </w:rPr>
      </w:pPr>
    </w:p>
    <w:p w14:paraId="29330ED1" w14:textId="77777777" w:rsidR="00B74784" w:rsidRPr="00D276FE" w:rsidRDefault="00B74784" w:rsidP="0033532F">
      <w:pPr>
        <w:spacing w:after="0" w:line="276" w:lineRule="auto"/>
        <w:ind w:firstLine="0"/>
        <w:rPr>
          <w:rFonts w:asciiTheme="majorHAnsi" w:hAnsiTheme="majorHAnsi"/>
        </w:rPr>
      </w:pPr>
    </w:p>
    <w:p w14:paraId="054BAAA5" w14:textId="77777777" w:rsidR="00B74784" w:rsidRPr="00D276FE" w:rsidRDefault="00B74784" w:rsidP="0033532F">
      <w:pPr>
        <w:spacing w:after="0" w:line="276" w:lineRule="auto"/>
        <w:ind w:firstLine="0"/>
        <w:rPr>
          <w:rFonts w:asciiTheme="majorHAnsi" w:hAnsiTheme="majorHAnsi"/>
        </w:rPr>
      </w:pPr>
    </w:p>
    <w:p w14:paraId="628B797F" w14:textId="77777777" w:rsidR="00B74784" w:rsidRPr="00D276FE" w:rsidRDefault="00B74784" w:rsidP="0033532F">
      <w:pPr>
        <w:spacing w:after="0" w:line="276" w:lineRule="auto"/>
        <w:ind w:firstLine="0"/>
        <w:rPr>
          <w:rFonts w:asciiTheme="majorHAnsi" w:hAnsiTheme="majorHAnsi"/>
        </w:rPr>
      </w:pPr>
    </w:p>
    <w:p w14:paraId="51F5501E" w14:textId="77777777" w:rsidR="00B74784" w:rsidRPr="00D276FE" w:rsidRDefault="00B74784" w:rsidP="0033532F">
      <w:pPr>
        <w:spacing w:after="0" w:line="276" w:lineRule="auto"/>
        <w:ind w:firstLine="0"/>
        <w:rPr>
          <w:rFonts w:asciiTheme="majorHAnsi" w:hAnsiTheme="majorHAnsi"/>
        </w:rPr>
      </w:pPr>
    </w:p>
    <w:p w14:paraId="2B84F190" w14:textId="77777777" w:rsidR="00B74784" w:rsidRPr="00D276FE" w:rsidRDefault="00B74784" w:rsidP="0033532F">
      <w:pPr>
        <w:spacing w:after="0" w:line="276" w:lineRule="auto"/>
        <w:ind w:firstLine="0"/>
        <w:rPr>
          <w:rFonts w:asciiTheme="majorHAnsi" w:hAnsiTheme="majorHAnsi"/>
        </w:rPr>
      </w:pPr>
    </w:p>
    <w:p w14:paraId="31C9C944" w14:textId="77777777" w:rsidR="00B74784" w:rsidRPr="00D276FE" w:rsidRDefault="00B74784" w:rsidP="0033532F">
      <w:pPr>
        <w:spacing w:after="0" w:line="276" w:lineRule="auto"/>
        <w:ind w:firstLine="0"/>
        <w:rPr>
          <w:rFonts w:asciiTheme="majorHAnsi" w:hAnsiTheme="majorHAnsi"/>
        </w:rPr>
      </w:pPr>
    </w:p>
    <w:p w14:paraId="63B0D19C" w14:textId="77777777" w:rsidR="00B74784" w:rsidRPr="00D276FE" w:rsidRDefault="00B74784" w:rsidP="0033532F">
      <w:pPr>
        <w:spacing w:after="0" w:line="276" w:lineRule="auto"/>
        <w:ind w:firstLine="0"/>
        <w:rPr>
          <w:rFonts w:asciiTheme="majorHAnsi" w:hAnsiTheme="majorHAnsi"/>
        </w:rPr>
      </w:pPr>
    </w:p>
    <w:p w14:paraId="18B2EAFF" w14:textId="77777777" w:rsidR="00B74784" w:rsidRPr="00D276FE" w:rsidRDefault="00B74784" w:rsidP="0033532F">
      <w:pPr>
        <w:spacing w:after="0" w:line="276" w:lineRule="auto"/>
        <w:ind w:firstLine="0"/>
        <w:rPr>
          <w:rFonts w:asciiTheme="majorHAnsi" w:hAnsiTheme="majorHAnsi"/>
        </w:rPr>
      </w:pPr>
    </w:p>
    <w:p w14:paraId="1C6E0760" w14:textId="77777777" w:rsidR="00B74784" w:rsidRPr="00D276FE" w:rsidRDefault="00B74784" w:rsidP="0033532F">
      <w:pPr>
        <w:spacing w:after="0" w:line="276" w:lineRule="auto"/>
        <w:ind w:firstLine="0"/>
        <w:rPr>
          <w:rFonts w:asciiTheme="majorHAnsi" w:hAnsiTheme="majorHAnsi"/>
        </w:rPr>
      </w:pPr>
    </w:p>
    <w:p w14:paraId="3F81AE58" w14:textId="77777777" w:rsidR="00B74784" w:rsidRPr="00D276FE" w:rsidRDefault="00B74784" w:rsidP="0033532F">
      <w:pPr>
        <w:spacing w:after="0" w:line="276" w:lineRule="auto"/>
        <w:ind w:firstLine="0"/>
        <w:rPr>
          <w:rFonts w:asciiTheme="majorHAnsi" w:hAnsiTheme="majorHAnsi"/>
        </w:rPr>
      </w:pPr>
    </w:p>
    <w:p w14:paraId="3A227DB2" w14:textId="77777777" w:rsidR="00B74784" w:rsidRPr="00D276FE" w:rsidRDefault="00B74784" w:rsidP="0033532F">
      <w:pPr>
        <w:spacing w:after="0" w:line="276" w:lineRule="auto"/>
        <w:ind w:firstLine="0"/>
        <w:rPr>
          <w:rFonts w:asciiTheme="majorHAnsi" w:hAnsiTheme="majorHAnsi"/>
        </w:rPr>
      </w:pPr>
    </w:p>
    <w:p w14:paraId="33474A59" w14:textId="77777777" w:rsidR="00B74784" w:rsidRPr="00D276FE" w:rsidRDefault="00B74784" w:rsidP="0033532F">
      <w:pPr>
        <w:spacing w:after="0" w:line="276" w:lineRule="auto"/>
        <w:ind w:firstLine="0"/>
        <w:rPr>
          <w:rFonts w:asciiTheme="majorHAnsi" w:hAnsiTheme="majorHAnsi"/>
        </w:rPr>
      </w:pPr>
    </w:p>
    <w:p w14:paraId="710CF6C2" w14:textId="77777777" w:rsidR="00B74784" w:rsidRPr="00D276FE" w:rsidRDefault="00B74784" w:rsidP="0033532F">
      <w:pPr>
        <w:spacing w:after="0" w:line="276" w:lineRule="auto"/>
        <w:ind w:firstLine="0"/>
        <w:rPr>
          <w:rFonts w:asciiTheme="majorHAnsi" w:hAnsiTheme="majorHAnsi"/>
        </w:rPr>
      </w:pPr>
    </w:p>
    <w:p w14:paraId="146871AC" w14:textId="77777777" w:rsidR="00B74784" w:rsidRPr="00D276FE" w:rsidRDefault="00B74784" w:rsidP="0033532F">
      <w:pPr>
        <w:spacing w:after="0" w:line="276" w:lineRule="auto"/>
        <w:ind w:firstLine="0"/>
        <w:rPr>
          <w:rFonts w:asciiTheme="majorHAnsi" w:hAnsiTheme="majorHAnsi"/>
        </w:rPr>
      </w:pPr>
    </w:p>
    <w:p w14:paraId="1EA93BE1" w14:textId="77777777" w:rsidR="00B74784" w:rsidRPr="00D276FE" w:rsidRDefault="00B74784" w:rsidP="0033532F">
      <w:pPr>
        <w:spacing w:after="0" w:line="276" w:lineRule="auto"/>
        <w:ind w:firstLine="0"/>
        <w:rPr>
          <w:rFonts w:asciiTheme="majorHAnsi" w:hAnsiTheme="majorHAnsi"/>
        </w:rPr>
      </w:pPr>
    </w:p>
    <w:p w14:paraId="6761E03A" w14:textId="77777777" w:rsidR="00B74784" w:rsidRPr="00D276FE" w:rsidRDefault="00B74784" w:rsidP="0033532F">
      <w:pPr>
        <w:spacing w:after="0" w:line="276" w:lineRule="auto"/>
        <w:ind w:firstLine="0"/>
        <w:rPr>
          <w:rFonts w:asciiTheme="majorHAnsi" w:hAnsiTheme="majorHAnsi"/>
        </w:rPr>
      </w:pPr>
    </w:p>
    <w:p w14:paraId="375AE8E8" w14:textId="77777777" w:rsidR="00B74784" w:rsidRPr="00D276FE" w:rsidRDefault="00B74784" w:rsidP="0033532F">
      <w:pPr>
        <w:spacing w:after="0" w:line="276" w:lineRule="auto"/>
        <w:ind w:firstLine="0"/>
        <w:rPr>
          <w:rFonts w:asciiTheme="majorHAnsi" w:hAnsiTheme="majorHAnsi"/>
        </w:rPr>
      </w:pPr>
    </w:p>
    <w:p w14:paraId="364F3DE5" w14:textId="77777777" w:rsidR="00B74784" w:rsidRPr="00D276FE" w:rsidRDefault="00B74784" w:rsidP="0033532F">
      <w:pPr>
        <w:spacing w:after="0" w:line="276" w:lineRule="auto"/>
        <w:ind w:firstLine="0"/>
        <w:rPr>
          <w:rFonts w:asciiTheme="majorHAnsi" w:hAnsiTheme="majorHAnsi"/>
        </w:rPr>
      </w:pPr>
    </w:p>
    <w:p w14:paraId="21377B13" w14:textId="77777777" w:rsidR="00B74784" w:rsidRPr="00D276FE" w:rsidRDefault="00B74784" w:rsidP="0033532F">
      <w:pPr>
        <w:spacing w:after="0" w:line="276" w:lineRule="auto"/>
        <w:ind w:firstLine="0"/>
        <w:rPr>
          <w:rFonts w:asciiTheme="majorHAnsi" w:hAnsiTheme="majorHAnsi"/>
        </w:rPr>
      </w:pPr>
    </w:p>
    <w:p w14:paraId="0FEA52C4" w14:textId="77777777" w:rsidR="00B74784" w:rsidRPr="00D276FE" w:rsidRDefault="00B74784" w:rsidP="0033532F">
      <w:pPr>
        <w:spacing w:after="0" w:line="276" w:lineRule="auto"/>
        <w:ind w:firstLine="0"/>
        <w:rPr>
          <w:rFonts w:asciiTheme="majorHAnsi" w:hAnsiTheme="majorHAnsi"/>
        </w:rPr>
      </w:pPr>
    </w:p>
    <w:p w14:paraId="623E40CA" w14:textId="77777777" w:rsidR="00B74784" w:rsidRPr="00D276FE" w:rsidRDefault="00B74784" w:rsidP="0033532F">
      <w:pPr>
        <w:spacing w:after="0" w:line="276" w:lineRule="auto"/>
        <w:ind w:firstLine="0"/>
        <w:rPr>
          <w:rFonts w:asciiTheme="majorHAnsi" w:hAnsiTheme="majorHAnsi"/>
        </w:rPr>
      </w:pPr>
    </w:p>
    <w:p w14:paraId="39A1F20F" w14:textId="77777777" w:rsidR="00B74784" w:rsidRPr="00D276FE" w:rsidRDefault="00B74784" w:rsidP="0033532F">
      <w:pPr>
        <w:spacing w:after="0" w:line="276" w:lineRule="auto"/>
        <w:ind w:firstLine="0"/>
        <w:rPr>
          <w:rFonts w:asciiTheme="majorHAnsi" w:hAnsiTheme="majorHAnsi"/>
        </w:rPr>
      </w:pPr>
    </w:p>
    <w:p w14:paraId="0AAAE49A" w14:textId="77777777" w:rsidR="00B74784" w:rsidRPr="00D276FE" w:rsidRDefault="00B74784" w:rsidP="0033532F">
      <w:pPr>
        <w:spacing w:after="0" w:line="276" w:lineRule="auto"/>
        <w:ind w:firstLine="0"/>
        <w:rPr>
          <w:rFonts w:asciiTheme="majorHAnsi" w:hAnsiTheme="majorHAnsi"/>
        </w:rPr>
      </w:pPr>
    </w:p>
    <w:p w14:paraId="6E2CE423" w14:textId="77777777" w:rsidR="00B74784" w:rsidRPr="00D276FE" w:rsidRDefault="00B74784" w:rsidP="0033532F">
      <w:pPr>
        <w:spacing w:after="0" w:line="276" w:lineRule="auto"/>
        <w:ind w:firstLine="0"/>
        <w:rPr>
          <w:rFonts w:asciiTheme="majorHAnsi" w:hAnsiTheme="majorHAnsi"/>
        </w:rPr>
      </w:pPr>
    </w:p>
    <w:p w14:paraId="63112729" w14:textId="77777777" w:rsidR="00B74784" w:rsidRPr="00D276FE" w:rsidRDefault="00B74784" w:rsidP="0033532F">
      <w:pPr>
        <w:spacing w:after="0" w:line="276" w:lineRule="auto"/>
        <w:ind w:firstLine="0"/>
        <w:rPr>
          <w:rFonts w:asciiTheme="majorHAnsi" w:hAnsiTheme="majorHAnsi"/>
        </w:rPr>
      </w:pPr>
    </w:p>
    <w:p w14:paraId="4FA0F079" w14:textId="77777777" w:rsidR="00B74784" w:rsidRPr="00D276FE" w:rsidRDefault="00B74784" w:rsidP="0033532F">
      <w:pPr>
        <w:spacing w:after="0" w:line="276" w:lineRule="auto"/>
        <w:ind w:firstLine="0"/>
        <w:rPr>
          <w:rFonts w:asciiTheme="majorHAnsi" w:hAnsiTheme="majorHAnsi"/>
        </w:rPr>
      </w:pPr>
    </w:p>
    <w:p w14:paraId="78D5B944" w14:textId="77777777" w:rsidR="00B74784" w:rsidRPr="00D276FE" w:rsidRDefault="00B74784" w:rsidP="0033532F">
      <w:pPr>
        <w:spacing w:after="0" w:line="276" w:lineRule="auto"/>
        <w:ind w:firstLine="0"/>
        <w:rPr>
          <w:rFonts w:asciiTheme="majorHAnsi" w:hAnsiTheme="majorHAnsi"/>
        </w:rPr>
      </w:pPr>
    </w:p>
    <w:p w14:paraId="114AE79F" w14:textId="77777777" w:rsidR="00B74784" w:rsidRPr="00D276FE" w:rsidRDefault="00B74784" w:rsidP="0033532F">
      <w:pPr>
        <w:spacing w:after="0" w:line="276" w:lineRule="auto"/>
        <w:ind w:firstLine="0"/>
        <w:rPr>
          <w:rFonts w:asciiTheme="majorHAnsi" w:hAnsiTheme="majorHAnsi"/>
        </w:rPr>
      </w:pPr>
    </w:p>
    <w:p w14:paraId="1E20EFED" w14:textId="77777777" w:rsidR="00B74784" w:rsidRPr="00D276FE" w:rsidRDefault="00B74784" w:rsidP="0033532F">
      <w:pPr>
        <w:spacing w:after="0" w:line="276" w:lineRule="auto"/>
        <w:ind w:firstLine="0"/>
        <w:rPr>
          <w:rFonts w:asciiTheme="majorHAnsi" w:hAnsiTheme="majorHAnsi"/>
        </w:rPr>
      </w:pPr>
    </w:p>
    <w:p w14:paraId="7194B33B" w14:textId="77777777" w:rsidR="00B74784" w:rsidRPr="00D276FE" w:rsidRDefault="00B74784" w:rsidP="0033532F">
      <w:pPr>
        <w:spacing w:after="0" w:line="276" w:lineRule="auto"/>
        <w:ind w:firstLine="0"/>
        <w:rPr>
          <w:rFonts w:asciiTheme="majorHAnsi" w:hAnsiTheme="majorHAnsi"/>
        </w:rPr>
      </w:pPr>
    </w:p>
    <w:p w14:paraId="314DB754" w14:textId="77777777" w:rsidR="00B74784" w:rsidRPr="00D276FE" w:rsidRDefault="00B74784" w:rsidP="0033532F">
      <w:pPr>
        <w:spacing w:after="0" w:line="276" w:lineRule="auto"/>
        <w:ind w:firstLine="0"/>
        <w:rPr>
          <w:rFonts w:asciiTheme="majorHAnsi" w:hAnsiTheme="majorHAnsi"/>
        </w:rPr>
      </w:pPr>
    </w:p>
    <w:p w14:paraId="55CAB9C0" w14:textId="77777777" w:rsidR="00B74784" w:rsidRPr="00D276FE" w:rsidRDefault="00B74784" w:rsidP="0033532F">
      <w:pPr>
        <w:spacing w:after="0" w:line="276" w:lineRule="auto"/>
        <w:ind w:firstLine="0"/>
        <w:rPr>
          <w:rFonts w:asciiTheme="majorHAnsi" w:hAnsiTheme="majorHAnsi"/>
        </w:rPr>
      </w:pPr>
    </w:p>
    <w:p w14:paraId="37E3D0C4" w14:textId="77777777" w:rsidR="00B74784" w:rsidRPr="00D276FE" w:rsidRDefault="00B74784" w:rsidP="0033532F">
      <w:pPr>
        <w:spacing w:after="0" w:line="276" w:lineRule="auto"/>
        <w:ind w:firstLine="0"/>
        <w:rPr>
          <w:rFonts w:asciiTheme="majorHAnsi" w:hAnsiTheme="majorHAnsi"/>
        </w:rPr>
      </w:pPr>
    </w:p>
    <w:p w14:paraId="7E1BD5C1" w14:textId="77777777" w:rsidR="00B74784" w:rsidRPr="00D276FE" w:rsidRDefault="00B74784" w:rsidP="0033532F">
      <w:pPr>
        <w:spacing w:after="0" w:line="276" w:lineRule="auto"/>
        <w:ind w:firstLine="0"/>
        <w:rPr>
          <w:rFonts w:asciiTheme="majorHAnsi" w:hAnsiTheme="majorHAnsi"/>
        </w:rPr>
      </w:pPr>
    </w:p>
    <w:p w14:paraId="2C79F98E" w14:textId="77777777" w:rsidR="00B74784" w:rsidRPr="00D276FE" w:rsidRDefault="00B74784" w:rsidP="0033532F">
      <w:pPr>
        <w:spacing w:after="0" w:line="276" w:lineRule="auto"/>
        <w:ind w:firstLine="0"/>
        <w:rPr>
          <w:rFonts w:asciiTheme="majorHAnsi" w:hAnsiTheme="majorHAnsi"/>
        </w:rPr>
      </w:pPr>
    </w:p>
    <w:p w14:paraId="44D7DE3B" w14:textId="77777777" w:rsidR="00B74784" w:rsidRPr="00D276FE" w:rsidRDefault="00B74784" w:rsidP="0033532F">
      <w:pPr>
        <w:spacing w:after="0" w:line="276" w:lineRule="auto"/>
        <w:ind w:firstLine="0"/>
        <w:rPr>
          <w:rFonts w:asciiTheme="majorHAnsi" w:hAnsiTheme="majorHAnsi"/>
        </w:rPr>
      </w:pPr>
    </w:p>
    <w:p w14:paraId="290411D8" w14:textId="77777777" w:rsidR="00E36F4D" w:rsidRDefault="00E36F4D" w:rsidP="00EC1EBE">
      <w:pPr>
        <w:spacing w:after="0" w:line="276" w:lineRule="auto"/>
        <w:ind w:firstLine="0"/>
        <w:rPr>
          <w:rFonts w:asciiTheme="majorHAnsi" w:hAnsiTheme="majorHAnsi"/>
        </w:rPr>
      </w:pPr>
    </w:p>
    <w:p w14:paraId="163B221D" w14:textId="04A42AA1" w:rsidR="00EC1EBE" w:rsidRPr="00D276FE" w:rsidRDefault="00CB0154" w:rsidP="00EC1EBE">
      <w:pPr>
        <w:spacing w:after="0" w:line="276" w:lineRule="auto"/>
        <w:ind w:firstLine="0"/>
        <w:rPr>
          <w:rFonts w:asciiTheme="majorHAnsi" w:hAnsiTheme="majorHAnsi"/>
          <w:b/>
          <w:bCs/>
          <w:sz w:val="32"/>
          <w:szCs w:val="32"/>
        </w:rPr>
      </w:pPr>
      <w:r>
        <w:rPr>
          <w:rFonts w:asciiTheme="majorHAnsi" w:hAnsiTheme="majorHAnsi"/>
          <w:b/>
          <w:bCs/>
          <w:sz w:val="32"/>
          <w:szCs w:val="32"/>
        </w:rPr>
        <w:lastRenderedPageBreak/>
        <w:t xml:space="preserve">Additional </w:t>
      </w:r>
      <w:r w:rsidR="00EC1EBE" w:rsidRPr="00D276FE">
        <w:rPr>
          <w:rFonts w:asciiTheme="majorHAnsi" w:hAnsiTheme="majorHAnsi"/>
          <w:b/>
          <w:bCs/>
          <w:sz w:val="32"/>
          <w:szCs w:val="32"/>
        </w:rPr>
        <w:t>references</w:t>
      </w:r>
    </w:p>
    <w:p w14:paraId="40B1ED43" w14:textId="54FBD87D" w:rsidR="00DD310F" w:rsidRPr="00D276FE" w:rsidRDefault="00DD310F" w:rsidP="00804A93">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Lemos, M. C. et al. The closer, the better? untangling scientist–practitioner engagement, interaction, and knowledge use. </w:t>
      </w:r>
      <w:r w:rsidRPr="00D276FE">
        <w:rPr>
          <w:rFonts w:asciiTheme="majorHAnsi" w:hAnsiTheme="majorHAnsi"/>
          <w:i/>
          <w:iCs/>
          <w:lang w:val="en-US"/>
        </w:rPr>
        <w:t>Weather, Climate, and Society</w:t>
      </w:r>
      <w:r w:rsidRPr="00D276FE">
        <w:rPr>
          <w:rFonts w:asciiTheme="majorHAnsi" w:hAnsiTheme="majorHAnsi"/>
          <w:lang w:val="en-US"/>
        </w:rPr>
        <w:t xml:space="preserve"> </w:t>
      </w:r>
      <w:r w:rsidRPr="00D276FE">
        <w:rPr>
          <w:rFonts w:asciiTheme="majorHAnsi" w:hAnsiTheme="majorHAnsi"/>
          <w:b/>
          <w:bCs/>
          <w:lang w:val="en-US"/>
        </w:rPr>
        <w:t>11</w:t>
      </w:r>
      <w:r w:rsidRPr="00D276FE">
        <w:rPr>
          <w:rFonts w:asciiTheme="majorHAnsi" w:hAnsiTheme="majorHAnsi"/>
          <w:lang w:val="en-US"/>
        </w:rPr>
        <w:t xml:space="preserve">, 535 – 548 (2019). URL </w:t>
      </w:r>
      <w:hyperlink r:id="rId21" w:history="1">
        <w:r w:rsidRPr="00D8374E">
          <w:rPr>
            <w:rStyle w:val="Hyperlink"/>
            <w:rFonts w:asciiTheme="majorHAnsi" w:hAnsiTheme="majorHAnsi"/>
            <w:lang w:val="en-US"/>
          </w:rPr>
          <w:t>https://journals.ametsoc.org/view/journals/wcas/11/3/wcas-d-18-0075 1.xml</w:t>
        </w:r>
      </w:hyperlink>
      <w:r w:rsidRPr="00D276FE">
        <w:rPr>
          <w:rFonts w:asciiTheme="majorHAnsi" w:hAnsiTheme="majorHAnsi"/>
          <w:lang w:val="en-US"/>
        </w:rPr>
        <w:t>.</w:t>
      </w:r>
    </w:p>
    <w:p w14:paraId="34E3E65A" w14:textId="77777777" w:rsidR="00DD310F" w:rsidRPr="00D276FE" w:rsidRDefault="00DD310F" w:rsidP="00DD310F">
      <w:pPr>
        <w:pStyle w:val="ListParagraph"/>
        <w:numPr>
          <w:ilvl w:val="0"/>
          <w:numId w:val="20"/>
        </w:numPr>
        <w:spacing w:after="0" w:line="276" w:lineRule="auto"/>
        <w:rPr>
          <w:rFonts w:asciiTheme="majorHAnsi" w:hAnsiTheme="majorHAnsi"/>
        </w:rPr>
      </w:pPr>
      <w:proofErr w:type="spellStart"/>
      <w:r w:rsidRPr="00D276FE">
        <w:rPr>
          <w:rFonts w:asciiTheme="majorHAnsi" w:hAnsiTheme="majorHAnsi"/>
          <w:lang w:val="en-US"/>
        </w:rPr>
        <w:t>Palacin</w:t>
      </w:r>
      <w:proofErr w:type="spellEnd"/>
      <w:r w:rsidRPr="00D276FE">
        <w:rPr>
          <w:rFonts w:asciiTheme="majorHAnsi" w:hAnsiTheme="majorHAnsi"/>
          <w:lang w:val="en-US"/>
        </w:rPr>
        <w:t xml:space="preserve">, V. et al. Sensei: Harnessing community wisdom for local environmental monitoring in </w:t>
      </w:r>
      <w:proofErr w:type="spellStart"/>
      <w:r w:rsidRPr="00D276FE">
        <w:rPr>
          <w:rFonts w:asciiTheme="majorHAnsi" w:hAnsiTheme="majorHAnsi"/>
          <w:lang w:val="en-US"/>
        </w:rPr>
        <w:t>finland</w:t>
      </w:r>
      <w:proofErr w:type="spellEnd"/>
      <w:r w:rsidRPr="00D276FE">
        <w:rPr>
          <w:rFonts w:asciiTheme="majorHAnsi" w:hAnsiTheme="majorHAnsi"/>
          <w:lang w:val="en-US"/>
        </w:rPr>
        <w:t>, 1–8 (Association for Computing Machinery, 2019).</w:t>
      </w:r>
    </w:p>
    <w:p w14:paraId="53E4EFC6" w14:textId="77777777" w:rsidR="00DD310F" w:rsidRPr="00D276FE" w:rsidRDefault="00DD310F" w:rsidP="00DD310F">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McGinnis, S. &amp; Mearns, L. Building a climate service for north </w:t>
      </w:r>
      <w:proofErr w:type="spellStart"/>
      <w:r w:rsidRPr="00D276FE">
        <w:rPr>
          <w:rFonts w:asciiTheme="majorHAnsi" w:hAnsiTheme="majorHAnsi"/>
          <w:lang w:val="en-US"/>
        </w:rPr>
        <w:t>america</w:t>
      </w:r>
      <w:proofErr w:type="spellEnd"/>
      <w:r w:rsidRPr="00D276FE">
        <w:rPr>
          <w:rFonts w:asciiTheme="majorHAnsi" w:hAnsiTheme="majorHAnsi"/>
          <w:lang w:val="en-US"/>
        </w:rPr>
        <w:t xml:space="preserve"> based on the </w:t>
      </w:r>
      <w:proofErr w:type="spellStart"/>
      <w:r w:rsidRPr="00D276FE">
        <w:rPr>
          <w:rFonts w:asciiTheme="majorHAnsi" w:hAnsiTheme="majorHAnsi"/>
          <w:lang w:val="en-US"/>
        </w:rPr>
        <w:t>na-cordex</w:t>
      </w:r>
      <w:proofErr w:type="spellEnd"/>
      <w:r w:rsidRPr="00D276FE">
        <w:rPr>
          <w:rFonts w:asciiTheme="majorHAnsi" w:hAnsiTheme="majorHAnsi"/>
          <w:lang w:val="en-US"/>
        </w:rPr>
        <w:t xml:space="preserve"> data archive.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22</w:t>
      </w:r>
      <w:r w:rsidRPr="00D276FE">
        <w:rPr>
          <w:rFonts w:asciiTheme="majorHAnsi" w:hAnsiTheme="majorHAnsi"/>
          <w:lang w:val="en-US"/>
        </w:rPr>
        <w:t xml:space="preserve"> (2021).</w:t>
      </w:r>
    </w:p>
    <w:p w14:paraId="1D2CC537" w14:textId="77777777" w:rsidR="00DD310F" w:rsidRPr="00D276FE" w:rsidRDefault="00DD310F" w:rsidP="00DD310F">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Vaughan, C., Buja, L., </w:t>
      </w:r>
      <w:proofErr w:type="spellStart"/>
      <w:r w:rsidRPr="00D276FE">
        <w:rPr>
          <w:rFonts w:asciiTheme="majorHAnsi" w:hAnsiTheme="majorHAnsi"/>
          <w:lang w:val="en-US"/>
        </w:rPr>
        <w:t>Kruczkiewicz</w:t>
      </w:r>
      <w:proofErr w:type="spellEnd"/>
      <w:r w:rsidRPr="00D276FE">
        <w:rPr>
          <w:rFonts w:asciiTheme="majorHAnsi" w:hAnsiTheme="majorHAnsi"/>
          <w:lang w:val="en-US"/>
        </w:rPr>
        <w:t xml:space="preserve">, A. &amp; Goddard, L. Identifying research priorities to advance climate services.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4</w:t>
      </w:r>
      <w:r w:rsidRPr="00D276FE">
        <w:rPr>
          <w:rFonts w:asciiTheme="majorHAnsi" w:hAnsiTheme="majorHAnsi"/>
          <w:lang w:val="en-US"/>
        </w:rPr>
        <w:t>, 65–74 (2016).</w:t>
      </w:r>
    </w:p>
    <w:p w14:paraId="51E02812" w14:textId="77777777" w:rsidR="00DD310F" w:rsidRPr="00D276FE" w:rsidRDefault="00DD310F" w:rsidP="00DD310F">
      <w:pPr>
        <w:pStyle w:val="ListParagraph"/>
        <w:numPr>
          <w:ilvl w:val="0"/>
          <w:numId w:val="20"/>
        </w:numPr>
        <w:spacing w:after="0" w:line="276" w:lineRule="auto"/>
        <w:rPr>
          <w:rFonts w:asciiTheme="majorHAnsi" w:hAnsiTheme="majorHAnsi"/>
        </w:rPr>
      </w:pPr>
      <w:r w:rsidRPr="00D276FE">
        <w:rPr>
          <w:rFonts w:asciiTheme="majorHAnsi" w:hAnsiTheme="majorHAnsi"/>
          <w:lang w:val="en-US"/>
        </w:rPr>
        <w:t>ISO 14091 adaptation to climate change—guidelines on vulnerability, impacts and risk assessment (2021).</w:t>
      </w:r>
    </w:p>
    <w:p w14:paraId="4ED09F89" w14:textId="77777777" w:rsidR="00DD310F" w:rsidRPr="00D276FE" w:rsidRDefault="00DD310F" w:rsidP="00DD310F">
      <w:pPr>
        <w:pStyle w:val="ListParagraph"/>
        <w:numPr>
          <w:ilvl w:val="0"/>
          <w:numId w:val="20"/>
        </w:numPr>
        <w:spacing w:after="0" w:line="276" w:lineRule="auto"/>
        <w:rPr>
          <w:rFonts w:asciiTheme="majorHAnsi" w:hAnsiTheme="majorHAnsi"/>
        </w:rPr>
      </w:pPr>
      <w:proofErr w:type="spellStart"/>
      <w:r w:rsidRPr="00D276FE">
        <w:rPr>
          <w:rFonts w:asciiTheme="majorHAnsi" w:hAnsiTheme="majorHAnsi"/>
          <w:lang w:val="en-US"/>
        </w:rPr>
        <w:t>Cortekar</w:t>
      </w:r>
      <w:proofErr w:type="spellEnd"/>
      <w:r w:rsidRPr="00D276FE">
        <w:rPr>
          <w:rFonts w:asciiTheme="majorHAnsi" w:hAnsiTheme="majorHAnsi"/>
          <w:lang w:val="en-US"/>
        </w:rPr>
        <w:t xml:space="preserve">, J., Bender, S., Brune, M. &amp; </w:t>
      </w:r>
      <w:proofErr w:type="spellStart"/>
      <w:r w:rsidRPr="00D276FE">
        <w:rPr>
          <w:rFonts w:asciiTheme="majorHAnsi" w:hAnsiTheme="majorHAnsi"/>
          <w:lang w:val="en-US"/>
        </w:rPr>
        <w:t>Groth</w:t>
      </w:r>
      <w:proofErr w:type="spellEnd"/>
      <w:r w:rsidRPr="00D276FE">
        <w:rPr>
          <w:rFonts w:asciiTheme="majorHAnsi" w:hAnsiTheme="majorHAnsi"/>
          <w:lang w:val="en-US"/>
        </w:rPr>
        <w:t xml:space="preserve">, M. Why climate change adaptation in cities needs </w:t>
      </w:r>
      <w:proofErr w:type="spellStart"/>
      <w:r w:rsidRPr="00D276FE">
        <w:rPr>
          <w:rFonts w:asciiTheme="majorHAnsi" w:hAnsiTheme="majorHAnsi"/>
          <w:lang w:val="en-US"/>
        </w:rPr>
        <w:t>customised</w:t>
      </w:r>
      <w:proofErr w:type="spellEnd"/>
      <w:r w:rsidRPr="00D276FE">
        <w:rPr>
          <w:rFonts w:asciiTheme="majorHAnsi" w:hAnsiTheme="majorHAnsi"/>
          <w:lang w:val="en-US"/>
        </w:rPr>
        <w:t xml:space="preserve"> and flexible climate services.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4</w:t>
      </w:r>
      <w:r w:rsidRPr="00D276FE">
        <w:rPr>
          <w:rFonts w:asciiTheme="majorHAnsi" w:hAnsiTheme="majorHAnsi"/>
          <w:lang w:val="en-US"/>
        </w:rPr>
        <w:t>, 42–51 (2016).</w:t>
      </w:r>
    </w:p>
    <w:p w14:paraId="50BB8E31" w14:textId="77777777" w:rsidR="00DD310F" w:rsidRPr="00D276FE" w:rsidRDefault="00DD310F" w:rsidP="00DD310F">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Hoffmann, J. et al. Destination earth – a digital twin in support of climate services.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30</w:t>
      </w:r>
      <w:r w:rsidRPr="00D276FE">
        <w:rPr>
          <w:rFonts w:asciiTheme="majorHAnsi" w:hAnsiTheme="majorHAnsi"/>
          <w:lang w:val="en-US"/>
        </w:rPr>
        <w:t>, 100394 (2023).</w:t>
      </w:r>
    </w:p>
    <w:p w14:paraId="2C2F9553" w14:textId="77777777" w:rsidR="00DD310F" w:rsidRPr="00D276FE" w:rsidRDefault="00DD310F" w:rsidP="00DD310F">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Vaughan, C. &amp; </w:t>
      </w:r>
      <w:proofErr w:type="spellStart"/>
      <w:r w:rsidRPr="00D276FE">
        <w:rPr>
          <w:rFonts w:asciiTheme="majorHAnsi" w:hAnsiTheme="majorHAnsi"/>
          <w:lang w:val="en-US"/>
        </w:rPr>
        <w:t>Dessai</w:t>
      </w:r>
      <w:proofErr w:type="spellEnd"/>
      <w:r w:rsidRPr="00D276FE">
        <w:rPr>
          <w:rFonts w:asciiTheme="majorHAnsi" w:hAnsiTheme="majorHAnsi"/>
          <w:lang w:val="en-US"/>
        </w:rPr>
        <w:t xml:space="preserve">, S. Climate services for society: Origins, institutional arrangements, and design elements for an evaluation framework. </w:t>
      </w:r>
      <w:r w:rsidRPr="00D276FE">
        <w:rPr>
          <w:rFonts w:asciiTheme="majorHAnsi" w:hAnsiTheme="majorHAnsi"/>
          <w:i/>
          <w:iCs/>
          <w:lang w:val="en-US"/>
        </w:rPr>
        <w:t>Wiley Interdisciplinary Reviews: Climate Change</w:t>
      </w:r>
      <w:r w:rsidRPr="00D276FE">
        <w:rPr>
          <w:rFonts w:asciiTheme="majorHAnsi" w:hAnsiTheme="majorHAnsi"/>
          <w:lang w:val="en-US"/>
        </w:rPr>
        <w:t xml:space="preserve"> </w:t>
      </w:r>
      <w:r w:rsidRPr="00D276FE">
        <w:rPr>
          <w:rFonts w:asciiTheme="majorHAnsi" w:hAnsiTheme="majorHAnsi"/>
          <w:b/>
          <w:bCs/>
          <w:lang w:val="en-US"/>
        </w:rPr>
        <w:t>5</w:t>
      </w:r>
      <w:r w:rsidRPr="00D276FE">
        <w:rPr>
          <w:rFonts w:asciiTheme="majorHAnsi" w:hAnsiTheme="majorHAnsi"/>
          <w:lang w:val="en-US"/>
        </w:rPr>
        <w:t>, 587–603 (2014).</w:t>
      </w:r>
    </w:p>
    <w:p w14:paraId="3BF76892" w14:textId="77777777" w:rsidR="00DD310F" w:rsidRPr="00D276FE" w:rsidRDefault="00DD310F" w:rsidP="00DD310F">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Daniels, E., Bharwani, S., ˚Asa Gerger </w:t>
      </w:r>
      <w:proofErr w:type="spellStart"/>
      <w:r w:rsidRPr="00D276FE">
        <w:rPr>
          <w:rFonts w:asciiTheme="majorHAnsi" w:hAnsiTheme="majorHAnsi"/>
          <w:lang w:val="en-US"/>
        </w:rPr>
        <w:t>Swartling</w:t>
      </w:r>
      <w:proofErr w:type="spellEnd"/>
      <w:r w:rsidRPr="00D276FE">
        <w:rPr>
          <w:rFonts w:asciiTheme="majorHAnsi" w:hAnsiTheme="majorHAnsi"/>
          <w:lang w:val="en-US"/>
        </w:rPr>
        <w:t xml:space="preserve">, </w:t>
      </w:r>
      <w:proofErr w:type="spellStart"/>
      <w:r w:rsidRPr="00D276FE">
        <w:rPr>
          <w:rFonts w:asciiTheme="majorHAnsi" w:hAnsiTheme="majorHAnsi"/>
          <w:lang w:val="en-US"/>
        </w:rPr>
        <w:t>Vulturius</w:t>
      </w:r>
      <w:proofErr w:type="spellEnd"/>
      <w:r w:rsidRPr="00D276FE">
        <w:rPr>
          <w:rFonts w:asciiTheme="majorHAnsi" w:hAnsiTheme="majorHAnsi"/>
          <w:lang w:val="en-US"/>
        </w:rPr>
        <w:t xml:space="preserve">, G. &amp; Brandon, K. Refocusing the climate services lens: Introducing a framework for co-designing “transdisciplinary knowledge integration processes” to build climate resilience.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19</w:t>
      </w:r>
      <w:r w:rsidRPr="00D276FE">
        <w:rPr>
          <w:rFonts w:asciiTheme="majorHAnsi" w:hAnsiTheme="majorHAnsi"/>
          <w:lang w:val="en-US"/>
        </w:rPr>
        <w:t xml:space="preserve"> (2020).</w:t>
      </w:r>
    </w:p>
    <w:p w14:paraId="23195672" w14:textId="77777777" w:rsidR="00DD310F" w:rsidRPr="00D276FE" w:rsidRDefault="00DD310F" w:rsidP="00DD310F">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Visscher, K. et al. Matching supply and demand: A typology of climate services.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17</w:t>
      </w:r>
      <w:r w:rsidRPr="00D276FE">
        <w:rPr>
          <w:rFonts w:asciiTheme="majorHAnsi" w:hAnsiTheme="majorHAnsi"/>
          <w:lang w:val="en-US"/>
        </w:rPr>
        <w:t xml:space="preserve"> (2020).</w:t>
      </w:r>
    </w:p>
    <w:p w14:paraId="48828EF0" w14:textId="77777777" w:rsidR="00DD310F" w:rsidRPr="00D276FE" w:rsidRDefault="00DD310F" w:rsidP="00DD310F">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Cantone, C., Grape, H. I., Habash, S. E. &amp; </w:t>
      </w:r>
      <w:proofErr w:type="spellStart"/>
      <w:r w:rsidRPr="00D276FE">
        <w:rPr>
          <w:rFonts w:asciiTheme="majorHAnsi" w:hAnsiTheme="majorHAnsi"/>
          <w:lang w:val="en-US"/>
        </w:rPr>
        <w:t>Pechlivanidis</w:t>
      </w:r>
      <w:proofErr w:type="spellEnd"/>
      <w:r w:rsidRPr="00D276FE">
        <w:rPr>
          <w:rFonts w:asciiTheme="majorHAnsi" w:hAnsiTheme="majorHAnsi"/>
          <w:lang w:val="en-US"/>
        </w:rPr>
        <w:t xml:space="preserve">, I. G. A co-generation success story: Improving drinking water management through hydro-climate services.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31</w:t>
      </w:r>
      <w:r w:rsidRPr="00D276FE">
        <w:rPr>
          <w:rFonts w:asciiTheme="majorHAnsi" w:hAnsiTheme="majorHAnsi"/>
          <w:lang w:val="en-US"/>
        </w:rPr>
        <w:t xml:space="preserve"> (2023).</w:t>
      </w:r>
    </w:p>
    <w:p w14:paraId="2A548064" w14:textId="77777777" w:rsidR="00DD310F" w:rsidRPr="00D276FE" w:rsidRDefault="00DD310F" w:rsidP="00DD310F">
      <w:pPr>
        <w:pStyle w:val="ListParagraph"/>
        <w:numPr>
          <w:ilvl w:val="0"/>
          <w:numId w:val="20"/>
        </w:numPr>
        <w:spacing w:after="0" w:line="276" w:lineRule="auto"/>
        <w:rPr>
          <w:rFonts w:asciiTheme="majorHAnsi" w:hAnsiTheme="majorHAnsi"/>
        </w:rPr>
      </w:pPr>
      <w:proofErr w:type="spellStart"/>
      <w:r w:rsidRPr="00D276FE">
        <w:rPr>
          <w:rFonts w:asciiTheme="majorHAnsi" w:hAnsiTheme="majorHAnsi"/>
          <w:lang w:val="en-US"/>
        </w:rPr>
        <w:t>Koesten</w:t>
      </w:r>
      <w:proofErr w:type="spellEnd"/>
      <w:r w:rsidRPr="00D276FE">
        <w:rPr>
          <w:rFonts w:asciiTheme="majorHAnsi" w:hAnsiTheme="majorHAnsi"/>
          <w:lang w:val="en-US"/>
        </w:rPr>
        <w:t xml:space="preserve">, L. &amp; </w:t>
      </w:r>
      <w:proofErr w:type="spellStart"/>
      <w:r w:rsidRPr="00D276FE">
        <w:rPr>
          <w:rFonts w:asciiTheme="majorHAnsi" w:hAnsiTheme="majorHAnsi"/>
          <w:lang w:val="en-US"/>
        </w:rPr>
        <w:t>Simperl</w:t>
      </w:r>
      <w:proofErr w:type="spellEnd"/>
      <w:r w:rsidRPr="00D276FE">
        <w:rPr>
          <w:rFonts w:asciiTheme="majorHAnsi" w:hAnsiTheme="majorHAnsi"/>
          <w:lang w:val="en-US"/>
        </w:rPr>
        <w:t xml:space="preserve">, E. </w:t>
      </w:r>
      <w:proofErr w:type="spellStart"/>
      <w:r w:rsidRPr="00D276FE">
        <w:rPr>
          <w:rFonts w:asciiTheme="majorHAnsi" w:hAnsiTheme="majorHAnsi"/>
          <w:lang w:val="en-US"/>
        </w:rPr>
        <w:t>Ux</w:t>
      </w:r>
      <w:proofErr w:type="spellEnd"/>
      <w:r w:rsidRPr="00D276FE">
        <w:rPr>
          <w:rFonts w:asciiTheme="majorHAnsi" w:hAnsiTheme="majorHAnsi"/>
          <w:lang w:val="en-US"/>
        </w:rPr>
        <w:t xml:space="preserve"> of data: Making data available doesn’t make it usable. </w:t>
      </w:r>
      <w:r w:rsidRPr="00D276FE">
        <w:rPr>
          <w:rFonts w:asciiTheme="majorHAnsi" w:hAnsiTheme="majorHAnsi"/>
          <w:i/>
          <w:iCs/>
          <w:lang w:val="en-US"/>
        </w:rPr>
        <w:t>Interactions</w:t>
      </w:r>
      <w:r w:rsidRPr="00D276FE">
        <w:rPr>
          <w:rFonts w:asciiTheme="majorHAnsi" w:hAnsiTheme="majorHAnsi"/>
          <w:lang w:val="en-US"/>
        </w:rPr>
        <w:t xml:space="preserve"> </w:t>
      </w:r>
      <w:r w:rsidRPr="00D276FE">
        <w:rPr>
          <w:rFonts w:asciiTheme="majorHAnsi" w:hAnsiTheme="majorHAnsi"/>
          <w:b/>
          <w:bCs/>
          <w:lang w:val="en-US"/>
        </w:rPr>
        <w:t>28</w:t>
      </w:r>
      <w:r w:rsidRPr="00D276FE">
        <w:rPr>
          <w:rFonts w:asciiTheme="majorHAnsi" w:hAnsiTheme="majorHAnsi"/>
          <w:lang w:val="en-US"/>
        </w:rPr>
        <w:t>, 97–99 (2021).</w:t>
      </w:r>
    </w:p>
    <w:p w14:paraId="09B1DDD0" w14:textId="77777777" w:rsidR="00DD310F" w:rsidRPr="00D276FE" w:rsidRDefault="00DD310F" w:rsidP="00DD310F">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Sarku, R., </w:t>
      </w:r>
      <w:proofErr w:type="spellStart"/>
      <w:r w:rsidRPr="00D276FE">
        <w:rPr>
          <w:rFonts w:asciiTheme="majorHAnsi" w:hAnsiTheme="majorHAnsi"/>
          <w:lang w:val="en-US"/>
        </w:rPr>
        <w:t>Slobbe</w:t>
      </w:r>
      <w:proofErr w:type="spellEnd"/>
      <w:r w:rsidRPr="00D276FE">
        <w:rPr>
          <w:rFonts w:asciiTheme="majorHAnsi" w:hAnsiTheme="majorHAnsi"/>
          <w:lang w:val="en-US"/>
        </w:rPr>
        <w:t xml:space="preserve">, E. V., Termeer, K., </w:t>
      </w:r>
      <w:proofErr w:type="spellStart"/>
      <w:r w:rsidRPr="00D276FE">
        <w:rPr>
          <w:rFonts w:asciiTheme="majorHAnsi" w:hAnsiTheme="majorHAnsi"/>
          <w:lang w:val="en-US"/>
        </w:rPr>
        <w:t>Kranjac-Berisavljevic</w:t>
      </w:r>
      <w:proofErr w:type="spellEnd"/>
      <w:r w:rsidRPr="00D276FE">
        <w:rPr>
          <w:rFonts w:asciiTheme="majorHAnsi" w:hAnsiTheme="majorHAnsi"/>
          <w:lang w:val="en-US"/>
        </w:rPr>
        <w:t xml:space="preserve">, G. &amp; Dewulf, A. Usability of weather information services for decision-making in farming: Evidence from the </w:t>
      </w:r>
      <w:proofErr w:type="spellStart"/>
      <w:r w:rsidRPr="00D276FE">
        <w:rPr>
          <w:rFonts w:asciiTheme="majorHAnsi" w:hAnsiTheme="majorHAnsi"/>
          <w:lang w:val="en-US"/>
        </w:rPr>
        <w:t>ada</w:t>
      </w:r>
      <w:proofErr w:type="spellEnd"/>
      <w:r w:rsidRPr="00D276FE">
        <w:rPr>
          <w:rFonts w:asciiTheme="majorHAnsi" w:hAnsiTheme="majorHAnsi"/>
          <w:lang w:val="en-US"/>
        </w:rPr>
        <w:t xml:space="preserve"> east district, </w:t>
      </w:r>
      <w:proofErr w:type="spellStart"/>
      <w:r w:rsidRPr="00D276FE">
        <w:rPr>
          <w:rFonts w:asciiTheme="majorHAnsi" w:hAnsiTheme="majorHAnsi"/>
          <w:lang w:val="en-US"/>
        </w:rPr>
        <w:t>ghana</w:t>
      </w:r>
      <w:proofErr w:type="spellEnd"/>
      <w:r w:rsidRPr="00D276FE">
        <w:rPr>
          <w:rFonts w:asciiTheme="majorHAnsi" w:hAnsiTheme="majorHAnsi"/>
          <w:lang w:val="en-US"/>
        </w:rPr>
        <w:t xml:space="preserve">.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25</w:t>
      </w:r>
      <w:r w:rsidRPr="00D276FE">
        <w:rPr>
          <w:rFonts w:asciiTheme="majorHAnsi" w:hAnsiTheme="majorHAnsi"/>
          <w:lang w:val="en-US"/>
        </w:rPr>
        <w:t xml:space="preserve"> (2022).</w:t>
      </w:r>
    </w:p>
    <w:p w14:paraId="4F946CFD" w14:textId="77777777" w:rsidR="00DD310F" w:rsidRPr="00D276FE" w:rsidRDefault="00DD310F" w:rsidP="00DD310F">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Paparrizos, S. et al. Hydro-climate information services for smallholder farmers: </w:t>
      </w:r>
      <w:proofErr w:type="spellStart"/>
      <w:r w:rsidRPr="00D276FE">
        <w:rPr>
          <w:rFonts w:asciiTheme="majorHAnsi" w:hAnsiTheme="majorHAnsi"/>
          <w:lang w:val="en-US"/>
        </w:rPr>
        <w:t>Farmersupport</w:t>
      </w:r>
      <w:proofErr w:type="spellEnd"/>
      <w:r w:rsidRPr="00D276FE">
        <w:rPr>
          <w:rFonts w:asciiTheme="majorHAnsi" w:hAnsiTheme="majorHAnsi"/>
          <w:lang w:val="en-US"/>
        </w:rPr>
        <w:t xml:space="preserve"> app principles, implementation, and evaluation.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30</w:t>
      </w:r>
      <w:r w:rsidRPr="00D276FE">
        <w:rPr>
          <w:rFonts w:asciiTheme="majorHAnsi" w:hAnsiTheme="majorHAnsi"/>
          <w:lang w:val="en-US"/>
        </w:rPr>
        <w:t xml:space="preserve"> (2023).</w:t>
      </w:r>
    </w:p>
    <w:p w14:paraId="58F3070D" w14:textId="77777777" w:rsidR="00DD310F" w:rsidRPr="00D276FE" w:rsidRDefault="00DD310F" w:rsidP="00DD310F">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Ginige, A., Romano, M., </w:t>
      </w:r>
      <w:proofErr w:type="spellStart"/>
      <w:r w:rsidRPr="00D276FE">
        <w:rPr>
          <w:rFonts w:asciiTheme="majorHAnsi" w:hAnsiTheme="majorHAnsi"/>
          <w:lang w:val="en-US"/>
        </w:rPr>
        <w:t>Sebillo</w:t>
      </w:r>
      <w:proofErr w:type="spellEnd"/>
      <w:r w:rsidRPr="00D276FE">
        <w:rPr>
          <w:rFonts w:asciiTheme="majorHAnsi" w:hAnsiTheme="majorHAnsi"/>
          <w:lang w:val="en-US"/>
        </w:rPr>
        <w:t>, M., Vitiello, G. &amp; Giovanni, P. D. Spatial data and mobile applications – general solutions for interface design, 189–196 (2012).</w:t>
      </w:r>
    </w:p>
    <w:p w14:paraId="7A54EB12" w14:textId="77777777" w:rsidR="00DD310F" w:rsidRPr="00D276FE" w:rsidRDefault="00DD310F" w:rsidP="00DD310F">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Buontempo, C. et al. Fostering the development of climate services through </w:t>
      </w:r>
      <w:proofErr w:type="spellStart"/>
      <w:r w:rsidRPr="00D276FE">
        <w:rPr>
          <w:rFonts w:asciiTheme="majorHAnsi" w:hAnsiTheme="majorHAnsi"/>
          <w:lang w:val="en-US"/>
        </w:rPr>
        <w:t>copernicus</w:t>
      </w:r>
      <w:proofErr w:type="spellEnd"/>
      <w:r w:rsidRPr="00D276FE">
        <w:rPr>
          <w:rFonts w:asciiTheme="majorHAnsi" w:hAnsiTheme="majorHAnsi"/>
          <w:lang w:val="en-US"/>
        </w:rPr>
        <w:t xml:space="preserve"> climate change service (c3s) for agriculture applications. </w:t>
      </w:r>
      <w:r w:rsidRPr="00D276FE">
        <w:rPr>
          <w:rFonts w:asciiTheme="majorHAnsi" w:hAnsiTheme="majorHAnsi"/>
          <w:i/>
          <w:iCs/>
          <w:lang w:val="en-US"/>
        </w:rPr>
        <w:t>Weather and Climate Extremes</w:t>
      </w:r>
      <w:r w:rsidRPr="00D276FE">
        <w:rPr>
          <w:rFonts w:asciiTheme="majorHAnsi" w:hAnsiTheme="majorHAnsi"/>
          <w:lang w:val="en-US"/>
        </w:rPr>
        <w:t xml:space="preserve"> </w:t>
      </w:r>
      <w:r w:rsidRPr="00D276FE">
        <w:rPr>
          <w:rFonts w:asciiTheme="majorHAnsi" w:hAnsiTheme="majorHAnsi"/>
          <w:b/>
          <w:bCs/>
          <w:lang w:val="en-US"/>
        </w:rPr>
        <w:t>27</w:t>
      </w:r>
      <w:r w:rsidRPr="00D276FE">
        <w:rPr>
          <w:rFonts w:asciiTheme="majorHAnsi" w:hAnsiTheme="majorHAnsi"/>
          <w:lang w:val="en-US"/>
        </w:rPr>
        <w:t xml:space="preserve"> (2020).</w:t>
      </w:r>
    </w:p>
    <w:p w14:paraId="31391969" w14:textId="77777777" w:rsidR="00DD310F" w:rsidRPr="00D276FE" w:rsidRDefault="00DD310F" w:rsidP="00DD310F">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Visman, E., Vincent, K., </w:t>
      </w:r>
      <w:proofErr w:type="spellStart"/>
      <w:r w:rsidRPr="00D276FE">
        <w:rPr>
          <w:rFonts w:asciiTheme="majorHAnsi" w:hAnsiTheme="majorHAnsi"/>
          <w:lang w:val="en-US"/>
        </w:rPr>
        <w:t>Steynor</w:t>
      </w:r>
      <w:proofErr w:type="spellEnd"/>
      <w:r w:rsidRPr="00D276FE">
        <w:rPr>
          <w:rFonts w:asciiTheme="majorHAnsi" w:hAnsiTheme="majorHAnsi"/>
          <w:lang w:val="en-US"/>
        </w:rPr>
        <w:t xml:space="preserve">, A., Karani, I. &amp; Mwangi, E. Defining metrics for monitoring and evaluating the impact of co-production in climate services.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26</w:t>
      </w:r>
      <w:r w:rsidRPr="00D276FE">
        <w:rPr>
          <w:rFonts w:asciiTheme="majorHAnsi" w:hAnsiTheme="majorHAnsi"/>
          <w:lang w:val="en-US"/>
        </w:rPr>
        <w:t xml:space="preserve"> (2022).</w:t>
      </w:r>
    </w:p>
    <w:p w14:paraId="00B020A1" w14:textId="77777777" w:rsidR="00DD310F" w:rsidRPr="00D276FE" w:rsidRDefault="00DD310F" w:rsidP="00DD310F">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Kumar, U., Werners, S. E., Paparrizos, S., Datta, D. K. &amp; Ludwig, F. Co-producing climate information services with smallholder farmers in the lower </w:t>
      </w:r>
      <w:proofErr w:type="spellStart"/>
      <w:r w:rsidRPr="00D276FE">
        <w:rPr>
          <w:rFonts w:asciiTheme="majorHAnsi" w:hAnsiTheme="majorHAnsi"/>
          <w:lang w:val="en-US"/>
        </w:rPr>
        <w:t>bengal</w:t>
      </w:r>
      <w:proofErr w:type="spellEnd"/>
      <w:r w:rsidRPr="00D276FE">
        <w:rPr>
          <w:rFonts w:asciiTheme="majorHAnsi" w:hAnsiTheme="majorHAnsi"/>
          <w:lang w:val="en-US"/>
        </w:rPr>
        <w:t xml:space="preserve"> delta: How forecast </w:t>
      </w:r>
      <w:r w:rsidRPr="00D276FE">
        <w:rPr>
          <w:rFonts w:asciiTheme="majorHAnsi" w:hAnsiTheme="majorHAnsi"/>
          <w:lang w:val="en-US"/>
        </w:rPr>
        <w:lastRenderedPageBreak/>
        <w:t xml:space="preserve">visualization and communication support farmers’ decision-making. </w:t>
      </w:r>
      <w:r w:rsidRPr="00D276FE">
        <w:rPr>
          <w:rFonts w:asciiTheme="majorHAnsi" w:hAnsiTheme="majorHAnsi"/>
          <w:i/>
          <w:iCs/>
          <w:lang w:val="en-US"/>
        </w:rPr>
        <w:t>Climate Risk Management</w:t>
      </w:r>
      <w:r w:rsidRPr="00D276FE">
        <w:rPr>
          <w:rFonts w:asciiTheme="majorHAnsi" w:hAnsiTheme="majorHAnsi"/>
          <w:lang w:val="en-US"/>
        </w:rPr>
        <w:t xml:space="preserve"> </w:t>
      </w:r>
      <w:r w:rsidRPr="00D276FE">
        <w:rPr>
          <w:rFonts w:asciiTheme="majorHAnsi" w:hAnsiTheme="majorHAnsi"/>
          <w:b/>
          <w:bCs/>
          <w:lang w:val="en-US"/>
        </w:rPr>
        <w:t>33</w:t>
      </w:r>
      <w:r w:rsidRPr="00D276FE">
        <w:rPr>
          <w:rFonts w:asciiTheme="majorHAnsi" w:hAnsiTheme="majorHAnsi"/>
          <w:lang w:val="en-US"/>
        </w:rPr>
        <w:t xml:space="preserve"> (2021).</w:t>
      </w:r>
    </w:p>
    <w:p w14:paraId="4365F402" w14:textId="150EAC60" w:rsidR="00DD310F" w:rsidRPr="00D276FE" w:rsidRDefault="00DD310F" w:rsidP="00DD310F">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Bremer, S., </w:t>
      </w:r>
      <w:proofErr w:type="spellStart"/>
      <w:r w:rsidRPr="00D276FE">
        <w:rPr>
          <w:rFonts w:asciiTheme="majorHAnsi" w:hAnsiTheme="majorHAnsi"/>
          <w:lang w:val="en-US"/>
        </w:rPr>
        <w:t>Wardekker</w:t>
      </w:r>
      <w:proofErr w:type="spellEnd"/>
      <w:r w:rsidRPr="00D276FE">
        <w:rPr>
          <w:rFonts w:asciiTheme="majorHAnsi" w:hAnsiTheme="majorHAnsi"/>
          <w:lang w:val="en-US"/>
        </w:rPr>
        <w:t xml:space="preserve">, A., Jensen, E. S. &amp; van der Sluijs, J. P. Quality assessment in co-developing climate services in </w:t>
      </w:r>
      <w:proofErr w:type="spellStart"/>
      <w:r w:rsidRPr="00D276FE">
        <w:rPr>
          <w:rFonts w:asciiTheme="majorHAnsi" w:hAnsiTheme="majorHAnsi"/>
          <w:lang w:val="en-US"/>
        </w:rPr>
        <w:t>norway</w:t>
      </w:r>
      <w:proofErr w:type="spellEnd"/>
      <w:r w:rsidRPr="00D276FE">
        <w:rPr>
          <w:rFonts w:asciiTheme="majorHAnsi" w:hAnsiTheme="majorHAnsi"/>
          <w:lang w:val="en-US"/>
        </w:rPr>
        <w:t xml:space="preserve"> and the </w:t>
      </w:r>
      <w:proofErr w:type="spellStart"/>
      <w:r w:rsidRPr="00D276FE">
        <w:rPr>
          <w:rFonts w:asciiTheme="majorHAnsi" w:hAnsiTheme="majorHAnsi"/>
          <w:lang w:val="en-US"/>
        </w:rPr>
        <w:t>netherlands</w:t>
      </w:r>
      <w:proofErr w:type="spellEnd"/>
      <w:r w:rsidRPr="00D276FE">
        <w:rPr>
          <w:rFonts w:asciiTheme="majorHAnsi" w:hAnsiTheme="majorHAnsi"/>
          <w:lang w:val="en-US"/>
        </w:rPr>
        <w:t xml:space="preserve">. </w:t>
      </w:r>
      <w:r w:rsidRPr="00D276FE">
        <w:rPr>
          <w:rFonts w:asciiTheme="majorHAnsi" w:hAnsiTheme="majorHAnsi"/>
          <w:i/>
          <w:iCs/>
          <w:lang w:val="en-US"/>
        </w:rPr>
        <w:t>Frontiers in Climate</w:t>
      </w:r>
      <w:r w:rsidRPr="00D276FE">
        <w:rPr>
          <w:rFonts w:asciiTheme="majorHAnsi" w:hAnsiTheme="majorHAnsi"/>
          <w:lang w:val="en-US"/>
        </w:rPr>
        <w:t xml:space="preserve"> </w:t>
      </w:r>
      <w:r w:rsidRPr="00D276FE">
        <w:rPr>
          <w:rFonts w:asciiTheme="majorHAnsi" w:hAnsiTheme="majorHAnsi"/>
          <w:b/>
          <w:bCs/>
          <w:lang w:val="en-US"/>
        </w:rPr>
        <w:t>3</w:t>
      </w:r>
      <w:r w:rsidRPr="00D276FE">
        <w:rPr>
          <w:rFonts w:asciiTheme="majorHAnsi" w:hAnsiTheme="majorHAnsi"/>
          <w:lang w:val="en-US"/>
        </w:rPr>
        <w:t xml:space="preserve"> (2021). URL </w:t>
      </w:r>
      <w:hyperlink r:id="rId22" w:history="1">
        <w:r w:rsidRPr="00D276FE">
          <w:rPr>
            <w:rStyle w:val="Hyperlink"/>
            <w:rFonts w:asciiTheme="majorHAnsi" w:hAnsiTheme="majorHAnsi"/>
            <w:lang w:val="en-US"/>
          </w:rPr>
          <w:t>https://www.frontiersin.org/journals/climate/articles/10.3389/fclim.2021.627665</w:t>
        </w:r>
      </w:hyperlink>
      <w:r w:rsidRPr="00D276FE">
        <w:rPr>
          <w:rFonts w:asciiTheme="majorHAnsi" w:hAnsiTheme="majorHAnsi"/>
          <w:lang w:val="en-US"/>
        </w:rPr>
        <w:t>.</w:t>
      </w:r>
    </w:p>
    <w:p w14:paraId="78E2C00A"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Shackel, B. Usability - context, framework, definition, design and evaluation. </w:t>
      </w:r>
      <w:r w:rsidRPr="00D276FE">
        <w:rPr>
          <w:rFonts w:asciiTheme="majorHAnsi" w:hAnsiTheme="majorHAnsi"/>
          <w:i/>
          <w:iCs/>
          <w:lang w:val="en-US"/>
        </w:rPr>
        <w:t>Interacting with Computers</w:t>
      </w:r>
      <w:r w:rsidRPr="00D276FE">
        <w:rPr>
          <w:rFonts w:asciiTheme="majorHAnsi" w:hAnsiTheme="majorHAnsi"/>
          <w:lang w:val="en-US"/>
        </w:rPr>
        <w:t xml:space="preserve"> </w:t>
      </w:r>
      <w:r w:rsidRPr="00D276FE">
        <w:rPr>
          <w:rFonts w:asciiTheme="majorHAnsi" w:hAnsiTheme="majorHAnsi"/>
          <w:b/>
          <w:bCs/>
          <w:lang w:val="en-US"/>
        </w:rPr>
        <w:t>21</w:t>
      </w:r>
      <w:r w:rsidRPr="00D276FE">
        <w:rPr>
          <w:rFonts w:asciiTheme="majorHAnsi" w:hAnsiTheme="majorHAnsi"/>
          <w:lang w:val="en-US"/>
        </w:rPr>
        <w:t>, 339–346 (2009).</w:t>
      </w:r>
    </w:p>
    <w:p w14:paraId="57CF18AC" w14:textId="5D569F61"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Bevan, N., Carter, J., Earthy, J., Geis, T. &amp; Harker, S. New </w:t>
      </w:r>
      <w:r w:rsidR="00083C88">
        <w:rPr>
          <w:rFonts w:asciiTheme="majorHAnsi" w:hAnsiTheme="majorHAnsi"/>
          <w:lang w:val="en-US"/>
        </w:rPr>
        <w:t>ISO</w:t>
      </w:r>
      <w:r w:rsidRPr="00D276FE">
        <w:rPr>
          <w:rFonts w:asciiTheme="majorHAnsi" w:hAnsiTheme="majorHAnsi"/>
          <w:lang w:val="en-US"/>
        </w:rPr>
        <w:t xml:space="preserve"> standards for usability, usability reports and usability measures, Vol. 9731, 268–278 (Springer Verlag, 2016).</w:t>
      </w:r>
    </w:p>
    <w:p w14:paraId="7F0A8C50"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Brown, M. et al. Usability of geographic information: Current challenges and future directions. </w:t>
      </w:r>
      <w:r w:rsidRPr="00D276FE">
        <w:rPr>
          <w:rFonts w:asciiTheme="majorHAnsi" w:hAnsiTheme="majorHAnsi"/>
          <w:i/>
          <w:iCs/>
          <w:lang w:val="en-US"/>
        </w:rPr>
        <w:t>Applied Ergonomics</w:t>
      </w:r>
      <w:r w:rsidRPr="00D276FE">
        <w:rPr>
          <w:rFonts w:asciiTheme="majorHAnsi" w:hAnsiTheme="majorHAnsi"/>
          <w:lang w:val="en-US"/>
        </w:rPr>
        <w:t xml:space="preserve"> </w:t>
      </w:r>
      <w:r w:rsidRPr="00D276FE">
        <w:rPr>
          <w:rFonts w:asciiTheme="majorHAnsi" w:hAnsiTheme="majorHAnsi"/>
          <w:b/>
          <w:bCs/>
          <w:lang w:val="en-US"/>
        </w:rPr>
        <w:t>44</w:t>
      </w:r>
      <w:r w:rsidRPr="00D276FE">
        <w:rPr>
          <w:rFonts w:asciiTheme="majorHAnsi" w:hAnsiTheme="majorHAnsi"/>
          <w:lang w:val="en-US"/>
        </w:rPr>
        <w:t>, 855–865 (2013).</w:t>
      </w:r>
    </w:p>
    <w:p w14:paraId="467D8F05"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Robinson, A. C. et al. </w:t>
      </w:r>
      <w:proofErr w:type="spellStart"/>
      <w:r w:rsidRPr="00D276FE">
        <w:rPr>
          <w:rFonts w:asciiTheme="majorHAnsi" w:hAnsiTheme="majorHAnsi"/>
          <w:lang w:val="en-US"/>
        </w:rPr>
        <w:t>Beescape</w:t>
      </w:r>
      <w:proofErr w:type="spellEnd"/>
      <w:r w:rsidRPr="00D276FE">
        <w:rPr>
          <w:rFonts w:asciiTheme="majorHAnsi" w:hAnsiTheme="majorHAnsi"/>
          <w:lang w:val="en-US"/>
        </w:rPr>
        <w:t xml:space="preserve">: Characterizing user needs for environmental decision support in beekeeping. </w:t>
      </w:r>
      <w:r w:rsidRPr="00D276FE">
        <w:rPr>
          <w:rFonts w:asciiTheme="majorHAnsi" w:hAnsiTheme="majorHAnsi"/>
          <w:i/>
          <w:iCs/>
          <w:lang w:val="en-US"/>
        </w:rPr>
        <w:t>Ecological Informatics</w:t>
      </w:r>
      <w:r w:rsidRPr="00D276FE">
        <w:rPr>
          <w:rFonts w:asciiTheme="majorHAnsi" w:hAnsiTheme="majorHAnsi"/>
          <w:lang w:val="en-US"/>
        </w:rPr>
        <w:t xml:space="preserve"> </w:t>
      </w:r>
      <w:r w:rsidRPr="00D276FE">
        <w:rPr>
          <w:rFonts w:asciiTheme="majorHAnsi" w:hAnsiTheme="majorHAnsi"/>
          <w:b/>
          <w:bCs/>
          <w:lang w:val="en-US"/>
        </w:rPr>
        <w:t>64</w:t>
      </w:r>
      <w:r w:rsidRPr="00D276FE">
        <w:rPr>
          <w:rFonts w:asciiTheme="majorHAnsi" w:hAnsiTheme="majorHAnsi"/>
          <w:lang w:val="en-US"/>
        </w:rPr>
        <w:t xml:space="preserve"> (2021).</w:t>
      </w:r>
    </w:p>
    <w:p w14:paraId="16288EAD"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Barcena-Vazquez, J., Caro, K., Bermudez, K. &amp; Zatarain-Aceves, H. Designing and evaluating </w:t>
      </w:r>
      <w:proofErr w:type="spellStart"/>
      <w:r w:rsidRPr="00D276FE">
        <w:rPr>
          <w:rFonts w:asciiTheme="majorHAnsi" w:hAnsiTheme="majorHAnsi"/>
          <w:lang w:val="en-US"/>
        </w:rPr>
        <w:t>reto</w:t>
      </w:r>
      <w:proofErr w:type="spellEnd"/>
      <w:r w:rsidRPr="00D276FE">
        <w:rPr>
          <w:rFonts w:asciiTheme="majorHAnsi" w:hAnsiTheme="majorHAnsi"/>
          <w:lang w:val="en-US"/>
        </w:rPr>
        <w:t xml:space="preserve"> global, a serious video game for supporting global warming awareness. </w:t>
      </w:r>
      <w:r w:rsidRPr="00D276FE">
        <w:rPr>
          <w:rFonts w:asciiTheme="majorHAnsi" w:hAnsiTheme="majorHAnsi"/>
          <w:i/>
          <w:iCs/>
          <w:lang w:val="en-US"/>
        </w:rPr>
        <w:t>International Journal of Human-Computer Studies</w:t>
      </w:r>
      <w:r w:rsidRPr="00D276FE">
        <w:rPr>
          <w:rFonts w:asciiTheme="majorHAnsi" w:hAnsiTheme="majorHAnsi"/>
          <w:lang w:val="en-US"/>
        </w:rPr>
        <w:t xml:space="preserve"> </w:t>
      </w:r>
      <w:r w:rsidRPr="00D276FE">
        <w:rPr>
          <w:rFonts w:asciiTheme="majorHAnsi" w:hAnsiTheme="majorHAnsi"/>
          <w:b/>
          <w:bCs/>
          <w:lang w:val="en-US"/>
        </w:rPr>
        <w:t>177</w:t>
      </w:r>
      <w:r w:rsidRPr="00D276FE">
        <w:rPr>
          <w:rFonts w:asciiTheme="majorHAnsi" w:hAnsiTheme="majorHAnsi"/>
          <w:lang w:val="en-US"/>
        </w:rPr>
        <w:t>, 103080 (2023).</w:t>
      </w:r>
    </w:p>
    <w:p w14:paraId="05F17428" w14:textId="77777777" w:rsidR="0091412C" w:rsidRPr="00D276FE" w:rsidRDefault="00DD310F" w:rsidP="0091412C">
      <w:pPr>
        <w:pStyle w:val="ListParagraph"/>
        <w:numPr>
          <w:ilvl w:val="0"/>
          <w:numId w:val="20"/>
        </w:numPr>
        <w:spacing w:after="0" w:line="276" w:lineRule="auto"/>
        <w:rPr>
          <w:rFonts w:asciiTheme="majorHAnsi" w:hAnsiTheme="majorHAnsi"/>
        </w:rPr>
      </w:pPr>
      <w:proofErr w:type="spellStart"/>
      <w:r w:rsidRPr="00D276FE">
        <w:rPr>
          <w:rFonts w:asciiTheme="majorHAnsi" w:hAnsiTheme="majorHAnsi"/>
          <w:lang w:val="en-US"/>
        </w:rPr>
        <w:t>Bosello</w:t>
      </w:r>
      <w:proofErr w:type="spellEnd"/>
      <w:r w:rsidRPr="00D276FE">
        <w:rPr>
          <w:rFonts w:asciiTheme="majorHAnsi" w:hAnsiTheme="majorHAnsi"/>
          <w:lang w:val="en-US"/>
        </w:rPr>
        <w:t xml:space="preserve">, M., </w:t>
      </w:r>
      <w:proofErr w:type="spellStart"/>
      <w:r w:rsidRPr="00D276FE">
        <w:rPr>
          <w:rFonts w:asciiTheme="majorHAnsi" w:hAnsiTheme="majorHAnsi"/>
          <w:lang w:val="en-US"/>
        </w:rPr>
        <w:t>Delnevo</w:t>
      </w:r>
      <w:proofErr w:type="spellEnd"/>
      <w:r w:rsidRPr="00D276FE">
        <w:rPr>
          <w:rFonts w:asciiTheme="majorHAnsi" w:hAnsiTheme="majorHAnsi"/>
          <w:lang w:val="en-US"/>
        </w:rPr>
        <w:t>, G. &amp; Mirri, S. On exploiting gamification for the crowdsensing of air pollution: A case study on a bicycle-based system, 205–210 (Association for Computing Machinery, 2020).</w:t>
      </w:r>
    </w:p>
    <w:p w14:paraId="41E27C2E"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Bhatt, U. et al. Uncertainty as a form of transparency: Measuring, communicating, and using uncertainty, 401–413 (Association for Computing Machinery, Inc, 2021).</w:t>
      </w:r>
    </w:p>
    <w:p w14:paraId="13D37767"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Sanders, L. An evolving map of design practice and design research. </w:t>
      </w:r>
      <w:r w:rsidRPr="00D276FE">
        <w:rPr>
          <w:rFonts w:asciiTheme="majorHAnsi" w:hAnsiTheme="majorHAnsi"/>
          <w:i/>
          <w:iCs/>
          <w:lang w:val="en-US"/>
        </w:rPr>
        <w:t>Interactions</w:t>
      </w:r>
      <w:r w:rsidRPr="00D276FE">
        <w:rPr>
          <w:rFonts w:asciiTheme="majorHAnsi" w:hAnsiTheme="majorHAnsi"/>
          <w:lang w:val="en-US"/>
        </w:rPr>
        <w:t xml:space="preserve"> </w:t>
      </w:r>
      <w:r w:rsidRPr="00D276FE">
        <w:rPr>
          <w:rFonts w:asciiTheme="majorHAnsi" w:hAnsiTheme="majorHAnsi"/>
          <w:b/>
          <w:bCs/>
          <w:lang w:val="en-US"/>
        </w:rPr>
        <w:t>15</w:t>
      </w:r>
      <w:r w:rsidRPr="00D276FE">
        <w:rPr>
          <w:rFonts w:asciiTheme="majorHAnsi" w:hAnsiTheme="majorHAnsi"/>
          <w:lang w:val="en-US"/>
        </w:rPr>
        <w:t>, 13–17 (2008).</w:t>
      </w:r>
    </w:p>
    <w:p w14:paraId="5FB86CF5"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Sanders, E. B.-N. &amp; </w:t>
      </w:r>
      <w:proofErr w:type="spellStart"/>
      <w:r w:rsidRPr="00D276FE">
        <w:rPr>
          <w:rFonts w:asciiTheme="majorHAnsi" w:hAnsiTheme="majorHAnsi"/>
          <w:lang w:val="en-US"/>
        </w:rPr>
        <w:t>Stappers</w:t>
      </w:r>
      <w:proofErr w:type="spellEnd"/>
      <w:r w:rsidRPr="00D276FE">
        <w:rPr>
          <w:rFonts w:asciiTheme="majorHAnsi" w:hAnsiTheme="majorHAnsi"/>
          <w:lang w:val="en-US"/>
        </w:rPr>
        <w:t xml:space="preserve">, P. J. Co-creation and the new landscapes of design. </w:t>
      </w:r>
      <w:proofErr w:type="spellStart"/>
      <w:r w:rsidRPr="00D276FE">
        <w:rPr>
          <w:rFonts w:asciiTheme="majorHAnsi" w:hAnsiTheme="majorHAnsi"/>
          <w:i/>
          <w:iCs/>
          <w:lang w:val="en-US"/>
        </w:rPr>
        <w:t>CoDesign</w:t>
      </w:r>
      <w:proofErr w:type="spellEnd"/>
      <w:r w:rsidRPr="00D276FE">
        <w:rPr>
          <w:rFonts w:asciiTheme="majorHAnsi" w:hAnsiTheme="majorHAnsi"/>
          <w:lang w:val="en-US"/>
        </w:rPr>
        <w:t xml:space="preserve"> </w:t>
      </w:r>
      <w:r w:rsidRPr="00D276FE">
        <w:rPr>
          <w:rFonts w:asciiTheme="majorHAnsi" w:hAnsiTheme="majorHAnsi"/>
          <w:b/>
          <w:bCs/>
          <w:lang w:val="en-US"/>
        </w:rPr>
        <w:t>4</w:t>
      </w:r>
      <w:r w:rsidRPr="00D276FE">
        <w:rPr>
          <w:rFonts w:asciiTheme="majorHAnsi" w:hAnsiTheme="majorHAnsi"/>
          <w:lang w:val="en-US"/>
        </w:rPr>
        <w:t>, 5–18 (2008).</w:t>
      </w:r>
    </w:p>
    <w:p w14:paraId="5CEC1BB5" w14:textId="77777777" w:rsidR="0091412C" w:rsidRPr="00D276FE" w:rsidRDefault="00DD310F" w:rsidP="0091412C">
      <w:pPr>
        <w:pStyle w:val="ListParagraph"/>
        <w:numPr>
          <w:ilvl w:val="0"/>
          <w:numId w:val="20"/>
        </w:numPr>
        <w:spacing w:after="0" w:line="276" w:lineRule="auto"/>
        <w:rPr>
          <w:rFonts w:asciiTheme="majorHAnsi" w:hAnsiTheme="majorHAnsi"/>
        </w:rPr>
      </w:pPr>
      <w:proofErr w:type="spellStart"/>
      <w:r w:rsidRPr="00D276FE">
        <w:rPr>
          <w:rFonts w:asciiTheme="majorHAnsi" w:hAnsiTheme="majorHAnsi"/>
          <w:lang w:val="en-US"/>
        </w:rPr>
        <w:t>Scuri</w:t>
      </w:r>
      <w:proofErr w:type="spellEnd"/>
      <w:r w:rsidRPr="00D276FE">
        <w:rPr>
          <w:rFonts w:asciiTheme="majorHAnsi" w:hAnsiTheme="majorHAnsi"/>
          <w:lang w:val="en-US"/>
        </w:rPr>
        <w:t xml:space="preserve">, S., Ferreira, M., Nunes, N. J., Nisi, V. &amp; Mulligan, C. Hitting the triple bottom line: Widening the </w:t>
      </w:r>
      <w:proofErr w:type="spellStart"/>
      <w:r w:rsidRPr="00D276FE">
        <w:rPr>
          <w:rFonts w:asciiTheme="majorHAnsi" w:hAnsiTheme="majorHAnsi"/>
          <w:lang w:val="en-US"/>
        </w:rPr>
        <w:t>hci</w:t>
      </w:r>
      <w:proofErr w:type="spellEnd"/>
      <w:r w:rsidRPr="00D276FE">
        <w:rPr>
          <w:rFonts w:asciiTheme="majorHAnsi" w:hAnsiTheme="majorHAnsi"/>
          <w:lang w:val="en-US"/>
        </w:rPr>
        <w:t xml:space="preserve"> approach to sustainability (Association for Computing Machinery, 2022). URL </w:t>
      </w:r>
      <w:hyperlink r:id="rId23" w:tgtFrame="_new" w:history="1">
        <w:r w:rsidRPr="00D276FE">
          <w:rPr>
            <w:rStyle w:val="Hyperlink"/>
            <w:rFonts w:asciiTheme="majorHAnsi" w:hAnsiTheme="majorHAnsi"/>
            <w:lang w:val="en-US"/>
          </w:rPr>
          <w:t>https://doi.org/10.1145/3491102.3517518</w:t>
        </w:r>
      </w:hyperlink>
      <w:r w:rsidRPr="00D276FE">
        <w:rPr>
          <w:rFonts w:asciiTheme="majorHAnsi" w:hAnsiTheme="majorHAnsi"/>
          <w:lang w:val="en-US"/>
        </w:rPr>
        <w:t>.</w:t>
      </w:r>
    </w:p>
    <w:p w14:paraId="2A2453FB"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Hansson, L., Pargman, T. C. &amp; Pargman, D. A decade of sustainable </w:t>
      </w:r>
      <w:proofErr w:type="spellStart"/>
      <w:r w:rsidRPr="00D276FE">
        <w:rPr>
          <w:rFonts w:asciiTheme="majorHAnsi" w:hAnsiTheme="majorHAnsi"/>
          <w:lang w:val="en-US"/>
        </w:rPr>
        <w:t>hci</w:t>
      </w:r>
      <w:proofErr w:type="spellEnd"/>
      <w:r w:rsidRPr="00D276FE">
        <w:rPr>
          <w:rFonts w:asciiTheme="majorHAnsi" w:hAnsiTheme="majorHAnsi"/>
          <w:lang w:val="en-US"/>
        </w:rPr>
        <w:t xml:space="preserve">: Connecting </w:t>
      </w:r>
      <w:proofErr w:type="spellStart"/>
      <w:r w:rsidRPr="00D276FE">
        <w:rPr>
          <w:rFonts w:asciiTheme="majorHAnsi" w:hAnsiTheme="majorHAnsi"/>
          <w:lang w:val="en-US"/>
        </w:rPr>
        <w:t>shci</w:t>
      </w:r>
      <w:proofErr w:type="spellEnd"/>
      <w:r w:rsidRPr="00D276FE">
        <w:rPr>
          <w:rFonts w:asciiTheme="majorHAnsi" w:hAnsiTheme="majorHAnsi"/>
          <w:lang w:val="en-US"/>
        </w:rPr>
        <w:t xml:space="preserve"> to the sustainable development goals, 1–19 (Association for Computing Machinery, 2021).</w:t>
      </w:r>
    </w:p>
    <w:p w14:paraId="7B14E60E"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DiSalvo, C., </w:t>
      </w:r>
      <w:proofErr w:type="spellStart"/>
      <w:r w:rsidRPr="00D276FE">
        <w:rPr>
          <w:rFonts w:asciiTheme="majorHAnsi" w:hAnsiTheme="majorHAnsi"/>
          <w:lang w:val="en-US"/>
        </w:rPr>
        <w:t>Sengers</w:t>
      </w:r>
      <w:proofErr w:type="spellEnd"/>
      <w:r w:rsidRPr="00D276FE">
        <w:rPr>
          <w:rFonts w:asciiTheme="majorHAnsi" w:hAnsiTheme="majorHAnsi"/>
          <w:lang w:val="en-US"/>
        </w:rPr>
        <w:t xml:space="preserve">, P. &amp; </w:t>
      </w:r>
      <w:proofErr w:type="spellStart"/>
      <w:r w:rsidRPr="00D276FE">
        <w:rPr>
          <w:rFonts w:asciiTheme="majorHAnsi" w:hAnsiTheme="majorHAnsi"/>
          <w:lang w:val="en-US"/>
        </w:rPr>
        <w:t>Brynjarsd´ottir</w:t>
      </w:r>
      <w:proofErr w:type="spellEnd"/>
      <w:r w:rsidRPr="00D276FE">
        <w:rPr>
          <w:rFonts w:asciiTheme="majorHAnsi" w:hAnsiTheme="majorHAnsi"/>
          <w:lang w:val="en-US"/>
        </w:rPr>
        <w:t xml:space="preserve">, H. Mapping the landscape of sustainable </w:t>
      </w:r>
      <w:proofErr w:type="spellStart"/>
      <w:r w:rsidRPr="00D276FE">
        <w:rPr>
          <w:rFonts w:asciiTheme="majorHAnsi" w:hAnsiTheme="majorHAnsi"/>
          <w:lang w:val="en-US"/>
        </w:rPr>
        <w:t>hci</w:t>
      </w:r>
      <w:proofErr w:type="spellEnd"/>
      <w:r w:rsidRPr="00D276FE">
        <w:rPr>
          <w:rFonts w:asciiTheme="majorHAnsi" w:hAnsiTheme="majorHAnsi"/>
          <w:lang w:val="en-US"/>
        </w:rPr>
        <w:t>, 1975 – 1984 (Association for Computing Machinery, 2010).</w:t>
      </w:r>
    </w:p>
    <w:p w14:paraId="1DAD8F9B"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de Almeida Neris, V. P., da Hora Rodrigues, K. R. &amp; Lima, R. F. A systematic review of sustainability and aspects of human-computer interaction, Vol. 8512, 742–753 (Springer International Publishing, 2014).</w:t>
      </w:r>
    </w:p>
    <w:p w14:paraId="67E4DD26"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Carr, E. R. &amp; </w:t>
      </w:r>
      <w:proofErr w:type="spellStart"/>
      <w:r w:rsidRPr="00D276FE">
        <w:rPr>
          <w:rFonts w:asciiTheme="majorHAnsi" w:hAnsiTheme="majorHAnsi"/>
          <w:lang w:val="en-US"/>
        </w:rPr>
        <w:t>Onzere</w:t>
      </w:r>
      <w:proofErr w:type="spellEnd"/>
      <w:r w:rsidRPr="00D276FE">
        <w:rPr>
          <w:rFonts w:asciiTheme="majorHAnsi" w:hAnsiTheme="majorHAnsi"/>
          <w:lang w:val="en-US"/>
        </w:rPr>
        <w:t xml:space="preserve">, S. N. </w:t>
      </w:r>
      <w:proofErr w:type="gramStart"/>
      <w:r w:rsidRPr="00D276FE">
        <w:rPr>
          <w:rFonts w:asciiTheme="majorHAnsi" w:hAnsiTheme="majorHAnsi"/>
          <w:lang w:val="en-US"/>
        </w:rPr>
        <w:t>Really effective</w:t>
      </w:r>
      <w:proofErr w:type="gramEnd"/>
      <w:r w:rsidRPr="00D276FE">
        <w:rPr>
          <w:rFonts w:asciiTheme="majorHAnsi" w:hAnsiTheme="majorHAnsi"/>
          <w:lang w:val="en-US"/>
        </w:rPr>
        <w:t xml:space="preserve"> (for 15% of the men): Lessons in understanding and addressing user needs in climate services from Mali. </w:t>
      </w:r>
      <w:r w:rsidRPr="00D276FE">
        <w:rPr>
          <w:rFonts w:asciiTheme="majorHAnsi" w:hAnsiTheme="majorHAnsi"/>
          <w:i/>
          <w:iCs/>
          <w:lang w:val="en-US"/>
        </w:rPr>
        <w:t>Climate Risk Management</w:t>
      </w:r>
      <w:r w:rsidRPr="00D276FE">
        <w:rPr>
          <w:rFonts w:asciiTheme="majorHAnsi" w:hAnsiTheme="majorHAnsi"/>
          <w:lang w:val="en-US"/>
        </w:rPr>
        <w:t xml:space="preserve"> </w:t>
      </w:r>
      <w:r w:rsidRPr="00D276FE">
        <w:rPr>
          <w:rFonts w:asciiTheme="majorHAnsi" w:hAnsiTheme="majorHAnsi"/>
          <w:b/>
          <w:bCs/>
          <w:lang w:val="en-US"/>
        </w:rPr>
        <w:t>22</w:t>
      </w:r>
      <w:r w:rsidRPr="00D276FE">
        <w:rPr>
          <w:rFonts w:asciiTheme="majorHAnsi" w:hAnsiTheme="majorHAnsi"/>
          <w:lang w:val="en-US"/>
        </w:rPr>
        <w:t>, 82–95 (2018).</w:t>
      </w:r>
    </w:p>
    <w:p w14:paraId="022F2B0F"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Gubler, S. et al. Twinning </w:t>
      </w:r>
      <w:proofErr w:type="spellStart"/>
      <w:r w:rsidRPr="00D276FE">
        <w:rPr>
          <w:rFonts w:asciiTheme="majorHAnsi" w:hAnsiTheme="majorHAnsi"/>
          <w:lang w:val="en-US"/>
        </w:rPr>
        <w:t>senamhi</w:t>
      </w:r>
      <w:proofErr w:type="spellEnd"/>
      <w:r w:rsidRPr="00D276FE">
        <w:rPr>
          <w:rFonts w:asciiTheme="majorHAnsi" w:hAnsiTheme="majorHAnsi"/>
          <w:lang w:val="en-US"/>
        </w:rPr>
        <w:t xml:space="preserve"> and </w:t>
      </w:r>
      <w:proofErr w:type="spellStart"/>
      <w:r w:rsidRPr="00D276FE">
        <w:rPr>
          <w:rFonts w:asciiTheme="majorHAnsi" w:hAnsiTheme="majorHAnsi"/>
          <w:lang w:val="en-US"/>
        </w:rPr>
        <w:t>meteoswiss</w:t>
      </w:r>
      <w:proofErr w:type="spellEnd"/>
      <w:r w:rsidRPr="00D276FE">
        <w:rPr>
          <w:rFonts w:asciiTheme="majorHAnsi" w:hAnsiTheme="majorHAnsi"/>
          <w:lang w:val="en-US"/>
        </w:rPr>
        <w:t xml:space="preserve"> to co-develop climate services for the agricultural sector in </w:t>
      </w:r>
      <w:proofErr w:type="spellStart"/>
      <w:r w:rsidRPr="00D276FE">
        <w:rPr>
          <w:rFonts w:asciiTheme="majorHAnsi" w:hAnsiTheme="majorHAnsi"/>
          <w:lang w:val="en-US"/>
        </w:rPr>
        <w:t>peru</w:t>
      </w:r>
      <w:proofErr w:type="spellEnd"/>
      <w:r w:rsidRPr="00D276FE">
        <w:rPr>
          <w:rFonts w:asciiTheme="majorHAnsi" w:hAnsiTheme="majorHAnsi"/>
          <w:lang w:val="en-US"/>
        </w:rPr>
        <w:t xml:space="preserve">.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20</w:t>
      </w:r>
      <w:r w:rsidRPr="00D276FE">
        <w:rPr>
          <w:rFonts w:asciiTheme="majorHAnsi" w:hAnsiTheme="majorHAnsi"/>
          <w:lang w:val="en-US"/>
        </w:rPr>
        <w:t xml:space="preserve"> (2020).</w:t>
      </w:r>
    </w:p>
    <w:p w14:paraId="2A9E948D" w14:textId="77777777" w:rsidR="0091412C" w:rsidRPr="00D276FE" w:rsidRDefault="00DD310F" w:rsidP="0091412C">
      <w:pPr>
        <w:pStyle w:val="ListParagraph"/>
        <w:numPr>
          <w:ilvl w:val="0"/>
          <w:numId w:val="20"/>
        </w:numPr>
        <w:spacing w:after="0" w:line="276" w:lineRule="auto"/>
        <w:rPr>
          <w:rFonts w:asciiTheme="majorHAnsi" w:hAnsiTheme="majorHAnsi"/>
        </w:rPr>
      </w:pPr>
      <w:proofErr w:type="spellStart"/>
      <w:r w:rsidRPr="00D276FE">
        <w:rPr>
          <w:rFonts w:asciiTheme="majorHAnsi" w:hAnsiTheme="majorHAnsi"/>
          <w:lang w:val="en-US"/>
        </w:rPr>
        <w:t>S´anchez-Garc´ıa</w:t>
      </w:r>
      <w:proofErr w:type="spellEnd"/>
      <w:r w:rsidRPr="00D276FE">
        <w:rPr>
          <w:rFonts w:asciiTheme="majorHAnsi" w:hAnsiTheme="majorHAnsi"/>
          <w:lang w:val="en-US"/>
        </w:rPr>
        <w:t xml:space="preserve">, E. et al. Co-design of sectoral climate services based on seasonal prediction information in the mediterranean.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28</w:t>
      </w:r>
      <w:r w:rsidRPr="00D276FE">
        <w:rPr>
          <w:rFonts w:asciiTheme="majorHAnsi" w:hAnsiTheme="majorHAnsi"/>
          <w:lang w:val="en-US"/>
        </w:rPr>
        <w:t xml:space="preserve"> (2022).</w:t>
      </w:r>
    </w:p>
    <w:p w14:paraId="335CE022"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Bachelet, D. et al. Climate consoles: Pieces in the puzzle of climate change adaptation.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8</w:t>
      </w:r>
      <w:r w:rsidRPr="00D276FE">
        <w:rPr>
          <w:rFonts w:asciiTheme="majorHAnsi" w:hAnsiTheme="majorHAnsi"/>
          <w:lang w:val="en-US"/>
        </w:rPr>
        <w:t>, 36–43 (2017).</w:t>
      </w:r>
    </w:p>
    <w:p w14:paraId="11BC35BD"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lastRenderedPageBreak/>
        <w:t xml:space="preserve">Vollstedt, B., Koerth, J., Tsakiris, M., Nieskens, N. &amp; </w:t>
      </w:r>
      <w:proofErr w:type="spellStart"/>
      <w:r w:rsidRPr="00D276FE">
        <w:rPr>
          <w:rFonts w:asciiTheme="majorHAnsi" w:hAnsiTheme="majorHAnsi"/>
          <w:lang w:val="en-US"/>
        </w:rPr>
        <w:t>Vafeidis</w:t>
      </w:r>
      <w:proofErr w:type="spellEnd"/>
      <w:r w:rsidRPr="00D276FE">
        <w:rPr>
          <w:rFonts w:asciiTheme="majorHAnsi" w:hAnsiTheme="majorHAnsi"/>
          <w:lang w:val="en-US"/>
        </w:rPr>
        <w:t xml:space="preserve">, A. T. Co-production of climate services: A story map for future coastal flooding for the city of </w:t>
      </w:r>
      <w:proofErr w:type="spellStart"/>
      <w:r w:rsidRPr="00D276FE">
        <w:rPr>
          <w:rFonts w:asciiTheme="majorHAnsi" w:hAnsiTheme="majorHAnsi"/>
          <w:lang w:val="en-US"/>
        </w:rPr>
        <w:t>flensburg</w:t>
      </w:r>
      <w:proofErr w:type="spellEnd"/>
      <w:r w:rsidRPr="00D276FE">
        <w:rPr>
          <w:rFonts w:asciiTheme="majorHAnsi" w:hAnsiTheme="majorHAnsi"/>
          <w:lang w:val="en-US"/>
        </w:rPr>
        <w:t xml:space="preserve">.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22</w:t>
      </w:r>
      <w:r w:rsidRPr="00D276FE">
        <w:rPr>
          <w:rFonts w:asciiTheme="majorHAnsi" w:hAnsiTheme="majorHAnsi"/>
          <w:lang w:val="en-US"/>
        </w:rPr>
        <w:t xml:space="preserve"> (2021).</w:t>
      </w:r>
    </w:p>
    <w:p w14:paraId="72661C3F" w14:textId="77777777" w:rsidR="0091412C" w:rsidRPr="00D276FE" w:rsidRDefault="00DD310F" w:rsidP="0091412C">
      <w:pPr>
        <w:pStyle w:val="ListParagraph"/>
        <w:numPr>
          <w:ilvl w:val="0"/>
          <w:numId w:val="20"/>
        </w:numPr>
        <w:spacing w:after="0" w:line="276" w:lineRule="auto"/>
        <w:rPr>
          <w:rFonts w:asciiTheme="majorHAnsi" w:hAnsiTheme="majorHAnsi"/>
        </w:rPr>
      </w:pPr>
      <w:proofErr w:type="spellStart"/>
      <w:r w:rsidRPr="00D276FE">
        <w:rPr>
          <w:rFonts w:asciiTheme="majorHAnsi" w:hAnsiTheme="majorHAnsi"/>
          <w:lang w:val="en-US"/>
        </w:rPr>
        <w:t>Dell’Aquila</w:t>
      </w:r>
      <w:proofErr w:type="spellEnd"/>
      <w:r w:rsidRPr="00D276FE">
        <w:rPr>
          <w:rFonts w:asciiTheme="majorHAnsi" w:hAnsiTheme="majorHAnsi"/>
          <w:lang w:val="en-US"/>
        </w:rPr>
        <w:t xml:space="preserve">, A. et al. Monitoring climate related risk and opportunities for the wine sector: The med-gold pilot service.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30</w:t>
      </w:r>
      <w:r w:rsidRPr="00D276FE">
        <w:rPr>
          <w:rFonts w:asciiTheme="majorHAnsi" w:hAnsiTheme="majorHAnsi"/>
          <w:lang w:val="en-US"/>
        </w:rPr>
        <w:t xml:space="preserve"> (2023).</w:t>
      </w:r>
    </w:p>
    <w:p w14:paraId="07637FA0"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Ceglar, A. et al. </w:t>
      </w:r>
      <w:proofErr w:type="spellStart"/>
      <w:r w:rsidRPr="00D276FE">
        <w:rPr>
          <w:rFonts w:asciiTheme="majorHAnsi" w:hAnsiTheme="majorHAnsi"/>
          <w:lang w:val="en-US"/>
        </w:rPr>
        <w:t>Clisagri</w:t>
      </w:r>
      <w:proofErr w:type="spellEnd"/>
      <w:r w:rsidRPr="00D276FE">
        <w:rPr>
          <w:rFonts w:asciiTheme="majorHAnsi" w:hAnsiTheme="majorHAnsi"/>
          <w:lang w:val="en-US"/>
        </w:rPr>
        <w:t xml:space="preserve">: An r package for </w:t>
      </w:r>
      <w:proofErr w:type="spellStart"/>
      <w:r w:rsidRPr="00D276FE">
        <w:rPr>
          <w:rFonts w:asciiTheme="majorHAnsi" w:hAnsiTheme="majorHAnsi"/>
          <w:lang w:val="en-US"/>
        </w:rPr>
        <w:t>agro</w:t>
      </w:r>
      <w:proofErr w:type="spellEnd"/>
      <w:r w:rsidRPr="00D276FE">
        <w:rPr>
          <w:rFonts w:asciiTheme="majorHAnsi" w:hAnsiTheme="majorHAnsi"/>
          <w:lang w:val="en-US"/>
        </w:rPr>
        <w:t xml:space="preserve">-climate services.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20</w:t>
      </w:r>
      <w:r w:rsidRPr="00D276FE">
        <w:rPr>
          <w:rFonts w:asciiTheme="majorHAnsi" w:hAnsiTheme="majorHAnsi"/>
          <w:lang w:val="en-US"/>
        </w:rPr>
        <w:t xml:space="preserve"> (2020).</w:t>
      </w:r>
    </w:p>
    <w:p w14:paraId="09075961"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Vano, J. A. et al. Dos and don’ts for using climate change information for water resource planning and management: guidelines for study design.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12</w:t>
      </w:r>
      <w:r w:rsidRPr="00D276FE">
        <w:rPr>
          <w:rFonts w:asciiTheme="majorHAnsi" w:hAnsiTheme="majorHAnsi"/>
          <w:lang w:val="en-US"/>
        </w:rPr>
        <w:t>, 1–13 (2018).</w:t>
      </w:r>
    </w:p>
    <w:p w14:paraId="69AE236D"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Hinkel, J. et al. Co-creating a coastal climate service to </w:t>
      </w:r>
      <w:proofErr w:type="spellStart"/>
      <w:r w:rsidRPr="00D276FE">
        <w:rPr>
          <w:rFonts w:asciiTheme="majorHAnsi" w:hAnsiTheme="majorHAnsi"/>
          <w:lang w:val="en-US"/>
        </w:rPr>
        <w:t>prioritise</w:t>
      </w:r>
      <w:proofErr w:type="spellEnd"/>
      <w:r w:rsidRPr="00D276FE">
        <w:rPr>
          <w:rFonts w:asciiTheme="majorHAnsi" w:hAnsiTheme="majorHAnsi"/>
          <w:lang w:val="en-US"/>
        </w:rPr>
        <w:t xml:space="preserve"> investments in erosion prevention and sea-level rise adaptation in the </w:t>
      </w:r>
      <w:proofErr w:type="spellStart"/>
      <w:r w:rsidRPr="00D276FE">
        <w:rPr>
          <w:rFonts w:asciiTheme="majorHAnsi" w:hAnsiTheme="majorHAnsi"/>
          <w:lang w:val="en-US"/>
        </w:rPr>
        <w:t>maldives</w:t>
      </w:r>
      <w:proofErr w:type="spellEnd"/>
      <w:r w:rsidRPr="00D276FE">
        <w:rPr>
          <w:rFonts w:asciiTheme="majorHAnsi" w:hAnsiTheme="majorHAnsi"/>
          <w:lang w:val="en-US"/>
        </w:rPr>
        <w:t xml:space="preserve">.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31</w:t>
      </w:r>
      <w:r w:rsidRPr="00D276FE">
        <w:rPr>
          <w:rFonts w:asciiTheme="majorHAnsi" w:hAnsiTheme="majorHAnsi"/>
          <w:lang w:val="en-US"/>
        </w:rPr>
        <w:t xml:space="preserve"> (2023).</w:t>
      </w:r>
    </w:p>
    <w:p w14:paraId="3B899214"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Vogel, J., Letson, D. &amp; Herrick, C. A framework for climate services evaluation and its application to the </w:t>
      </w:r>
      <w:proofErr w:type="spellStart"/>
      <w:r w:rsidRPr="00D276FE">
        <w:rPr>
          <w:rFonts w:asciiTheme="majorHAnsi" w:hAnsiTheme="majorHAnsi"/>
          <w:lang w:val="en-US"/>
        </w:rPr>
        <w:t>caribbean</w:t>
      </w:r>
      <w:proofErr w:type="spellEnd"/>
      <w:r w:rsidRPr="00D276FE">
        <w:rPr>
          <w:rFonts w:asciiTheme="majorHAnsi" w:hAnsiTheme="majorHAnsi"/>
          <w:lang w:val="en-US"/>
        </w:rPr>
        <w:t xml:space="preserve"> agrometeorological initiative.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6</w:t>
      </w:r>
      <w:r w:rsidRPr="00D276FE">
        <w:rPr>
          <w:rFonts w:asciiTheme="majorHAnsi" w:hAnsiTheme="majorHAnsi"/>
          <w:lang w:val="en-US"/>
        </w:rPr>
        <w:t>, 65–76 (2017).</w:t>
      </w:r>
    </w:p>
    <w:p w14:paraId="4A48D866"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Ervasti, M. et al. </w:t>
      </w:r>
      <w:proofErr w:type="spellStart"/>
      <w:r w:rsidRPr="00D276FE">
        <w:rPr>
          <w:rFonts w:asciiTheme="majorHAnsi" w:hAnsiTheme="majorHAnsi"/>
          <w:lang w:val="en-US"/>
        </w:rPr>
        <w:t>ishake</w:t>
      </w:r>
      <w:proofErr w:type="spellEnd"/>
      <w:r w:rsidRPr="00D276FE">
        <w:rPr>
          <w:rFonts w:asciiTheme="majorHAnsi" w:hAnsiTheme="majorHAnsi"/>
          <w:lang w:val="en-US"/>
        </w:rPr>
        <w:t>: Mobile phones as seismic sensors – user study findings, 43–52 (ACM, 2011).</w:t>
      </w:r>
    </w:p>
    <w:p w14:paraId="19931918"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Nunes, N. J., Nisi, V. &amp; Rennert, K. </w:t>
      </w:r>
      <w:proofErr w:type="spellStart"/>
      <w:r w:rsidRPr="00D276FE">
        <w:rPr>
          <w:rFonts w:asciiTheme="majorHAnsi" w:hAnsiTheme="majorHAnsi"/>
          <w:lang w:val="en-US"/>
        </w:rPr>
        <w:t>Beeco</w:t>
      </w:r>
      <w:proofErr w:type="spellEnd"/>
      <w:r w:rsidRPr="00D276FE">
        <w:rPr>
          <w:rFonts w:asciiTheme="majorHAnsi" w:hAnsiTheme="majorHAnsi"/>
          <w:lang w:val="en-US"/>
        </w:rPr>
        <w:t xml:space="preserve"> - co-designing a game with children to promote environmental awareness - a case study, Vol. 07-12-May-2016, 718–727 (Association for Computing Machinery, 2016).</w:t>
      </w:r>
    </w:p>
    <w:p w14:paraId="4BD6B85A" w14:textId="77777777" w:rsidR="0091412C" w:rsidRPr="00D276FE" w:rsidRDefault="00DD310F" w:rsidP="0091412C">
      <w:pPr>
        <w:pStyle w:val="ListParagraph"/>
        <w:numPr>
          <w:ilvl w:val="0"/>
          <w:numId w:val="20"/>
        </w:numPr>
        <w:spacing w:after="0" w:line="276" w:lineRule="auto"/>
        <w:rPr>
          <w:rFonts w:asciiTheme="majorHAnsi" w:hAnsiTheme="majorHAnsi"/>
        </w:rPr>
      </w:pPr>
      <w:proofErr w:type="spellStart"/>
      <w:r w:rsidRPr="00D276FE">
        <w:rPr>
          <w:rFonts w:asciiTheme="majorHAnsi" w:hAnsiTheme="majorHAnsi"/>
          <w:lang w:val="en-US"/>
        </w:rPr>
        <w:t>Ozenc</w:t>
      </w:r>
      <w:proofErr w:type="spellEnd"/>
      <w:r w:rsidRPr="00D276FE">
        <w:rPr>
          <w:rFonts w:asciiTheme="majorHAnsi" w:hAnsiTheme="majorHAnsi"/>
          <w:lang w:val="en-US"/>
        </w:rPr>
        <w:t>, F. K., Cranor, L. F. &amp; Morris, J. H. Adapt-a-ride: Understanding the dynamics of commuting preferences through an experience design framework (ACM, 2011).</w:t>
      </w:r>
    </w:p>
    <w:p w14:paraId="162017B2"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Salminen, J., Guan, K. W., Jung, S. G. &amp; Jansen, B. Use cases for design personas: A systematic review and new frontiers, 1–21 (Association for Computing Machinery, 2022).</w:t>
      </w:r>
    </w:p>
    <w:p w14:paraId="01604601"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Ferreira, M., Nisi, V. &amp; Nunes, N. Interactions with climate change: a data humanism design approach, 1325–1338 (ACM, 2023).</w:t>
      </w:r>
    </w:p>
    <w:p w14:paraId="5E97CCBC" w14:textId="77777777" w:rsidR="0091412C" w:rsidRPr="00D276FE" w:rsidRDefault="00DD310F" w:rsidP="0091412C">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Romani, L. A., </w:t>
      </w:r>
      <w:proofErr w:type="spellStart"/>
      <w:r w:rsidRPr="00D276FE">
        <w:rPr>
          <w:rFonts w:asciiTheme="majorHAnsi" w:hAnsiTheme="majorHAnsi"/>
          <w:lang w:val="en-US"/>
        </w:rPr>
        <w:t>Magalh˜aes</w:t>
      </w:r>
      <w:proofErr w:type="spellEnd"/>
      <w:r w:rsidRPr="00D276FE">
        <w:rPr>
          <w:rFonts w:asciiTheme="majorHAnsi" w:hAnsiTheme="majorHAnsi"/>
          <w:lang w:val="en-US"/>
        </w:rPr>
        <w:t>, G., Bambini, M. D. &amp; Evangelista, S. R. Improving digital ecosystems for agriculture: Users participation in the design of a mobile app for agrometeorological monitoring, 234–241 (Association for Computing Machinery, Inc, 2015).</w:t>
      </w:r>
    </w:p>
    <w:p w14:paraId="0CD98F27" w14:textId="77777777" w:rsidR="00804A93" w:rsidRPr="00D276FE" w:rsidRDefault="00DD310F" w:rsidP="00804A93">
      <w:pPr>
        <w:pStyle w:val="ListParagraph"/>
        <w:numPr>
          <w:ilvl w:val="0"/>
          <w:numId w:val="20"/>
        </w:numPr>
        <w:spacing w:after="0" w:line="276" w:lineRule="auto"/>
        <w:rPr>
          <w:rFonts w:asciiTheme="majorHAnsi" w:hAnsiTheme="majorHAnsi"/>
        </w:rPr>
      </w:pPr>
      <w:proofErr w:type="spellStart"/>
      <w:r w:rsidRPr="00D276FE">
        <w:rPr>
          <w:rFonts w:asciiTheme="majorHAnsi" w:hAnsiTheme="majorHAnsi"/>
          <w:lang w:val="en-US"/>
        </w:rPr>
        <w:t>Degrossi</w:t>
      </w:r>
      <w:proofErr w:type="spellEnd"/>
      <w:r w:rsidRPr="00D276FE">
        <w:rPr>
          <w:rFonts w:asciiTheme="majorHAnsi" w:hAnsiTheme="majorHAnsi"/>
          <w:lang w:val="en-US"/>
        </w:rPr>
        <w:t>, L. C., Abe, B. B., Albuquerque, J. P. D. &amp; Fortes, R. P. D. M. Enhancing usability of a citizen observatory based on user-centered design, 294–301 (Association for Computing Machinery, 2018).</w:t>
      </w:r>
    </w:p>
    <w:p w14:paraId="2B3F4895" w14:textId="77777777" w:rsidR="00804A93" w:rsidRPr="00D276FE" w:rsidRDefault="0091412C" w:rsidP="00804A93">
      <w:pPr>
        <w:pStyle w:val="ListParagraph"/>
        <w:numPr>
          <w:ilvl w:val="0"/>
          <w:numId w:val="20"/>
        </w:numPr>
        <w:spacing w:after="0" w:line="276" w:lineRule="auto"/>
        <w:rPr>
          <w:rFonts w:asciiTheme="majorHAnsi" w:hAnsiTheme="majorHAnsi"/>
        </w:rPr>
      </w:pPr>
      <w:r w:rsidRPr="00D276FE">
        <w:rPr>
          <w:rFonts w:asciiTheme="majorHAnsi" w:hAnsiTheme="majorHAnsi"/>
          <w:lang w:val="en-US"/>
        </w:rPr>
        <w:t>Stephens, S. H. &amp; Altamirano, A. Supporting community resilience to environmental hazards through user-centered design, 125–129 (Association for Computing Machinery, Inc, 2022).</w:t>
      </w:r>
    </w:p>
    <w:p w14:paraId="057B18FE" w14:textId="77777777" w:rsidR="00804A93" w:rsidRPr="00D276FE" w:rsidRDefault="00DD310F" w:rsidP="00804A93">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Crosby, A. et al. </w:t>
      </w:r>
      <w:proofErr w:type="gramStart"/>
      <w:r w:rsidRPr="00D276FE">
        <w:rPr>
          <w:rFonts w:asciiTheme="majorHAnsi" w:hAnsiTheme="majorHAnsi"/>
          <w:lang w:val="en-US"/>
        </w:rPr>
        <w:t>Designing ocean</w:t>
      </w:r>
      <w:proofErr w:type="gramEnd"/>
      <w:r w:rsidRPr="00D276FE">
        <w:rPr>
          <w:rFonts w:asciiTheme="majorHAnsi" w:hAnsiTheme="majorHAnsi"/>
          <w:lang w:val="en-US"/>
        </w:rPr>
        <w:t xml:space="preserve"> vision ai: An investigation of community needs for imaging-based ocean conservation, 1–16 (Association for Computing Machinery, 2023).</w:t>
      </w:r>
    </w:p>
    <w:p w14:paraId="6F12F9F3" w14:textId="77777777" w:rsidR="00804A93" w:rsidRPr="00D276FE" w:rsidRDefault="00DD310F" w:rsidP="00804A93">
      <w:pPr>
        <w:pStyle w:val="ListParagraph"/>
        <w:numPr>
          <w:ilvl w:val="0"/>
          <w:numId w:val="20"/>
        </w:numPr>
        <w:spacing w:after="0" w:line="276" w:lineRule="auto"/>
        <w:rPr>
          <w:rFonts w:asciiTheme="majorHAnsi" w:hAnsiTheme="majorHAnsi"/>
        </w:rPr>
      </w:pPr>
      <w:r w:rsidRPr="00D276FE">
        <w:rPr>
          <w:rFonts w:asciiTheme="majorHAnsi" w:hAnsiTheme="majorHAnsi"/>
          <w:lang w:val="en-US"/>
        </w:rPr>
        <w:t>Brereton, M., Roe, P., Foth, M., Bunker, J. M. &amp; Buys, L. Designing participation in agile ridesharing with mobile social software, 257–260 (ACM, 2009).</w:t>
      </w:r>
    </w:p>
    <w:p w14:paraId="6B7D693D" w14:textId="77777777" w:rsidR="00804A93" w:rsidRPr="00D276FE" w:rsidRDefault="00DD310F" w:rsidP="00804A93">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Eggeling, J., </w:t>
      </w:r>
      <w:proofErr w:type="spellStart"/>
      <w:r w:rsidRPr="00D276FE">
        <w:rPr>
          <w:rFonts w:asciiTheme="majorHAnsi" w:hAnsiTheme="majorHAnsi"/>
          <w:lang w:val="en-US"/>
        </w:rPr>
        <w:t>Rydenf¨alt</w:t>
      </w:r>
      <w:proofErr w:type="spellEnd"/>
      <w:r w:rsidRPr="00D276FE">
        <w:rPr>
          <w:rFonts w:asciiTheme="majorHAnsi" w:hAnsiTheme="majorHAnsi"/>
          <w:lang w:val="en-US"/>
        </w:rPr>
        <w:t xml:space="preserve">, C., Kingma, B., Toftum, J. &amp; Gao, C. The usability of </w:t>
      </w:r>
      <w:proofErr w:type="spellStart"/>
      <w:r w:rsidRPr="00D276FE">
        <w:rPr>
          <w:rFonts w:asciiTheme="majorHAnsi" w:hAnsiTheme="majorHAnsi"/>
          <w:lang w:val="en-US"/>
        </w:rPr>
        <w:t>climapp</w:t>
      </w:r>
      <w:proofErr w:type="spellEnd"/>
      <w:r w:rsidRPr="00D276FE">
        <w:rPr>
          <w:rFonts w:asciiTheme="majorHAnsi" w:hAnsiTheme="majorHAnsi"/>
          <w:lang w:val="en-US"/>
        </w:rPr>
        <w:t xml:space="preserve">: A personalized thermal stress warning tool.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27</w:t>
      </w:r>
      <w:r w:rsidRPr="00D276FE">
        <w:rPr>
          <w:rFonts w:asciiTheme="majorHAnsi" w:hAnsiTheme="majorHAnsi"/>
          <w:lang w:val="en-US"/>
        </w:rPr>
        <w:t xml:space="preserve"> (2022).</w:t>
      </w:r>
    </w:p>
    <w:p w14:paraId="6FBCAE43" w14:textId="77777777" w:rsidR="00804A93" w:rsidRPr="00D276FE" w:rsidRDefault="00DD310F" w:rsidP="00804A93">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Vilarinho, T., </w:t>
      </w:r>
      <w:proofErr w:type="spellStart"/>
      <w:r w:rsidRPr="00D276FE">
        <w:rPr>
          <w:rFonts w:asciiTheme="majorHAnsi" w:hAnsiTheme="majorHAnsi"/>
          <w:lang w:val="en-US"/>
        </w:rPr>
        <w:t>Farshchian</w:t>
      </w:r>
      <w:proofErr w:type="spellEnd"/>
      <w:r w:rsidRPr="00D276FE">
        <w:rPr>
          <w:rFonts w:asciiTheme="majorHAnsi" w:hAnsiTheme="majorHAnsi"/>
          <w:lang w:val="en-US"/>
        </w:rPr>
        <w:t xml:space="preserve">, B., </w:t>
      </w:r>
      <w:proofErr w:type="spellStart"/>
      <w:r w:rsidRPr="00D276FE">
        <w:rPr>
          <w:rFonts w:asciiTheme="majorHAnsi" w:hAnsiTheme="majorHAnsi"/>
          <w:lang w:val="en-US"/>
        </w:rPr>
        <w:t>Wienhofen</w:t>
      </w:r>
      <w:proofErr w:type="spellEnd"/>
      <w:r w:rsidRPr="00D276FE">
        <w:rPr>
          <w:rFonts w:asciiTheme="majorHAnsi" w:hAnsiTheme="majorHAnsi"/>
          <w:lang w:val="en-US"/>
        </w:rPr>
        <w:t xml:space="preserve">, L. W., </w:t>
      </w:r>
      <w:proofErr w:type="spellStart"/>
      <w:r w:rsidRPr="00D276FE">
        <w:rPr>
          <w:rFonts w:asciiTheme="majorHAnsi" w:hAnsiTheme="majorHAnsi"/>
          <w:lang w:val="en-US"/>
        </w:rPr>
        <w:t>Franang</w:t>
      </w:r>
      <w:proofErr w:type="spellEnd"/>
      <w:r w:rsidRPr="00D276FE">
        <w:rPr>
          <w:rFonts w:asciiTheme="majorHAnsi" w:hAnsiTheme="majorHAnsi"/>
          <w:lang w:val="en-US"/>
        </w:rPr>
        <w:t>, T. &amp; Gulbrandsen, H. Combining persuasive computing and user centered design into an energy awareness system for smart houses, 32–39 (Institute of Electrical and Electronics Engineers Inc., 2016).</w:t>
      </w:r>
    </w:p>
    <w:p w14:paraId="1A76BE32" w14:textId="75533C94" w:rsidR="004E6D2D" w:rsidRPr="00CB0154" w:rsidRDefault="00DD310F" w:rsidP="00CB0154">
      <w:pPr>
        <w:pStyle w:val="ListParagraph"/>
        <w:numPr>
          <w:ilvl w:val="0"/>
          <w:numId w:val="20"/>
        </w:numPr>
        <w:spacing w:after="0" w:line="276" w:lineRule="auto"/>
        <w:rPr>
          <w:rFonts w:asciiTheme="majorHAnsi" w:hAnsiTheme="majorHAnsi"/>
        </w:rPr>
      </w:pPr>
      <w:r w:rsidRPr="00D276FE">
        <w:rPr>
          <w:rFonts w:asciiTheme="majorHAnsi" w:hAnsiTheme="majorHAnsi"/>
          <w:lang w:val="en-US"/>
        </w:rPr>
        <w:t xml:space="preserve">Giuliani, G., Nativi, S., Obregon, A., Beniston, M. &amp; Lehmann, A. Spatially enabling the global framework for climate services: Reviewing geospatial solutions to efficiently share and integrate climate data information. </w:t>
      </w:r>
      <w:r w:rsidRPr="00D276FE">
        <w:rPr>
          <w:rFonts w:asciiTheme="majorHAnsi" w:hAnsiTheme="majorHAnsi"/>
          <w:i/>
          <w:iCs/>
          <w:lang w:val="en-US"/>
        </w:rPr>
        <w:t>Climate Services</w:t>
      </w:r>
      <w:r w:rsidRPr="00D276FE">
        <w:rPr>
          <w:rFonts w:asciiTheme="majorHAnsi" w:hAnsiTheme="majorHAnsi"/>
          <w:lang w:val="en-US"/>
        </w:rPr>
        <w:t xml:space="preserve"> </w:t>
      </w:r>
      <w:r w:rsidRPr="00D276FE">
        <w:rPr>
          <w:rFonts w:asciiTheme="majorHAnsi" w:hAnsiTheme="majorHAnsi"/>
          <w:b/>
          <w:bCs/>
          <w:lang w:val="en-US"/>
        </w:rPr>
        <w:t>8</w:t>
      </w:r>
      <w:r w:rsidRPr="00D276FE">
        <w:rPr>
          <w:rFonts w:asciiTheme="majorHAnsi" w:hAnsiTheme="majorHAnsi"/>
          <w:lang w:val="en-US"/>
        </w:rPr>
        <w:t>, 44–58 (2017).</w:t>
      </w:r>
    </w:p>
    <w:p w14:paraId="5ECCD9DF" w14:textId="0EB86C1D" w:rsidR="00B74784" w:rsidRPr="00D276FE" w:rsidRDefault="00B74784" w:rsidP="00B74784">
      <w:pPr>
        <w:pStyle w:val="Heading1"/>
        <w:spacing w:before="120" w:after="120" w:line="240" w:lineRule="auto"/>
        <w:rPr>
          <w:i w:val="0"/>
        </w:rPr>
      </w:pPr>
      <w:r w:rsidRPr="00D276FE">
        <w:rPr>
          <w:i w:val="0"/>
        </w:rPr>
        <w:lastRenderedPageBreak/>
        <w:t>Acknowledgements</w:t>
      </w:r>
    </w:p>
    <w:p w14:paraId="73CF223D" w14:textId="3C237D4A" w:rsidR="00B74784" w:rsidRPr="00D276FE" w:rsidRDefault="00B74784" w:rsidP="00B74784">
      <w:pPr>
        <w:spacing w:after="0" w:line="276" w:lineRule="auto"/>
        <w:ind w:firstLine="0"/>
        <w:rPr>
          <w:rFonts w:asciiTheme="majorHAnsi" w:hAnsiTheme="majorHAnsi"/>
        </w:rPr>
      </w:pPr>
      <w:r w:rsidRPr="00D276FE">
        <w:rPr>
          <w:rFonts w:asciiTheme="majorHAnsi" w:hAnsiTheme="majorHAnsi"/>
        </w:rPr>
        <w:t>We would like to thank Nancy Freitas, Kripa Jagannathan, and Brian L. Trelstad for their valuable review and feedback on the ideas for this paper.</w:t>
      </w:r>
    </w:p>
    <w:p w14:paraId="13926ED3" w14:textId="77777777" w:rsidR="00CA772C" w:rsidRPr="00D276FE" w:rsidRDefault="00CA772C" w:rsidP="00B74784">
      <w:pPr>
        <w:spacing w:after="0" w:line="276" w:lineRule="auto"/>
        <w:ind w:firstLine="0"/>
        <w:rPr>
          <w:rFonts w:asciiTheme="majorHAnsi" w:hAnsiTheme="majorHAnsi"/>
        </w:rPr>
      </w:pPr>
    </w:p>
    <w:p w14:paraId="7A6ADC19" w14:textId="4783A230" w:rsidR="00CA772C" w:rsidRPr="00D276FE" w:rsidRDefault="00CA772C" w:rsidP="00CA772C">
      <w:pPr>
        <w:pStyle w:val="Heading1"/>
        <w:spacing w:before="120" w:after="120" w:line="240" w:lineRule="auto"/>
        <w:rPr>
          <w:i w:val="0"/>
        </w:rPr>
      </w:pPr>
      <w:r w:rsidRPr="00D276FE">
        <w:rPr>
          <w:i w:val="0"/>
        </w:rPr>
        <w:t>A</w:t>
      </w:r>
      <w:r w:rsidR="0058318D" w:rsidRPr="00D276FE">
        <w:rPr>
          <w:i w:val="0"/>
        </w:rPr>
        <w:t>uthor contributions</w:t>
      </w:r>
    </w:p>
    <w:p w14:paraId="188F6A6D" w14:textId="7F5DFF50" w:rsidR="0058318D" w:rsidRDefault="00E36F4D" w:rsidP="00B74784">
      <w:pPr>
        <w:spacing w:after="0" w:line="276" w:lineRule="auto"/>
        <w:ind w:firstLine="0"/>
        <w:rPr>
          <w:rFonts w:asciiTheme="majorHAnsi" w:hAnsiTheme="majorHAnsi"/>
        </w:rPr>
      </w:pPr>
      <w:r w:rsidRPr="00E36F4D">
        <w:rPr>
          <w:rFonts w:asciiTheme="majorHAnsi" w:hAnsiTheme="majorHAnsi"/>
        </w:rPr>
        <w:t xml:space="preserve">N.A.C. led the study, including the literature search and systematic review. N.A.C. conducted the searches, gathered and screened articles, and extracted and categorized mechanisms and best practices from the literature. A.D.J. provided additional review and support for article screening and interpretation of findings. N.A.C., W.D.C., D.A., and A.D.J. reviewed the </w:t>
      </w:r>
      <w:proofErr w:type="gramStart"/>
      <w:r w:rsidRPr="00E36F4D">
        <w:rPr>
          <w:rFonts w:asciiTheme="majorHAnsi" w:hAnsiTheme="majorHAnsi"/>
        </w:rPr>
        <w:t>final results</w:t>
      </w:r>
      <w:proofErr w:type="gramEnd"/>
      <w:r w:rsidRPr="00E36F4D">
        <w:rPr>
          <w:rFonts w:asciiTheme="majorHAnsi" w:hAnsiTheme="majorHAnsi"/>
        </w:rPr>
        <w:t>. N.A.C. drafted the manuscript. W.D.C., D.A., and A.D.J. reviewed, commented on, and revised the manuscript.</w:t>
      </w:r>
    </w:p>
    <w:p w14:paraId="0BED5B31" w14:textId="77777777" w:rsidR="0058318D" w:rsidRPr="00D276FE" w:rsidRDefault="0058318D" w:rsidP="0058318D">
      <w:pPr>
        <w:spacing w:after="0" w:line="276" w:lineRule="auto"/>
        <w:ind w:firstLine="0"/>
        <w:rPr>
          <w:rFonts w:asciiTheme="majorHAnsi" w:hAnsiTheme="majorHAnsi"/>
        </w:rPr>
      </w:pPr>
    </w:p>
    <w:p w14:paraId="304165EB" w14:textId="50CA0E82" w:rsidR="0058318D" w:rsidRPr="00D276FE" w:rsidRDefault="0058318D" w:rsidP="0058318D">
      <w:pPr>
        <w:pStyle w:val="Heading1"/>
        <w:spacing w:before="120" w:after="120" w:line="240" w:lineRule="auto"/>
        <w:rPr>
          <w:i w:val="0"/>
        </w:rPr>
      </w:pPr>
      <w:r w:rsidRPr="00D276FE">
        <w:rPr>
          <w:i w:val="0"/>
        </w:rPr>
        <w:t>Additional information</w:t>
      </w:r>
    </w:p>
    <w:p w14:paraId="6CD2F4AE" w14:textId="642F0CE5" w:rsidR="0058318D" w:rsidRPr="00E36F4D" w:rsidRDefault="00E36F4D" w:rsidP="0058318D">
      <w:pPr>
        <w:spacing w:after="0" w:line="276" w:lineRule="auto"/>
        <w:ind w:firstLine="0"/>
        <w:rPr>
          <w:rFonts w:asciiTheme="majorHAnsi" w:hAnsiTheme="majorHAnsi"/>
        </w:rPr>
      </w:pPr>
      <w:r w:rsidRPr="00D276FE">
        <w:rPr>
          <w:rFonts w:asciiTheme="majorHAnsi" w:hAnsiTheme="majorHAnsi"/>
        </w:rPr>
        <w:t>The authors declare no competing interests.</w:t>
      </w:r>
      <w:r>
        <w:rPr>
          <w:rFonts w:asciiTheme="majorHAnsi" w:hAnsiTheme="majorHAnsi"/>
        </w:rPr>
        <w:t xml:space="preserve"> </w:t>
      </w:r>
      <w:r w:rsidR="0058318D" w:rsidRPr="00D276FE">
        <w:rPr>
          <w:rFonts w:asciiTheme="majorHAnsi" w:hAnsiTheme="majorHAnsi"/>
          <w:lang w:val="en-US"/>
        </w:rPr>
        <w:t>Correspondence should be addressed to N. A. Chaudhry.</w:t>
      </w:r>
    </w:p>
    <w:p w14:paraId="7F673FA3" w14:textId="7401B17E" w:rsidR="0058318D" w:rsidRPr="00D276FE" w:rsidRDefault="0058318D" w:rsidP="0058318D">
      <w:pPr>
        <w:spacing w:after="0" w:line="276" w:lineRule="auto"/>
        <w:ind w:firstLine="0"/>
        <w:rPr>
          <w:rFonts w:asciiTheme="majorHAnsi" w:hAnsiTheme="majorHAnsi"/>
          <w:lang w:val="en-US"/>
        </w:rPr>
      </w:pPr>
    </w:p>
    <w:p w14:paraId="57EFC4C2" w14:textId="51365861" w:rsidR="0058318D" w:rsidRPr="00D276FE" w:rsidRDefault="0058318D" w:rsidP="0058318D">
      <w:pPr>
        <w:spacing w:after="0" w:line="276" w:lineRule="auto"/>
        <w:ind w:firstLine="0"/>
        <w:rPr>
          <w:rFonts w:asciiTheme="majorHAnsi" w:hAnsiTheme="majorHAnsi"/>
        </w:rPr>
      </w:pPr>
    </w:p>
    <w:p w14:paraId="6638E8A1" w14:textId="77777777" w:rsidR="0058318D" w:rsidRPr="00D276FE" w:rsidRDefault="0058318D" w:rsidP="0058318D">
      <w:pPr>
        <w:spacing w:after="0" w:line="276" w:lineRule="auto"/>
        <w:ind w:firstLine="0"/>
        <w:rPr>
          <w:rFonts w:asciiTheme="majorHAnsi" w:hAnsiTheme="majorHAnsi"/>
        </w:rPr>
      </w:pPr>
    </w:p>
    <w:p w14:paraId="24582298" w14:textId="77777777" w:rsidR="0058318D" w:rsidRPr="00D276FE" w:rsidRDefault="0058318D" w:rsidP="0058318D">
      <w:pPr>
        <w:spacing w:after="0" w:line="276" w:lineRule="auto"/>
        <w:ind w:firstLine="0"/>
        <w:rPr>
          <w:rFonts w:asciiTheme="majorHAnsi" w:hAnsiTheme="majorHAnsi"/>
        </w:rPr>
      </w:pPr>
    </w:p>
    <w:p w14:paraId="3647E1BF" w14:textId="77777777" w:rsidR="0058318D" w:rsidRPr="00D276FE" w:rsidRDefault="0058318D" w:rsidP="0058318D">
      <w:pPr>
        <w:spacing w:after="0" w:line="276" w:lineRule="auto"/>
        <w:ind w:firstLine="0"/>
        <w:rPr>
          <w:rFonts w:asciiTheme="majorHAnsi" w:hAnsiTheme="majorHAnsi"/>
        </w:rPr>
      </w:pPr>
    </w:p>
    <w:p w14:paraId="042FE52E" w14:textId="77777777" w:rsidR="0058318D" w:rsidRPr="00D276FE" w:rsidRDefault="0058318D" w:rsidP="00B74784">
      <w:pPr>
        <w:spacing w:after="0" w:line="276" w:lineRule="auto"/>
        <w:ind w:firstLine="0"/>
        <w:rPr>
          <w:rFonts w:asciiTheme="majorHAnsi" w:hAnsiTheme="majorHAnsi"/>
        </w:rPr>
      </w:pPr>
    </w:p>
    <w:p w14:paraId="5580FB19" w14:textId="77777777" w:rsidR="0058318D" w:rsidRPr="00D276FE" w:rsidRDefault="0058318D" w:rsidP="00B74784">
      <w:pPr>
        <w:spacing w:after="0" w:line="276" w:lineRule="auto"/>
        <w:ind w:firstLine="0"/>
        <w:rPr>
          <w:rFonts w:asciiTheme="majorHAnsi" w:hAnsiTheme="majorHAnsi"/>
        </w:rPr>
      </w:pPr>
    </w:p>
    <w:p w14:paraId="078F3815" w14:textId="77777777" w:rsidR="0058318D" w:rsidRPr="00D276FE" w:rsidRDefault="0058318D" w:rsidP="00B74784">
      <w:pPr>
        <w:spacing w:after="0" w:line="276" w:lineRule="auto"/>
        <w:ind w:firstLine="0"/>
        <w:rPr>
          <w:rFonts w:asciiTheme="majorHAnsi" w:hAnsiTheme="majorHAnsi"/>
        </w:rPr>
      </w:pPr>
    </w:p>
    <w:p w14:paraId="3E2426DC" w14:textId="77777777" w:rsidR="0058318D" w:rsidRPr="00D276FE" w:rsidRDefault="0058318D" w:rsidP="00B74784">
      <w:pPr>
        <w:spacing w:after="0" w:line="276" w:lineRule="auto"/>
        <w:ind w:firstLine="0"/>
        <w:rPr>
          <w:rFonts w:asciiTheme="majorHAnsi" w:hAnsiTheme="majorHAnsi"/>
        </w:rPr>
      </w:pPr>
    </w:p>
    <w:p w14:paraId="1C280ECF" w14:textId="77777777" w:rsidR="0058318D" w:rsidRPr="00D276FE" w:rsidRDefault="0058318D" w:rsidP="00B74784">
      <w:pPr>
        <w:spacing w:after="0" w:line="276" w:lineRule="auto"/>
        <w:ind w:firstLine="0"/>
        <w:rPr>
          <w:rFonts w:asciiTheme="majorHAnsi" w:hAnsiTheme="majorHAnsi"/>
        </w:rPr>
      </w:pPr>
    </w:p>
    <w:p w14:paraId="177D9062" w14:textId="77777777" w:rsidR="0058318D" w:rsidRPr="00D276FE" w:rsidRDefault="0058318D" w:rsidP="00B74784">
      <w:pPr>
        <w:spacing w:after="0" w:line="276" w:lineRule="auto"/>
        <w:ind w:firstLine="0"/>
        <w:rPr>
          <w:rFonts w:asciiTheme="majorHAnsi" w:hAnsiTheme="majorHAnsi"/>
        </w:rPr>
      </w:pPr>
    </w:p>
    <w:p w14:paraId="1CC57378" w14:textId="77777777" w:rsidR="0058318D" w:rsidRPr="00D276FE" w:rsidRDefault="0058318D" w:rsidP="00B74784">
      <w:pPr>
        <w:spacing w:after="0" w:line="276" w:lineRule="auto"/>
        <w:ind w:firstLine="0"/>
        <w:rPr>
          <w:rFonts w:asciiTheme="majorHAnsi" w:hAnsiTheme="majorHAnsi"/>
        </w:rPr>
      </w:pPr>
    </w:p>
    <w:p w14:paraId="311CB42C" w14:textId="77777777" w:rsidR="0058318D" w:rsidRPr="00D276FE" w:rsidRDefault="0058318D" w:rsidP="00B74784">
      <w:pPr>
        <w:spacing w:after="0" w:line="276" w:lineRule="auto"/>
        <w:ind w:firstLine="0"/>
        <w:rPr>
          <w:rFonts w:asciiTheme="majorHAnsi" w:hAnsiTheme="majorHAnsi"/>
        </w:rPr>
      </w:pPr>
    </w:p>
    <w:p w14:paraId="5EFA2223" w14:textId="77777777" w:rsidR="0058318D" w:rsidRPr="00D276FE" w:rsidRDefault="0058318D" w:rsidP="00B74784">
      <w:pPr>
        <w:spacing w:after="0" w:line="276" w:lineRule="auto"/>
        <w:ind w:firstLine="0"/>
        <w:rPr>
          <w:rFonts w:asciiTheme="majorHAnsi" w:hAnsiTheme="majorHAnsi"/>
        </w:rPr>
      </w:pPr>
    </w:p>
    <w:p w14:paraId="3B7E865D" w14:textId="77777777" w:rsidR="0058318D" w:rsidRPr="00D276FE" w:rsidRDefault="0058318D" w:rsidP="00B74784">
      <w:pPr>
        <w:spacing w:after="0" w:line="276" w:lineRule="auto"/>
        <w:ind w:firstLine="0"/>
        <w:rPr>
          <w:rFonts w:asciiTheme="majorHAnsi" w:hAnsiTheme="majorHAnsi"/>
        </w:rPr>
      </w:pPr>
    </w:p>
    <w:p w14:paraId="047CE383" w14:textId="77777777" w:rsidR="0058318D" w:rsidRPr="00D276FE" w:rsidRDefault="0058318D" w:rsidP="00B74784">
      <w:pPr>
        <w:spacing w:after="0" w:line="276" w:lineRule="auto"/>
        <w:ind w:firstLine="0"/>
        <w:rPr>
          <w:rFonts w:asciiTheme="majorHAnsi" w:hAnsiTheme="majorHAnsi"/>
        </w:rPr>
      </w:pPr>
    </w:p>
    <w:p w14:paraId="582004B6" w14:textId="77777777" w:rsidR="0058318D" w:rsidRPr="00D276FE" w:rsidRDefault="0058318D" w:rsidP="00B74784">
      <w:pPr>
        <w:spacing w:after="0" w:line="276" w:lineRule="auto"/>
        <w:ind w:firstLine="0"/>
        <w:rPr>
          <w:rFonts w:asciiTheme="majorHAnsi" w:hAnsiTheme="majorHAnsi"/>
        </w:rPr>
      </w:pPr>
    </w:p>
    <w:p w14:paraId="3D872EE6" w14:textId="77777777" w:rsidR="0058318D" w:rsidRPr="00D276FE" w:rsidRDefault="0058318D" w:rsidP="00B74784">
      <w:pPr>
        <w:spacing w:after="0" w:line="276" w:lineRule="auto"/>
        <w:ind w:firstLine="0"/>
        <w:rPr>
          <w:rFonts w:asciiTheme="majorHAnsi" w:hAnsiTheme="majorHAnsi"/>
        </w:rPr>
      </w:pPr>
    </w:p>
    <w:p w14:paraId="71656899" w14:textId="77777777" w:rsidR="0058318D" w:rsidRPr="00D276FE" w:rsidRDefault="0058318D" w:rsidP="00B74784">
      <w:pPr>
        <w:spacing w:after="0" w:line="276" w:lineRule="auto"/>
        <w:ind w:firstLine="0"/>
        <w:rPr>
          <w:rFonts w:asciiTheme="majorHAnsi" w:hAnsiTheme="majorHAnsi"/>
        </w:rPr>
      </w:pPr>
    </w:p>
    <w:p w14:paraId="4B456C56" w14:textId="77777777" w:rsidR="0058318D" w:rsidRPr="00D276FE" w:rsidRDefault="0058318D" w:rsidP="00B74784">
      <w:pPr>
        <w:spacing w:after="0" w:line="276" w:lineRule="auto"/>
        <w:ind w:firstLine="0"/>
        <w:rPr>
          <w:rFonts w:asciiTheme="majorHAnsi" w:hAnsiTheme="majorHAnsi"/>
        </w:rPr>
      </w:pPr>
    </w:p>
    <w:p w14:paraId="31BE62EF" w14:textId="77777777" w:rsidR="0058318D" w:rsidRPr="00D276FE" w:rsidRDefault="0058318D" w:rsidP="00B74784">
      <w:pPr>
        <w:spacing w:after="0" w:line="276" w:lineRule="auto"/>
        <w:ind w:firstLine="0"/>
        <w:rPr>
          <w:rFonts w:asciiTheme="majorHAnsi" w:hAnsiTheme="majorHAnsi"/>
        </w:rPr>
      </w:pPr>
    </w:p>
    <w:p w14:paraId="6EABAD86" w14:textId="77777777" w:rsidR="0058318D" w:rsidRPr="00D276FE" w:rsidRDefault="0058318D" w:rsidP="00B74784">
      <w:pPr>
        <w:spacing w:after="0" w:line="276" w:lineRule="auto"/>
        <w:ind w:firstLine="0"/>
        <w:rPr>
          <w:rFonts w:asciiTheme="majorHAnsi" w:hAnsiTheme="majorHAnsi"/>
        </w:rPr>
      </w:pPr>
    </w:p>
    <w:p w14:paraId="13F41CC4" w14:textId="77777777" w:rsidR="0058318D" w:rsidRPr="00D276FE" w:rsidRDefault="0058318D" w:rsidP="00B74784">
      <w:pPr>
        <w:spacing w:after="0" w:line="276" w:lineRule="auto"/>
        <w:ind w:firstLine="0"/>
        <w:rPr>
          <w:rFonts w:asciiTheme="majorHAnsi" w:hAnsiTheme="majorHAnsi"/>
        </w:rPr>
      </w:pPr>
    </w:p>
    <w:p w14:paraId="20F5372E" w14:textId="77777777" w:rsidR="0058318D" w:rsidRPr="00D276FE" w:rsidRDefault="0058318D" w:rsidP="00B74784">
      <w:pPr>
        <w:spacing w:after="0" w:line="276" w:lineRule="auto"/>
        <w:ind w:firstLine="0"/>
        <w:rPr>
          <w:rFonts w:asciiTheme="majorHAnsi" w:hAnsiTheme="majorHAnsi"/>
        </w:rPr>
      </w:pPr>
    </w:p>
    <w:p w14:paraId="3B674C21" w14:textId="77777777" w:rsidR="0058318D" w:rsidRPr="00D276FE" w:rsidRDefault="0058318D" w:rsidP="00B74784">
      <w:pPr>
        <w:spacing w:after="0" w:line="276" w:lineRule="auto"/>
        <w:ind w:firstLine="0"/>
        <w:rPr>
          <w:rFonts w:asciiTheme="majorHAnsi" w:hAnsiTheme="majorHAnsi"/>
        </w:rPr>
      </w:pPr>
    </w:p>
    <w:p w14:paraId="1611D557" w14:textId="77777777" w:rsidR="0058318D" w:rsidRPr="00D276FE" w:rsidRDefault="0058318D" w:rsidP="00B74784">
      <w:pPr>
        <w:spacing w:after="0" w:line="276" w:lineRule="auto"/>
        <w:ind w:firstLine="0"/>
        <w:rPr>
          <w:rFonts w:asciiTheme="majorHAnsi" w:hAnsiTheme="majorHAnsi"/>
        </w:rPr>
      </w:pPr>
    </w:p>
    <w:p w14:paraId="514BF2BE" w14:textId="77777777" w:rsidR="00B74784" w:rsidRPr="00D276FE" w:rsidRDefault="00B74784" w:rsidP="00B74784">
      <w:pPr>
        <w:spacing w:after="0" w:line="276" w:lineRule="auto"/>
        <w:ind w:firstLine="0"/>
        <w:rPr>
          <w:rFonts w:asciiTheme="majorHAnsi" w:hAnsiTheme="majorHAnsi"/>
        </w:rPr>
      </w:pPr>
    </w:p>
    <w:p w14:paraId="155EDB73" w14:textId="77777777" w:rsidR="0058318D" w:rsidRPr="00D276FE" w:rsidRDefault="0058318D">
      <w:pPr>
        <w:spacing w:after="0" w:line="276" w:lineRule="auto"/>
        <w:ind w:firstLine="0"/>
        <w:rPr>
          <w:rFonts w:asciiTheme="majorHAnsi" w:hAnsiTheme="majorHAnsi"/>
        </w:rPr>
      </w:pPr>
    </w:p>
    <w:sectPr w:rsidR="0058318D" w:rsidRPr="00D276FE" w:rsidSect="0033532F">
      <w:footerReference w:type="even" r:id="rId24"/>
      <w:footerReference w:type="defaul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4AA57" w14:textId="77777777" w:rsidR="0053796B" w:rsidRDefault="0053796B" w:rsidP="00E21D98">
      <w:pPr>
        <w:spacing w:after="0" w:line="240" w:lineRule="auto"/>
      </w:pPr>
      <w:r>
        <w:separator/>
      </w:r>
    </w:p>
  </w:endnote>
  <w:endnote w:type="continuationSeparator" w:id="0">
    <w:p w14:paraId="3FF04AFC" w14:textId="77777777" w:rsidR="0053796B" w:rsidRDefault="0053796B" w:rsidP="00E21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751245"/>
      <w:docPartObj>
        <w:docPartGallery w:val="Page Numbers (Bottom of Page)"/>
        <w:docPartUnique/>
      </w:docPartObj>
    </w:sdtPr>
    <w:sdtContent>
      <w:p w14:paraId="0FB58654" w14:textId="0750A116" w:rsidR="0033532F" w:rsidRDefault="0033532F" w:rsidP="009E705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AB641CE" w14:textId="77777777" w:rsidR="0033532F" w:rsidRDefault="003353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0250371"/>
      <w:docPartObj>
        <w:docPartGallery w:val="Page Numbers (Bottom of Page)"/>
        <w:docPartUnique/>
      </w:docPartObj>
    </w:sdtPr>
    <w:sdtContent>
      <w:p w14:paraId="1AB68959" w14:textId="566C0EB5" w:rsidR="0033532F" w:rsidRDefault="0033532F" w:rsidP="009E705A">
        <w:pPr>
          <w:pStyle w:val="Footer"/>
          <w:framePr w:wrap="none" w:vAnchor="text" w:hAnchor="margin" w:xAlign="center" w:y="1"/>
          <w:rPr>
            <w:rStyle w:val="PageNumber"/>
          </w:rPr>
        </w:pPr>
        <w:r w:rsidRPr="0033532F">
          <w:rPr>
            <w:rStyle w:val="PageNumber"/>
            <w:rFonts w:asciiTheme="majorHAnsi" w:hAnsiTheme="majorHAnsi"/>
            <w:sz w:val="20"/>
            <w:szCs w:val="20"/>
          </w:rPr>
          <w:fldChar w:fldCharType="begin"/>
        </w:r>
        <w:r w:rsidRPr="0033532F">
          <w:rPr>
            <w:rStyle w:val="PageNumber"/>
            <w:rFonts w:asciiTheme="majorHAnsi" w:hAnsiTheme="majorHAnsi"/>
            <w:sz w:val="20"/>
            <w:szCs w:val="20"/>
          </w:rPr>
          <w:instrText xml:space="preserve"> PAGE </w:instrText>
        </w:r>
        <w:r w:rsidRPr="0033532F">
          <w:rPr>
            <w:rStyle w:val="PageNumber"/>
            <w:rFonts w:asciiTheme="majorHAnsi" w:hAnsiTheme="majorHAnsi"/>
            <w:sz w:val="20"/>
            <w:szCs w:val="20"/>
          </w:rPr>
          <w:fldChar w:fldCharType="separate"/>
        </w:r>
        <w:r w:rsidRPr="0033532F">
          <w:rPr>
            <w:rStyle w:val="PageNumber"/>
            <w:rFonts w:asciiTheme="majorHAnsi" w:hAnsiTheme="majorHAnsi"/>
            <w:noProof/>
            <w:sz w:val="20"/>
            <w:szCs w:val="20"/>
          </w:rPr>
          <w:t>2</w:t>
        </w:r>
        <w:r w:rsidRPr="0033532F">
          <w:rPr>
            <w:rStyle w:val="PageNumber"/>
            <w:rFonts w:asciiTheme="majorHAnsi" w:hAnsiTheme="majorHAnsi"/>
            <w:sz w:val="20"/>
            <w:szCs w:val="20"/>
          </w:rPr>
          <w:fldChar w:fldCharType="end"/>
        </w:r>
      </w:p>
    </w:sdtContent>
  </w:sdt>
  <w:p w14:paraId="640033DD" w14:textId="77777777" w:rsidR="0033532F" w:rsidRDefault="003353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40A93" w14:textId="77777777" w:rsidR="0053796B" w:rsidRDefault="0053796B" w:rsidP="00E21D98">
      <w:pPr>
        <w:spacing w:after="0" w:line="240" w:lineRule="auto"/>
      </w:pPr>
      <w:r>
        <w:separator/>
      </w:r>
    </w:p>
  </w:footnote>
  <w:footnote w:type="continuationSeparator" w:id="0">
    <w:p w14:paraId="67732431" w14:textId="77777777" w:rsidR="0053796B" w:rsidRDefault="0053796B" w:rsidP="00E21D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1A62"/>
    <w:multiLevelType w:val="hybridMultilevel"/>
    <w:tmpl w:val="BD2844B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B35BCE"/>
    <w:multiLevelType w:val="hybridMultilevel"/>
    <w:tmpl w:val="5C7A2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03733E"/>
    <w:multiLevelType w:val="hybridMultilevel"/>
    <w:tmpl w:val="E49025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BA6CAA"/>
    <w:multiLevelType w:val="multilevel"/>
    <w:tmpl w:val="0C5683FA"/>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4" w15:restartNumberingAfterBreak="0">
    <w:nsid w:val="183146B6"/>
    <w:multiLevelType w:val="hybridMultilevel"/>
    <w:tmpl w:val="E8C09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54568C"/>
    <w:multiLevelType w:val="hybridMultilevel"/>
    <w:tmpl w:val="0D76EC5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2A330A"/>
    <w:multiLevelType w:val="multilevel"/>
    <w:tmpl w:val="7BAE695C"/>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7" w15:restartNumberingAfterBreak="0">
    <w:nsid w:val="20A04815"/>
    <w:multiLevelType w:val="hybridMultilevel"/>
    <w:tmpl w:val="4170C4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A33DD9"/>
    <w:multiLevelType w:val="hybridMultilevel"/>
    <w:tmpl w:val="AF5CE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F92DBF"/>
    <w:multiLevelType w:val="hybridMultilevel"/>
    <w:tmpl w:val="09347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8B6733"/>
    <w:multiLevelType w:val="hybridMultilevel"/>
    <w:tmpl w:val="B460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B11ADF"/>
    <w:multiLevelType w:val="hybridMultilevel"/>
    <w:tmpl w:val="2EE8D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DB7552"/>
    <w:multiLevelType w:val="hybridMultilevel"/>
    <w:tmpl w:val="40B83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B95881"/>
    <w:multiLevelType w:val="hybridMultilevel"/>
    <w:tmpl w:val="0ECE4006"/>
    <w:lvl w:ilvl="0" w:tplc="E4CE3274">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96433BD"/>
    <w:multiLevelType w:val="hybridMultilevel"/>
    <w:tmpl w:val="AFB09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656DB7"/>
    <w:multiLevelType w:val="hybridMultilevel"/>
    <w:tmpl w:val="A9BAC3A4"/>
    <w:lvl w:ilvl="0" w:tplc="516ADA7E">
      <w:start w:val="1"/>
      <w:numFmt w:val="decimal"/>
      <w:lvlText w:val="%1."/>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0C5D9C"/>
    <w:multiLevelType w:val="multilevel"/>
    <w:tmpl w:val="C3C6124E"/>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7" w15:restartNumberingAfterBreak="0">
    <w:nsid w:val="544761ED"/>
    <w:multiLevelType w:val="hybridMultilevel"/>
    <w:tmpl w:val="1F2A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185692"/>
    <w:multiLevelType w:val="hybridMultilevel"/>
    <w:tmpl w:val="1A0245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8C08DD"/>
    <w:multiLevelType w:val="hybridMultilevel"/>
    <w:tmpl w:val="D41E23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BD96284"/>
    <w:multiLevelType w:val="hybridMultilevel"/>
    <w:tmpl w:val="80DC0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E80A87"/>
    <w:multiLevelType w:val="hybridMultilevel"/>
    <w:tmpl w:val="A9FEF6A0"/>
    <w:lvl w:ilvl="0" w:tplc="EC7E369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2E4982"/>
    <w:multiLevelType w:val="hybridMultilevel"/>
    <w:tmpl w:val="AD6EF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77306B"/>
    <w:multiLevelType w:val="hybridMultilevel"/>
    <w:tmpl w:val="CE88C4FE"/>
    <w:lvl w:ilvl="0" w:tplc="516ADA7E">
      <w:start w:val="1"/>
      <w:numFmt w:val="decimal"/>
      <w:lvlText w:val="%1."/>
      <w:lvlJc w:val="left"/>
      <w:pPr>
        <w:ind w:left="648" w:hanging="648"/>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E05175B"/>
    <w:multiLevelType w:val="hybridMultilevel"/>
    <w:tmpl w:val="7BD62E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E4D42A4"/>
    <w:multiLevelType w:val="hybridMultilevel"/>
    <w:tmpl w:val="C846B210"/>
    <w:lvl w:ilvl="0" w:tplc="54AA922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1040504">
    <w:abstractNumId w:val="24"/>
  </w:num>
  <w:num w:numId="2" w16cid:durableId="1277254140">
    <w:abstractNumId w:val="18"/>
  </w:num>
  <w:num w:numId="3" w16cid:durableId="2005277633">
    <w:abstractNumId w:val="9"/>
  </w:num>
  <w:num w:numId="4" w16cid:durableId="608974305">
    <w:abstractNumId w:val="13"/>
  </w:num>
  <w:num w:numId="5" w16cid:durableId="743990706">
    <w:abstractNumId w:val="3"/>
  </w:num>
  <w:num w:numId="6" w16cid:durableId="495344610">
    <w:abstractNumId w:val="19"/>
  </w:num>
  <w:num w:numId="7" w16cid:durableId="865291644">
    <w:abstractNumId w:val="16"/>
  </w:num>
  <w:num w:numId="8" w16cid:durableId="1793401760">
    <w:abstractNumId w:val="6"/>
  </w:num>
  <w:num w:numId="9" w16cid:durableId="299845938">
    <w:abstractNumId w:val="1"/>
  </w:num>
  <w:num w:numId="10" w16cid:durableId="718481578">
    <w:abstractNumId w:val="5"/>
  </w:num>
  <w:num w:numId="11" w16cid:durableId="1001591026">
    <w:abstractNumId w:val="7"/>
  </w:num>
  <w:num w:numId="12" w16cid:durableId="690254580">
    <w:abstractNumId w:val="14"/>
  </w:num>
  <w:num w:numId="13" w16cid:durableId="2121604713">
    <w:abstractNumId w:val="0"/>
  </w:num>
  <w:num w:numId="14" w16cid:durableId="300162695">
    <w:abstractNumId w:val="12"/>
  </w:num>
  <w:num w:numId="15" w16cid:durableId="475686757">
    <w:abstractNumId w:val="17"/>
  </w:num>
  <w:num w:numId="16" w16cid:durableId="2045710777">
    <w:abstractNumId w:val="8"/>
  </w:num>
  <w:num w:numId="17" w16cid:durableId="837769218">
    <w:abstractNumId w:val="20"/>
  </w:num>
  <w:num w:numId="18" w16cid:durableId="1974366326">
    <w:abstractNumId w:val="10"/>
  </w:num>
  <w:num w:numId="19" w16cid:durableId="1125541413">
    <w:abstractNumId w:val="2"/>
  </w:num>
  <w:num w:numId="20" w16cid:durableId="1102460449">
    <w:abstractNumId w:val="23"/>
  </w:num>
  <w:num w:numId="21" w16cid:durableId="475070617">
    <w:abstractNumId w:val="4"/>
  </w:num>
  <w:num w:numId="22" w16cid:durableId="686909017">
    <w:abstractNumId w:val="11"/>
  </w:num>
  <w:num w:numId="23" w16cid:durableId="1291671083">
    <w:abstractNumId w:val="22"/>
  </w:num>
  <w:num w:numId="24" w16cid:durableId="737484409">
    <w:abstractNumId w:val="15"/>
  </w:num>
  <w:num w:numId="25" w16cid:durableId="125048082">
    <w:abstractNumId w:val="21"/>
  </w:num>
  <w:num w:numId="26" w16cid:durableId="9059928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34B"/>
    <w:rsid w:val="00007266"/>
    <w:rsid w:val="000166EF"/>
    <w:rsid w:val="000536CD"/>
    <w:rsid w:val="00083C88"/>
    <w:rsid w:val="00092014"/>
    <w:rsid w:val="00096CD3"/>
    <w:rsid w:val="000A36C7"/>
    <w:rsid w:val="000C0935"/>
    <w:rsid w:val="000D5305"/>
    <w:rsid w:val="00102438"/>
    <w:rsid w:val="0012635B"/>
    <w:rsid w:val="00143220"/>
    <w:rsid w:val="00163C6D"/>
    <w:rsid w:val="0018328F"/>
    <w:rsid w:val="00183432"/>
    <w:rsid w:val="00196237"/>
    <w:rsid w:val="001A4974"/>
    <w:rsid w:val="001B14FD"/>
    <w:rsid w:val="001B7F32"/>
    <w:rsid w:val="001C01A6"/>
    <w:rsid w:val="001C6FC8"/>
    <w:rsid w:val="00211DD8"/>
    <w:rsid w:val="00213A9D"/>
    <w:rsid w:val="00216DD4"/>
    <w:rsid w:val="00220F13"/>
    <w:rsid w:val="00245E6E"/>
    <w:rsid w:val="002517DE"/>
    <w:rsid w:val="00262136"/>
    <w:rsid w:val="00272444"/>
    <w:rsid w:val="00282DD1"/>
    <w:rsid w:val="00295622"/>
    <w:rsid w:val="002B0351"/>
    <w:rsid w:val="002B466E"/>
    <w:rsid w:val="002C36E3"/>
    <w:rsid w:val="002D7193"/>
    <w:rsid w:val="002E78C6"/>
    <w:rsid w:val="0033532F"/>
    <w:rsid w:val="003C2AC7"/>
    <w:rsid w:val="003D1CED"/>
    <w:rsid w:val="00401644"/>
    <w:rsid w:val="0040231A"/>
    <w:rsid w:val="00433015"/>
    <w:rsid w:val="004456C9"/>
    <w:rsid w:val="004531B4"/>
    <w:rsid w:val="0048618D"/>
    <w:rsid w:val="00490DAB"/>
    <w:rsid w:val="00491409"/>
    <w:rsid w:val="004C44EA"/>
    <w:rsid w:val="004E6D2D"/>
    <w:rsid w:val="004E7693"/>
    <w:rsid w:val="00510D0A"/>
    <w:rsid w:val="0053796B"/>
    <w:rsid w:val="00566087"/>
    <w:rsid w:val="00574A61"/>
    <w:rsid w:val="0058318D"/>
    <w:rsid w:val="005A043B"/>
    <w:rsid w:val="006246FF"/>
    <w:rsid w:val="00637E77"/>
    <w:rsid w:val="006554FE"/>
    <w:rsid w:val="006A3DE6"/>
    <w:rsid w:val="006C0E7A"/>
    <w:rsid w:val="006E2D90"/>
    <w:rsid w:val="007109A1"/>
    <w:rsid w:val="00733FEC"/>
    <w:rsid w:val="00736EAB"/>
    <w:rsid w:val="00763549"/>
    <w:rsid w:val="00763649"/>
    <w:rsid w:val="00772F5C"/>
    <w:rsid w:val="0077661B"/>
    <w:rsid w:val="00784DEF"/>
    <w:rsid w:val="007860E0"/>
    <w:rsid w:val="0079411F"/>
    <w:rsid w:val="007960F0"/>
    <w:rsid w:val="007A3F9B"/>
    <w:rsid w:val="007A797F"/>
    <w:rsid w:val="007D17DA"/>
    <w:rsid w:val="007E558E"/>
    <w:rsid w:val="00804A93"/>
    <w:rsid w:val="00804C1E"/>
    <w:rsid w:val="0083734F"/>
    <w:rsid w:val="00853D7A"/>
    <w:rsid w:val="00855C4F"/>
    <w:rsid w:val="00893FB7"/>
    <w:rsid w:val="00894582"/>
    <w:rsid w:val="008A013B"/>
    <w:rsid w:val="008A505F"/>
    <w:rsid w:val="008B1819"/>
    <w:rsid w:val="008B1FD4"/>
    <w:rsid w:val="008C027C"/>
    <w:rsid w:val="008F1B65"/>
    <w:rsid w:val="00912ECA"/>
    <w:rsid w:val="0091412C"/>
    <w:rsid w:val="00916CC9"/>
    <w:rsid w:val="00925306"/>
    <w:rsid w:val="00941AAC"/>
    <w:rsid w:val="00946AB8"/>
    <w:rsid w:val="00980BF8"/>
    <w:rsid w:val="0098696E"/>
    <w:rsid w:val="00987144"/>
    <w:rsid w:val="009A286F"/>
    <w:rsid w:val="009B7DCB"/>
    <w:rsid w:val="009D23BD"/>
    <w:rsid w:val="009F59C4"/>
    <w:rsid w:val="00A0634B"/>
    <w:rsid w:val="00A6671D"/>
    <w:rsid w:val="00A85E12"/>
    <w:rsid w:val="00A86AB4"/>
    <w:rsid w:val="00A90D65"/>
    <w:rsid w:val="00A91201"/>
    <w:rsid w:val="00A94A7A"/>
    <w:rsid w:val="00AA4B81"/>
    <w:rsid w:val="00AB29BB"/>
    <w:rsid w:val="00AB4D93"/>
    <w:rsid w:val="00AB75C2"/>
    <w:rsid w:val="00AD16B3"/>
    <w:rsid w:val="00AD1A21"/>
    <w:rsid w:val="00AE3495"/>
    <w:rsid w:val="00AE3F07"/>
    <w:rsid w:val="00AF42AF"/>
    <w:rsid w:val="00B00B53"/>
    <w:rsid w:val="00B032AC"/>
    <w:rsid w:val="00B500DB"/>
    <w:rsid w:val="00B554BE"/>
    <w:rsid w:val="00B74784"/>
    <w:rsid w:val="00B944BA"/>
    <w:rsid w:val="00B94DE2"/>
    <w:rsid w:val="00BA2386"/>
    <w:rsid w:val="00BC3B3D"/>
    <w:rsid w:val="00BC46B4"/>
    <w:rsid w:val="00BD36A6"/>
    <w:rsid w:val="00BF1D49"/>
    <w:rsid w:val="00C116CB"/>
    <w:rsid w:val="00C43211"/>
    <w:rsid w:val="00C438DA"/>
    <w:rsid w:val="00C45725"/>
    <w:rsid w:val="00C503AC"/>
    <w:rsid w:val="00C506E5"/>
    <w:rsid w:val="00C53A6B"/>
    <w:rsid w:val="00C77798"/>
    <w:rsid w:val="00C90B6C"/>
    <w:rsid w:val="00CA5404"/>
    <w:rsid w:val="00CA772C"/>
    <w:rsid w:val="00CB0154"/>
    <w:rsid w:val="00CB0206"/>
    <w:rsid w:val="00CB57E4"/>
    <w:rsid w:val="00CB64C2"/>
    <w:rsid w:val="00CD6F49"/>
    <w:rsid w:val="00CF2DEC"/>
    <w:rsid w:val="00D26D98"/>
    <w:rsid w:val="00D276FE"/>
    <w:rsid w:val="00D32971"/>
    <w:rsid w:val="00D428ED"/>
    <w:rsid w:val="00D43B9F"/>
    <w:rsid w:val="00D50425"/>
    <w:rsid w:val="00D8374E"/>
    <w:rsid w:val="00DA628B"/>
    <w:rsid w:val="00DB4F28"/>
    <w:rsid w:val="00DD310F"/>
    <w:rsid w:val="00DD6680"/>
    <w:rsid w:val="00DE10DB"/>
    <w:rsid w:val="00DF4895"/>
    <w:rsid w:val="00E00AA6"/>
    <w:rsid w:val="00E16906"/>
    <w:rsid w:val="00E21BA8"/>
    <w:rsid w:val="00E21D98"/>
    <w:rsid w:val="00E25CAE"/>
    <w:rsid w:val="00E36F4D"/>
    <w:rsid w:val="00E663B9"/>
    <w:rsid w:val="00E67D80"/>
    <w:rsid w:val="00E76068"/>
    <w:rsid w:val="00EA4ADB"/>
    <w:rsid w:val="00EC1EBE"/>
    <w:rsid w:val="00ED427E"/>
    <w:rsid w:val="00EE0862"/>
    <w:rsid w:val="00EE147F"/>
    <w:rsid w:val="00EE17DC"/>
    <w:rsid w:val="00EE4415"/>
    <w:rsid w:val="00F349CF"/>
    <w:rsid w:val="00F56823"/>
    <w:rsid w:val="00FA0C85"/>
    <w:rsid w:val="00FA2815"/>
    <w:rsid w:val="00FB12A5"/>
    <w:rsid w:val="00FB4D4E"/>
    <w:rsid w:val="00FC43F9"/>
    <w:rsid w:val="00FD0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918FB"/>
  <w15:docId w15:val="{492F1D9A-958E-164A-BBFD-A1B667785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10F"/>
  </w:style>
  <w:style w:type="paragraph" w:styleId="Heading1">
    <w:name w:val="heading 1"/>
    <w:basedOn w:val="Normal"/>
    <w:next w:val="Normal"/>
    <w:link w:val="Heading1Char"/>
    <w:uiPriority w:val="9"/>
    <w:qFormat/>
    <w:rsid w:val="00A0634B"/>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unhideWhenUsed/>
    <w:qFormat/>
    <w:rsid w:val="00A0634B"/>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A0634B"/>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A0634B"/>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A0634B"/>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A0634B"/>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0634B"/>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A0634B"/>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A0634B"/>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34B"/>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rsid w:val="00A0634B"/>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A0634B"/>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A0634B"/>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A0634B"/>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A0634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0634B"/>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A0634B"/>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A0634B"/>
    <w:rPr>
      <w:rFonts w:asciiTheme="majorHAnsi" w:eastAsiaTheme="majorEastAsia" w:hAnsiTheme="majorHAnsi" w:cstheme="majorBidi"/>
      <w:i/>
      <w:iCs/>
      <w:sz w:val="18"/>
      <w:szCs w:val="18"/>
    </w:rPr>
  </w:style>
  <w:style w:type="paragraph" w:styleId="Title">
    <w:name w:val="Title"/>
    <w:basedOn w:val="Normal"/>
    <w:next w:val="Normal"/>
    <w:link w:val="TitleChar"/>
    <w:uiPriority w:val="10"/>
    <w:qFormat/>
    <w:rsid w:val="00A0634B"/>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A0634B"/>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A0634B"/>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A0634B"/>
    <w:rPr>
      <w:i/>
      <w:iCs/>
      <w:color w:val="808080" w:themeColor="text1" w:themeTint="7F"/>
      <w:spacing w:val="10"/>
      <w:sz w:val="24"/>
      <w:szCs w:val="24"/>
    </w:rPr>
  </w:style>
  <w:style w:type="character" w:styleId="Strong">
    <w:name w:val="Strong"/>
    <w:basedOn w:val="DefaultParagraphFont"/>
    <w:uiPriority w:val="22"/>
    <w:qFormat/>
    <w:rsid w:val="00A0634B"/>
    <w:rPr>
      <w:b/>
      <w:bCs/>
      <w:spacing w:val="0"/>
    </w:rPr>
  </w:style>
  <w:style w:type="character" w:styleId="Emphasis">
    <w:name w:val="Emphasis"/>
    <w:uiPriority w:val="20"/>
    <w:qFormat/>
    <w:rsid w:val="00A0634B"/>
    <w:rPr>
      <w:b/>
      <w:bCs/>
      <w:i/>
      <w:iCs/>
      <w:color w:val="auto"/>
    </w:rPr>
  </w:style>
  <w:style w:type="paragraph" w:styleId="NoSpacing">
    <w:name w:val="No Spacing"/>
    <w:basedOn w:val="Normal"/>
    <w:uiPriority w:val="1"/>
    <w:qFormat/>
    <w:rsid w:val="00A0634B"/>
    <w:pPr>
      <w:spacing w:after="0" w:line="240" w:lineRule="auto"/>
      <w:ind w:firstLine="0"/>
    </w:pPr>
  </w:style>
  <w:style w:type="paragraph" w:styleId="ListParagraph">
    <w:name w:val="List Paragraph"/>
    <w:basedOn w:val="Normal"/>
    <w:uiPriority w:val="34"/>
    <w:qFormat/>
    <w:rsid w:val="00A0634B"/>
    <w:pPr>
      <w:ind w:left="720"/>
      <w:contextualSpacing/>
    </w:pPr>
  </w:style>
  <w:style w:type="paragraph" w:styleId="Quote">
    <w:name w:val="Quote"/>
    <w:basedOn w:val="Normal"/>
    <w:next w:val="Normal"/>
    <w:link w:val="QuoteChar"/>
    <w:uiPriority w:val="29"/>
    <w:qFormat/>
    <w:rsid w:val="00A0634B"/>
    <w:rPr>
      <w:color w:val="5A5A5A" w:themeColor="text1" w:themeTint="A5"/>
    </w:rPr>
  </w:style>
  <w:style w:type="character" w:customStyle="1" w:styleId="QuoteChar">
    <w:name w:val="Quote Char"/>
    <w:basedOn w:val="DefaultParagraphFont"/>
    <w:link w:val="Quote"/>
    <w:uiPriority w:val="29"/>
    <w:rsid w:val="00A0634B"/>
    <w:rPr>
      <w:color w:val="5A5A5A" w:themeColor="text1" w:themeTint="A5"/>
    </w:rPr>
  </w:style>
  <w:style w:type="paragraph" w:styleId="IntenseQuote">
    <w:name w:val="Intense Quote"/>
    <w:basedOn w:val="Normal"/>
    <w:next w:val="Normal"/>
    <w:link w:val="IntenseQuoteChar"/>
    <w:uiPriority w:val="30"/>
    <w:qFormat/>
    <w:rsid w:val="00A0634B"/>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A0634B"/>
    <w:rPr>
      <w:rFonts w:asciiTheme="majorHAnsi" w:eastAsiaTheme="majorEastAsia" w:hAnsiTheme="majorHAnsi" w:cstheme="majorBidi"/>
      <w:i/>
      <w:iCs/>
      <w:sz w:val="20"/>
      <w:szCs w:val="20"/>
    </w:rPr>
  </w:style>
  <w:style w:type="character" w:styleId="SubtleEmphasis">
    <w:name w:val="Subtle Emphasis"/>
    <w:uiPriority w:val="19"/>
    <w:qFormat/>
    <w:rsid w:val="00A0634B"/>
    <w:rPr>
      <w:i/>
      <w:iCs/>
      <w:color w:val="5A5A5A" w:themeColor="text1" w:themeTint="A5"/>
    </w:rPr>
  </w:style>
  <w:style w:type="character" w:styleId="IntenseEmphasis">
    <w:name w:val="Intense Emphasis"/>
    <w:uiPriority w:val="21"/>
    <w:qFormat/>
    <w:rsid w:val="00A0634B"/>
    <w:rPr>
      <w:b/>
      <w:bCs/>
      <w:i/>
      <w:iCs/>
      <w:color w:val="auto"/>
      <w:u w:val="single"/>
    </w:rPr>
  </w:style>
  <w:style w:type="character" w:styleId="SubtleReference">
    <w:name w:val="Subtle Reference"/>
    <w:uiPriority w:val="31"/>
    <w:qFormat/>
    <w:rsid w:val="00A0634B"/>
    <w:rPr>
      <w:smallCaps/>
    </w:rPr>
  </w:style>
  <w:style w:type="character" w:styleId="IntenseReference">
    <w:name w:val="Intense Reference"/>
    <w:uiPriority w:val="32"/>
    <w:qFormat/>
    <w:rsid w:val="00A0634B"/>
    <w:rPr>
      <w:b/>
      <w:bCs/>
      <w:smallCaps/>
      <w:color w:val="auto"/>
    </w:rPr>
  </w:style>
  <w:style w:type="character" w:styleId="BookTitle">
    <w:name w:val="Book Title"/>
    <w:uiPriority w:val="33"/>
    <w:qFormat/>
    <w:rsid w:val="00A0634B"/>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A0634B"/>
    <w:pPr>
      <w:outlineLvl w:val="9"/>
    </w:pPr>
    <w:rPr>
      <w:lang w:bidi="en-US"/>
    </w:rPr>
  </w:style>
  <w:style w:type="paragraph" w:styleId="Caption">
    <w:name w:val="caption"/>
    <w:basedOn w:val="Normal"/>
    <w:next w:val="Normal"/>
    <w:uiPriority w:val="35"/>
    <w:semiHidden/>
    <w:unhideWhenUsed/>
    <w:qFormat/>
    <w:rsid w:val="00A0634B"/>
    <w:rPr>
      <w:b/>
      <w:bCs/>
      <w:sz w:val="18"/>
      <w:szCs w:val="18"/>
    </w:rPr>
  </w:style>
  <w:style w:type="character" w:styleId="Hyperlink">
    <w:name w:val="Hyperlink"/>
    <w:basedOn w:val="DefaultParagraphFont"/>
    <w:uiPriority w:val="99"/>
    <w:unhideWhenUsed/>
    <w:rsid w:val="00A0634B"/>
    <w:rPr>
      <w:color w:val="0000FF" w:themeColor="hyperlink"/>
      <w:u w:val="single"/>
    </w:rPr>
  </w:style>
  <w:style w:type="table" w:styleId="TableGrid">
    <w:name w:val="Table Grid"/>
    <w:basedOn w:val="TableNormal"/>
    <w:uiPriority w:val="59"/>
    <w:rsid w:val="00804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6906"/>
    <w:rPr>
      <w:sz w:val="16"/>
      <w:szCs w:val="16"/>
    </w:rPr>
  </w:style>
  <w:style w:type="paragraph" w:styleId="CommentText">
    <w:name w:val="annotation text"/>
    <w:basedOn w:val="Normal"/>
    <w:link w:val="CommentTextChar"/>
    <w:uiPriority w:val="99"/>
    <w:semiHidden/>
    <w:unhideWhenUsed/>
    <w:rsid w:val="00E16906"/>
    <w:pPr>
      <w:spacing w:line="240" w:lineRule="auto"/>
    </w:pPr>
    <w:rPr>
      <w:sz w:val="20"/>
      <w:szCs w:val="20"/>
    </w:rPr>
  </w:style>
  <w:style w:type="character" w:customStyle="1" w:styleId="CommentTextChar">
    <w:name w:val="Comment Text Char"/>
    <w:basedOn w:val="DefaultParagraphFont"/>
    <w:link w:val="CommentText"/>
    <w:uiPriority w:val="99"/>
    <w:semiHidden/>
    <w:rsid w:val="00E16906"/>
    <w:rPr>
      <w:sz w:val="20"/>
      <w:szCs w:val="20"/>
    </w:rPr>
  </w:style>
  <w:style w:type="paragraph" w:styleId="CommentSubject">
    <w:name w:val="annotation subject"/>
    <w:basedOn w:val="CommentText"/>
    <w:next w:val="CommentText"/>
    <w:link w:val="CommentSubjectChar"/>
    <w:uiPriority w:val="99"/>
    <w:semiHidden/>
    <w:unhideWhenUsed/>
    <w:rsid w:val="00E16906"/>
    <w:rPr>
      <w:b/>
      <w:bCs/>
    </w:rPr>
  </w:style>
  <w:style w:type="character" w:customStyle="1" w:styleId="CommentSubjectChar">
    <w:name w:val="Comment Subject Char"/>
    <w:basedOn w:val="CommentTextChar"/>
    <w:link w:val="CommentSubject"/>
    <w:uiPriority w:val="99"/>
    <w:semiHidden/>
    <w:rsid w:val="00E16906"/>
    <w:rPr>
      <w:b/>
      <w:bCs/>
      <w:sz w:val="20"/>
      <w:szCs w:val="20"/>
    </w:rPr>
  </w:style>
  <w:style w:type="paragraph" w:styleId="BalloonText">
    <w:name w:val="Balloon Text"/>
    <w:basedOn w:val="Normal"/>
    <w:link w:val="BalloonTextChar"/>
    <w:uiPriority w:val="99"/>
    <w:semiHidden/>
    <w:unhideWhenUsed/>
    <w:rsid w:val="00E169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906"/>
    <w:rPr>
      <w:rFonts w:ascii="Tahoma" w:hAnsi="Tahoma" w:cs="Tahoma"/>
      <w:sz w:val="16"/>
      <w:szCs w:val="16"/>
    </w:rPr>
  </w:style>
  <w:style w:type="character" w:styleId="PlaceholderText">
    <w:name w:val="Placeholder Text"/>
    <w:basedOn w:val="DefaultParagraphFont"/>
    <w:uiPriority w:val="99"/>
    <w:semiHidden/>
    <w:rsid w:val="00B500DB"/>
    <w:rPr>
      <w:color w:val="808080"/>
    </w:rPr>
  </w:style>
  <w:style w:type="paragraph" w:styleId="Header">
    <w:name w:val="header"/>
    <w:basedOn w:val="Normal"/>
    <w:link w:val="HeaderChar"/>
    <w:uiPriority w:val="99"/>
    <w:unhideWhenUsed/>
    <w:rsid w:val="00E21D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1D98"/>
  </w:style>
  <w:style w:type="paragraph" w:styleId="Footer">
    <w:name w:val="footer"/>
    <w:basedOn w:val="Normal"/>
    <w:link w:val="FooterChar"/>
    <w:uiPriority w:val="99"/>
    <w:unhideWhenUsed/>
    <w:rsid w:val="00E21D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1D98"/>
  </w:style>
  <w:style w:type="paragraph" w:customStyle="1" w:styleId="p1">
    <w:name w:val="p1"/>
    <w:basedOn w:val="Normal"/>
    <w:rsid w:val="00143220"/>
    <w:pPr>
      <w:spacing w:after="0" w:line="240" w:lineRule="auto"/>
      <w:ind w:firstLine="0"/>
    </w:pPr>
    <w:rPr>
      <w:rFonts w:ascii="Helvetica" w:eastAsia="Times New Roman" w:hAnsi="Helvetica" w:cs="Times New Roman"/>
      <w:color w:val="000000"/>
      <w:sz w:val="18"/>
      <w:szCs w:val="18"/>
      <w:lang w:val="en-US"/>
    </w:rPr>
  </w:style>
  <w:style w:type="character" w:styleId="UnresolvedMention">
    <w:name w:val="Unresolved Mention"/>
    <w:basedOn w:val="DefaultParagraphFont"/>
    <w:uiPriority w:val="99"/>
    <w:semiHidden/>
    <w:unhideWhenUsed/>
    <w:rsid w:val="00143220"/>
    <w:rPr>
      <w:color w:val="605E5C"/>
      <w:shd w:val="clear" w:color="auto" w:fill="E1DFDD"/>
    </w:rPr>
  </w:style>
  <w:style w:type="character" w:styleId="PageNumber">
    <w:name w:val="page number"/>
    <w:basedOn w:val="DefaultParagraphFont"/>
    <w:uiPriority w:val="99"/>
    <w:semiHidden/>
    <w:unhideWhenUsed/>
    <w:rsid w:val="0033532F"/>
  </w:style>
  <w:style w:type="character" w:styleId="FollowedHyperlink">
    <w:name w:val="FollowedHyperlink"/>
    <w:basedOn w:val="DefaultParagraphFont"/>
    <w:uiPriority w:val="99"/>
    <w:semiHidden/>
    <w:unhideWhenUsed/>
    <w:rsid w:val="00AA4B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6466">
      <w:bodyDiv w:val="1"/>
      <w:marLeft w:val="0"/>
      <w:marRight w:val="0"/>
      <w:marTop w:val="0"/>
      <w:marBottom w:val="0"/>
      <w:divBdr>
        <w:top w:val="none" w:sz="0" w:space="0" w:color="auto"/>
        <w:left w:val="none" w:sz="0" w:space="0" w:color="auto"/>
        <w:bottom w:val="none" w:sz="0" w:space="0" w:color="auto"/>
        <w:right w:val="none" w:sz="0" w:space="0" w:color="auto"/>
      </w:divBdr>
    </w:div>
    <w:div w:id="1010644073">
      <w:bodyDiv w:val="1"/>
      <w:marLeft w:val="0"/>
      <w:marRight w:val="0"/>
      <w:marTop w:val="0"/>
      <w:marBottom w:val="0"/>
      <w:divBdr>
        <w:top w:val="none" w:sz="0" w:space="0" w:color="auto"/>
        <w:left w:val="none" w:sz="0" w:space="0" w:color="auto"/>
        <w:bottom w:val="none" w:sz="0" w:space="0" w:color="auto"/>
        <w:right w:val="none" w:sz="0" w:space="0" w:color="auto"/>
      </w:divBdr>
      <w:divsChild>
        <w:div w:id="1389650704">
          <w:marLeft w:val="0"/>
          <w:marRight w:val="0"/>
          <w:marTop w:val="0"/>
          <w:marBottom w:val="0"/>
          <w:divBdr>
            <w:top w:val="none" w:sz="0" w:space="0" w:color="auto"/>
            <w:left w:val="none" w:sz="0" w:space="0" w:color="auto"/>
            <w:bottom w:val="none" w:sz="0" w:space="0" w:color="auto"/>
            <w:right w:val="none" w:sz="0" w:space="0" w:color="auto"/>
          </w:divBdr>
        </w:div>
        <w:div w:id="1919903004">
          <w:marLeft w:val="0"/>
          <w:marRight w:val="0"/>
          <w:marTop w:val="0"/>
          <w:marBottom w:val="0"/>
          <w:divBdr>
            <w:top w:val="none" w:sz="0" w:space="0" w:color="auto"/>
            <w:left w:val="none" w:sz="0" w:space="0" w:color="auto"/>
            <w:bottom w:val="none" w:sz="0" w:space="0" w:color="auto"/>
            <w:right w:val="none" w:sz="0" w:space="0" w:color="auto"/>
          </w:divBdr>
        </w:div>
        <w:div w:id="191461460">
          <w:marLeft w:val="0"/>
          <w:marRight w:val="0"/>
          <w:marTop w:val="0"/>
          <w:marBottom w:val="0"/>
          <w:divBdr>
            <w:top w:val="none" w:sz="0" w:space="0" w:color="auto"/>
            <w:left w:val="none" w:sz="0" w:space="0" w:color="auto"/>
            <w:bottom w:val="none" w:sz="0" w:space="0" w:color="auto"/>
            <w:right w:val="none" w:sz="0" w:space="0" w:color="auto"/>
          </w:divBdr>
        </w:div>
        <w:div w:id="1309480248">
          <w:marLeft w:val="0"/>
          <w:marRight w:val="0"/>
          <w:marTop w:val="0"/>
          <w:marBottom w:val="0"/>
          <w:divBdr>
            <w:top w:val="none" w:sz="0" w:space="0" w:color="auto"/>
            <w:left w:val="none" w:sz="0" w:space="0" w:color="auto"/>
            <w:bottom w:val="none" w:sz="0" w:space="0" w:color="auto"/>
            <w:right w:val="none" w:sz="0" w:space="0" w:color="auto"/>
          </w:divBdr>
        </w:div>
        <w:div w:id="347799893">
          <w:marLeft w:val="0"/>
          <w:marRight w:val="0"/>
          <w:marTop w:val="0"/>
          <w:marBottom w:val="0"/>
          <w:divBdr>
            <w:top w:val="none" w:sz="0" w:space="0" w:color="auto"/>
            <w:left w:val="none" w:sz="0" w:space="0" w:color="auto"/>
            <w:bottom w:val="none" w:sz="0" w:space="0" w:color="auto"/>
            <w:right w:val="none" w:sz="0" w:space="0" w:color="auto"/>
          </w:divBdr>
        </w:div>
        <w:div w:id="266697545">
          <w:marLeft w:val="0"/>
          <w:marRight w:val="0"/>
          <w:marTop w:val="0"/>
          <w:marBottom w:val="0"/>
          <w:divBdr>
            <w:top w:val="none" w:sz="0" w:space="0" w:color="auto"/>
            <w:left w:val="none" w:sz="0" w:space="0" w:color="auto"/>
            <w:bottom w:val="none" w:sz="0" w:space="0" w:color="auto"/>
            <w:right w:val="none" w:sz="0" w:space="0" w:color="auto"/>
          </w:divBdr>
        </w:div>
        <w:div w:id="1071274287">
          <w:marLeft w:val="0"/>
          <w:marRight w:val="0"/>
          <w:marTop w:val="0"/>
          <w:marBottom w:val="0"/>
          <w:divBdr>
            <w:top w:val="none" w:sz="0" w:space="0" w:color="auto"/>
            <w:left w:val="none" w:sz="0" w:space="0" w:color="auto"/>
            <w:bottom w:val="none" w:sz="0" w:space="0" w:color="auto"/>
            <w:right w:val="none" w:sz="0" w:space="0" w:color="auto"/>
          </w:divBdr>
        </w:div>
        <w:div w:id="303118234">
          <w:marLeft w:val="0"/>
          <w:marRight w:val="0"/>
          <w:marTop w:val="0"/>
          <w:marBottom w:val="0"/>
          <w:divBdr>
            <w:top w:val="none" w:sz="0" w:space="0" w:color="auto"/>
            <w:left w:val="none" w:sz="0" w:space="0" w:color="auto"/>
            <w:bottom w:val="none" w:sz="0" w:space="0" w:color="auto"/>
            <w:right w:val="none" w:sz="0" w:space="0" w:color="auto"/>
          </w:divBdr>
        </w:div>
        <w:div w:id="820736381">
          <w:marLeft w:val="0"/>
          <w:marRight w:val="0"/>
          <w:marTop w:val="0"/>
          <w:marBottom w:val="0"/>
          <w:divBdr>
            <w:top w:val="none" w:sz="0" w:space="0" w:color="auto"/>
            <w:left w:val="none" w:sz="0" w:space="0" w:color="auto"/>
            <w:bottom w:val="none" w:sz="0" w:space="0" w:color="auto"/>
            <w:right w:val="none" w:sz="0" w:space="0" w:color="auto"/>
          </w:divBdr>
        </w:div>
        <w:div w:id="1930239339">
          <w:marLeft w:val="0"/>
          <w:marRight w:val="0"/>
          <w:marTop w:val="0"/>
          <w:marBottom w:val="0"/>
          <w:divBdr>
            <w:top w:val="none" w:sz="0" w:space="0" w:color="auto"/>
            <w:left w:val="none" w:sz="0" w:space="0" w:color="auto"/>
            <w:bottom w:val="none" w:sz="0" w:space="0" w:color="auto"/>
            <w:right w:val="none" w:sz="0" w:space="0" w:color="auto"/>
          </w:divBdr>
        </w:div>
        <w:div w:id="767963846">
          <w:marLeft w:val="0"/>
          <w:marRight w:val="0"/>
          <w:marTop w:val="0"/>
          <w:marBottom w:val="0"/>
          <w:divBdr>
            <w:top w:val="none" w:sz="0" w:space="0" w:color="auto"/>
            <w:left w:val="none" w:sz="0" w:space="0" w:color="auto"/>
            <w:bottom w:val="none" w:sz="0" w:space="0" w:color="auto"/>
            <w:right w:val="none" w:sz="0" w:space="0" w:color="auto"/>
          </w:divBdr>
        </w:div>
        <w:div w:id="2056544147">
          <w:marLeft w:val="0"/>
          <w:marRight w:val="0"/>
          <w:marTop w:val="0"/>
          <w:marBottom w:val="0"/>
          <w:divBdr>
            <w:top w:val="none" w:sz="0" w:space="0" w:color="auto"/>
            <w:left w:val="none" w:sz="0" w:space="0" w:color="auto"/>
            <w:bottom w:val="none" w:sz="0" w:space="0" w:color="auto"/>
            <w:right w:val="none" w:sz="0" w:space="0" w:color="auto"/>
          </w:divBdr>
        </w:div>
        <w:div w:id="788478732">
          <w:marLeft w:val="0"/>
          <w:marRight w:val="0"/>
          <w:marTop w:val="0"/>
          <w:marBottom w:val="0"/>
          <w:divBdr>
            <w:top w:val="none" w:sz="0" w:space="0" w:color="auto"/>
            <w:left w:val="none" w:sz="0" w:space="0" w:color="auto"/>
            <w:bottom w:val="none" w:sz="0" w:space="0" w:color="auto"/>
            <w:right w:val="none" w:sz="0" w:space="0" w:color="auto"/>
          </w:divBdr>
        </w:div>
        <w:div w:id="1414665906">
          <w:marLeft w:val="0"/>
          <w:marRight w:val="0"/>
          <w:marTop w:val="0"/>
          <w:marBottom w:val="0"/>
          <w:divBdr>
            <w:top w:val="none" w:sz="0" w:space="0" w:color="auto"/>
            <w:left w:val="none" w:sz="0" w:space="0" w:color="auto"/>
            <w:bottom w:val="none" w:sz="0" w:space="0" w:color="auto"/>
            <w:right w:val="none" w:sz="0" w:space="0" w:color="auto"/>
          </w:divBdr>
        </w:div>
        <w:div w:id="1142114473">
          <w:marLeft w:val="0"/>
          <w:marRight w:val="0"/>
          <w:marTop w:val="0"/>
          <w:marBottom w:val="0"/>
          <w:divBdr>
            <w:top w:val="none" w:sz="0" w:space="0" w:color="auto"/>
            <w:left w:val="none" w:sz="0" w:space="0" w:color="auto"/>
            <w:bottom w:val="none" w:sz="0" w:space="0" w:color="auto"/>
            <w:right w:val="none" w:sz="0" w:space="0" w:color="auto"/>
          </w:divBdr>
        </w:div>
        <w:div w:id="253901775">
          <w:marLeft w:val="0"/>
          <w:marRight w:val="0"/>
          <w:marTop w:val="0"/>
          <w:marBottom w:val="0"/>
          <w:divBdr>
            <w:top w:val="none" w:sz="0" w:space="0" w:color="auto"/>
            <w:left w:val="none" w:sz="0" w:space="0" w:color="auto"/>
            <w:bottom w:val="none" w:sz="0" w:space="0" w:color="auto"/>
            <w:right w:val="none" w:sz="0" w:space="0" w:color="auto"/>
          </w:divBdr>
        </w:div>
        <w:div w:id="392897039">
          <w:marLeft w:val="0"/>
          <w:marRight w:val="0"/>
          <w:marTop w:val="0"/>
          <w:marBottom w:val="0"/>
          <w:divBdr>
            <w:top w:val="none" w:sz="0" w:space="0" w:color="auto"/>
            <w:left w:val="none" w:sz="0" w:space="0" w:color="auto"/>
            <w:bottom w:val="none" w:sz="0" w:space="0" w:color="auto"/>
            <w:right w:val="none" w:sz="0" w:space="0" w:color="auto"/>
          </w:divBdr>
        </w:div>
        <w:div w:id="1026098815">
          <w:marLeft w:val="0"/>
          <w:marRight w:val="0"/>
          <w:marTop w:val="0"/>
          <w:marBottom w:val="0"/>
          <w:divBdr>
            <w:top w:val="none" w:sz="0" w:space="0" w:color="auto"/>
            <w:left w:val="none" w:sz="0" w:space="0" w:color="auto"/>
            <w:bottom w:val="none" w:sz="0" w:space="0" w:color="auto"/>
            <w:right w:val="none" w:sz="0" w:space="0" w:color="auto"/>
          </w:divBdr>
        </w:div>
        <w:div w:id="1202287472">
          <w:marLeft w:val="0"/>
          <w:marRight w:val="0"/>
          <w:marTop w:val="0"/>
          <w:marBottom w:val="0"/>
          <w:divBdr>
            <w:top w:val="none" w:sz="0" w:space="0" w:color="auto"/>
            <w:left w:val="none" w:sz="0" w:space="0" w:color="auto"/>
            <w:bottom w:val="none" w:sz="0" w:space="0" w:color="auto"/>
            <w:right w:val="none" w:sz="0" w:space="0" w:color="auto"/>
          </w:divBdr>
        </w:div>
      </w:divsChild>
    </w:div>
    <w:div w:id="1256591069">
      <w:bodyDiv w:val="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0"/>
          <w:marRight w:val="0"/>
          <w:marTop w:val="0"/>
          <w:marBottom w:val="0"/>
          <w:divBdr>
            <w:top w:val="none" w:sz="0" w:space="0" w:color="auto"/>
            <w:left w:val="none" w:sz="0" w:space="0" w:color="auto"/>
            <w:bottom w:val="none" w:sz="0" w:space="0" w:color="auto"/>
            <w:right w:val="none" w:sz="0" w:space="0" w:color="auto"/>
          </w:divBdr>
        </w:div>
        <w:div w:id="1697580555">
          <w:marLeft w:val="0"/>
          <w:marRight w:val="0"/>
          <w:marTop w:val="0"/>
          <w:marBottom w:val="0"/>
          <w:divBdr>
            <w:top w:val="none" w:sz="0" w:space="0" w:color="auto"/>
            <w:left w:val="none" w:sz="0" w:space="0" w:color="auto"/>
            <w:bottom w:val="none" w:sz="0" w:space="0" w:color="auto"/>
            <w:right w:val="none" w:sz="0" w:space="0" w:color="auto"/>
          </w:divBdr>
        </w:div>
      </w:divsChild>
    </w:div>
    <w:div w:id="1363163189">
      <w:bodyDiv w:val="1"/>
      <w:marLeft w:val="0"/>
      <w:marRight w:val="0"/>
      <w:marTop w:val="0"/>
      <w:marBottom w:val="0"/>
      <w:divBdr>
        <w:top w:val="none" w:sz="0" w:space="0" w:color="auto"/>
        <w:left w:val="none" w:sz="0" w:space="0" w:color="auto"/>
        <w:bottom w:val="none" w:sz="0" w:space="0" w:color="auto"/>
        <w:right w:val="none" w:sz="0" w:space="0" w:color="auto"/>
      </w:divBdr>
    </w:div>
    <w:div w:id="1442148892">
      <w:bodyDiv w:val="1"/>
      <w:marLeft w:val="0"/>
      <w:marRight w:val="0"/>
      <w:marTop w:val="0"/>
      <w:marBottom w:val="0"/>
      <w:divBdr>
        <w:top w:val="none" w:sz="0" w:space="0" w:color="auto"/>
        <w:left w:val="none" w:sz="0" w:space="0" w:color="auto"/>
        <w:bottom w:val="none" w:sz="0" w:space="0" w:color="auto"/>
        <w:right w:val="none" w:sz="0" w:space="0" w:color="auto"/>
      </w:divBdr>
    </w:div>
    <w:div w:id="1776897887">
      <w:bodyDiv w:val="1"/>
      <w:marLeft w:val="0"/>
      <w:marRight w:val="0"/>
      <w:marTop w:val="0"/>
      <w:marBottom w:val="0"/>
      <w:divBdr>
        <w:top w:val="none" w:sz="0" w:space="0" w:color="auto"/>
        <w:left w:val="none" w:sz="0" w:space="0" w:color="auto"/>
        <w:bottom w:val="none" w:sz="0" w:space="0" w:color="auto"/>
        <w:right w:val="none" w:sz="0" w:space="0" w:color="auto"/>
      </w:divBdr>
    </w:div>
    <w:div w:id="19827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bigac@berkeley.edu" TargetMode="External"/><Relationship Id="rId13" Type="http://schemas.openxmlformats.org/officeDocument/2006/relationships/hyperlink" Target="https://www.sciencedirect.com/science/article/pii/S0959378021002247" TargetMode="External"/><Relationship Id="rId18" Type="http://schemas.openxmlformats.org/officeDocument/2006/relationships/hyperlink" Target="https://www.sciencedirect.com/science/article/pii/S187734351930101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journals.ametsoc.org/view/journals/wcas/11/3/wcas-d-18-0075_1.xml" TargetMode="External"/><Relationship Id="rId7" Type="http://schemas.openxmlformats.org/officeDocument/2006/relationships/endnotes" Target="endnotes.xml"/><Relationship Id="rId12" Type="http://schemas.openxmlformats.org/officeDocument/2006/relationships/hyperlink" Target="https://doi.org/10.1007/978-3-030-61160-6_3" TargetMode="External"/><Relationship Id="rId17" Type="http://schemas.openxmlformats.org/officeDocument/2006/relationships/hyperlink" Target="https://doi.org/10.1038/s41893-021-00755-x"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038/s41893-019-0448-2" TargetMode="External"/><Relationship Id="rId20" Type="http://schemas.openxmlformats.org/officeDocument/2006/relationships/hyperlink" Target="https://www.quest.fwrc.msstate.edu/sca-project.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ametsoc.org/view/journals/wcas/15/2/WCAS-D-22-0112.1.x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ciencedirect.com/science/article/pii/S0959378021000509" TargetMode="External"/><Relationship Id="rId23" Type="http://schemas.openxmlformats.org/officeDocument/2006/relationships/hyperlink" Target="https://doi.org/10.1145/3491102.3517518" TargetMode="External"/><Relationship Id="rId10" Type="http://schemas.openxmlformats.org/officeDocument/2006/relationships/hyperlink" Target="https://doi.org/10.1038/s41558-021-01125-3" TargetMode="External"/><Relationship Id="rId19" Type="http://schemas.openxmlformats.org/officeDocument/2006/relationships/hyperlink" Target="https://doi.org/10.1038/s41558-020-00910-w" TargetMode="External"/><Relationship Id="rId4" Type="http://schemas.openxmlformats.org/officeDocument/2006/relationships/settings" Target="settings.xml"/><Relationship Id="rId9" Type="http://schemas.openxmlformats.org/officeDocument/2006/relationships/hyperlink" Target="https://doi.org/10.1038/s41558-025-02246-9" TargetMode="External"/><Relationship Id="rId14" Type="http://schemas.openxmlformats.org/officeDocument/2006/relationships/hyperlink" Target="https://www.sciencedirect.com/science/article/pii/S240588072400075X" TargetMode="External"/><Relationship Id="rId22" Type="http://schemas.openxmlformats.org/officeDocument/2006/relationships/hyperlink" Target="https://www.frontiersin.org/journals/climate/articles/10.3389/fclim.2021.627665"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D8CAE-7B6A-427C-82D6-3E0052D6B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27</Pages>
  <Words>10984</Words>
  <Characters>62610</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73448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Kousta, Stavroula</dc:creator>
  <cp:lastModifiedBy>Nabig Chaudhry</cp:lastModifiedBy>
  <cp:revision>40</cp:revision>
  <cp:lastPrinted>2026-02-03T09:47:00Z</cp:lastPrinted>
  <dcterms:created xsi:type="dcterms:W3CDTF">2026-02-03T04:02:00Z</dcterms:created>
  <dcterms:modified xsi:type="dcterms:W3CDTF">2026-03-10T11:34:00Z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https://hive.springernature.com</vt:lpwstr>
  </property>
  <property fmtid="{D5CDD505-2E9C-101B-9397-08002B2CF9AE}" pid="3" name="Jive_VersionGuid">
    <vt:lpwstr>7ef2528c-75f0-4657-a393-39c4d837083f</vt:lpwstr>
  </property>
  <property fmtid="{D5CDD505-2E9C-101B-9397-08002B2CF9AE}" pid="4" name="Offisync_UniqueId">
    <vt:lpwstr>190799</vt:lpwstr>
  </property>
  <property fmtid="{D5CDD505-2E9C-101B-9397-08002B2CF9AE}" pid="5" name="Offisync_UpdateToken">
    <vt:lpwstr>2</vt:lpwstr>
  </property>
  <property fmtid="{D5CDD505-2E9C-101B-9397-08002B2CF9AE}" pid="6" name="Jive_LatestUserAccountName">
    <vt:lpwstr>anne-marike.schiffer@nature.com</vt:lpwstr>
  </property>
  <property fmtid="{D5CDD505-2E9C-101B-9397-08002B2CF9AE}" pid="7" name="Offisync_ServerID">
    <vt:lpwstr>0d673023-5242-4d13-a9d7-ca41728b752d</vt:lpwstr>
  </property>
</Properties>
</file>