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1EFFB" w14:textId="732DC0A1" w:rsidR="00A83BB6" w:rsidRPr="002B33EC" w:rsidRDefault="00562FF9" w:rsidP="002B33EC">
      <w:pPr>
        <w:pStyle w:val="Title"/>
        <w:spacing w:after="960"/>
      </w:pPr>
      <w:r w:rsidRPr="00562FF9">
        <w:t>Merger simulations in EU merger control: what have we learne</w:t>
      </w:r>
      <w:r>
        <w:t>d</w:t>
      </w:r>
      <w:r w:rsidR="008412BC" w:rsidRPr="008412BC">
        <w:t>?</w:t>
      </w:r>
    </w:p>
    <w:p w14:paraId="0FA47C7C" w14:textId="0F9EB3A3" w:rsidR="006061D5" w:rsidRPr="0052466E" w:rsidRDefault="006061D5" w:rsidP="0052466E">
      <w:pPr>
        <w:spacing w:before="360"/>
        <w:jc w:val="center"/>
        <w:rPr>
          <w:b/>
          <w:bCs/>
        </w:rPr>
      </w:pPr>
      <w:r w:rsidRPr="0052466E">
        <w:rPr>
          <w:b/>
          <w:bCs/>
        </w:rPr>
        <w:t>Abstract</w:t>
      </w:r>
    </w:p>
    <w:p w14:paraId="78785CB0" w14:textId="153B0886" w:rsidR="006061D5" w:rsidRPr="000405C5" w:rsidRDefault="000405C5" w:rsidP="0052466E">
      <w:r w:rsidRPr="000405C5">
        <w:t>It has been</w:t>
      </w:r>
      <w:r w:rsidR="006C729F">
        <w:t xml:space="preserve"> over</w:t>
      </w:r>
      <w:r w:rsidRPr="000405C5">
        <w:t xml:space="preserve"> 25 years since </w:t>
      </w:r>
      <w:r w:rsidR="009E61F9">
        <w:t xml:space="preserve">merger simulation </w:t>
      </w:r>
      <w:r w:rsidR="004D4940">
        <w:t xml:space="preserve">was </w:t>
      </w:r>
      <w:r w:rsidR="003716FF" w:rsidRPr="003716FF">
        <w:t xml:space="preserve">first </w:t>
      </w:r>
      <w:r w:rsidR="00D50200">
        <w:t>used</w:t>
      </w:r>
      <w:r w:rsidR="008B118F">
        <w:t xml:space="preserve"> </w:t>
      </w:r>
      <w:r w:rsidRPr="000405C5">
        <w:t xml:space="preserve">in </w:t>
      </w:r>
      <w:r w:rsidR="004D4940">
        <w:t xml:space="preserve">a </w:t>
      </w:r>
      <w:r w:rsidRPr="000405C5">
        <w:t>European Commission</w:t>
      </w:r>
      <w:r w:rsidR="007B301D">
        <w:t xml:space="preserve"> </w:t>
      </w:r>
      <w:r w:rsidRPr="000405C5">
        <w:t xml:space="preserve">merger </w:t>
      </w:r>
      <w:r w:rsidR="004D4940">
        <w:t>decision.</w:t>
      </w:r>
      <w:r w:rsidRPr="000405C5">
        <w:t xml:space="preserve"> Since then, simulations</w:t>
      </w:r>
      <w:r w:rsidR="005A0F28">
        <w:t xml:space="preserve"> </w:t>
      </w:r>
      <w:r w:rsidR="00A62EE0">
        <w:t>–</w:t>
      </w:r>
      <w:r w:rsidR="005A0F28">
        <w:t xml:space="preserve"> </w:t>
      </w:r>
      <w:r w:rsidR="003716FF" w:rsidRPr="003716FF">
        <w:t>submitted</w:t>
      </w:r>
      <w:r w:rsidR="0023512E">
        <w:t xml:space="preserve"> by </w:t>
      </w:r>
      <w:r w:rsidR="0023512E" w:rsidRPr="000405C5">
        <w:t xml:space="preserve">both the </w:t>
      </w:r>
      <w:r w:rsidR="006F6D09">
        <w:t>Commission</w:t>
      </w:r>
      <w:r w:rsidR="0093727A">
        <w:t xml:space="preserve"> </w:t>
      </w:r>
      <w:r w:rsidR="0023512E" w:rsidRPr="000405C5">
        <w:t>and merging partie</w:t>
      </w:r>
      <w:r w:rsidR="0023512E">
        <w:t>s</w:t>
      </w:r>
      <w:r w:rsidR="00A62EE0">
        <w:t xml:space="preserve"> – </w:t>
      </w:r>
      <w:r w:rsidRPr="000405C5">
        <w:t xml:space="preserve">have </w:t>
      </w:r>
      <w:r w:rsidR="001E457C">
        <w:t xml:space="preserve">featured in numerous </w:t>
      </w:r>
      <w:r w:rsidR="003716FF" w:rsidRPr="003716FF">
        <w:t>cases.</w:t>
      </w:r>
      <w:r w:rsidRPr="000405C5">
        <w:t xml:space="preserve"> Although </w:t>
      </w:r>
      <w:r>
        <w:t xml:space="preserve">their use </w:t>
      </w:r>
      <w:r w:rsidR="003716FF" w:rsidRPr="003716FF">
        <w:t xml:space="preserve">has declined since the late 2010s, no comprehensive review has yet examined the evidence these simulations provide. </w:t>
      </w:r>
      <w:r w:rsidR="00D50200">
        <w:t>We</w:t>
      </w:r>
      <w:r w:rsidR="008D5476">
        <w:t xml:space="preserve"> </w:t>
      </w:r>
      <w:r w:rsidR="003716FF" w:rsidRPr="003716FF">
        <w:t>attempt to fill</w:t>
      </w:r>
      <w:r w:rsidR="003D2800">
        <w:t xml:space="preserve"> that </w:t>
      </w:r>
      <w:r w:rsidR="003716FF" w:rsidRPr="003716FF">
        <w:t xml:space="preserve">gap, </w:t>
      </w:r>
      <w:r w:rsidR="002023BE">
        <w:t xml:space="preserve">to hopefully </w:t>
      </w:r>
      <w:r w:rsidR="003716FF" w:rsidRPr="003716FF">
        <w:t>rekindl</w:t>
      </w:r>
      <w:r w:rsidR="002023BE">
        <w:t>e</w:t>
      </w:r>
      <w:r w:rsidR="003716FF" w:rsidRPr="003716FF">
        <w:t xml:space="preserve"> the debate</w:t>
      </w:r>
      <w:r w:rsidR="00673241">
        <w:t xml:space="preserve"> around the</w:t>
      </w:r>
      <w:r w:rsidR="002023BE">
        <w:t>ir</w:t>
      </w:r>
      <w:r w:rsidR="00673241">
        <w:t xml:space="preserve"> </w:t>
      </w:r>
      <w:r w:rsidR="003716FF" w:rsidRPr="003716FF">
        <w:t>role</w:t>
      </w:r>
      <w:r w:rsidR="00673241">
        <w:t xml:space="preserve"> in </w:t>
      </w:r>
      <w:r w:rsidR="002023BE">
        <w:t>EU</w:t>
      </w:r>
      <w:r w:rsidR="00673241">
        <w:t xml:space="preserve"> merger control</w:t>
      </w:r>
      <w:r w:rsidR="00A95145">
        <w:t xml:space="preserve">. </w:t>
      </w:r>
      <w:r w:rsidR="00CE74C8">
        <w:t xml:space="preserve">We </w:t>
      </w:r>
      <w:r w:rsidR="003716FF" w:rsidRPr="003716FF">
        <w:t>begin with</w:t>
      </w:r>
      <w:r w:rsidR="00CE74C8">
        <w:t xml:space="preserve"> a qualitative </w:t>
      </w:r>
      <w:r w:rsidR="003716FF" w:rsidRPr="003716FF">
        <w:t>assessment of</w:t>
      </w:r>
      <w:r w:rsidR="00531D8A">
        <w:t xml:space="preserve"> </w:t>
      </w:r>
      <w:r w:rsidR="00E17DF4">
        <w:t xml:space="preserve">where the </w:t>
      </w:r>
      <w:r w:rsidR="003716FF" w:rsidRPr="003716FF">
        <w:t xml:space="preserve">Commission and the </w:t>
      </w:r>
      <w:r w:rsidR="00E17DF4">
        <w:t xml:space="preserve">merging </w:t>
      </w:r>
      <w:r w:rsidR="003716FF" w:rsidRPr="003716FF">
        <w:t>parties most frequently diverged in their simulation</w:t>
      </w:r>
      <w:r w:rsidR="00E17DF4">
        <w:t xml:space="preserve"> </w:t>
      </w:r>
      <w:r w:rsidR="00B758D9">
        <w:t>approaches</w:t>
      </w:r>
      <w:r w:rsidR="00A62EE0">
        <w:t xml:space="preserve">, </w:t>
      </w:r>
      <w:r w:rsidR="00101383">
        <w:t>such as</w:t>
      </w:r>
      <w:r w:rsidR="00DC6894">
        <w:t xml:space="preserve"> </w:t>
      </w:r>
      <w:r w:rsidR="00131BE7">
        <w:t>model</w:t>
      </w:r>
      <w:r w:rsidR="003716FF" w:rsidRPr="003716FF">
        <w:t xml:space="preserve"> selection,</w:t>
      </w:r>
      <w:r w:rsidR="00131BE7">
        <w:t xml:space="preserve"> assumptions</w:t>
      </w:r>
      <w:r w:rsidR="003716FF" w:rsidRPr="003716FF">
        <w:t>,</w:t>
      </w:r>
      <w:r w:rsidR="00131BE7">
        <w:t xml:space="preserve"> </w:t>
      </w:r>
      <w:r w:rsidR="00E03C3C">
        <w:t>and</w:t>
      </w:r>
      <w:r w:rsidR="0021395F">
        <w:t xml:space="preserve"> input </w:t>
      </w:r>
      <w:r w:rsidR="00986102">
        <w:t>data</w:t>
      </w:r>
      <w:r w:rsidR="002E31D7">
        <w:t xml:space="preserve">. </w:t>
      </w:r>
      <w:r w:rsidR="00A35C86">
        <w:t xml:space="preserve">We then </w:t>
      </w:r>
      <w:r w:rsidR="003716FF" w:rsidRPr="003716FF">
        <w:t xml:space="preserve">conduct </w:t>
      </w:r>
      <w:r w:rsidR="00A35C86">
        <w:t>a quantitative analysis</w:t>
      </w:r>
      <w:r w:rsidR="003716FF" w:rsidRPr="003716FF">
        <w:t>, using</w:t>
      </w:r>
      <w:r w:rsidR="00EE2921">
        <w:t xml:space="preserve"> a data</w:t>
      </w:r>
      <w:r w:rsidR="0058082D">
        <w:t xml:space="preserve"> </w:t>
      </w:r>
      <w:r w:rsidR="00EE2921">
        <w:t xml:space="preserve">set of </w:t>
      </w:r>
      <w:r w:rsidR="002D4273">
        <w:t>several hundred</w:t>
      </w:r>
      <w:r w:rsidR="00B67E84">
        <w:t xml:space="preserve"> post-merger price predictions</w:t>
      </w:r>
      <w:r w:rsidR="003A1E27">
        <w:t xml:space="preserve"> </w:t>
      </w:r>
      <w:r w:rsidR="003716FF" w:rsidRPr="003716FF">
        <w:t xml:space="preserve">derived </w:t>
      </w:r>
      <w:r w:rsidR="003A1E27">
        <w:t xml:space="preserve">from simulations </w:t>
      </w:r>
      <w:r w:rsidR="003716FF" w:rsidRPr="003716FF">
        <w:t>cited</w:t>
      </w:r>
      <w:r w:rsidR="003A1E27">
        <w:t xml:space="preserve"> in </w:t>
      </w:r>
      <w:r w:rsidR="006F6D09">
        <w:t xml:space="preserve">Commission </w:t>
      </w:r>
      <w:r w:rsidR="003A1E27">
        <w:t>decisions</w:t>
      </w:r>
      <w:r w:rsidR="00B67E84">
        <w:t xml:space="preserve">. </w:t>
      </w:r>
      <w:r w:rsidR="006825BB">
        <w:t xml:space="preserve">We find that </w:t>
      </w:r>
      <w:r w:rsidR="00804B97">
        <w:t xml:space="preserve">simulations </w:t>
      </w:r>
      <w:r w:rsidR="003716FF" w:rsidRPr="003716FF">
        <w:t>using</w:t>
      </w:r>
      <w:r w:rsidR="006825BB">
        <w:t xml:space="preserve"> econometrically estimated demand parameters </w:t>
      </w:r>
      <w:r w:rsidR="003716FF" w:rsidRPr="003716FF">
        <w:t xml:space="preserve">generally predict </w:t>
      </w:r>
      <w:r w:rsidR="00F33974">
        <w:t>lower post-merger price</w:t>
      </w:r>
      <w:r w:rsidR="003716FF" w:rsidRPr="003716FF">
        <w:t xml:space="preserve"> increases, though</w:t>
      </w:r>
      <w:r w:rsidR="00B4790B">
        <w:t xml:space="preserve"> </w:t>
      </w:r>
      <w:r w:rsidR="00A71A89">
        <w:t xml:space="preserve">not </w:t>
      </w:r>
      <w:r w:rsidR="003716FF" w:rsidRPr="003716FF">
        <w:t>universally. Contrary to common belief</w:t>
      </w:r>
      <w:r w:rsidR="00D0016B">
        <w:t xml:space="preserve">, we </w:t>
      </w:r>
      <w:r w:rsidR="003716FF" w:rsidRPr="003716FF">
        <w:t>also show</w:t>
      </w:r>
      <w:r w:rsidR="007F532D" w:rsidDel="0053380F">
        <w:t xml:space="preserve"> that</w:t>
      </w:r>
      <w:r w:rsidR="007F532D" w:rsidDel="00804B97">
        <w:t xml:space="preserve"> </w:t>
      </w:r>
      <w:r w:rsidR="00572C78">
        <w:t>the</w:t>
      </w:r>
      <w:r w:rsidR="005E5FA2">
        <w:t xml:space="preserve"> </w:t>
      </w:r>
      <w:r w:rsidR="00572C78" w:rsidDel="008A1448">
        <w:t xml:space="preserve">merging </w:t>
      </w:r>
      <w:r w:rsidR="00743667" w:rsidDel="008A1448">
        <w:t>parties</w:t>
      </w:r>
      <w:r w:rsidR="005B1DBE" w:rsidDel="008A1448">
        <w:t>’</w:t>
      </w:r>
      <w:r w:rsidR="00743667" w:rsidDel="007D1D9D">
        <w:t xml:space="preserve"> </w:t>
      </w:r>
      <w:r w:rsidR="003716FF" w:rsidRPr="003716FF">
        <w:t xml:space="preserve">simulations </w:t>
      </w:r>
      <w:r w:rsidR="0058133C">
        <w:t xml:space="preserve">do not </w:t>
      </w:r>
      <w:r w:rsidR="003716FF" w:rsidRPr="003716FF">
        <w:t>consistently</w:t>
      </w:r>
      <w:r w:rsidR="00D70968">
        <w:t xml:space="preserve"> </w:t>
      </w:r>
      <w:r w:rsidR="008A1448">
        <w:t xml:space="preserve">predict </w:t>
      </w:r>
      <w:r w:rsidR="0058133C">
        <w:t xml:space="preserve">smaller </w:t>
      </w:r>
      <w:r w:rsidR="00EA5BD3">
        <w:t>price</w:t>
      </w:r>
      <w:r w:rsidR="00572C78">
        <w:t xml:space="preserve"> </w:t>
      </w:r>
      <w:r w:rsidR="003716FF" w:rsidRPr="003716FF">
        <w:t>increases</w:t>
      </w:r>
      <w:r w:rsidR="007D1D9D">
        <w:t xml:space="preserve"> than </w:t>
      </w:r>
      <w:r w:rsidR="003716FF" w:rsidRPr="003716FF">
        <w:t>those of the Commission. When</w:t>
      </w:r>
      <w:r w:rsidR="007D1D9D">
        <w:t xml:space="preserve"> econometric demand models are used</w:t>
      </w:r>
      <w:r w:rsidR="003716FF" w:rsidRPr="003716FF">
        <w:t>, estimates from both sides tend to converge.</w:t>
      </w:r>
      <w:r w:rsidR="007D1D9D">
        <w:t xml:space="preserve"> </w:t>
      </w:r>
      <w:r w:rsidR="004922C6">
        <w:t xml:space="preserve">We argue that </w:t>
      </w:r>
      <w:r w:rsidR="003716FF" w:rsidRPr="003716FF">
        <w:t xml:space="preserve">this consistency offers a promising foundation for restoring confidence in the value of simulations in </w:t>
      </w:r>
      <w:r w:rsidR="00386E0B">
        <w:t>EU merger control</w:t>
      </w:r>
      <w:r w:rsidR="003716FF" w:rsidRPr="003716FF">
        <w:t>.</w:t>
      </w:r>
    </w:p>
    <w:p w14:paraId="1770E8BC" w14:textId="334FFBFA" w:rsidR="0052466E" w:rsidRDefault="0052466E" w:rsidP="006061D5">
      <w:r w:rsidRPr="0035740C">
        <w:rPr>
          <w:b/>
        </w:rPr>
        <w:t xml:space="preserve">Keywords: </w:t>
      </w:r>
      <w:r w:rsidRPr="0035740C">
        <w:t xml:space="preserve"> </w:t>
      </w:r>
      <w:r w:rsidR="00FA69DA">
        <w:t>European Commission</w:t>
      </w:r>
      <w:r w:rsidR="00E1377F">
        <w:t>,</w:t>
      </w:r>
      <w:r w:rsidR="001A6A6F">
        <w:t xml:space="preserve"> </w:t>
      </w:r>
      <w:r w:rsidR="001A6A6F" w:rsidRPr="0035740C">
        <w:t xml:space="preserve">merger simulations, </w:t>
      </w:r>
      <w:r w:rsidR="001A6A6F">
        <w:t xml:space="preserve">price </w:t>
      </w:r>
      <w:r w:rsidR="00517637">
        <w:t>change</w:t>
      </w:r>
      <w:r w:rsidR="001A6A6F">
        <w:t xml:space="preserve">, </w:t>
      </w:r>
      <w:r w:rsidR="0035740C">
        <w:t>systematic review</w:t>
      </w:r>
    </w:p>
    <w:p w14:paraId="08CA9495" w14:textId="77777777" w:rsidR="00656309" w:rsidRDefault="00656309" w:rsidP="006061D5"/>
    <w:p w14:paraId="53B7B07E" w14:textId="77777777" w:rsidR="00E72DDB" w:rsidRDefault="00E72DDB" w:rsidP="006061D5"/>
    <w:p w14:paraId="523D9E3A" w14:textId="77777777" w:rsidR="00E72DDB" w:rsidRPr="0035740C" w:rsidRDefault="00E72DDB" w:rsidP="006061D5"/>
    <w:p w14:paraId="66F8743F" w14:textId="77777777" w:rsidR="008B1DEC" w:rsidRDefault="008B1DEC">
      <w:pPr>
        <w:jc w:val="left"/>
        <w:rPr>
          <w:rFonts w:asciiTheme="majorHAnsi" w:eastAsiaTheme="majorEastAsia" w:hAnsiTheme="majorHAnsi" w:cstheme="majorBidi"/>
          <w:b/>
          <w:sz w:val="24"/>
          <w:szCs w:val="32"/>
        </w:rPr>
      </w:pPr>
      <w:r>
        <w:br w:type="page"/>
      </w:r>
    </w:p>
    <w:p w14:paraId="3B622FAC" w14:textId="1F829CD2" w:rsidR="0052466E" w:rsidRDefault="0016397F" w:rsidP="008B1DEC">
      <w:pPr>
        <w:pStyle w:val="Heading1"/>
        <w:spacing w:after="0" w:line="480" w:lineRule="auto"/>
        <w:ind w:left="431" w:hanging="431"/>
      </w:pPr>
      <w:r>
        <w:lastRenderedPageBreak/>
        <w:t>Introduction</w:t>
      </w:r>
      <w:r w:rsidR="00131B92">
        <w:t xml:space="preserve"> </w:t>
      </w:r>
    </w:p>
    <w:p w14:paraId="0D9379EC" w14:textId="14C2AA64" w:rsidR="00A569DB" w:rsidRDefault="00CD5A05" w:rsidP="00B35AF4">
      <w:r>
        <w:t xml:space="preserve">It has been 25 years since the </w:t>
      </w:r>
      <w:r w:rsidR="006F7477">
        <w:t xml:space="preserve">first time the European Commission </w:t>
      </w:r>
      <w:r w:rsidR="007076B9">
        <w:t>(</w:t>
      </w:r>
      <w:r w:rsidR="00D45209">
        <w:t>Commission</w:t>
      </w:r>
      <w:r w:rsidR="007076B9">
        <w:t>)</w:t>
      </w:r>
      <w:r w:rsidR="006F7477">
        <w:t xml:space="preserve"> used a </w:t>
      </w:r>
      <w:r w:rsidR="005240F6">
        <w:t>simulation in a merger investigation</w:t>
      </w:r>
      <w:r w:rsidR="008A3D03">
        <w:t xml:space="preserve">: </w:t>
      </w:r>
      <w:r w:rsidR="008A3D03" w:rsidRPr="00F86086">
        <w:rPr>
          <w:i/>
          <w:iCs/>
        </w:rPr>
        <w:t>Volvo/Scania</w:t>
      </w:r>
      <w:r w:rsidR="008A3D03">
        <w:t xml:space="preserve"> in 2000</w:t>
      </w:r>
      <w:r w:rsidR="005240F6">
        <w:t xml:space="preserve">. Since then, </w:t>
      </w:r>
      <w:r w:rsidR="0006035D">
        <w:t xml:space="preserve">simulations have been </w:t>
      </w:r>
      <w:r w:rsidR="00474C62">
        <w:t>employed</w:t>
      </w:r>
      <w:r w:rsidR="0006035D">
        <w:t xml:space="preserve"> and presented by both the Commission and the merging parties in </w:t>
      </w:r>
      <w:r w:rsidR="00CC4E94">
        <w:t xml:space="preserve">a number of cases. </w:t>
      </w:r>
      <w:r w:rsidR="00647167">
        <w:t>S</w:t>
      </w:r>
      <w:r w:rsidR="00794694">
        <w:t xml:space="preserve">imulations in </w:t>
      </w:r>
      <w:r w:rsidR="00647167">
        <w:t>E</w:t>
      </w:r>
      <w:r w:rsidR="00F07C36">
        <w:t>U</w:t>
      </w:r>
      <w:r w:rsidR="00647167">
        <w:t xml:space="preserve"> merger control</w:t>
      </w:r>
      <w:r w:rsidR="00794694">
        <w:t xml:space="preserve"> </w:t>
      </w:r>
      <w:r w:rsidR="00F91156">
        <w:t xml:space="preserve">had </w:t>
      </w:r>
      <w:r w:rsidR="0078230B">
        <w:t xml:space="preserve">their </w:t>
      </w:r>
      <w:r w:rsidR="00F91156">
        <w:t>heyday in the middle of the 2010s</w:t>
      </w:r>
      <w:r w:rsidR="00104F75">
        <w:t>, when</w:t>
      </w:r>
      <w:r w:rsidR="002D4273">
        <w:t>, in 2014-2016, nearly half of the 16 total</w:t>
      </w:r>
      <w:r w:rsidR="00104F75">
        <w:t xml:space="preserve"> </w:t>
      </w:r>
      <w:r w:rsidR="00F66837">
        <w:t>merger</w:t>
      </w:r>
      <w:r w:rsidR="005A2583">
        <w:t xml:space="preserve"> </w:t>
      </w:r>
      <w:r w:rsidR="008349C7">
        <w:t xml:space="preserve">reviews </w:t>
      </w:r>
      <w:r w:rsidR="00A57B0B">
        <w:t>includ</w:t>
      </w:r>
      <w:r w:rsidR="002D4273">
        <w:t>ing</w:t>
      </w:r>
      <w:r w:rsidR="00A57B0B">
        <w:t xml:space="preserve"> a </w:t>
      </w:r>
      <w:r w:rsidR="00EC4744">
        <w:t>simulation analysis</w:t>
      </w:r>
      <w:r w:rsidR="002D4273">
        <w:t xml:space="preserve"> took place</w:t>
      </w:r>
      <w:r w:rsidR="005566C8">
        <w:t xml:space="preserve">. </w:t>
      </w:r>
      <w:r w:rsidR="00CF145E">
        <w:t>Since then,</w:t>
      </w:r>
      <w:r w:rsidR="006D788D">
        <w:t xml:space="preserve"> the enthusiasm of the 2010s </w:t>
      </w:r>
      <w:r w:rsidR="00782CBF">
        <w:t>w</w:t>
      </w:r>
      <w:r w:rsidR="006D788D">
        <w:t xml:space="preserve">aned and </w:t>
      </w:r>
      <w:r w:rsidR="00441DCF">
        <w:t>th</w:t>
      </w:r>
      <w:r w:rsidR="00357A0A">
        <w:t>e</w:t>
      </w:r>
      <w:r w:rsidR="00441DCF">
        <w:t xml:space="preserve"> last merger</w:t>
      </w:r>
      <w:r w:rsidR="00833456">
        <w:t xml:space="preserve"> decision that reports the results of a merger simulation was in 2018.</w:t>
      </w:r>
      <w:r w:rsidR="004E2421">
        <w:t xml:space="preserve"> </w:t>
      </w:r>
      <w:r w:rsidR="00A569DB" w:rsidRPr="00A569DB">
        <w:t xml:space="preserve">This does not necessarily mean simulations are no longer used internally—they may still serve as screening tools for identifying high-risk mergers or as aids for structuring the economic analysis of a case. Nevertheless, the high cost of producing such simulations likely limits their broader use, and they are now </w:t>
      </w:r>
      <w:r w:rsidR="00761BD9">
        <w:t xml:space="preserve">not </w:t>
      </w:r>
      <w:r w:rsidR="00A569DB" w:rsidRPr="00A569DB">
        <w:t>included in published decisions.</w:t>
      </w:r>
    </w:p>
    <w:p w14:paraId="3DFFADBF" w14:textId="613A7A4E" w:rsidR="000F033D" w:rsidRDefault="00FE17C5" w:rsidP="00010D8E">
      <w:r>
        <w:t>There have been numerous papers</w:t>
      </w:r>
      <w:r w:rsidR="00257AC1">
        <w:t xml:space="preserve"> </w:t>
      </w:r>
      <w:r w:rsidR="00EB092F">
        <w:t xml:space="preserve">discussing various aspects of merger simulations in </w:t>
      </w:r>
      <w:r w:rsidR="003A60B0">
        <w:t>E</w:t>
      </w:r>
      <w:r w:rsidR="00C66D38">
        <w:t>U</w:t>
      </w:r>
      <w:r w:rsidR="003A60B0">
        <w:t xml:space="preserve"> merger control.</w:t>
      </w:r>
      <w:r w:rsidR="003A60B0">
        <w:rPr>
          <w:rStyle w:val="FootnoteReference"/>
        </w:rPr>
        <w:footnoteReference w:id="2"/>
      </w:r>
      <w:r w:rsidR="00F429D8">
        <w:t xml:space="preserve"> </w:t>
      </w:r>
      <w:r w:rsidR="006609EC">
        <w:t>We add to this literature by</w:t>
      </w:r>
      <w:r w:rsidR="00F14F19">
        <w:t xml:space="preserve"> </w:t>
      </w:r>
      <w:r w:rsidR="00054851">
        <w:t>qualitatively and quantitatively review</w:t>
      </w:r>
      <w:r w:rsidR="006522DD">
        <w:t>ing</w:t>
      </w:r>
      <w:r w:rsidR="00054851">
        <w:t xml:space="preserve"> </w:t>
      </w:r>
      <w:r w:rsidR="00DF6FAF">
        <w:t xml:space="preserve">merger </w:t>
      </w:r>
      <w:r w:rsidR="00054851">
        <w:t>simulations</w:t>
      </w:r>
      <w:r w:rsidR="00B7647D">
        <w:t xml:space="preserve"> </w:t>
      </w:r>
      <w:r w:rsidR="00DF6FAF">
        <w:t xml:space="preserve">in </w:t>
      </w:r>
      <w:r w:rsidR="00C66D38">
        <w:t xml:space="preserve">Commission </w:t>
      </w:r>
      <w:r w:rsidR="007076B9">
        <w:t>mergers</w:t>
      </w:r>
      <w:r w:rsidR="00DF6FAF">
        <w:t xml:space="preserve">. </w:t>
      </w:r>
      <w:r w:rsidR="00D45209">
        <w:t xml:space="preserve">Although merger simulations have been applied much more sparingly by the Commission than by their US counterparts, </w:t>
      </w:r>
      <w:r w:rsidR="00D057E9">
        <w:t xml:space="preserve">details of the simulations are more </w:t>
      </w:r>
      <w:r w:rsidR="00D06B59">
        <w:t>consistently available in the Commission’s published decisions</w:t>
      </w:r>
      <w:r w:rsidR="0077190B">
        <w:t xml:space="preserve">. This transparency </w:t>
      </w:r>
      <w:r w:rsidR="001A5BB1">
        <w:t xml:space="preserve">in how simulations are presented </w:t>
      </w:r>
      <w:r w:rsidR="00D26D46">
        <w:t xml:space="preserve">in Europe </w:t>
      </w:r>
      <w:r w:rsidR="001A5BB1">
        <w:t>enables us to undertake this systematic review</w:t>
      </w:r>
      <w:r w:rsidR="00010D8E">
        <w:t xml:space="preserve"> and</w:t>
      </w:r>
      <w:r w:rsidR="000F033D" w:rsidRPr="000F033D">
        <w:t xml:space="preserve"> test several hypotheses put forward in prior academic and policy discussions.</w:t>
      </w:r>
    </w:p>
    <w:p w14:paraId="206BA926" w14:textId="245DCF04" w:rsidR="00712B3D" w:rsidRDefault="006522DD" w:rsidP="00B35AF4">
      <w:r>
        <w:t>T</w:t>
      </w:r>
      <w:r w:rsidR="005D0B96">
        <w:t>his paper</w:t>
      </w:r>
      <w:r w:rsidR="00D428DB">
        <w:t xml:space="preserve"> has two main contributions. First, it</w:t>
      </w:r>
      <w:r w:rsidR="005D0B96">
        <w:t xml:space="preserve"> provides</w:t>
      </w:r>
      <w:r w:rsidR="00712B3D" w:rsidRPr="00712B3D">
        <w:t xml:space="preserve"> a qualitative review of how the Commission and merging parties have approached simulations, focusing on their modelling choices and core assumptions</w:t>
      </w:r>
      <w:r w:rsidR="00F56E79">
        <w:t>, and how the other side reacted to these</w:t>
      </w:r>
      <w:r w:rsidR="00712B3D" w:rsidRPr="00712B3D">
        <w:t xml:space="preserve">. </w:t>
      </w:r>
      <w:r w:rsidR="00F56E79">
        <w:t xml:space="preserve">We </w:t>
      </w:r>
      <w:r w:rsidR="00EE3653">
        <w:t>show</w:t>
      </w:r>
      <w:r w:rsidR="00F56E79">
        <w:t xml:space="preserve"> that certain </w:t>
      </w:r>
      <w:r w:rsidR="002D6388">
        <w:t xml:space="preserve">modelling issues were discussed </w:t>
      </w:r>
      <w:r w:rsidR="00C56653">
        <w:t>frequently</w:t>
      </w:r>
      <w:r w:rsidR="002D6388">
        <w:t xml:space="preserve">, such as </w:t>
      </w:r>
      <w:r w:rsidR="00C56653">
        <w:t xml:space="preserve">how to model countervailing factors and the choice of purchasing the outside good, whereas some appeared less frequently, such as the approach to contestable customers. </w:t>
      </w:r>
      <w:r w:rsidR="00712B3D" w:rsidRPr="00712B3D">
        <w:t>We find significant disagreement around key modelling decisions</w:t>
      </w:r>
      <w:r w:rsidR="00B2544A">
        <w:t xml:space="preserve"> – </w:t>
      </w:r>
      <w:r w:rsidR="00712B3D" w:rsidRPr="00712B3D">
        <w:t xml:space="preserve">such as </w:t>
      </w:r>
      <w:r w:rsidR="00C56653">
        <w:t xml:space="preserve">model choice or </w:t>
      </w:r>
      <w:r w:rsidR="00640EAD">
        <w:t xml:space="preserve">realism of the model’s assumptions </w:t>
      </w:r>
      <w:r w:rsidR="00B2544A">
        <w:t xml:space="preserve">– </w:t>
      </w:r>
      <w:r w:rsidR="00712B3D" w:rsidRPr="00712B3D">
        <w:t>while other areas, like the use of instrumental variables and modelling of information asymmetries, appear less contentious.</w:t>
      </w:r>
    </w:p>
    <w:p w14:paraId="6CF5FAB2" w14:textId="69688AB2" w:rsidR="00065AB6" w:rsidRDefault="00E31088" w:rsidP="00065AB6">
      <w:r>
        <w:t xml:space="preserve">Our second </w:t>
      </w:r>
      <w:r w:rsidR="00842152">
        <w:t>contribution</w:t>
      </w:r>
      <w:r>
        <w:t xml:space="preserve"> is to</w:t>
      </w:r>
      <w:r w:rsidR="003A5412">
        <w:t xml:space="preserve"> </w:t>
      </w:r>
      <w:r w:rsidR="005D0B96">
        <w:t xml:space="preserve">examine three hypotheses that we identified </w:t>
      </w:r>
      <w:r w:rsidR="00C53F3E">
        <w:t>from previous literature discussing (at a conceptual level) merger simulations in th</w:t>
      </w:r>
      <w:r w:rsidR="00A6415C">
        <w:t xml:space="preserve">e EU. First, </w:t>
      </w:r>
      <w:r w:rsidR="0088517F">
        <w:t xml:space="preserve">we test whether speculations on whether some simulations </w:t>
      </w:r>
      <w:r w:rsidR="00C56653">
        <w:t>models</w:t>
      </w:r>
      <w:r w:rsidR="0088517F">
        <w:t xml:space="preserve"> are more</w:t>
      </w:r>
      <w:r w:rsidR="00C56653">
        <w:t xml:space="preserve"> or </w:t>
      </w:r>
      <w:r w:rsidR="0088517F">
        <w:t xml:space="preserve">less likely to predict a </w:t>
      </w:r>
      <w:r w:rsidR="00C56653">
        <w:t xml:space="preserve">large </w:t>
      </w:r>
      <w:r w:rsidR="0088517F">
        <w:t>price increase</w:t>
      </w:r>
      <w:r w:rsidR="00A6415C">
        <w:t xml:space="preserve">. </w:t>
      </w:r>
      <w:r w:rsidR="003B3D6F">
        <w:t xml:space="preserve">Second, we test whether </w:t>
      </w:r>
      <w:r w:rsidR="00065AB6">
        <w:t xml:space="preserve">simulation outcomes depend on whether </w:t>
      </w:r>
      <w:r w:rsidR="00C56653">
        <w:t>the model was</w:t>
      </w:r>
      <w:r w:rsidR="00065AB6">
        <w:t xml:space="preserve"> prepared by the Commission or the merging parties</w:t>
      </w:r>
      <w:r w:rsidR="003B3D6F">
        <w:t xml:space="preserve">. Third, </w:t>
      </w:r>
      <w:r w:rsidR="00FC3918">
        <w:t xml:space="preserve">noting that a disproportionately large share of merger simulations were done in merger cases in the </w:t>
      </w:r>
      <w:r w:rsidR="0067724F">
        <w:t>telecoms</w:t>
      </w:r>
      <w:r w:rsidR="00FC3918">
        <w:t xml:space="preserve"> industry</w:t>
      </w:r>
      <w:r w:rsidR="00124147">
        <w:t xml:space="preserve"> (</w:t>
      </w:r>
      <w:r w:rsidR="0067566B">
        <w:t>six</w:t>
      </w:r>
      <w:r w:rsidR="00124147">
        <w:t xml:space="preserve"> out of the last </w:t>
      </w:r>
      <w:r w:rsidR="0067566B">
        <w:t>nine</w:t>
      </w:r>
      <w:r w:rsidR="00124147">
        <w:t xml:space="preserve"> simulations)</w:t>
      </w:r>
      <w:r w:rsidR="00FC3918">
        <w:t xml:space="preserve">, </w:t>
      </w:r>
      <w:r w:rsidR="003B3D6F">
        <w:t>we look at whether</w:t>
      </w:r>
      <w:r w:rsidR="00065AB6">
        <w:t xml:space="preserve"> </w:t>
      </w:r>
      <w:r w:rsidR="0067724F">
        <w:t xml:space="preserve">the </w:t>
      </w:r>
      <w:r w:rsidR="00065AB6">
        <w:t xml:space="preserve">companies in </w:t>
      </w:r>
      <w:r w:rsidR="0067724F">
        <w:t xml:space="preserve">this </w:t>
      </w:r>
      <w:r w:rsidR="00065AB6">
        <w:t>industry received ‘unfair’ treatment from the Commission</w:t>
      </w:r>
      <w:r w:rsidR="003B3D6F">
        <w:t>.</w:t>
      </w:r>
    </w:p>
    <w:p w14:paraId="1D8293A0" w14:textId="6A9DCCC4" w:rsidR="00DA3C24" w:rsidRDefault="004E173F" w:rsidP="00065AB6">
      <w:r w:rsidRPr="004E173F">
        <w:t>One of the main objectives of our paper is to re-</w:t>
      </w:r>
      <w:r w:rsidR="00B11B77">
        <w:t>direct attention to</w:t>
      </w:r>
      <w:r w:rsidRPr="004E173F">
        <w:t xml:space="preserve"> merger simulations as a</w:t>
      </w:r>
      <w:r>
        <w:t>n important</w:t>
      </w:r>
      <w:r w:rsidRPr="004E173F">
        <w:t xml:space="preserve"> part of the </w:t>
      </w:r>
      <w:r>
        <w:t>merger control toolkit</w:t>
      </w:r>
      <w:r w:rsidRPr="004E173F">
        <w:t xml:space="preserve">. This is particularly </w:t>
      </w:r>
      <w:r w:rsidR="002979DF">
        <w:t>timely</w:t>
      </w:r>
      <w:r w:rsidRPr="004E173F">
        <w:t xml:space="preserve"> </w:t>
      </w:r>
      <w:r w:rsidR="00E4472D">
        <w:t>as the</w:t>
      </w:r>
      <w:r w:rsidR="00204200">
        <w:t xml:space="preserve"> European Commission’s</w:t>
      </w:r>
      <w:r w:rsidR="00E4472D">
        <w:t xml:space="preserve"> </w:t>
      </w:r>
      <w:r w:rsidR="00D02F81">
        <w:t xml:space="preserve">new </w:t>
      </w:r>
      <w:r w:rsidR="00204200">
        <w:t xml:space="preserve">draft </w:t>
      </w:r>
      <w:r w:rsidR="00D02F81">
        <w:t xml:space="preserve">Merger Guidelines </w:t>
      </w:r>
      <w:r w:rsidR="00204200">
        <w:t xml:space="preserve">repeatedly refer to merger simulations as </w:t>
      </w:r>
      <w:r w:rsidR="006866AE">
        <w:t>one of the</w:t>
      </w:r>
      <w:r w:rsidR="00204200">
        <w:t xml:space="preserve"> tool</w:t>
      </w:r>
      <w:r w:rsidR="006866AE">
        <w:t>s</w:t>
      </w:r>
      <w:r w:rsidR="009B2830" w:rsidRPr="009B2830">
        <w:t xml:space="preserve"> </w:t>
      </w:r>
      <w:r w:rsidR="009B2830">
        <w:t xml:space="preserve">to quantify the loss of head-to-head competition </w:t>
      </w:r>
      <w:r w:rsidR="00204200">
        <w:t xml:space="preserve">, especially in the context of </w:t>
      </w:r>
      <w:r w:rsidR="00622630">
        <w:t>balancing the benefits and harms of proposed mergers.</w:t>
      </w:r>
      <w:r w:rsidR="007A55F4">
        <w:rPr>
          <w:rStyle w:val="FootnoteReference"/>
        </w:rPr>
        <w:footnoteReference w:id="3"/>
      </w:r>
      <w:r w:rsidR="00622630">
        <w:t xml:space="preserve"> </w:t>
      </w:r>
      <w:r w:rsidR="00683B36">
        <w:t xml:space="preserve">Moreover, simulations </w:t>
      </w:r>
      <w:r w:rsidR="006C2864">
        <w:t xml:space="preserve">deserve more attention </w:t>
      </w:r>
      <w:r w:rsidRPr="004E173F">
        <w:t xml:space="preserve">given the emergence of new and evolving markets where traditional tools may be less well suited, and where simulations can help capture richer demand and competitive dynamics. Recent </w:t>
      </w:r>
      <w:r w:rsidR="007F43B5">
        <w:t xml:space="preserve">merger </w:t>
      </w:r>
      <w:r w:rsidRPr="004E173F">
        <w:t xml:space="preserve">cases also show a shift towards more dynamic </w:t>
      </w:r>
      <w:r w:rsidRPr="004E173F">
        <w:lastRenderedPageBreak/>
        <w:t>theories of harm and more complex modelling challenges, suggesting a renewed and potentially expanded role for simulation-based evidence.</w:t>
      </w:r>
      <w:r w:rsidR="007F43B5">
        <w:t xml:space="preserve"> </w:t>
      </w:r>
      <w:r w:rsidR="007F43B5" w:rsidRPr="004E173F">
        <w:t>At the same time, we recognise that simulations are not a standalone tool and should be complemented by pricing pressure methods within the broader toolkit of predictive approaches used in merger assessment.</w:t>
      </w:r>
    </w:p>
    <w:p w14:paraId="3B7DB040" w14:textId="03142F27" w:rsidR="00810E1C" w:rsidRDefault="007143C4" w:rsidP="00CB2D47">
      <w:r>
        <w:t xml:space="preserve">The </w:t>
      </w:r>
      <w:r w:rsidR="00DB41C9" w:rsidRPr="00DB41C9">
        <w:t>remainder</w:t>
      </w:r>
      <w:r>
        <w:t xml:space="preserve"> of the paper is structured as follows. </w:t>
      </w:r>
      <w:r w:rsidR="00466380">
        <w:t>Section 2 contains</w:t>
      </w:r>
      <w:r w:rsidR="008D06C5">
        <w:t xml:space="preserve"> a brief overview of </w:t>
      </w:r>
      <w:r w:rsidR="005E3798">
        <w:t xml:space="preserve">the </w:t>
      </w:r>
      <w:r w:rsidR="008D06C5">
        <w:t xml:space="preserve">merger simulation </w:t>
      </w:r>
      <w:r w:rsidR="00DB41C9" w:rsidRPr="00DB41C9">
        <w:t>methodology</w:t>
      </w:r>
      <w:r w:rsidR="00887318">
        <w:t xml:space="preserve">. </w:t>
      </w:r>
      <w:r w:rsidR="00A87897">
        <w:t xml:space="preserve">Section 3 </w:t>
      </w:r>
      <w:r w:rsidR="006A211F">
        <w:t>describes our data</w:t>
      </w:r>
      <w:r w:rsidR="0058082D">
        <w:t xml:space="preserve"> </w:t>
      </w:r>
      <w:r w:rsidR="006A211F">
        <w:t>set of merger simulation</w:t>
      </w:r>
      <w:r w:rsidR="005E3798">
        <w:t>s</w:t>
      </w:r>
      <w:r w:rsidR="006A211F">
        <w:t xml:space="preserve">. Section 4 </w:t>
      </w:r>
      <w:r w:rsidR="00A87897">
        <w:t xml:space="preserve">then contains our </w:t>
      </w:r>
      <w:r w:rsidR="00887318">
        <w:t xml:space="preserve">qualitative review of </w:t>
      </w:r>
      <w:r w:rsidR="00DB41C9" w:rsidRPr="00DB41C9">
        <w:t>simulation practices</w:t>
      </w:r>
      <w:r w:rsidR="00887318">
        <w:t xml:space="preserve"> in </w:t>
      </w:r>
      <w:r w:rsidR="00C76A43">
        <w:t xml:space="preserve">Commission </w:t>
      </w:r>
      <w:r w:rsidR="00DB41C9" w:rsidRPr="00DB41C9">
        <w:t>decisions.</w:t>
      </w:r>
      <w:r w:rsidR="00FE2BA7">
        <w:t xml:space="preserve"> </w:t>
      </w:r>
      <w:r w:rsidR="008D4898">
        <w:t xml:space="preserve">Section </w:t>
      </w:r>
      <w:r w:rsidR="006A211F">
        <w:t>5 introduces the hypotheses we explore with the data,</w:t>
      </w:r>
      <w:r w:rsidR="00FE2BA7">
        <w:t xml:space="preserve"> </w:t>
      </w:r>
      <w:r w:rsidR="006A211F">
        <w:t xml:space="preserve">and Section 6 </w:t>
      </w:r>
      <w:r w:rsidR="00DB41C9" w:rsidRPr="00DB41C9">
        <w:t>present our quantitative findings</w:t>
      </w:r>
      <w:r w:rsidR="006A211F">
        <w:t>. T</w:t>
      </w:r>
      <w:r w:rsidR="008D4898">
        <w:t xml:space="preserve">he paper </w:t>
      </w:r>
      <w:r w:rsidR="00DB41C9" w:rsidRPr="00DB41C9">
        <w:t>conclude</w:t>
      </w:r>
      <w:r w:rsidR="008D4898">
        <w:t xml:space="preserve">s in Section </w:t>
      </w:r>
      <w:r w:rsidR="006A211F">
        <w:t>7</w:t>
      </w:r>
      <w:r w:rsidR="00DB41C9" w:rsidRPr="00DB41C9">
        <w:t xml:space="preserve"> with a discussion of their implications.</w:t>
      </w:r>
    </w:p>
    <w:p w14:paraId="436AE4FB" w14:textId="00EFCD64" w:rsidR="00367B3E" w:rsidRDefault="004D3B38" w:rsidP="004D3B38">
      <w:pPr>
        <w:pStyle w:val="Heading1"/>
      </w:pPr>
      <w:r>
        <w:t>Merger simulations</w:t>
      </w:r>
    </w:p>
    <w:p w14:paraId="00FD4AFE" w14:textId="556966EB" w:rsidR="00135E68" w:rsidRDefault="0091255B" w:rsidP="00135E68">
      <w:r>
        <w:t>Merger simulations</w:t>
      </w:r>
      <w:r w:rsidR="00135E68">
        <w:t xml:space="preserve"> </w:t>
      </w:r>
      <w:r w:rsidR="00895B28" w:rsidRPr="00895B28">
        <w:t>are quantitative analyses used to predict the potential effects of a proposed merger on market outcomes, such as prices, quantities, and consumer welfare</w:t>
      </w:r>
      <w:r w:rsidR="00135E68">
        <w:t xml:space="preserve">. </w:t>
      </w:r>
      <w:r w:rsidR="006F3E55">
        <w:t>Based on estimated or available data on</w:t>
      </w:r>
      <w:r w:rsidR="00135E68">
        <w:t xml:space="preserve"> key features of the market</w:t>
      </w:r>
      <w:r w:rsidR="001B49DF">
        <w:t>,</w:t>
      </w:r>
      <w:r w:rsidR="006F3E55">
        <w:t xml:space="preserve"> they</w:t>
      </w:r>
      <w:r w:rsidR="008A53AE">
        <w:t xml:space="preserve"> </w:t>
      </w:r>
      <w:r w:rsidR="00135E68">
        <w:t xml:space="preserve">compare the market as it is, </w:t>
      </w:r>
      <w:r w:rsidR="00212938">
        <w:t>with</w:t>
      </w:r>
      <w:r w:rsidR="00135E68">
        <w:t xml:space="preserve"> </w:t>
      </w:r>
      <w:r w:rsidR="001B49DF">
        <w:t xml:space="preserve">a simulation of </w:t>
      </w:r>
      <w:r w:rsidR="00135E68">
        <w:t xml:space="preserve">how the market would be in various counterfactual scenarios. </w:t>
      </w:r>
      <w:r w:rsidR="008A53AE">
        <w:t>For example, b</w:t>
      </w:r>
      <w:r w:rsidR="00135E68">
        <w:t xml:space="preserve">y comparing outcomes in a market with and without the merger, </w:t>
      </w:r>
      <w:r w:rsidR="008A53AE">
        <w:t>one</w:t>
      </w:r>
      <w:r w:rsidR="00135E68">
        <w:t xml:space="preserve"> can </w:t>
      </w:r>
      <w:r w:rsidR="00A85E48">
        <w:t xml:space="preserve">evaluate whether said </w:t>
      </w:r>
      <w:r w:rsidR="00135E68">
        <w:t xml:space="preserve">merger is likely to be anticompetitive or not. </w:t>
      </w:r>
    </w:p>
    <w:p w14:paraId="6C6705EE" w14:textId="479E3B3C" w:rsidR="007A352B" w:rsidRDefault="00F14C2F" w:rsidP="00177FC2">
      <w:r>
        <w:t xml:space="preserve">Merger simulations </w:t>
      </w:r>
      <w:r w:rsidR="00135E68">
        <w:t xml:space="preserve">provide </w:t>
      </w:r>
      <w:r w:rsidR="00742A90">
        <w:t>a number of</w:t>
      </w:r>
      <w:r w:rsidR="00135E68">
        <w:t xml:space="preserve"> advantages over other so-called ‘price</w:t>
      </w:r>
      <w:r>
        <w:t>-</w:t>
      </w:r>
      <w:r w:rsidR="00135E68">
        <w:t xml:space="preserve">pressure’ techniques – such as ‘upward pricing pressure’ (UPP) and </w:t>
      </w:r>
      <w:r>
        <w:t xml:space="preserve">the </w:t>
      </w:r>
      <w:r w:rsidR="00135E68">
        <w:t xml:space="preserve">gross upward pricing pressure index (GUPPI). First, </w:t>
      </w:r>
      <w:r w:rsidR="005C7604">
        <w:t xml:space="preserve">in a simulation setting, one can </w:t>
      </w:r>
      <w:r w:rsidR="00135E68">
        <w:t>cal</w:t>
      </w:r>
      <w:r w:rsidR="005C7604">
        <w:t>ibrate</w:t>
      </w:r>
      <w:r w:rsidR="00135E68">
        <w:t xml:space="preserve"> the likely change in price and quantities for all firms in the market, not just for the merging </w:t>
      </w:r>
      <w:r w:rsidR="0028423F">
        <w:t>parties</w:t>
      </w:r>
      <w:r w:rsidR="00135E68">
        <w:t xml:space="preserve">. Second, </w:t>
      </w:r>
      <w:r w:rsidR="00133A83">
        <w:t xml:space="preserve">they </w:t>
      </w:r>
      <w:r w:rsidR="00135E68">
        <w:t xml:space="preserve">account for various competitive responses and feedback effects between the merging parties and their competitors. Together, therefore, the simulation provides a more complete assessment of the impact that the merger may have on consumers. </w:t>
      </w:r>
    </w:p>
    <w:p w14:paraId="1A4A7375" w14:textId="1C533BEC" w:rsidR="00177FC2" w:rsidRDefault="004834B4" w:rsidP="00177FC2">
      <w:r>
        <w:t xml:space="preserve">Furthermore, the formal framework of simulations means that the assumptions </w:t>
      </w:r>
      <w:r w:rsidR="00DC349B">
        <w:t xml:space="preserve">behind </w:t>
      </w:r>
      <w:r w:rsidR="00894E99">
        <w:t xml:space="preserve">the </w:t>
      </w:r>
      <w:r>
        <w:t xml:space="preserve">price </w:t>
      </w:r>
      <w:r w:rsidR="002033CB">
        <w:t xml:space="preserve">change </w:t>
      </w:r>
      <w:r>
        <w:t>prediction</w:t>
      </w:r>
      <w:r w:rsidR="00894E99">
        <w:t>s</w:t>
      </w:r>
      <w:r>
        <w:t xml:space="preserve"> have to be made explicit</w:t>
      </w:r>
      <w:r w:rsidR="009E6A92">
        <w:t>, and</w:t>
      </w:r>
      <w:r>
        <w:t xml:space="preserve"> relying on calculations compared to intuition adds accuracy and better related predictions of economic theory. </w:t>
      </w:r>
      <w:r w:rsidR="000069A9">
        <w:t xml:space="preserve">Moreover, merger simulations </w:t>
      </w:r>
      <w:r w:rsidR="009E6A92">
        <w:t>can</w:t>
      </w:r>
      <w:r w:rsidR="000069A9">
        <w:t xml:space="preserve"> more accurately capture substitution </w:t>
      </w:r>
      <w:r w:rsidR="0032519C">
        <w:t xml:space="preserve">patterns </w:t>
      </w:r>
      <w:r w:rsidR="000069A9">
        <w:t xml:space="preserve">between products. </w:t>
      </w:r>
      <w:r w:rsidR="00635C55">
        <w:t xml:space="preserve">Finally, merger simulations can be very useful for both the competition authority and the merging </w:t>
      </w:r>
      <w:r w:rsidR="0028423F">
        <w:t xml:space="preserve">parties </w:t>
      </w:r>
      <w:r w:rsidR="00635C55">
        <w:t>when determining which divestment</w:t>
      </w:r>
      <w:r w:rsidR="001303F8">
        <w:t xml:space="preserve"> remedie</w:t>
      </w:r>
      <w:r w:rsidR="00635C55">
        <w:t>s would be the most appropriate</w:t>
      </w:r>
      <w:r w:rsidR="009127C8">
        <w:t xml:space="preserve"> (</w:t>
      </w:r>
      <w:r w:rsidR="00635C55">
        <w:t>if required</w:t>
      </w:r>
      <w:r w:rsidR="009127C8">
        <w:t>)</w:t>
      </w:r>
      <w:r w:rsidR="00B74B56">
        <w:t xml:space="preserve">, as they can be used to </w:t>
      </w:r>
      <w:r w:rsidR="00635C55">
        <w:t xml:space="preserve">test the price and volume impacts of the merger for any redistribution of assets (brands, products or even geographic areas) between competitors. </w:t>
      </w:r>
    </w:p>
    <w:p w14:paraId="51047B66" w14:textId="119860A4" w:rsidR="004834B4" w:rsidRDefault="00135E68" w:rsidP="004834B4">
      <w:r>
        <w:t xml:space="preserve">The main disadvantage </w:t>
      </w:r>
      <w:r w:rsidR="00133A83">
        <w:t xml:space="preserve">of merger simulations </w:t>
      </w:r>
      <w:r>
        <w:t xml:space="preserve">is that they can be difficult to apply well – their sophistication often comes at the cost of </w:t>
      </w:r>
      <w:r w:rsidR="002967AD">
        <w:t xml:space="preserve">additional data requirements, </w:t>
      </w:r>
      <w:r>
        <w:t xml:space="preserve">more complex decisions </w:t>
      </w:r>
      <w:r w:rsidR="00F768CD">
        <w:t xml:space="preserve">(assumptions) </w:t>
      </w:r>
      <w:r>
        <w:t>about how to represent competition in the real world</w:t>
      </w:r>
      <w:r w:rsidR="00930DD9">
        <w:t>, and more time needed for the analysis</w:t>
      </w:r>
      <w:r>
        <w:t>.</w:t>
      </w:r>
      <w:r w:rsidR="009B44F9">
        <w:t xml:space="preserve"> Moreover, </w:t>
      </w:r>
      <w:r w:rsidR="000B45FE">
        <w:t xml:space="preserve">as is always the case, </w:t>
      </w:r>
      <w:r w:rsidR="004834B4">
        <w:t xml:space="preserve">all estimations have to be judged in light of the assumptions made. Because the estimated price effects are sensitive to the functional forms of demand (and costs), this sensitivity limits the power of the analysis. </w:t>
      </w:r>
      <w:r w:rsidR="00720330">
        <w:t xml:space="preserve">Finally, </w:t>
      </w:r>
      <w:r w:rsidR="00192AAB">
        <w:t xml:space="preserve">a ‘standard’ </w:t>
      </w:r>
      <w:r w:rsidR="004834B4">
        <w:t>merger simulation only predicts the short-term price effects of a merger without considering the impact of future entry, product repositioning</w:t>
      </w:r>
      <w:r w:rsidR="00FF0A4C">
        <w:t xml:space="preserve"> (i.e., a company shifting its product or service’s features or position within the market)</w:t>
      </w:r>
      <w:r w:rsidR="004834B4">
        <w:t xml:space="preserve"> and other structural changes.</w:t>
      </w:r>
      <w:r w:rsidR="001E078B">
        <w:rPr>
          <w:rStyle w:val="FootnoteReference"/>
        </w:rPr>
        <w:footnoteReference w:id="4"/>
      </w:r>
    </w:p>
    <w:p w14:paraId="37C87BD4" w14:textId="57A5337D" w:rsidR="00626019" w:rsidRDefault="00626019" w:rsidP="00626019">
      <w:r>
        <w:lastRenderedPageBreak/>
        <w:t xml:space="preserve">There is an increasing literature that </w:t>
      </w:r>
      <w:r w:rsidR="00E36FE0">
        <w:t>looks at</w:t>
      </w:r>
      <w:r>
        <w:t xml:space="preserve"> how well merger simulations can predict post-merger price changes. Some of these provide evidence of simulations that accurately predict price changes, for example, Nevo (2000) looking at two mergers in the ready-to-eat cereal industry in the US, Pinske </w:t>
      </w:r>
      <w:r w:rsidR="007469CF">
        <w:t>and</w:t>
      </w:r>
      <w:r>
        <w:t xml:space="preserve"> Slade (2004) looking at two mergers in the UK brewing industry, Friberg </w:t>
      </w:r>
      <w:r w:rsidR="007469CF">
        <w:t>and</w:t>
      </w:r>
      <w:r>
        <w:t xml:space="preserve"> Romahn (2015) on a merger in the Swedish beer market, </w:t>
      </w:r>
      <w:r w:rsidR="00501489">
        <w:t xml:space="preserve">and </w:t>
      </w:r>
      <w:proofErr w:type="spellStart"/>
      <w:r>
        <w:t>Björnerstedt</w:t>
      </w:r>
      <w:proofErr w:type="spellEnd"/>
      <w:r>
        <w:t xml:space="preserve"> </w:t>
      </w:r>
      <w:r w:rsidR="007469CF">
        <w:t>and</w:t>
      </w:r>
      <w:r>
        <w:t xml:space="preserve"> </w:t>
      </w:r>
      <w:proofErr w:type="spellStart"/>
      <w:r>
        <w:t>Verboven</w:t>
      </w:r>
      <w:proofErr w:type="spellEnd"/>
      <w:r>
        <w:t xml:space="preserve"> (2016) for a merger in the market for painkillers in 2016. </w:t>
      </w:r>
      <w:r w:rsidR="00175E22">
        <w:t xml:space="preserve">Garmon (2017) compares how accurate various screening methods for anticompetitive hospital mergers (traditional methods such as HHI, price pressure methods such as UPP, and calibrated merger simulation) are, finding that UPP performed better than the traditional method </w:t>
      </w:r>
      <w:r w:rsidR="000F2F78">
        <w:t>and even better than</w:t>
      </w:r>
      <w:r w:rsidR="00175E22">
        <w:t xml:space="preserve"> merger simulation</w:t>
      </w:r>
      <w:r w:rsidR="000F2F78">
        <w:t>s</w:t>
      </w:r>
      <w:r w:rsidR="00175E22">
        <w:t xml:space="preserve">, but acknowledging that data limitations could be the reason for the latter result. </w:t>
      </w:r>
      <w:r>
        <w:t xml:space="preserve">Balan and Brand (2023) </w:t>
      </w:r>
      <w:r w:rsidR="00333BEC">
        <w:t xml:space="preserve">find </w:t>
      </w:r>
      <w:r>
        <w:t>that merger simulations used in hospital mergers in the US perform</w:t>
      </w:r>
      <w:r w:rsidR="00333BEC">
        <w:t>ed</w:t>
      </w:r>
      <w:r>
        <w:t xml:space="preserve"> well on simulated data.</w:t>
      </w:r>
    </w:p>
    <w:p w14:paraId="21434F95" w14:textId="32FEAE49" w:rsidR="00626019" w:rsidRDefault="00626019" w:rsidP="00626019">
      <w:r>
        <w:t xml:space="preserve">Other papers have been less positive about the accuracy of simulations. Looking at the US airline industry, Peters (2006) </w:t>
      </w:r>
      <w:r w:rsidR="00D14F6D">
        <w:t xml:space="preserve">finds </w:t>
      </w:r>
      <w:r>
        <w:t xml:space="preserve">that a simulation based on a variant of a nested logit demand model, was only modestly able to accurately predict post-merger prices. </w:t>
      </w:r>
      <w:r w:rsidR="0099487F">
        <w:t>In addition</w:t>
      </w:r>
      <w:r w:rsidR="001204EB">
        <w:t xml:space="preserve">, </w:t>
      </w:r>
      <w:r>
        <w:t xml:space="preserve">Weinberg </w:t>
      </w:r>
      <w:r w:rsidR="006933A5">
        <w:t>and</w:t>
      </w:r>
      <w:r>
        <w:t xml:space="preserve"> Hosken (20</w:t>
      </w:r>
      <w:r w:rsidR="00E12930">
        <w:t>13</w:t>
      </w:r>
      <w:r>
        <w:t xml:space="preserve">) analyse two mergers in the motor oil and breakfast syrup industries, and </w:t>
      </w:r>
      <w:r w:rsidR="00D14F6D">
        <w:t xml:space="preserve">find </w:t>
      </w:r>
      <w:r>
        <w:t xml:space="preserve">that their simulations based on a range of demand models predicted small price effects in the former industry and large price effects in the latter, though in reality prices rose considerably more in the former compared to the latter. </w:t>
      </w:r>
      <w:r w:rsidR="00E436F7">
        <w:t xml:space="preserve">Weinberg (2011) </w:t>
      </w:r>
      <w:r w:rsidR="00516152">
        <w:t>is</w:t>
      </w:r>
      <w:r w:rsidR="00E436F7">
        <w:t xml:space="preserve"> sim</w:t>
      </w:r>
      <w:r w:rsidR="002E75BA">
        <w:t xml:space="preserve">ilarly scathing of the accuracy of simulation predictions. </w:t>
      </w:r>
      <w:r w:rsidR="000D2874">
        <w:t xml:space="preserve">Finally, in </w:t>
      </w:r>
      <w:r w:rsidR="009744B4">
        <w:t xml:space="preserve">ongoing work, </w:t>
      </w:r>
      <w:r w:rsidR="008F3060">
        <w:t xml:space="preserve">Illanes et al. (2024) look at 37 US mergers and </w:t>
      </w:r>
      <w:r w:rsidR="000844B0">
        <w:t>find that</w:t>
      </w:r>
      <w:r w:rsidR="008F3060">
        <w:t xml:space="preserve"> simulations</w:t>
      </w:r>
      <w:r w:rsidR="000844B0">
        <w:t xml:space="preserve"> have very limited predictive power</w:t>
      </w:r>
      <w:r w:rsidR="00516152">
        <w:t>, although t</w:t>
      </w:r>
      <w:r w:rsidR="000844B0">
        <w:t>he authors emphasise that these results are preliminary</w:t>
      </w:r>
      <w:r w:rsidR="00516152">
        <w:t>.</w:t>
      </w:r>
    </w:p>
    <w:p w14:paraId="1603D05A" w14:textId="0FE8A8DB" w:rsidR="00B34E9F" w:rsidRDefault="00B36769" w:rsidP="00135E68">
      <w:r>
        <w:t>Looking at the technique in more detail, m</w:t>
      </w:r>
      <w:r w:rsidR="007915FD">
        <w:t xml:space="preserve">erger simulations </w:t>
      </w:r>
      <w:r w:rsidR="00135E68">
        <w:t>combin</w:t>
      </w:r>
      <w:r w:rsidR="000941FB">
        <w:t>e</w:t>
      </w:r>
      <w:r w:rsidR="00135E68">
        <w:t xml:space="preserve"> a model of demand with a model of supply. </w:t>
      </w:r>
      <w:r w:rsidR="00B05CDD">
        <w:t>Parameters of th</w:t>
      </w:r>
      <w:r w:rsidR="00135E68">
        <w:t xml:space="preserve">e two </w:t>
      </w:r>
      <w:r w:rsidR="00B05CDD">
        <w:t>sides of the market</w:t>
      </w:r>
      <w:r w:rsidR="00135E68">
        <w:t xml:space="preserve"> are calibrated using existing information and data on the market</w:t>
      </w:r>
      <w:r w:rsidR="009B3162">
        <w:t xml:space="preserve">, or estimated using various econometric methods. </w:t>
      </w:r>
      <w:r w:rsidR="002A11A3">
        <w:t>The former approach</w:t>
      </w:r>
      <w:r w:rsidR="00635999">
        <w:t xml:space="preserve"> (</w:t>
      </w:r>
      <w:r w:rsidR="00160847">
        <w:t xml:space="preserve">we use the shorthand </w:t>
      </w:r>
      <w:r w:rsidR="00665A2D">
        <w:t>‘</w:t>
      </w:r>
      <w:r w:rsidR="00635999" w:rsidRPr="00635999">
        <w:rPr>
          <w:b/>
          <w:bCs/>
        </w:rPr>
        <w:t>calibrated merger simulation</w:t>
      </w:r>
      <w:r w:rsidR="00665A2D">
        <w:t>’</w:t>
      </w:r>
      <w:r w:rsidR="00635999">
        <w:t>)</w:t>
      </w:r>
      <w:r w:rsidR="002A11A3">
        <w:t xml:space="preserve"> </w:t>
      </w:r>
      <w:r w:rsidR="007B003F">
        <w:t>is less data</w:t>
      </w:r>
      <w:r w:rsidR="00445ED7">
        <w:t>-</w:t>
      </w:r>
      <w:r w:rsidR="007B003F">
        <w:t xml:space="preserve"> and </w:t>
      </w:r>
      <w:r w:rsidR="00445ED7">
        <w:t>time-</w:t>
      </w:r>
      <w:r w:rsidR="007B003F">
        <w:t>intensive. Instead of estimating</w:t>
      </w:r>
      <w:r w:rsidR="007B003F" w:rsidDel="00153718">
        <w:t xml:space="preserve"> </w:t>
      </w:r>
      <w:r w:rsidR="007B003F">
        <w:t>parameters, these parameters are calibrated using the predicted structural relationships between observed variables.</w:t>
      </w:r>
      <w:r w:rsidR="00F652E4">
        <w:t xml:space="preserve"> </w:t>
      </w:r>
    </w:p>
    <w:p w14:paraId="0A007C74" w14:textId="1301BDC6" w:rsidR="007B003F" w:rsidRDefault="00F652E4" w:rsidP="00135E68">
      <w:r>
        <w:t xml:space="preserve">Where data and </w:t>
      </w:r>
      <w:r w:rsidR="00F679EC">
        <w:t xml:space="preserve">resources allow, the </w:t>
      </w:r>
      <w:r w:rsidR="00BB7B8F">
        <w:t xml:space="preserve">supply and </w:t>
      </w:r>
      <w:r w:rsidR="00F679EC">
        <w:t xml:space="preserve">demand parameters can be estimated </w:t>
      </w:r>
      <w:r w:rsidR="007061A3">
        <w:t>(</w:t>
      </w:r>
      <w:r w:rsidR="00665A2D">
        <w:t>‘</w:t>
      </w:r>
      <w:r w:rsidR="007061A3" w:rsidRPr="007061A3">
        <w:rPr>
          <w:b/>
          <w:bCs/>
        </w:rPr>
        <w:t>econometric merger simulation</w:t>
      </w:r>
      <w:r w:rsidR="00665A2D">
        <w:t>’</w:t>
      </w:r>
      <w:r w:rsidR="007061A3">
        <w:t>).</w:t>
      </w:r>
      <w:r w:rsidR="00B34E9F">
        <w:t xml:space="preserve"> </w:t>
      </w:r>
      <w:r w:rsidR="00153718">
        <w:t>For example, s</w:t>
      </w:r>
      <w:r w:rsidR="00B34E9F">
        <w:t>uch econometric estimation of the demand parameters, based on rich, granular data can – if implemented correctly –</w:t>
      </w:r>
      <w:r w:rsidR="008349C7">
        <w:t xml:space="preserve"> </w:t>
      </w:r>
      <w:r w:rsidR="00B34E9F">
        <w:t xml:space="preserve">capture consumers’ preferences between the products sold within a given industry that could be much more informative than documentary evidence – particularly in complex mergers involving many products where it may be difficult to otherwise disentangle the effects they have on each other – or case precedents (which could either be outdated or incorrect in the first place). This can </w:t>
      </w:r>
      <w:r w:rsidR="00236086">
        <w:t xml:space="preserve">even </w:t>
      </w:r>
      <w:r w:rsidR="00B34E9F">
        <w:t>help</w:t>
      </w:r>
      <w:r w:rsidR="00CC2563">
        <w:t xml:space="preserve"> at the </w:t>
      </w:r>
      <w:r w:rsidR="00236086">
        <w:t xml:space="preserve">earlier </w:t>
      </w:r>
      <w:r w:rsidR="00CC2563">
        <w:t>market definition stage</w:t>
      </w:r>
      <w:r w:rsidR="00EE1AE0">
        <w:t>,</w:t>
      </w:r>
      <w:r w:rsidR="00B34E9F">
        <w:t xml:space="preserve"> even if one does not </w:t>
      </w:r>
      <w:r w:rsidR="00EE1AE0">
        <w:t xml:space="preserve">proceed to </w:t>
      </w:r>
      <w:r w:rsidR="00B34E9F">
        <w:t>actually running a</w:t>
      </w:r>
      <w:r w:rsidR="004854A3">
        <w:t xml:space="preserve"> full</w:t>
      </w:r>
      <w:r w:rsidR="53BB9DD3">
        <w:t>y</w:t>
      </w:r>
      <w:r w:rsidR="004854A3">
        <w:t>-fledged</w:t>
      </w:r>
      <w:r w:rsidR="00B34E9F">
        <w:t xml:space="preserve"> </w:t>
      </w:r>
      <w:r w:rsidR="00EE1AE0">
        <w:t>merger simulation.</w:t>
      </w:r>
      <w:r w:rsidR="001A48FC">
        <w:rPr>
          <w:rStyle w:val="FootnoteReference"/>
        </w:rPr>
        <w:footnoteReference w:id="5"/>
      </w:r>
      <w:r w:rsidR="00EE1AE0">
        <w:t xml:space="preserve"> Moreover, merger simulations</w:t>
      </w:r>
      <w:r w:rsidR="00B34E9F">
        <w:t xml:space="preserve"> do not require the market to be defined in the first place – provided the demand side of the model can sufficiently capture the switching patterns between all products, the</w:t>
      </w:r>
      <w:r w:rsidR="00D475BC">
        <w:t xml:space="preserve"> merger simulation </w:t>
      </w:r>
      <w:r w:rsidR="00B34E9F">
        <w:t xml:space="preserve">can </w:t>
      </w:r>
      <w:r w:rsidR="004E02FC">
        <w:t xml:space="preserve">directly </w:t>
      </w:r>
      <w:r w:rsidR="00B34E9F">
        <w:t xml:space="preserve">predict price </w:t>
      </w:r>
      <w:r w:rsidR="00701316">
        <w:t>changes</w:t>
      </w:r>
      <w:r w:rsidR="00B34E9F">
        <w:t xml:space="preserve"> for all products.</w:t>
      </w:r>
    </w:p>
    <w:p w14:paraId="5E3D7D4B" w14:textId="4D3DE6A7" w:rsidR="00135E68" w:rsidRDefault="00693023" w:rsidP="00135E68">
      <w:r>
        <w:t xml:space="preserve">Using </w:t>
      </w:r>
      <w:r w:rsidR="007061A3">
        <w:t xml:space="preserve">calibrated or estimated </w:t>
      </w:r>
      <w:r>
        <w:t xml:space="preserve">parameters, </w:t>
      </w:r>
      <w:r w:rsidR="00135E68">
        <w:t xml:space="preserve">a market equilibrium is </w:t>
      </w:r>
      <w:r w:rsidR="009A739B">
        <w:t xml:space="preserve">then </w:t>
      </w:r>
      <w:r w:rsidR="00135E68">
        <w:t>defined</w:t>
      </w:r>
      <w:r w:rsidR="00FE5353">
        <w:t>, and</w:t>
      </w:r>
      <w:r w:rsidR="00135E68">
        <w:t xml:space="preserve"> the merger is accounted for by transferring and combining assets. Finally, the model </w:t>
      </w:r>
      <w:r>
        <w:t>predicts</w:t>
      </w:r>
      <w:r w:rsidR="00135E68">
        <w:t xml:space="preserve"> how the pricing incentives of both the merging parties and the other competitors in the market are affected by the change in assets, holding all other features of the market unchanged. It does this by calculating predicted post-merger prices and quantities either at the level of the merging </w:t>
      </w:r>
      <w:r w:rsidR="0028423F">
        <w:t>parties</w:t>
      </w:r>
      <w:r w:rsidR="00135E68">
        <w:t xml:space="preserve">, or at the level </w:t>
      </w:r>
      <w:r w:rsidR="00135E68">
        <w:lastRenderedPageBreak/>
        <w:t>of the whole market.</w:t>
      </w:r>
      <w:r w:rsidR="00467195">
        <w:t xml:space="preserve"> </w:t>
      </w:r>
      <w:r w:rsidR="00135E68">
        <w:t>If one expects the merger to generate efficiencies, these can be incorporated into the simulation as well.</w:t>
      </w:r>
    </w:p>
    <w:p w14:paraId="1AF9C4C3" w14:textId="44DA22B5" w:rsidR="00390426" w:rsidRDefault="00135E68" w:rsidP="00474A00">
      <w:r>
        <w:t xml:space="preserve">Merger simulation is not a one-size-fits-all technique. </w:t>
      </w:r>
      <w:r w:rsidR="001A48FC">
        <w:t xml:space="preserve">A </w:t>
      </w:r>
      <w:r>
        <w:t xml:space="preserve">critical issue is that one must design the model so that it provides a useful approximation of how demand and supply work in the real market. </w:t>
      </w:r>
      <w:r w:rsidR="00B72A28">
        <w:t xml:space="preserve">This requires </w:t>
      </w:r>
      <w:r w:rsidR="00815342">
        <w:t xml:space="preserve">making assumptions. </w:t>
      </w:r>
      <w:r>
        <w:t>For instance, on the supply side, one need</w:t>
      </w:r>
      <w:r w:rsidR="00F34783">
        <w:t>s</w:t>
      </w:r>
      <w:r>
        <w:t xml:space="preserve"> to </w:t>
      </w:r>
      <w:r w:rsidR="00F34783">
        <w:t xml:space="preserve">understand and approximate </w:t>
      </w:r>
      <w:r>
        <w:t xml:space="preserve">the way firms compete and supply products, which </w:t>
      </w:r>
      <w:r w:rsidR="004F4937">
        <w:t>is likely to</w:t>
      </w:r>
      <w:r>
        <w:t xml:space="preserve"> differ by industry. </w:t>
      </w:r>
      <w:r w:rsidR="00CD08ED">
        <w:t>Is</w:t>
      </w:r>
      <w:r w:rsidR="00CD3271">
        <w:t xml:space="preserve"> </w:t>
      </w:r>
      <w:r w:rsidR="009F22FD">
        <w:t xml:space="preserve">the relevant product homogeneous </w:t>
      </w:r>
      <w:r w:rsidR="00FF0A4C">
        <w:t xml:space="preserve">(i.e., largely the same across players within the market) </w:t>
      </w:r>
      <w:r w:rsidR="009F22FD">
        <w:t xml:space="preserve">or heterogeneous, </w:t>
      </w:r>
      <w:r w:rsidR="009F6759">
        <w:t>do</w:t>
      </w:r>
      <w:r w:rsidR="009F22FD">
        <w:t xml:space="preserve"> firms compete on prices, or qua</w:t>
      </w:r>
      <w:r w:rsidR="00C8508E">
        <w:t>ntity, or innovation</w:t>
      </w:r>
      <w:r w:rsidR="009F6759">
        <w:t>?</w:t>
      </w:r>
      <w:r w:rsidR="00C8508E">
        <w:t xml:space="preserve"> Similarly,</w:t>
      </w:r>
      <w:r w:rsidR="00505792">
        <w:t xml:space="preserve"> o</w:t>
      </w:r>
      <w:r>
        <w:t xml:space="preserve">n the demand side, </w:t>
      </w:r>
      <w:r w:rsidR="00505792">
        <w:t xml:space="preserve">one has to decide </w:t>
      </w:r>
      <w:r w:rsidR="00DF7990">
        <w:t xml:space="preserve">on the best approximation of consumer choices and preferences, for example, </w:t>
      </w:r>
      <w:r w:rsidR="00505792">
        <w:t>whether</w:t>
      </w:r>
      <w:r>
        <w:t xml:space="preserve"> </w:t>
      </w:r>
      <w:r w:rsidR="00E15B7C">
        <w:t>these are</w:t>
      </w:r>
      <w:r w:rsidR="00C64695">
        <w:t xml:space="preserve"> best described by </w:t>
      </w:r>
      <w:r>
        <w:t>linear demand models, discrete choice models</w:t>
      </w:r>
      <w:r w:rsidR="00FF0A4C">
        <w:t xml:space="preserve"> (i.e., where a consumer typically purchases a single item – for example, a car – from a choice of alternatives)</w:t>
      </w:r>
      <w:r>
        <w:t>, demand system estimation models</w:t>
      </w:r>
      <w:r w:rsidR="00FF0A4C">
        <w:t xml:space="preserve"> (typically estimated with econometric methods)</w:t>
      </w:r>
      <w:r>
        <w:t xml:space="preserve">, survey-based models, </w:t>
      </w:r>
      <w:r w:rsidR="00505792">
        <w:t xml:space="preserve">or </w:t>
      </w:r>
      <w:r>
        <w:t>multi-sided demand models</w:t>
      </w:r>
      <w:r w:rsidR="00FF0A4C">
        <w:t xml:space="preserve"> (relevant for e.g. tech platforms, that bring together consumers and advertisers)</w:t>
      </w:r>
      <w:r>
        <w:t xml:space="preserve">. </w:t>
      </w:r>
      <w:r w:rsidR="008D23A0">
        <w:t xml:space="preserve">The </w:t>
      </w:r>
      <w:r w:rsidR="00E1306E">
        <w:t xml:space="preserve">calibrated </w:t>
      </w:r>
      <w:r w:rsidR="008D23A0">
        <w:t xml:space="preserve">simulations we analysed in this paper typically impose linear demand, </w:t>
      </w:r>
      <w:r w:rsidR="00CE1B99">
        <w:t>which</w:t>
      </w:r>
      <w:r w:rsidR="008D23A0">
        <w:t xml:space="preserve"> permits heterogeneous substitution patterns</w:t>
      </w:r>
      <w:r w:rsidR="00CE1B99">
        <w:t xml:space="preserve">, </w:t>
      </w:r>
      <w:r w:rsidR="0037124E">
        <w:t xml:space="preserve">and </w:t>
      </w:r>
      <w:r w:rsidR="00CE1B99">
        <w:t>has the advantage that it</w:t>
      </w:r>
      <w:r w:rsidR="008D23A0">
        <w:t xml:space="preserve"> requires data only on margins and diversion ratios</w:t>
      </w:r>
      <w:r w:rsidR="00670833">
        <w:t xml:space="preserve"> (i.e. how much the demand for one product increases when another product’s price increases)</w:t>
      </w:r>
      <w:r w:rsidR="008D23A0">
        <w:t>.</w:t>
      </w:r>
      <w:r w:rsidR="00D96C62">
        <w:t xml:space="preserve"> </w:t>
      </w:r>
      <w:r w:rsidR="008101F5">
        <w:t xml:space="preserve">The applicability </w:t>
      </w:r>
      <w:r w:rsidR="003F285A">
        <w:t xml:space="preserve">of the chosen model and the credibility of the assumptions </w:t>
      </w:r>
      <w:r w:rsidR="004F53C7">
        <w:t>have</w:t>
      </w:r>
      <w:r w:rsidR="003F285A">
        <w:t xml:space="preserve"> often </w:t>
      </w:r>
      <w:r w:rsidR="004F53C7">
        <w:t xml:space="preserve">been </w:t>
      </w:r>
      <w:r w:rsidR="003F285A">
        <w:t>contested between the Commission and the merging parties</w:t>
      </w:r>
      <w:r w:rsidR="005B21F1">
        <w:t>.</w:t>
      </w:r>
      <w:r w:rsidR="005B21F1">
        <w:rPr>
          <w:rStyle w:val="FootnoteReference"/>
        </w:rPr>
        <w:footnoteReference w:id="6"/>
      </w:r>
      <w:r w:rsidR="008B54DE">
        <w:t xml:space="preserve"> We turn to a detailed discussion of these assumptions in </w:t>
      </w:r>
      <w:r w:rsidR="006A211F">
        <w:t>S</w:t>
      </w:r>
      <w:r w:rsidR="008B54DE">
        <w:t>ection</w:t>
      </w:r>
      <w:r w:rsidR="006A211F">
        <w:t xml:space="preserve"> 4</w:t>
      </w:r>
      <w:r w:rsidR="008B54DE">
        <w:t>.</w:t>
      </w:r>
    </w:p>
    <w:p w14:paraId="07DD8207" w14:textId="39566B45" w:rsidR="001344EE" w:rsidRDefault="001344EE" w:rsidP="00825348">
      <w:pPr>
        <w:pStyle w:val="Heading1"/>
      </w:pPr>
      <w:r>
        <w:t>Our data</w:t>
      </w:r>
      <w:r w:rsidR="0058082D">
        <w:t xml:space="preserve"> </w:t>
      </w:r>
      <w:r>
        <w:t>set of merger simulations</w:t>
      </w:r>
    </w:p>
    <w:p w14:paraId="57D1F3CC" w14:textId="7C57F823" w:rsidR="001344EE" w:rsidRDefault="001344EE" w:rsidP="001344EE">
      <w:r>
        <w:t>Since the first occurrence</w:t>
      </w:r>
      <w:r w:rsidDel="0030043A">
        <w:t xml:space="preserve"> </w:t>
      </w:r>
      <w:r>
        <w:t>in 20</w:t>
      </w:r>
      <w:r w:rsidR="0030043A">
        <w:t>00</w:t>
      </w:r>
      <w:r w:rsidR="00E96D98">
        <w:t xml:space="preserve"> (</w:t>
      </w:r>
      <w:r w:rsidR="00E96D98" w:rsidRPr="00D83112">
        <w:rPr>
          <w:i/>
          <w:iCs/>
        </w:rPr>
        <w:t>Volvo/Scania</w:t>
      </w:r>
      <w:r w:rsidR="00E96D98">
        <w:t>)</w:t>
      </w:r>
      <w:r>
        <w:t>, merger simulations have been used in 1</w:t>
      </w:r>
      <w:r w:rsidR="002D4273">
        <w:t>6</w:t>
      </w:r>
      <w:r>
        <w:t xml:space="preserve"> mergers assessed by the Commission</w:t>
      </w:r>
      <w:r w:rsidR="000D4C75">
        <w:t>, which are listed in Table 1.</w:t>
      </w:r>
      <w:r w:rsidR="000D4C75">
        <w:rPr>
          <w:rStyle w:val="FootnoteReference"/>
        </w:rPr>
        <w:footnoteReference w:id="7"/>
      </w:r>
      <w:r>
        <w:t xml:space="preserve"> Their use increased from 2010, peaking in 2014-2016, a period in which seven cases presented </w:t>
      </w:r>
      <w:r w:rsidR="00B63991">
        <w:t>price change</w:t>
      </w:r>
      <w:r>
        <w:t xml:space="preserve"> predictions based on some form of merger simulation method. Since then, there have only been two cases using simulations, both in 2018. </w:t>
      </w:r>
    </w:p>
    <w:p w14:paraId="2C82CE39" w14:textId="60C614B6" w:rsidR="001344EE" w:rsidRDefault="0089368F" w:rsidP="001344EE">
      <w:r w:rsidRPr="0089368F">
        <w:rPr>
          <w:noProof/>
        </w:rPr>
        <w:lastRenderedPageBreak/>
        <w:drawing>
          <wp:inline distT="0" distB="0" distL="0" distR="0" wp14:anchorId="54FFE312" wp14:editId="58B599EA">
            <wp:extent cx="5731510" cy="3219450"/>
            <wp:effectExtent l="0" t="0" r="2540" b="0"/>
            <wp:docPr id="103317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5088" name=""/>
                    <pic:cNvPicPr/>
                  </pic:nvPicPr>
                  <pic:blipFill>
                    <a:blip r:embed="rId8"/>
                    <a:stretch>
                      <a:fillRect/>
                    </a:stretch>
                  </pic:blipFill>
                  <pic:spPr>
                    <a:xfrm>
                      <a:off x="0" y="0"/>
                      <a:ext cx="5731510" cy="3219450"/>
                    </a:xfrm>
                    <a:prstGeom prst="rect">
                      <a:avLst/>
                    </a:prstGeom>
                  </pic:spPr>
                </pic:pic>
              </a:graphicData>
            </a:graphic>
          </wp:inline>
        </w:drawing>
      </w:r>
      <w:r w:rsidR="001344EE" w:rsidRPr="0084040E" w:rsidDel="00E329A5">
        <w:t xml:space="preserve"> </w:t>
      </w:r>
    </w:p>
    <w:p w14:paraId="04E474C0" w14:textId="7697A733" w:rsidR="001344EE" w:rsidRDefault="001344EE" w:rsidP="00474A00">
      <w:r>
        <w:t>Across these 1</w:t>
      </w:r>
      <w:r w:rsidR="002D4273">
        <w:t>6</w:t>
      </w:r>
      <w:r>
        <w:t xml:space="preserve"> cases, 2</w:t>
      </w:r>
      <w:r w:rsidR="002D4273">
        <w:t>2</w:t>
      </w:r>
      <w:r>
        <w:t xml:space="preserve"> different merger simulations were produced by either the Commission or a</w:t>
      </w:r>
      <w:r w:rsidR="00D21E95">
        <w:t xml:space="preserve"> small group of </w:t>
      </w:r>
      <w:r>
        <w:t>economic consultanc</w:t>
      </w:r>
      <w:r w:rsidR="00D21E95">
        <w:t>ies</w:t>
      </w:r>
      <w:r>
        <w:t xml:space="preserve"> representing the merging parties</w:t>
      </w:r>
      <w:r w:rsidR="003406E8">
        <w:t xml:space="preserve">. This concentration of simulations among the </w:t>
      </w:r>
      <w:r w:rsidR="00C76A43">
        <w:t xml:space="preserve">Commission </w:t>
      </w:r>
      <w:r w:rsidR="00551128">
        <w:t xml:space="preserve">and the largest consultancies speaks to the complexity of the task to deliver simulations in a robust and </w:t>
      </w:r>
      <w:r w:rsidR="004029F7">
        <w:t>reliable way.</w:t>
      </w:r>
      <w:r>
        <w:t xml:space="preserve"> These assessments typically include a set of baseline estimates presented in the relevant decision, and most include further estimates from various sensitivity/robustness checks. </w:t>
      </w:r>
      <w:r w:rsidR="008002E5">
        <w:t xml:space="preserve">Finally, as we will elaborate on later in the paper, most simulations were </w:t>
      </w:r>
      <w:r w:rsidR="003F7499">
        <w:t xml:space="preserve">deployed in mergers </w:t>
      </w:r>
      <w:r w:rsidR="008002E5">
        <w:t xml:space="preserve">in the telecoms </w:t>
      </w:r>
      <w:r w:rsidR="007E777A">
        <w:t>industry</w:t>
      </w:r>
      <w:r w:rsidR="008002E5">
        <w:t>.</w:t>
      </w:r>
    </w:p>
    <w:p w14:paraId="5DA6970C" w14:textId="17D2B8F1" w:rsidR="001B0FF8" w:rsidRDefault="003313C6" w:rsidP="00957419">
      <w:r>
        <w:t xml:space="preserve">The number of Phase 1 (non-simplified) and Phase 2 cases that the Commission reviewed was around 250-300 per year until 2016, after which it increased. </w:t>
      </w:r>
      <w:r w:rsidR="003B6049">
        <w:t>L</w:t>
      </w:r>
      <w:r>
        <w:t xml:space="preserve">ess than 1% </w:t>
      </w:r>
      <w:r w:rsidR="003B6049">
        <w:t>of these featured a merger simulation</w:t>
      </w:r>
      <w:r w:rsidR="000F402E">
        <w:t>.</w:t>
      </w:r>
      <w:r w:rsidR="008B2DE4">
        <w:t xml:space="preserve"> </w:t>
      </w:r>
      <w:r w:rsidR="000F402E">
        <w:t>Whilst the purpose of our review is not to assess whether simulations should have been used in other merger cases</w:t>
      </w:r>
      <w:r w:rsidR="00814DA5">
        <w:t xml:space="preserve">, or to speculate </w:t>
      </w:r>
      <w:r w:rsidR="000F402E">
        <w:t xml:space="preserve">about the outcome of </w:t>
      </w:r>
      <w:r w:rsidR="001F2FB8">
        <w:t xml:space="preserve">hypothetical </w:t>
      </w:r>
      <w:r w:rsidR="000F402E">
        <w:t>simulations in other merger decisions</w:t>
      </w:r>
      <w:r w:rsidR="00814DA5">
        <w:t>, it is useful to look at how simulation cases</w:t>
      </w:r>
      <w:r w:rsidR="001F2FB8">
        <w:t xml:space="preserve"> in our sample</w:t>
      </w:r>
      <w:r w:rsidR="00814DA5">
        <w:t xml:space="preserve"> differ from other merger cases. </w:t>
      </w:r>
      <w:r w:rsidR="001B0FF8">
        <w:t xml:space="preserve">To do this, we use the data set compiled by Affeldt et al. (2018), which contains information on all mergers assessed by the Commission from 1990 to 2014. Of the 16 </w:t>
      </w:r>
      <w:r w:rsidR="00E8038F">
        <w:t xml:space="preserve">simulation </w:t>
      </w:r>
      <w:r w:rsidR="001B0FF8">
        <w:t xml:space="preserve">cases </w:t>
      </w:r>
      <w:r w:rsidR="00C602E7">
        <w:t xml:space="preserve">listed </w:t>
      </w:r>
      <w:r w:rsidR="00E8038F">
        <w:t xml:space="preserve">in Table 1 </w:t>
      </w:r>
      <w:r w:rsidR="00C602E7">
        <w:t>above</w:t>
      </w:r>
      <w:r w:rsidR="001B0FF8">
        <w:t xml:space="preserve">, the first seven featured in </w:t>
      </w:r>
      <w:r w:rsidR="00E8038F">
        <w:t xml:space="preserve">the </w:t>
      </w:r>
      <w:r w:rsidR="00600039">
        <w:t>Affeldt et al.</w:t>
      </w:r>
      <w:r w:rsidR="004B687F">
        <w:t xml:space="preserve"> (2018)</w:t>
      </w:r>
      <w:r w:rsidR="001B0FF8">
        <w:t xml:space="preserve"> data set.</w:t>
      </w:r>
      <w:r w:rsidR="001B0FF8">
        <w:rPr>
          <w:rStyle w:val="FootnoteReference"/>
        </w:rPr>
        <w:footnoteReference w:id="8"/>
      </w:r>
      <w:r w:rsidR="008E259D">
        <w:t xml:space="preserve"> Table 2 below compares the average of key variables </w:t>
      </w:r>
      <w:r w:rsidR="00C518EE">
        <w:t>in the data</w:t>
      </w:r>
      <w:r w:rsidR="0058082D">
        <w:t xml:space="preserve"> </w:t>
      </w:r>
      <w:r w:rsidR="00C518EE">
        <w:t>set across three samples: the cases featuring merger simulation, all Phase 2 cases (as the majority of cases featuring merger simulation went to Phase 2), and all non-simplified Phase 1 and Phase 2 cases.</w:t>
      </w:r>
    </w:p>
    <w:p w14:paraId="6D7FAE31" w14:textId="33B2D70E" w:rsidR="00C518EE" w:rsidRDefault="000B1F12" w:rsidP="004B687F">
      <w:pPr>
        <w:jc w:val="center"/>
      </w:pPr>
      <w:r w:rsidRPr="000B1F12">
        <w:rPr>
          <w:noProof/>
        </w:rPr>
        <w:lastRenderedPageBreak/>
        <w:t xml:space="preserve"> </w:t>
      </w:r>
      <w:r w:rsidR="004D764B" w:rsidRPr="004D764B">
        <w:rPr>
          <w:noProof/>
        </w:rPr>
        <w:drawing>
          <wp:inline distT="0" distB="0" distL="0" distR="0" wp14:anchorId="57E95F83" wp14:editId="1398C30A">
            <wp:extent cx="4328556" cy="4104599"/>
            <wp:effectExtent l="0" t="0" r="0" b="0"/>
            <wp:docPr id="137214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45314" name=""/>
                    <pic:cNvPicPr/>
                  </pic:nvPicPr>
                  <pic:blipFill>
                    <a:blip r:embed="rId9"/>
                    <a:stretch>
                      <a:fillRect/>
                    </a:stretch>
                  </pic:blipFill>
                  <pic:spPr>
                    <a:xfrm>
                      <a:off x="0" y="0"/>
                      <a:ext cx="4335140" cy="4110842"/>
                    </a:xfrm>
                    <a:prstGeom prst="rect">
                      <a:avLst/>
                    </a:prstGeom>
                  </pic:spPr>
                </pic:pic>
              </a:graphicData>
            </a:graphic>
          </wp:inline>
        </w:drawing>
      </w:r>
    </w:p>
    <w:p w14:paraId="3245D690" w14:textId="4EECA361" w:rsidR="009E4409" w:rsidRDefault="00A5540A" w:rsidP="00474A00">
      <w:r>
        <w:t xml:space="preserve">Although </w:t>
      </w:r>
      <w:r w:rsidR="000B33A9">
        <w:t>only a few cases featured simulations</w:t>
      </w:r>
      <w:r>
        <w:t>, based on this</w:t>
      </w:r>
      <w:r w:rsidR="00AD6298">
        <w:t>, w</w:t>
      </w:r>
      <w:r w:rsidR="00C518EE">
        <w:t>e see that the</w:t>
      </w:r>
      <w:r w:rsidR="000835F6">
        <w:t>se</w:t>
      </w:r>
      <w:r w:rsidR="00C518EE">
        <w:t xml:space="preserve"> cases were more </w:t>
      </w:r>
      <w:r w:rsidR="00AD67EF">
        <w:t xml:space="preserve">complex, were more </w:t>
      </w:r>
      <w:r w:rsidR="00C518EE">
        <w:t xml:space="preserve">likely to be blocked than the wider set of Phase 2 cases, and </w:t>
      </w:r>
      <w:r w:rsidR="00324236">
        <w:t>more likely to identify barriers to entry.</w:t>
      </w:r>
      <w:r w:rsidR="000835F6">
        <w:t xml:space="preserve"> </w:t>
      </w:r>
      <w:r w:rsidR="00324236">
        <w:t xml:space="preserve">However, remedies were proposed at the same rate as </w:t>
      </w:r>
      <w:r w:rsidR="00ED6245">
        <w:t>in all</w:t>
      </w:r>
      <w:r w:rsidR="00324236">
        <w:t xml:space="preserve"> Phase 2 cases.</w:t>
      </w:r>
      <w:r w:rsidR="00324236" w:rsidRPr="00324236">
        <w:t xml:space="preserve"> </w:t>
      </w:r>
      <w:r w:rsidR="009E4409">
        <w:t>M</w:t>
      </w:r>
      <w:r w:rsidR="00324236">
        <w:t>oreover, m</w:t>
      </w:r>
      <w:r w:rsidR="009E4409">
        <w:t xml:space="preserve">arket shares </w:t>
      </w:r>
      <w:r w:rsidR="00ED6245">
        <w:t>we</w:t>
      </w:r>
      <w:r w:rsidR="009E4409">
        <w:t xml:space="preserve">re on average lower than the set of Phase 2 cases (though the delta HHI </w:t>
      </w:r>
      <w:r w:rsidR="00ED6245">
        <w:t>wa</w:t>
      </w:r>
      <w:r w:rsidR="009E4409">
        <w:t xml:space="preserve">s similar), </w:t>
      </w:r>
      <w:r w:rsidR="00324236">
        <w:t xml:space="preserve">and </w:t>
      </w:r>
      <w:r w:rsidR="009E4409">
        <w:t xml:space="preserve">overall competitive concerns </w:t>
      </w:r>
      <w:r w:rsidR="00ED6245">
        <w:t>we</w:t>
      </w:r>
      <w:r w:rsidR="009E4409">
        <w:t>re less likely to be found</w:t>
      </w:r>
      <w:r w:rsidR="00324236">
        <w:t xml:space="preserve"> </w:t>
      </w:r>
      <w:r w:rsidR="00ED6245">
        <w:t xml:space="preserve">in simulation cases </w:t>
      </w:r>
      <w:r w:rsidR="00324236">
        <w:t>than the wider set of Phase 2 cases</w:t>
      </w:r>
      <w:r w:rsidR="009E4409">
        <w:t>.</w:t>
      </w:r>
    </w:p>
    <w:p w14:paraId="10AA1356" w14:textId="782AF0C4" w:rsidR="008E259D" w:rsidRDefault="009E4409" w:rsidP="00474A00">
      <w:r>
        <w:t xml:space="preserve">These results suggest that </w:t>
      </w:r>
      <w:r w:rsidR="00E62704">
        <w:t>merger simulation may have been used as a tool to consistently assess mergers across multiple markets, but in terms of the ‘fundamentals’ typically assessed at the start of a review (e.g. market shares), they are similar to the wider set of Phase 2 cases. Finally, the use of merger simulation may be a contributing factor to the rate of competitive concerns being found actually being lower than the set of Phase 2 cases.</w:t>
      </w:r>
      <w:r w:rsidR="008E259D" w:rsidRPr="004B687F">
        <w:rPr>
          <w:highlight w:val="yellow"/>
        </w:rPr>
        <w:t xml:space="preserve"> </w:t>
      </w:r>
    </w:p>
    <w:p w14:paraId="64320E38" w14:textId="4840C81E" w:rsidR="00267D70" w:rsidRDefault="00267D70" w:rsidP="005D2C36">
      <w:pPr>
        <w:pStyle w:val="Heading1"/>
      </w:pPr>
      <w:r>
        <w:t xml:space="preserve">A qualitative review of the </w:t>
      </w:r>
      <w:r w:rsidR="008E713E">
        <w:t>Commission</w:t>
      </w:r>
      <w:r w:rsidR="005B280F">
        <w:t xml:space="preserve">’s </w:t>
      </w:r>
      <w:r>
        <w:t>use of merger simulations</w:t>
      </w:r>
    </w:p>
    <w:p w14:paraId="5D0BA9AC" w14:textId="5EE24E98" w:rsidR="0058082D" w:rsidRDefault="0058082D" w:rsidP="00267D70">
      <w:r>
        <w:t xml:space="preserve">In this section, we review the Commission’s detailed written decisions for each merger case, to explore the modelling decisions taken by the ‘side’ </w:t>
      </w:r>
      <w:r w:rsidR="00383F39">
        <w:t>using</w:t>
      </w:r>
      <w:r>
        <w:t xml:space="preserve"> the merger simulation (the Commission or the merging parties) and how they were received by the other side.</w:t>
      </w:r>
    </w:p>
    <w:p w14:paraId="6F5865B7" w14:textId="77824E88" w:rsidR="00267D70" w:rsidRDefault="00267D70" w:rsidP="00267D70">
      <w:r>
        <w:lastRenderedPageBreak/>
        <w:t>The Commission’s merger decisions discuss economic evidence</w:t>
      </w:r>
      <w:r w:rsidR="00611575">
        <w:t xml:space="preserve"> in detail</w:t>
      </w:r>
      <w:r>
        <w:t>, including the assessment of merger simulation models</w:t>
      </w:r>
      <w:r w:rsidR="00611575">
        <w:t xml:space="preserve">. This includes </w:t>
      </w:r>
      <w:r>
        <w:t xml:space="preserve">not only the results of the models, but also the modelling assumptions used as inputs, and how </w:t>
      </w:r>
      <w:r w:rsidR="00E82E27">
        <w:t>related</w:t>
      </w:r>
      <w:r>
        <w:t xml:space="preserve"> issues were debated by the two sides.</w:t>
      </w:r>
      <w:r w:rsidR="00E95B32">
        <w:rPr>
          <w:rStyle w:val="FootnoteReference"/>
        </w:rPr>
        <w:footnoteReference w:id="9"/>
      </w:r>
      <w:r>
        <w:t xml:space="preserve"> </w:t>
      </w:r>
    </w:p>
    <w:p w14:paraId="2D43027C" w14:textId="3868D038" w:rsidR="00267D70" w:rsidRDefault="00267D70" w:rsidP="00267D70">
      <w:r>
        <w:t xml:space="preserve">Using this information, we assessed </w:t>
      </w:r>
      <w:r w:rsidR="0021027C">
        <w:t xml:space="preserve">whether </w:t>
      </w:r>
      <w:r>
        <w:t xml:space="preserve">a given merger simulation </w:t>
      </w:r>
      <w:r w:rsidR="00A9068A">
        <w:t xml:space="preserve">approach </w:t>
      </w:r>
      <w:r>
        <w:t>can be considered ‘successful’ or not based on how much the</w:t>
      </w:r>
      <w:r w:rsidR="00DD0722">
        <w:t xml:space="preserve"> </w:t>
      </w:r>
      <w:r>
        <w:t xml:space="preserve">modelling assumptions and predictions were criticised (or </w:t>
      </w:r>
      <w:r w:rsidR="001F6189">
        <w:t>accepted</w:t>
      </w:r>
      <w:r>
        <w:t>) by the other side. We defined modelling choices and assumptions to be ‘</w:t>
      </w:r>
      <w:r w:rsidR="00A53DDC">
        <w:rPr>
          <w:i/>
          <w:iCs/>
        </w:rPr>
        <w:t>uncontested</w:t>
      </w:r>
      <w:r w:rsidR="00A53DDC">
        <w:t xml:space="preserve">’ </w:t>
      </w:r>
      <w:r>
        <w:t xml:space="preserve">if the other side did not criticise it or agreed </w:t>
      </w:r>
      <w:r w:rsidR="00C55F4A">
        <w:t>with</w:t>
      </w:r>
      <w:r>
        <w:t xml:space="preserve"> the way it was implemented, ‘</w:t>
      </w:r>
      <w:r w:rsidR="00A53DDC">
        <w:rPr>
          <w:i/>
          <w:iCs/>
        </w:rPr>
        <w:t>debated’</w:t>
      </w:r>
      <w:r w:rsidR="00A53DDC">
        <w:t xml:space="preserve"> </w:t>
      </w:r>
      <w:r>
        <w:t xml:space="preserve">if the other side criticised it but in response the model’s author tried to address it or showed evidence as to why it would not have a material impact, </w:t>
      </w:r>
      <w:r w:rsidR="00F92F5E">
        <w:t>and</w:t>
      </w:r>
      <w:r>
        <w:t xml:space="preserve"> ‘</w:t>
      </w:r>
      <w:r w:rsidR="000D5522">
        <w:rPr>
          <w:i/>
          <w:iCs/>
        </w:rPr>
        <w:t>criticised</w:t>
      </w:r>
      <w:r w:rsidR="000D5522">
        <w:t xml:space="preserve">’ </w:t>
      </w:r>
      <w:r>
        <w:t xml:space="preserve">if the other side </w:t>
      </w:r>
      <w:r w:rsidR="004E27F5">
        <w:t xml:space="preserve">contested the </w:t>
      </w:r>
      <w:r>
        <w:t>model</w:t>
      </w:r>
      <w:r w:rsidR="000D5522">
        <w:t>ling issue</w:t>
      </w:r>
      <w:r>
        <w:t xml:space="preserve"> and </w:t>
      </w:r>
      <w:r w:rsidR="000D5522">
        <w:t xml:space="preserve">it </w:t>
      </w:r>
      <w:r>
        <w:t xml:space="preserve">was not </w:t>
      </w:r>
      <w:r w:rsidR="000D5522">
        <w:t xml:space="preserve">subsequently </w:t>
      </w:r>
      <w:r>
        <w:t xml:space="preserve">addressed. We note that </w:t>
      </w:r>
      <w:r w:rsidR="004E27F5">
        <w:t>our analysis</w:t>
      </w:r>
      <w:r>
        <w:t xml:space="preserve"> is contingent on the information available in the case report. We had no access to other information that was privy to the parties and the Commission. Of course, such an assessment is inherently subjective. Moreover, due to the adversarial nature of the debate between the</w:t>
      </w:r>
      <w:r w:rsidDel="00C76A43">
        <w:t xml:space="preserve"> </w:t>
      </w:r>
      <w:r w:rsidR="00C76A43">
        <w:t xml:space="preserve">Commission </w:t>
      </w:r>
      <w:r>
        <w:t xml:space="preserve">and the merging </w:t>
      </w:r>
      <w:r w:rsidR="0028423F">
        <w:t xml:space="preserve">parties </w:t>
      </w:r>
      <w:r>
        <w:t xml:space="preserve">in the decisions, the fact that model features were criticised by the other side </w:t>
      </w:r>
      <w:r w:rsidR="00036511">
        <w:t xml:space="preserve">may not necessarily mean that the simulation was controversial </w:t>
      </w:r>
      <w:r w:rsidR="00CB48B3" w:rsidRPr="00BC4C6A">
        <w:rPr>
          <w:i/>
          <w:iCs/>
        </w:rPr>
        <w:t>per se</w:t>
      </w:r>
      <w:r>
        <w:t>.</w:t>
      </w:r>
      <w:r w:rsidR="00835E0C">
        <w:t xml:space="preserve"> It is also worth noting that case decisions are written exclusively by the Commission with essentially no input from the merger parties.</w:t>
      </w:r>
    </w:p>
    <w:p w14:paraId="0A633D19" w14:textId="77777777" w:rsidR="00AC1FC8" w:rsidRDefault="00500470" w:rsidP="00184BE4">
      <w:r>
        <w:t xml:space="preserve">Whilst </w:t>
      </w:r>
      <w:r w:rsidR="00F52A55">
        <w:t xml:space="preserve">we saw no change in the level of information available in case reports </w:t>
      </w:r>
      <w:r w:rsidR="00ED2F29">
        <w:t xml:space="preserve">regarding the economic modelling done </w:t>
      </w:r>
      <w:r w:rsidR="00F52A55">
        <w:t>over the years, w</w:t>
      </w:r>
      <w:r w:rsidR="002B74B1">
        <w:t xml:space="preserve">e </w:t>
      </w:r>
      <w:r w:rsidR="00ED2F29">
        <w:t>find</w:t>
      </w:r>
      <w:r w:rsidR="002B74B1">
        <w:t xml:space="preserve"> that</w:t>
      </w:r>
      <w:r w:rsidR="00E71336">
        <w:t xml:space="preserve"> </w:t>
      </w:r>
      <w:r w:rsidR="002B74B1">
        <w:t xml:space="preserve">the </w:t>
      </w:r>
      <w:r w:rsidR="00E71336">
        <w:t>level of agreement (</w:t>
      </w:r>
      <w:r w:rsidR="00835E0C">
        <w:t xml:space="preserve">share of </w:t>
      </w:r>
      <w:r w:rsidR="00E71336">
        <w:t xml:space="preserve">issues that were uncontested) dropped over </w:t>
      </w:r>
      <w:r w:rsidR="00F52A55">
        <w:t>time</w:t>
      </w:r>
      <w:r w:rsidR="00ED2F29">
        <w:t>, and the number of issues that were debated or criticised increased</w:t>
      </w:r>
      <w:r w:rsidR="00E71336">
        <w:t>.</w:t>
      </w:r>
      <w:r w:rsidR="00C445CF">
        <w:rPr>
          <w:rStyle w:val="FootnoteReference"/>
        </w:rPr>
        <w:footnoteReference w:id="10"/>
      </w:r>
      <w:r w:rsidR="00847FA7">
        <w:t xml:space="preserve"> </w:t>
      </w:r>
    </w:p>
    <w:p w14:paraId="613E515B" w14:textId="42C9D007" w:rsidR="00B53B6B" w:rsidRDefault="00AC1FC8" w:rsidP="00184BE4">
      <w:r>
        <w:t>T</w:t>
      </w:r>
      <w:r w:rsidR="00C445CF">
        <w:t>o understand why some of the simulations were less contested between the parties, i</w:t>
      </w:r>
      <w:r w:rsidR="00267D70">
        <w:t xml:space="preserve">n Figure 1 </w:t>
      </w:r>
      <w:r w:rsidR="006657FE">
        <w:t xml:space="preserve">we identified the main grounds of agreement or disagreement, focusing on specific questions such as modelling choices, technical inputs such as data, and the outcome of the simulations. </w:t>
      </w:r>
    </w:p>
    <w:p w14:paraId="6A9B5383" w14:textId="0BD45949" w:rsidR="00E60D40" w:rsidRDefault="00E60D40" w:rsidP="005D03F1">
      <w:pPr>
        <w:pStyle w:val="Caption"/>
        <w:keepNext/>
        <w:jc w:val="center"/>
      </w:pPr>
      <w:r w:rsidRPr="008A707F">
        <w:rPr>
          <w:i w:val="0"/>
          <w:iCs w:val="0"/>
          <w:sz w:val="20"/>
          <w:szCs w:val="20"/>
        </w:rPr>
        <w:lastRenderedPageBreak/>
        <w:t xml:space="preserve">Figure </w:t>
      </w:r>
      <w:r w:rsidR="00083656">
        <w:rPr>
          <w:i w:val="0"/>
          <w:iCs w:val="0"/>
          <w:sz w:val="20"/>
          <w:szCs w:val="20"/>
        </w:rPr>
        <w:t>1</w:t>
      </w:r>
      <w:r w:rsidRPr="008A707F">
        <w:rPr>
          <w:i w:val="0"/>
          <w:iCs w:val="0"/>
          <w:sz w:val="20"/>
          <w:szCs w:val="20"/>
        </w:rPr>
        <w:t xml:space="preserve"> - Modelling issues and the outcomes of </w:t>
      </w:r>
      <w:r>
        <w:rPr>
          <w:i w:val="0"/>
          <w:iCs w:val="0"/>
          <w:sz w:val="20"/>
          <w:szCs w:val="20"/>
        </w:rPr>
        <w:t>simulations</w:t>
      </w:r>
      <w:r w:rsidRPr="008A707F">
        <w:rPr>
          <w:i w:val="0"/>
          <w:iCs w:val="0"/>
          <w:sz w:val="20"/>
          <w:szCs w:val="20"/>
        </w:rPr>
        <w:t xml:space="preserve"> used in </w:t>
      </w:r>
      <w:r>
        <w:rPr>
          <w:i w:val="0"/>
          <w:iCs w:val="0"/>
          <w:sz w:val="20"/>
          <w:szCs w:val="20"/>
        </w:rPr>
        <w:t>Commission</w:t>
      </w:r>
      <w:r w:rsidRPr="008A707F">
        <w:rPr>
          <w:i w:val="0"/>
          <w:iCs w:val="0"/>
          <w:sz w:val="20"/>
          <w:szCs w:val="20"/>
        </w:rPr>
        <w:t xml:space="preserve"> merger review, and how they were debated by each side</w:t>
      </w:r>
    </w:p>
    <w:p w14:paraId="6E72D1FE" w14:textId="66174F34" w:rsidR="004D4CCD" w:rsidRDefault="001A1C1B" w:rsidP="001428B8">
      <w:pPr>
        <w:spacing w:before="240"/>
      </w:pPr>
      <w:r w:rsidRPr="001A1C1B">
        <w:rPr>
          <w:noProof/>
        </w:rPr>
        <w:drawing>
          <wp:inline distT="0" distB="0" distL="0" distR="0" wp14:anchorId="2746733B" wp14:editId="5B82EBC9">
            <wp:extent cx="5731510" cy="4652010"/>
            <wp:effectExtent l="0" t="0" r="2540" b="0"/>
            <wp:docPr id="1295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990" name=""/>
                    <pic:cNvPicPr/>
                  </pic:nvPicPr>
                  <pic:blipFill>
                    <a:blip r:embed="rId10"/>
                    <a:stretch>
                      <a:fillRect/>
                    </a:stretch>
                  </pic:blipFill>
                  <pic:spPr>
                    <a:xfrm>
                      <a:off x="0" y="0"/>
                      <a:ext cx="5731510" cy="4652010"/>
                    </a:xfrm>
                    <a:prstGeom prst="rect">
                      <a:avLst/>
                    </a:prstGeom>
                  </pic:spPr>
                </pic:pic>
              </a:graphicData>
            </a:graphic>
          </wp:inline>
        </w:drawing>
      </w:r>
    </w:p>
    <w:p w14:paraId="11C652E9" w14:textId="21DE09F6" w:rsidR="00B0176A" w:rsidRDefault="00596DFC" w:rsidP="001428B8">
      <w:pPr>
        <w:spacing w:before="240"/>
      </w:pPr>
      <w:r>
        <w:t>In general, certain modelling issues have arisen more than others, and have been more strongly debated. For example, the modelling of countervailing factors was discussed more than the approach to modelling contestable customers. Moreover, model choice and the realism of the model’s assumptions often appeared controversial. This</w:t>
      </w:r>
      <w:r w:rsidR="006072A5">
        <w:t>,</w:t>
      </w:r>
      <w:r>
        <w:t xml:space="preserve"> perhaps</w:t>
      </w:r>
      <w:r w:rsidR="006072A5">
        <w:t>,</w:t>
      </w:r>
      <w:r>
        <w:t xml:space="preserve"> is not surprising, as the choice of the simulation method and the assumptions can lead to widely differing </w:t>
      </w:r>
      <w:r w:rsidR="00B63991">
        <w:t>price change</w:t>
      </w:r>
      <w:r>
        <w:t xml:space="preserve"> predictions. Understanding these areas of agreement and disagreement between the Commission and the merging parties can be useful when deploying a merger simulation.</w:t>
      </w:r>
      <w:r w:rsidR="00774287">
        <w:t xml:space="preserve"> </w:t>
      </w:r>
      <w:r w:rsidR="000F34B3">
        <w:t xml:space="preserve">In the following </w:t>
      </w:r>
      <w:r w:rsidR="006A211F">
        <w:t>sub-</w:t>
      </w:r>
      <w:r w:rsidR="000F34B3">
        <w:t>section</w:t>
      </w:r>
      <w:r w:rsidR="00F8084F">
        <w:t>s</w:t>
      </w:r>
      <w:r w:rsidR="000F34B3">
        <w:t xml:space="preserve"> we discuss these in </w:t>
      </w:r>
      <w:r w:rsidR="008F498B">
        <w:t xml:space="preserve">more </w:t>
      </w:r>
      <w:r w:rsidR="000F34B3">
        <w:t>detail.</w:t>
      </w:r>
    </w:p>
    <w:p w14:paraId="53778267" w14:textId="5991C07F" w:rsidR="00786F12" w:rsidRDefault="00786F12" w:rsidP="00F07A85">
      <w:pPr>
        <w:pStyle w:val="Heading2"/>
      </w:pPr>
      <w:r>
        <w:t>Methodology</w:t>
      </w:r>
    </w:p>
    <w:p w14:paraId="69E97D1E" w14:textId="20E04CB6" w:rsidR="00921663" w:rsidRDefault="003C4284" w:rsidP="008D6241">
      <w:r>
        <w:t xml:space="preserve">The simulations in our sample </w:t>
      </w:r>
      <w:r w:rsidR="00151794">
        <w:t xml:space="preserve">are </w:t>
      </w:r>
      <w:r>
        <w:t>frequently</w:t>
      </w:r>
      <w:r w:rsidR="00921663" w:rsidRPr="00921663">
        <w:t xml:space="preserve"> </w:t>
      </w:r>
      <w:r w:rsidR="00921663" w:rsidRPr="00DB2ACD">
        <w:rPr>
          <w:b/>
        </w:rPr>
        <w:t>buil</w:t>
      </w:r>
      <w:r w:rsidRPr="00DB2ACD">
        <w:rPr>
          <w:b/>
        </w:rPr>
        <w:t>d</w:t>
      </w:r>
      <w:r w:rsidR="00151794">
        <w:rPr>
          <w:b/>
        </w:rPr>
        <w:t>ing</w:t>
      </w:r>
      <w:r w:rsidR="00921663" w:rsidRPr="00DB2ACD">
        <w:rPr>
          <w:b/>
        </w:rPr>
        <w:t xml:space="preserve"> on </w:t>
      </w:r>
      <w:r w:rsidR="00CB3471">
        <w:rPr>
          <w:b/>
        </w:rPr>
        <w:t xml:space="preserve">a </w:t>
      </w:r>
      <w:r w:rsidR="00921663" w:rsidRPr="00DB2ACD">
        <w:rPr>
          <w:b/>
        </w:rPr>
        <w:t>previous model</w:t>
      </w:r>
      <w:r w:rsidR="00C23D67">
        <w:rPr>
          <w:b/>
          <w:bCs/>
        </w:rPr>
        <w:t xml:space="preserve"> </w:t>
      </w:r>
      <w:r w:rsidR="00C23D67" w:rsidRPr="00C23D67">
        <w:t>(</w:t>
      </w:r>
      <w:r w:rsidR="00CB3471">
        <w:t xml:space="preserve">from </w:t>
      </w:r>
      <w:r w:rsidR="00C23D67" w:rsidRPr="00C23D67">
        <w:t>a previous merger)</w:t>
      </w:r>
      <w:r w:rsidR="00534771">
        <w:t xml:space="preserve">, suggesting </w:t>
      </w:r>
      <w:r w:rsidR="00534771" w:rsidRPr="00446978">
        <w:t xml:space="preserve">that the effort required to develop and evaluate a successful </w:t>
      </w:r>
      <w:r w:rsidR="00534771">
        <w:t>simulation</w:t>
      </w:r>
      <w:r w:rsidR="00534771" w:rsidRPr="00446978">
        <w:t xml:space="preserve"> in one case can benefit subsequent cases.</w:t>
      </w:r>
      <w:r w:rsidR="00B44A72">
        <w:rPr>
          <w:rStyle w:val="FootnoteReference"/>
        </w:rPr>
        <w:footnoteReference w:id="11"/>
      </w:r>
      <w:r w:rsidR="00534771" w:rsidRPr="00446978">
        <w:t xml:space="preserve"> This perhaps </w:t>
      </w:r>
      <w:r w:rsidR="00837C75">
        <w:t>provides one explanation as to</w:t>
      </w:r>
      <w:r w:rsidR="00534771" w:rsidRPr="00446978">
        <w:t xml:space="preserve"> why </w:t>
      </w:r>
      <w:r w:rsidR="00B25757">
        <w:t xml:space="preserve">over </w:t>
      </w:r>
      <w:r w:rsidR="00534771" w:rsidRPr="00446978">
        <w:t>half of the 2</w:t>
      </w:r>
      <w:r w:rsidR="00B25757">
        <w:t>2</w:t>
      </w:r>
      <w:r w:rsidR="00534771" w:rsidRPr="00446978">
        <w:t xml:space="preserve"> </w:t>
      </w:r>
      <w:r w:rsidR="00534771">
        <w:t>simulations</w:t>
      </w:r>
      <w:r w:rsidR="00534771" w:rsidRPr="00446978">
        <w:t xml:space="preserve"> </w:t>
      </w:r>
      <w:r w:rsidR="00837C75">
        <w:t>in our sample</w:t>
      </w:r>
      <w:r w:rsidR="00534771" w:rsidRPr="00446978">
        <w:t xml:space="preserve"> </w:t>
      </w:r>
      <w:r w:rsidR="00B25757">
        <w:t xml:space="preserve">(12) </w:t>
      </w:r>
      <w:r w:rsidR="00534771" w:rsidRPr="00446978">
        <w:t>were in the telecoms industry.</w:t>
      </w:r>
      <w:r w:rsidR="00837C75">
        <w:t xml:space="preserve"> </w:t>
      </w:r>
      <w:r w:rsidR="0062370A">
        <w:t>This tendency to rely on earlier models</w:t>
      </w:r>
      <w:r w:rsidR="001F4D12">
        <w:t xml:space="preserve"> was </w:t>
      </w:r>
      <w:r w:rsidR="00921663" w:rsidRPr="00921663">
        <w:t xml:space="preserve">seen as a positive in </w:t>
      </w:r>
      <w:r w:rsidR="001F4D12">
        <w:t>some</w:t>
      </w:r>
      <w:r w:rsidR="00921663" w:rsidRPr="00921663">
        <w:t xml:space="preserve"> </w:t>
      </w:r>
      <w:r w:rsidR="0062370A">
        <w:t>of the cases</w:t>
      </w:r>
      <w:r w:rsidR="00EB6A3F">
        <w:t>.</w:t>
      </w:r>
      <w:r w:rsidR="000E279D">
        <w:rPr>
          <w:rStyle w:val="FootnoteReference"/>
        </w:rPr>
        <w:footnoteReference w:id="12"/>
      </w:r>
      <w:r w:rsidR="00921663" w:rsidRPr="00921663">
        <w:t xml:space="preserve"> </w:t>
      </w:r>
      <w:r w:rsidR="00EB6A3F">
        <w:t>F</w:t>
      </w:r>
      <w:r w:rsidR="00921663" w:rsidRPr="00921663">
        <w:t xml:space="preserve">or example, the </w:t>
      </w:r>
      <w:r w:rsidR="00235947">
        <w:t>Commission</w:t>
      </w:r>
      <w:r w:rsidR="00921663" w:rsidRPr="00921663">
        <w:t xml:space="preserve">’s </w:t>
      </w:r>
      <w:r w:rsidR="00235947">
        <w:t>simulation</w:t>
      </w:r>
      <w:r w:rsidR="00921663" w:rsidRPr="00921663">
        <w:t xml:space="preserve"> in </w:t>
      </w:r>
      <w:r w:rsidR="00921663" w:rsidRPr="00C23D67">
        <w:rPr>
          <w:i/>
        </w:rPr>
        <w:lastRenderedPageBreak/>
        <w:t>Unilever/Sara Lee</w:t>
      </w:r>
      <w:r w:rsidR="00921663" w:rsidRPr="00921663">
        <w:t xml:space="preserve"> in 2010 closely followed </w:t>
      </w:r>
      <w:r w:rsidR="00921663">
        <w:t xml:space="preserve">the merging </w:t>
      </w:r>
      <w:r w:rsidR="0028423F">
        <w:t>parties’</w:t>
      </w:r>
      <w:r w:rsidR="0028423F" w:rsidRPr="00921663">
        <w:t xml:space="preserve"> </w:t>
      </w:r>
      <w:r w:rsidR="00235947">
        <w:t>simulation</w:t>
      </w:r>
      <w:r w:rsidR="00235947" w:rsidRPr="00921663">
        <w:t xml:space="preserve"> </w:t>
      </w:r>
      <w:r w:rsidR="00921663" w:rsidRPr="00921663">
        <w:t xml:space="preserve">in </w:t>
      </w:r>
      <w:r w:rsidR="00921663" w:rsidRPr="00C23D67">
        <w:rPr>
          <w:i/>
        </w:rPr>
        <w:t>Kraft Foods/Cadbury</w:t>
      </w:r>
      <w:r w:rsidR="00921663" w:rsidRPr="00921663">
        <w:t xml:space="preserve"> from earlier in the same year</w:t>
      </w:r>
      <w:r w:rsidR="00F37DFA">
        <w:t>.</w:t>
      </w:r>
      <w:r w:rsidR="001A217E">
        <w:t xml:space="preserve"> </w:t>
      </w:r>
      <w:r w:rsidR="007062C2">
        <w:t>Moreover,</w:t>
      </w:r>
      <w:r w:rsidR="001A217E" w:rsidRPr="00AD4A6E">
        <w:t xml:space="preserve"> in </w:t>
      </w:r>
      <w:r w:rsidR="001A217E" w:rsidRPr="00635F5F">
        <w:rPr>
          <w:i/>
          <w:iCs/>
        </w:rPr>
        <w:t>Unilever/Sara Lee</w:t>
      </w:r>
      <w:r w:rsidR="001A217E" w:rsidRPr="00AD4A6E">
        <w:t>, the</w:t>
      </w:r>
      <w:r w:rsidR="001A217E" w:rsidRPr="00AD4A6E" w:rsidDel="004252F7">
        <w:t xml:space="preserve"> </w:t>
      </w:r>
      <w:r w:rsidR="004252F7">
        <w:t>Commission</w:t>
      </w:r>
      <w:r w:rsidR="004252F7" w:rsidRPr="00AD4A6E">
        <w:t xml:space="preserve"> </w:t>
      </w:r>
      <w:r w:rsidR="001A217E" w:rsidRPr="00AD4A6E">
        <w:t xml:space="preserve">was willing to use a model put forward in a previous case by the merging </w:t>
      </w:r>
      <w:r w:rsidR="0028423F">
        <w:t>partie</w:t>
      </w:r>
      <w:r w:rsidR="0028423F" w:rsidRPr="00AD4A6E">
        <w:t xml:space="preserve">s’ </w:t>
      </w:r>
      <w:r w:rsidR="001A217E" w:rsidRPr="00AD4A6E">
        <w:t>economists.</w:t>
      </w:r>
      <w:r w:rsidR="007062C2">
        <w:rPr>
          <w:rStyle w:val="FootnoteReference"/>
        </w:rPr>
        <w:footnoteReference w:id="13"/>
      </w:r>
      <w:r w:rsidR="00F37DFA">
        <w:t xml:space="preserve"> In other cases</w:t>
      </w:r>
      <w:r w:rsidR="00EB6A3F">
        <w:t>,</w:t>
      </w:r>
      <w:r w:rsidR="004D546B">
        <w:rPr>
          <w:rStyle w:val="FootnoteReference"/>
        </w:rPr>
        <w:footnoteReference w:id="14"/>
      </w:r>
      <w:r w:rsidR="00921663" w:rsidRPr="00921663">
        <w:t xml:space="preserve"> particularly the later telecoms cases, the fact that the </w:t>
      </w:r>
      <w:r w:rsidR="00235947">
        <w:t>Commission</w:t>
      </w:r>
      <w:r w:rsidR="00235947" w:rsidRPr="00921663">
        <w:t xml:space="preserve"> </w:t>
      </w:r>
      <w:r w:rsidR="00921663" w:rsidRPr="00921663">
        <w:t xml:space="preserve">continued to use some of the same methodological choices, without </w:t>
      </w:r>
      <w:r w:rsidR="002E376E">
        <w:t xml:space="preserve">necessarily </w:t>
      </w:r>
      <w:r w:rsidR="00921663" w:rsidRPr="00921663">
        <w:t xml:space="preserve">considering how they could be improved, was </w:t>
      </w:r>
      <w:r w:rsidR="00554D5F">
        <w:t>raised as a concern</w:t>
      </w:r>
      <w:r w:rsidR="00921663" w:rsidRPr="00921663">
        <w:t xml:space="preserve"> by the merging </w:t>
      </w:r>
      <w:r w:rsidR="0028423F">
        <w:t>partie</w:t>
      </w:r>
      <w:r w:rsidR="0028423F" w:rsidRPr="00921663">
        <w:t>s</w:t>
      </w:r>
      <w:r w:rsidR="00921663" w:rsidRPr="00921663">
        <w:t>.</w:t>
      </w:r>
      <w:r w:rsidR="001A217E">
        <w:t xml:space="preserve"> </w:t>
      </w:r>
    </w:p>
    <w:p w14:paraId="34976BCF" w14:textId="07A80DEC" w:rsidR="00784411" w:rsidRDefault="004B66E1" w:rsidP="00C53EAB">
      <w:r>
        <w:t>Even where simulations were built on previous models,</w:t>
      </w:r>
      <w:r w:rsidR="00954CFF">
        <w:t xml:space="preserve"> the</w:t>
      </w:r>
      <w:r>
        <w:t xml:space="preserve"> </w:t>
      </w:r>
      <w:r w:rsidR="00455B56" w:rsidRPr="00DB2ACD">
        <w:rPr>
          <w:b/>
          <w:bCs/>
        </w:rPr>
        <w:t>model choice</w:t>
      </w:r>
      <w:r w:rsidR="00455B56">
        <w:t xml:space="preserve"> </w:t>
      </w:r>
      <w:r w:rsidR="007F47FC">
        <w:t xml:space="preserve">tended to be </w:t>
      </w:r>
      <w:r w:rsidR="00455B56">
        <w:t xml:space="preserve">contested. </w:t>
      </w:r>
      <w:r w:rsidR="00D326BB">
        <w:t>Even the most fundamental steps</w:t>
      </w:r>
      <w:r w:rsidR="00922027">
        <w:t xml:space="preserve"> </w:t>
      </w:r>
      <w:r w:rsidR="00FE7A13">
        <w:t xml:space="preserve">could be </w:t>
      </w:r>
      <w:r w:rsidR="00D156A0">
        <w:t>controversial, for example because of disagreements on the type of auctioning structure used in an auctioning model,</w:t>
      </w:r>
      <w:r w:rsidR="00D156A0">
        <w:rPr>
          <w:rStyle w:val="FootnoteReference"/>
        </w:rPr>
        <w:footnoteReference w:id="15"/>
      </w:r>
      <w:r w:rsidR="00D156A0">
        <w:t xml:space="preserve"> or whether the modelling assumptions implied a realistic pre-merger world</w:t>
      </w:r>
      <w:r w:rsidR="00784411">
        <w:t>,</w:t>
      </w:r>
      <w:r w:rsidR="00D156A0">
        <w:rPr>
          <w:rStyle w:val="FootnoteReference"/>
        </w:rPr>
        <w:footnoteReference w:id="16"/>
      </w:r>
      <w:r w:rsidR="00D156A0">
        <w:t xml:space="preserve"> </w:t>
      </w:r>
      <w:r w:rsidR="00784411">
        <w:t xml:space="preserve">or because the chosen model produced </w:t>
      </w:r>
      <w:r w:rsidR="00784411" w:rsidDel="00D97A97">
        <w:t>“</w:t>
      </w:r>
      <w:r w:rsidR="00784411" w:rsidRPr="008618F0" w:rsidDel="00D97A97">
        <w:rPr>
          <w:i/>
          <w:iCs/>
        </w:rPr>
        <w:t>implausible interim metrics</w:t>
      </w:r>
      <w:r w:rsidR="00784411" w:rsidDel="00D97A97">
        <w:t xml:space="preserve">” (such as demand elasticities) and therefore </w:t>
      </w:r>
      <w:r w:rsidR="00834207">
        <w:t xml:space="preserve">implausible </w:t>
      </w:r>
      <w:r w:rsidR="00784411" w:rsidDel="00D97A97">
        <w:t>final predicted price effects.</w:t>
      </w:r>
      <w:r w:rsidR="00784411">
        <w:rPr>
          <w:rStyle w:val="FootnoteReference"/>
        </w:rPr>
        <w:footnoteReference w:id="17"/>
      </w:r>
    </w:p>
    <w:p w14:paraId="2586B211" w14:textId="0E887689" w:rsidR="00014D68" w:rsidRDefault="00D156A0" w:rsidP="00C53EAB">
      <w:r>
        <w:t xml:space="preserve">Other contested modelling assumptions </w:t>
      </w:r>
      <w:r w:rsidR="008E4E97">
        <w:t xml:space="preserve">include discussions on </w:t>
      </w:r>
      <w:r w:rsidR="00FA026E" w:rsidDel="00D97A97">
        <w:t>whether the simulation captured how competition worked in the book publishing industry</w:t>
      </w:r>
      <w:r w:rsidR="00AD6FBC">
        <w:t>,</w:t>
      </w:r>
      <w:r w:rsidR="008E4E97">
        <w:rPr>
          <w:rStyle w:val="FootnoteReference"/>
        </w:rPr>
        <w:footnoteReference w:id="18"/>
      </w:r>
      <w:r w:rsidR="00FA026E" w:rsidDel="00D97A97">
        <w:t xml:space="preserve"> whether the degree to which simplifying assumptions made </w:t>
      </w:r>
      <w:r w:rsidR="007F47FC">
        <w:t xml:space="preserve">a </w:t>
      </w:r>
      <w:r w:rsidR="00FA026E" w:rsidDel="00D97A97">
        <w:t xml:space="preserve">model </w:t>
      </w:r>
      <w:r w:rsidR="00AD6FBC">
        <w:t xml:space="preserve">was </w:t>
      </w:r>
      <w:r w:rsidR="00FA026E" w:rsidDel="00D97A97">
        <w:t>unrealistic</w:t>
      </w:r>
      <w:r w:rsidR="00AD6FBC">
        <w:t>,</w:t>
      </w:r>
      <w:r w:rsidR="00AD6FBC">
        <w:rPr>
          <w:rStyle w:val="FootnoteReference"/>
        </w:rPr>
        <w:footnoteReference w:id="19"/>
      </w:r>
      <w:r w:rsidR="00C53EAB">
        <w:t xml:space="preserve"> whether some of the assumptions used were too “</w:t>
      </w:r>
      <w:r w:rsidR="00C53EAB" w:rsidRPr="008618F0">
        <w:rPr>
          <w:i/>
          <w:iCs/>
        </w:rPr>
        <w:t>extreme</w:t>
      </w:r>
      <w:r w:rsidR="00C53EAB">
        <w:t>”,</w:t>
      </w:r>
      <w:r w:rsidR="00C53EAB">
        <w:rPr>
          <w:rStyle w:val="FootnoteReference"/>
        </w:rPr>
        <w:footnoteReference w:id="20"/>
      </w:r>
      <w:r w:rsidR="00C53EAB">
        <w:t xml:space="preserve"> </w:t>
      </w:r>
      <w:r w:rsidR="0019759C">
        <w:t xml:space="preserve">or because </w:t>
      </w:r>
      <w:r w:rsidR="00C53EAB" w:rsidRPr="00A038AC">
        <w:t xml:space="preserve">the merger occurred at the manufacturing level, but the input data used for the </w:t>
      </w:r>
      <w:r w:rsidR="0082558F">
        <w:t>simulation</w:t>
      </w:r>
      <w:r w:rsidR="00C53EAB" w:rsidRPr="00A038AC">
        <w:t xml:space="preserve"> recorded sales at the retail level, with the model simply assuming away any impact on the results from the margin earned between these two levels of the supply chain</w:t>
      </w:r>
      <w:r w:rsidR="00C53EAB" w:rsidDel="00D97A97">
        <w:t>.</w:t>
      </w:r>
      <w:r w:rsidR="00C53EAB">
        <w:rPr>
          <w:rStyle w:val="FootnoteReference"/>
        </w:rPr>
        <w:footnoteReference w:id="21"/>
      </w:r>
      <w:r w:rsidR="00CA5489">
        <w:t xml:space="preserve"> </w:t>
      </w:r>
    </w:p>
    <w:p w14:paraId="281EB7E7" w14:textId="552ADC0B" w:rsidR="00C53EAB" w:rsidRDefault="006002FB" w:rsidP="00C53EAB">
      <w:r>
        <w:t>Part of designing a simulation study is to choose between</w:t>
      </w:r>
      <w:r w:rsidR="00CA5489">
        <w:t xml:space="preserve"> dynamic </w:t>
      </w:r>
      <w:r w:rsidR="002C17D4">
        <w:t xml:space="preserve">and </w:t>
      </w:r>
      <w:r w:rsidR="00CA5489">
        <w:t>static models</w:t>
      </w:r>
      <w:r w:rsidR="00E52024">
        <w:t>,</w:t>
      </w:r>
      <w:r w:rsidR="00712660">
        <w:rPr>
          <w:rStyle w:val="FootnoteReference"/>
        </w:rPr>
        <w:footnoteReference w:id="22"/>
      </w:r>
      <w:r w:rsidR="00E52024">
        <w:t xml:space="preserve"> and to decide whether a simulation should</w:t>
      </w:r>
      <w:r w:rsidR="00BC02B6">
        <w:t xml:space="preserve"> include the </w:t>
      </w:r>
      <w:r w:rsidR="00BC02B6" w:rsidRPr="00567132">
        <w:rPr>
          <w:b/>
          <w:bCs/>
        </w:rPr>
        <w:t>modelling of</w:t>
      </w:r>
      <w:r w:rsidR="00E52024">
        <w:t xml:space="preserve"> </w:t>
      </w:r>
      <w:r w:rsidR="00E52024" w:rsidRPr="00B847B6">
        <w:rPr>
          <w:b/>
        </w:rPr>
        <w:t>countervailing factors</w:t>
      </w:r>
      <w:r w:rsidR="00E52024">
        <w:t xml:space="preserve"> such as buyer power, entry and product repositioning. In some </w:t>
      </w:r>
      <w:r w:rsidR="008446B7">
        <w:t>cases</w:t>
      </w:r>
      <w:r w:rsidR="00E52024">
        <w:t xml:space="preserve">, there was no disagreement </w:t>
      </w:r>
      <w:r w:rsidR="00507BB3">
        <w:t xml:space="preserve">in this regard </w:t>
      </w:r>
      <w:r w:rsidR="00E52024">
        <w:t>between the Commission and the merging parties,</w:t>
      </w:r>
      <w:r w:rsidR="00E52024">
        <w:rPr>
          <w:rStyle w:val="FootnoteReference"/>
        </w:rPr>
        <w:footnoteReference w:id="23"/>
      </w:r>
      <w:r w:rsidR="00E52024">
        <w:t xml:space="preserve"> but in most of them the use or omission of countervailing </w:t>
      </w:r>
      <w:r w:rsidR="00E52024">
        <w:lastRenderedPageBreak/>
        <w:t>factors was contested,</w:t>
      </w:r>
      <w:r w:rsidR="00E52024">
        <w:rPr>
          <w:rStyle w:val="FootnoteReference"/>
        </w:rPr>
        <w:footnoteReference w:id="24"/>
      </w:r>
      <w:r w:rsidR="00E52024">
        <w:t xml:space="preserve"> for example, because the Commission argued for circumventing these effects in the analysis because they manifest over the long-run and would be too complex to account for them within the short-run focus of a merger review,</w:t>
      </w:r>
      <w:r w:rsidR="00E52024">
        <w:rPr>
          <w:rStyle w:val="FootnoteReference"/>
        </w:rPr>
        <w:footnoteReference w:id="25"/>
      </w:r>
      <w:r w:rsidR="00E52024">
        <w:t xml:space="preserve"> or because the Commission disagreed with the merging parties’ analysis showing how the merger could increase product quality (a form of product repositioning).</w:t>
      </w:r>
      <w:r w:rsidR="00E52024" w:rsidRPr="00835EB2">
        <w:rPr>
          <w:rStyle w:val="FootnoteReference"/>
          <w:iCs/>
        </w:rPr>
        <w:footnoteReference w:id="26"/>
      </w:r>
    </w:p>
    <w:p w14:paraId="23921F0E" w14:textId="41AFF771" w:rsidR="00A22B6F" w:rsidRDefault="002C17D4" w:rsidP="00A22B6F">
      <w:r>
        <w:t>H</w:t>
      </w:r>
      <w:r w:rsidR="00242336">
        <w:t>alf of the simulations used</w:t>
      </w:r>
      <w:r w:rsidR="00A22B6F">
        <w:t xml:space="preserve"> discrete choice models</w:t>
      </w:r>
      <w:r w:rsidR="00242336">
        <w:t xml:space="preserve"> to model demand</w:t>
      </w:r>
      <w:r w:rsidR="00A22B6F">
        <w:t xml:space="preserve">. The main drawback of these models is the so-called </w:t>
      </w:r>
      <w:r w:rsidR="00113FA4">
        <w:t>‘</w:t>
      </w:r>
      <w:r w:rsidR="00B00D0A" w:rsidRPr="00567132">
        <w:rPr>
          <w:b/>
          <w:bCs/>
        </w:rPr>
        <w:t xml:space="preserve">nesting structure and the </w:t>
      </w:r>
      <w:r w:rsidR="00A22B6F" w:rsidRPr="00B00D0A">
        <w:rPr>
          <w:b/>
          <w:bCs/>
        </w:rPr>
        <w:t>independence</w:t>
      </w:r>
      <w:r w:rsidR="00A22B6F" w:rsidRPr="00EB5F0B">
        <w:rPr>
          <w:b/>
        </w:rPr>
        <w:t xml:space="preserve"> of irrelevant alternatives</w:t>
      </w:r>
      <w:r w:rsidR="00A22B6F">
        <w:t xml:space="preserve"> </w:t>
      </w:r>
      <w:r w:rsidR="00A22B6F" w:rsidRPr="00567132">
        <w:rPr>
          <w:b/>
          <w:bCs/>
        </w:rPr>
        <w:t xml:space="preserve">(IIA) </w:t>
      </w:r>
      <w:r w:rsidR="00263968" w:rsidRPr="00567132">
        <w:rPr>
          <w:b/>
          <w:bCs/>
        </w:rPr>
        <w:t>issue</w:t>
      </w:r>
      <w:r w:rsidR="00113FA4" w:rsidRPr="00567132">
        <w:t>’</w:t>
      </w:r>
      <w:r w:rsidR="00A22B6F">
        <w:t xml:space="preserve">, which </w:t>
      </w:r>
      <w:r w:rsidR="00570F48">
        <w:t xml:space="preserve">restricts </w:t>
      </w:r>
      <w:r w:rsidR="00A22B6F">
        <w:t>substitution patterns between products.</w:t>
      </w:r>
      <w:r w:rsidR="00670833">
        <w:rPr>
          <w:rStyle w:val="FootnoteReference"/>
        </w:rPr>
        <w:footnoteReference w:id="27"/>
      </w:r>
      <w:r w:rsidR="00A22B6F">
        <w:t xml:space="preserve"> Of the discrete choice models used, the most popular form was ‘nested logit’, whereby products are organised into different nests (one-level) or even sub-nests (two-, three-level etc.)</w:t>
      </w:r>
      <w:r w:rsidR="00E94639">
        <w:t xml:space="preserve">. </w:t>
      </w:r>
      <w:r w:rsidR="004B5E4C">
        <w:t xml:space="preserve">The choice of the nesting structure </w:t>
      </w:r>
      <w:r w:rsidR="00743C0B">
        <w:t>inevitably assume</w:t>
      </w:r>
      <w:r>
        <w:t>s</w:t>
      </w:r>
      <w:r w:rsidR="00743C0B">
        <w:t xml:space="preserve"> some level of discretion</w:t>
      </w:r>
      <w:r w:rsidR="00FA6090">
        <w:t xml:space="preserve">. Consequently, these </w:t>
      </w:r>
      <w:r w:rsidR="00EF231D">
        <w:t xml:space="preserve">modelling choices </w:t>
      </w:r>
      <w:r w:rsidR="007B1808">
        <w:t>were often debated between the parties</w:t>
      </w:r>
      <w:r w:rsidR="00A22B6F">
        <w:t>.</w:t>
      </w:r>
      <w:r w:rsidR="00AC4977">
        <w:rPr>
          <w:rStyle w:val="FootnoteReference"/>
        </w:rPr>
        <w:footnoteReference w:id="28"/>
      </w:r>
      <w:r w:rsidR="00A22B6F">
        <w:t xml:space="preserve"> </w:t>
      </w:r>
    </w:p>
    <w:p w14:paraId="04E33DA0" w14:textId="183F04BC" w:rsidR="00267D70" w:rsidRDefault="00730363" w:rsidP="00267D70">
      <w:r>
        <w:t xml:space="preserve">More specific modelling assumptions relate to </w:t>
      </w:r>
      <w:r w:rsidR="00784C45">
        <w:t xml:space="preserve">the </w:t>
      </w:r>
      <w:r w:rsidR="00784C45" w:rsidRPr="00567132">
        <w:rPr>
          <w:b/>
          <w:bCs/>
        </w:rPr>
        <w:t>modelling of</w:t>
      </w:r>
      <w:r w:rsidR="00784C45">
        <w:t xml:space="preserve"> </w:t>
      </w:r>
      <w:r w:rsidRPr="0079440F">
        <w:rPr>
          <w:b/>
          <w:bCs/>
        </w:rPr>
        <w:t>efficiencies and quality competition</w:t>
      </w:r>
      <w:r>
        <w:t xml:space="preserve"> are accommodated by the simulations.</w:t>
      </w:r>
      <w:r w:rsidR="004D1B54" w:rsidDel="00D97A97">
        <w:t xml:space="preserve"> </w:t>
      </w:r>
      <w:r w:rsidR="00A41AD7">
        <w:t xml:space="preserve">In </w:t>
      </w:r>
      <w:r w:rsidR="002A506B">
        <w:t xml:space="preserve">some cases </w:t>
      </w:r>
      <w:r w:rsidR="00267D70" w:rsidDel="00D97A97">
        <w:t xml:space="preserve">the </w:t>
      </w:r>
      <w:r w:rsidR="00775BA2">
        <w:t>Commission</w:t>
      </w:r>
      <w:r w:rsidR="00775BA2" w:rsidDel="00D97A97">
        <w:t xml:space="preserve"> </w:t>
      </w:r>
      <w:r w:rsidR="00267D70" w:rsidDel="00D97A97">
        <w:t>accept</w:t>
      </w:r>
      <w:r w:rsidR="00BF29B4">
        <w:t>ed</w:t>
      </w:r>
      <w:r w:rsidR="00267D70" w:rsidDel="00D97A97">
        <w:t xml:space="preserve"> some efficiency claims made by the merging </w:t>
      </w:r>
      <w:r w:rsidR="0028423F">
        <w:t>partie</w:t>
      </w:r>
      <w:r w:rsidR="0028423F" w:rsidDel="00D97A97">
        <w:t xml:space="preserve">s </w:t>
      </w:r>
      <w:r w:rsidR="00267D70" w:rsidDel="00D97A97">
        <w:t>and factored them into its simulation</w:t>
      </w:r>
      <w:r w:rsidR="005C4F57">
        <w:t>s</w:t>
      </w:r>
      <w:r w:rsidR="002A506B">
        <w:t>,</w:t>
      </w:r>
      <w:r w:rsidR="00A41AD7">
        <w:rPr>
          <w:rStyle w:val="FootnoteReference"/>
        </w:rPr>
        <w:footnoteReference w:id="29"/>
      </w:r>
      <w:r w:rsidR="00A41AD7">
        <w:t xml:space="preserve"> </w:t>
      </w:r>
      <w:r w:rsidR="002A506B">
        <w:t>or at least in the sensitivity analysis.</w:t>
      </w:r>
      <w:r w:rsidR="00325F97">
        <w:rPr>
          <w:rStyle w:val="FootnoteReference"/>
        </w:rPr>
        <w:footnoteReference w:id="30"/>
      </w:r>
      <w:r w:rsidR="00325F97">
        <w:t xml:space="preserve"> </w:t>
      </w:r>
      <w:r w:rsidR="00BF29B4">
        <w:t xml:space="preserve">On the other hand, the </w:t>
      </w:r>
      <w:r w:rsidR="005466F2">
        <w:t xml:space="preserve">Commission debated </w:t>
      </w:r>
      <w:r w:rsidR="005228E3">
        <w:t xml:space="preserve">the </w:t>
      </w:r>
      <w:r w:rsidR="005466F2" w:rsidRPr="00D753C8">
        <w:t xml:space="preserve">technical aspects of the merging </w:t>
      </w:r>
      <w:r w:rsidR="0028423F">
        <w:t>partie</w:t>
      </w:r>
      <w:r w:rsidR="0028423F" w:rsidRPr="00D753C8">
        <w:t xml:space="preserve">s’ </w:t>
      </w:r>
      <w:r w:rsidR="005466F2" w:rsidRPr="00D753C8">
        <w:t xml:space="preserve">models in </w:t>
      </w:r>
      <w:r w:rsidR="005228E3">
        <w:t xml:space="preserve">other cases, for example, where the merging </w:t>
      </w:r>
      <w:r w:rsidR="0028423F">
        <w:t xml:space="preserve">parties </w:t>
      </w:r>
      <w:r w:rsidR="00D552E7">
        <w:t>quantified the efficiencies (increasing network coverage in telecoms markets).</w:t>
      </w:r>
      <w:r w:rsidR="00D552E7">
        <w:rPr>
          <w:rStyle w:val="FootnoteReference"/>
        </w:rPr>
        <w:footnoteReference w:id="31"/>
      </w:r>
      <w:r w:rsidR="00D552E7">
        <w:t xml:space="preserve"> </w:t>
      </w:r>
      <w:r w:rsidR="005824BA">
        <w:t xml:space="preserve">The parties </w:t>
      </w:r>
      <w:r w:rsidR="00DF4C7B">
        <w:t xml:space="preserve">have </w:t>
      </w:r>
      <w:r w:rsidR="005824BA">
        <w:t xml:space="preserve">also </w:t>
      </w:r>
      <w:r w:rsidR="00DF4C7B">
        <w:t>criticised the Commission’s reluctance to account for efficiencies in some of the cases.</w:t>
      </w:r>
      <w:r w:rsidR="00DF4C7B">
        <w:rPr>
          <w:rStyle w:val="FootnoteReference"/>
        </w:rPr>
        <w:footnoteReference w:id="32"/>
      </w:r>
    </w:p>
    <w:p w14:paraId="11E95BE5" w14:textId="3A06D29D" w:rsidR="00AA6395" w:rsidRDefault="004869C9" w:rsidP="00267D70">
      <w:r>
        <w:t>Theoretically,</w:t>
      </w:r>
      <w:r w:rsidR="00B8550C">
        <w:t xml:space="preserve"> </w:t>
      </w:r>
      <w:r w:rsidR="002B3CC9">
        <w:t xml:space="preserve">simulations based on </w:t>
      </w:r>
      <w:r w:rsidR="00B8550C">
        <w:t xml:space="preserve">econometrically estimated </w:t>
      </w:r>
      <w:r w:rsidR="002B3CC9">
        <w:t xml:space="preserve">demand and supply parameters can circumvent the need for </w:t>
      </w:r>
      <w:r w:rsidR="002B3CC9" w:rsidRPr="00BC6181">
        <w:rPr>
          <w:b/>
          <w:bCs/>
        </w:rPr>
        <w:t>market definition</w:t>
      </w:r>
      <w:r w:rsidR="00D86531">
        <w:t xml:space="preserve">, therefore </w:t>
      </w:r>
      <w:r w:rsidR="00E55168">
        <w:t xml:space="preserve">the assumptions used in the simulations can have an impact on </w:t>
      </w:r>
      <w:r w:rsidR="00AA6395">
        <w:t xml:space="preserve">what the market is considered to be. </w:t>
      </w:r>
      <w:r w:rsidR="00D86531">
        <w:t xml:space="preserve">This is not always without </w:t>
      </w:r>
      <w:r w:rsidR="0080723B">
        <w:t>dispute</w:t>
      </w:r>
      <w:r w:rsidR="00D86531">
        <w:t xml:space="preserve"> between </w:t>
      </w:r>
      <w:r w:rsidR="00D86531">
        <w:lastRenderedPageBreak/>
        <w:t>the Commission and the merging parties.</w:t>
      </w:r>
      <w:r w:rsidR="0080723B">
        <w:t xml:space="preserve"> </w:t>
      </w:r>
      <w:r w:rsidR="00D429FE">
        <w:t>For example, there has been</w:t>
      </w:r>
      <w:r w:rsidR="0080723B">
        <w:t xml:space="preserve"> disagreement </w:t>
      </w:r>
      <w:r w:rsidR="00D429FE">
        <w:t xml:space="preserve">on </w:t>
      </w:r>
      <w:r w:rsidR="0080723B">
        <w:t xml:space="preserve">whether </w:t>
      </w:r>
      <w:r w:rsidR="006D2B2C">
        <w:t>the Commission’s model had a nesting structure for its demand function that followed the actual market definition</w:t>
      </w:r>
      <w:r w:rsidR="004A6767">
        <w:t>,</w:t>
      </w:r>
      <w:r w:rsidR="00D429FE">
        <w:rPr>
          <w:rStyle w:val="FootnoteReference"/>
        </w:rPr>
        <w:footnoteReference w:id="33"/>
      </w:r>
      <w:r w:rsidR="004A6767">
        <w:t xml:space="preserve"> or whether the merging </w:t>
      </w:r>
      <w:r w:rsidR="0028423F">
        <w:t xml:space="preserve">parties </w:t>
      </w:r>
      <w:r w:rsidR="004A6767">
        <w:t xml:space="preserve">were right to infer the relevant market from their </w:t>
      </w:r>
      <w:r w:rsidR="003E148F">
        <w:t>estimation of the demand system.</w:t>
      </w:r>
      <w:r w:rsidR="003E148F">
        <w:rPr>
          <w:rStyle w:val="FootnoteReference"/>
        </w:rPr>
        <w:footnoteReference w:id="34"/>
      </w:r>
      <w:r w:rsidR="003E148F">
        <w:t xml:space="preserve"> </w:t>
      </w:r>
    </w:p>
    <w:p w14:paraId="748E88C0" w14:textId="67010783" w:rsidR="0079713C" w:rsidRDefault="0079713C" w:rsidP="00F07A85">
      <w:pPr>
        <w:pStyle w:val="Heading2"/>
      </w:pPr>
      <w:r>
        <w:t>Inputs</w:t>
      </w:r>
    </w:p>
    <w:p w14:paraId="18D7EEA3" w14:textId="677AD346" w:rsidR="00A33979" w:rsidRDefault="00E44918" w:rsidP="00A33979">
      <w:r>
        <w:t xml:space="preserve">We identified two main issues under the inputs used for simulation. The first one relates to the treatment of </w:t>
      </w:r>
      <w:r w:rsidRPr="00567132">
        <w:rPr>
          <w:b/>
          <w:bCs/>
        </w:rPr>
        <w:t>the</w:t>
      </w:r>
      <w:r>
        <w:t xml:space="preserve"> </w:t>
      </w:r>
      <w:r w:rsidRPr="00F42B37">
        <w:rPr>
          <w:b/>
          <w:bCs/>
        </w:rPr>
        <w:t>outside good</w:t>
      </w:r>
      <w:r w:rsidR="00670833">
        <w:rPr>
          <w:b/>
          <w:bCs/>
        </w:rPr>
        <w:t xml:space="preserve"> </w:t>
      </w:r>
      <w:r w:rsidR="00670833" w:rsidRPr="00825348">
        <w:t xml:space="preserve">(i.e., the choice to not purchase </w:t>
      </w:r>
      <w:r w:rsidR="009045D1">
        <w:t>the products in the relevant market</w:t>
      </w:r>
      <w:r w:rsidR="00670833" w:rsidRPr="00825348">
        <w:t>)</w:t>
      </w:r>
      <w:r w:rsidR="00F42B37">
        <w:t>.</w:t>
      </w:r>
      <w:r w:rsidR="00DB1441">
        <w:t xml:space="preserve"> Although there is some common ground in this respect between the Commission and the merging parties,</w:t>
      </w:r>
      <w:r w:rsidR="00A33979">
        <w:rPr>
          <w:rStyle w:val="FootnoteReference"/>
        </w:rPr>
        <w:footnoteReference w:id="35"/>
      </w:r>
      <w:r w:rsidR="00A33979">
        <w:t xml:space="preserve"> </w:t>
      </w:r>
      <w:r w:rsidR="00250D10">
        <w:t>there has been disagreement on either how the outside good was calculated and its resulting size,</w:t>
      </w:r>
      <w:r w:rsidR="00250D10">
        <w:rPr>
          <w:rStyle w:val="FootnoteReference"/>
        </w:rPr>
        <w:footnoteReference w:id="36"/>
      </w:r>
      <w:r w:rsidR="00250D10">
        <w:t xml:space="preserve"> or the choice to exclude some products from the analysis (implying that they would instead sit within the outside good),</w:t>
      </w:r>
      <w:r w:rsidR="00250D10">
        <w:rPr>
          <w:rStyle w:val="FootnoteReference"/>
        </w:rPr>
        <w:footnoteReference w:id="37"/>
      </w:r>
      <w:r w:rsidR="00250D10">
        <w:t xml:space="preserve"> or excluding them completely</w:t>
      </w:r>
      <w:r w:rsidR="00E66237">
        <w:t>,</w:t>
      </w:r>
      <w:r w:rsidR="00250D10">
        <w:rPr>
          <w:rStyle w:val="FootnoteReference"/>
        </w:rPr>
        <w:footnoteReference w:id="38"/>
      </w:r>
      <w:r w:rsidR="00250D10">
        <w:t xml:space="preserve"> </w:t>
      </w:r>
      <w:r w:rsidR="00E66237">
        <w:t xml:space="preserve">or whether the </w:t>
      </w:r>
      <w:r w:rsidR="00CA14FB">
        <w:t xml:space="preserve">Commission </w:t>
      </w:r>
      <w:r w:rsidR="00E66237">
        <w:t xml:space="preserve">was right to assume away the </w:t>
      </w:r>
      <w:r w:rsidR="00FC0E8F">
        <w:t>outside good</w:t>
      </w:r>
      <w:r w:rsidR="00A33979">
        <w:t xml:space="preserve"> in </w:t>
      </w:r>
      <w:r w:rsidR="00CA14FB">
        <w:t xml:space="preserve">its </w:t>
      </w:r>
      <w:r w:rsidR="00A33979">
        <w:t>baseline simulation</w:t>
      </w:r>
      <w:r w:rsidR="00250D10">
        <w:t xml:space="preserve">, </w:t>
      </w:r>
      <w:r w:rsidR="00E66237">
        <w:t xml:space="preserve">and </w:t>
      </w:r>
      <w:r w:rsidR="00250D10">
        <w:t xml:space="preserve">only </w:t>
      </w:r>
      <w:r w:rsidR="00E66237">
        <w:t xml:space="preserve">include them </w:t>
      </w:r>
      <w:r w:rsidR="00A33979">
        <w:t>in a robustness analysis</w:t>
      </w:r>
      <w:r w:rsidR="00250D10">
        <w:t>.</w:t>
      </w:r>
      <w:r w:rsidR="00DB1441">
        <w:rPr>
          <w:rStyle w:val="FootnoteReference"/>
        </w:rPr>
        <w:footnoteReference w:id="39"/>
      </w:r>
      <w:r w:rsidR="00A33979">
        <w:t xml:space="preserve"> </w:t>
      </w:r>
    </w:p>
    <w:p w14:paraId="2EEAB14B" w14:textId="146C3189" w:rsidR="00A33979" w:rsidRDefault="000C489B" w:rsidP="005639EA">
      <w:r>
        <w:t xml:space="preserve">In some cases the Commission acknowledged the merging </w:t>
      </w:r>
      <w:r w:rsidR="0028423F">
        <w:t xml:space="preserve">parties’ </w:t>
      </w:r>
      <w:r>
        <w:t xml:space="preserve">criticisms regarding the </w:t>
      </w:r>
      <w:r w:rsidR="004B2C22">
        <w:rPr>
          <w:b/>
          <w:bCs/>
        </w:rPr>
        <w:t>choice</w:t>
      </w:r>
      <w:r w:rsidR="004B2C22" w:rsidRPr="00DB05C6">
        <w:rPr>
          <w:b/>
          <w:bCs/>
        </w:rPr>
        <w:t xml:space="preserve"> </w:t>
      </w:r>
      <w:r w:rsidRPr="00DB05C6">
        <w:rPr>
          <w:b/>
          <w:bCs/>
        </w:rPr>
        <w:t>of</w:t>
      </w:r>
      <w:r w:rsidR="004B2C22">
        <w:rPr>
          <w:b/>
          <w:bCs/>
        </w:rPr>
        <w:t xml:space="preserve"> input</w:t>
      </w:r>
      <w:r w:rsidRPr="00DB05C6">
        <w:rPr>
          <w:b/>
          <w:bCs/>
        </w:rPr>
        <w:t xml:space="preserve"> data</w:t>
      </w:r>
      <w:r>
        <w:t xml:space="preserve"> into its simulation</w:t>
      </w:r>
      <w:r w:rsidR="007E6717">
        <w:t>s</w:t>
      </w:r>
      <w:r>
        <w:t>, and adjusted the input data accordingly</w:t>
      </w:r>
      <w:r w:rsidR="005639EA">
        <w:t>.</w:t>
      </w:r>
      <w:r>
        <w:rPr>
          <w:rStyle w:val="FootnoteReference"/>
        </w:rPr>
        <w:footnoteReference w:id="40"/>
      </w:r>
      <w:r w:rsidR="005639EA">
        <w:t xml:space="preserve"> </w:t>
      </w:r>
      <w:r w:rsidR="00735643">
        <w:t xml:space="preserve">In other cases </w:t>
      </w:r>
      <w:r w:rsidR="00A33979">
        <w:t xml:space="preserve">criticisms </w:t>
      </w:r>
      <w:r w:rsidR="002C3BEB">
        <w:t xml:space="preserve">related to </w:t>
      </w:r>
      <w:r w:rsidR="0024294B" w:rsidRPr="0024294B">
        <w:t>the choice of data for calculating diversion ratios between the firms in the market</w:t>
      </w:r>
      <w:r w:rsidR="0024294B">
        <w:t>,</w:t>
      </w:r>
      <w:r w:rsidR="0024294B">
        <w:rPr>
          <w:rStyle w:val="FootnoteReference"/>
        </w:rPr>
        <w:footnoteReference w:id="41"/>
      </w:r>
      <w:r w:rsidR="0024294B" w:rsidRPr="0024294B">
        <w:t xml:space="preserve"> </w:t>
      </w:r>
      <w:r w:rsidR="00A33979">
        <w:t>the choice of lower quality data when allegedly better data was available,</w:t>
      </w:r>
      <w:r w:rsidR="00A33979">
        <w:rPr>
          <w:rStyle w:val="FootnoteReference"/>
        </w:rPr>
        <w:footnoteReference w:id="42"/>
      </w:r>
      <w:r w:rsidR="00A33979">
        <w:t xml:space="preserve"> or combining input data sources in a</w:t>
      </w:r>
      <w:r w:rsidR="00FA6713">
        <w:t>n</w:t>
      </w:r>
      <w:r w:rsidR="00A33979">
        <w:t xml:space="preserve"> </w:t>
      </w:r>
      <w:r w:rsidR="00FA6713">
        <w:t>in</w:t>
      </w:r>
      <w:r w:rsidR="00A33979">
        <w:t>consistent way.</w:t>
      </w:r>
      <w:r w:rsidR="00A33979">
        <w:rPr>
          <w:rStyle w:val="FootnoteReference"/>
        </w:rPr>
        <w:footnoteReference w:id="43"/>
      </w:r>
    </w:p>
    <w:p w14:paraId="5F5A2EFE" w14:textId="36EEC195" w:rsidR="002B13BE" w:rsidRDefault="002B13BE" w:rsidP="00F07A85">
      <w:pPr>
        <w:pStyle w:val="Heading2"/>
      </w:pPr>
      <w:r>
        <w:t>Outcomes</w:t>
      </w:r>
    </w:p>
    <w:p w14:paraId="58027E3A" w14:textId="473A9A56" w:rsidR="00BF4BFE" w:rsidDel="00D97A97" w:rsidRDefault="004723EC" w:rsidP="00BF4BFE">
      <w:r>
        <w:t>Often, t</w:t>
      </w:r>
      <w:r w:rsidR="00D32F54">
        <w:t>he simulation</w:t>
      </w:r>
      <w:r w:rsidR="007E6717">
        <w:t xml:space="preserve"> </w:t>
      </w:r>
      <w:r w:rsidR="007E6717" w:rsidRPr="00567132">
        <w:rPr>
          <w:b/>
          <w:bCs/>
        </w:rPr>
        <w:t>model</w:t>
      </w:r>
      <w:r w:rsidR="00D32F54" w:rsidRPr="00567132">
        <w:rPr>
          <w:b/>
          <w:bCs/>
        </w:rPr>
        <w:t xml:space="preserve"> </w:t>
      </w:r>
      <w:r w:rsidRPr="00567132">
        <w:rPr>
          <w:b/>
          <w:bCs/>
        </w:rPr>
        <w:t xml:space="preserve">impacted </w:t>
      </w:r>
      <w:r w:rsidR="00627C19" w:rsidRPr="00567132">
        <w:rPr>
          <w:b/>
          <w:bCs/>
        </w:rPr>
        <w:t xml:space="preserve">the </w:t>
      </w:r>
      <w:r w:rsidR="00BF4BFE" w:rsidRPr="003E367B" w:rsidDel="00D97A97">
        <w:rPr>
          <w:b/>
          <w:bCs/>
        </w:rPr>
        <w:t>set of divestments</w:t>
      </w:r>
      <w:r w:rsidR="00310D3B">
        <w:t>, but we observed some inconsistency in the decisions. For example,</w:t>
      </w:r>
      <w:r w:rsidR="00BF4BFE" w:rsidDel="00D97A97">
        <w:t xml:space="preserve"> </w:t>
      </w:r>
      <w:r w:rsidR="00A158D0">
        <w:t xml:space="preserve">in some cases </w:t>
      </w:r>
      <w:r w:rsidR="00BF4BFE" w:rsidDel="00D97A97">
        <w:t xml:space="preserve">the merging </w:t>
      </w:r>
      <w:r w:rsidR="0028423F">
        <w:t>partie</w:t>
      </w:r>
      <w:r w:rsidR="0028423F" w:rsidDel="00D97A97">
        <w:t xml:space="preserve">s’ </w:t>
      </w:r>
      <w:r w:rsidR="00BF4BFE" w:rsidDel="00D97A97">
        <w:t>simulation was deployed in some countries but not others</w:t>
      </w:r>
      <w:r w:rsidR="00D028FD">
        <w:t>,</w:t>
      </w:r>
      <w:r w:rsidR="00BF4BFE" w:rsidDel="00D97A97">
        <w:t xml:space="preserve"> despite the merging </w:t>
      </w:r>
      <w:r w:rsidR="0028423F">
        <w:t>partie</w:t>
      </w:r>
      <w:r w:rsidR="0028423F" w:rsidDel="00D97A97">
        <w:t xml:space="preserve">s’ </w:t>
      </w:r>
      <w:r w:rsidR="00BF4BFE" w:rsidDel="00D97A97">
        <w:t>combined shares being similarly high across them all.</w:t>
      </w:r>
      <w:r w:rsidR="00A158D0">
        <w:t xml:space="preserve"> As a result</w:t>
      </w:r>
      <w:r w:rsidR="00BF4BFE" w:rsidDel="00D97A97">
        <w:t>, divestment</w:t>
      </w:r>
      <w:r w:rsidR="001303F8">
        <w:t xml:space="preserve"> remedie</w:t>
      </w:r>
      <w:r w:rsidR="00BF4BFE" w:rsidDel="00D97A97">
        <w:t xml:space="preserve">s were </w:t>
      </w:r>
      <w:r w:rsidR="00910027">
        <w:t xml:space="preserve">not </w:t>
      </w:r>
      <w:r w:rsidR="00BF4BFE" w:rsidDel="00D97A97">
        <w:t>required in some of the countries where the simulation was deployed.</w:t>
      </w:r>
      <w:r w:rsidR="00A158D0">
        <w:rPr>
          <w:rStyle w:val="FootnoteReference"/>
        </w:rPr>
        <w:footnoteReference w:id="44"/>
      </w:r>
      <w:r w:rsidR="00BF4BFE" w:rsidDel="00D97A97">
        <w:t xml:space="preserve"> </w:t>
      </w:r>
      <w:r w:rsidR="008402A0">
        <w:t xml:space="preserve">In </w:t>
      </w:r>
      <w:r w:rsidR="00BD666F">
        <w:t>another case</w:t>
      </w:r>
      <w:r w:rsidR="00BF4BFE" w:rsidDel="00D97A97">
        <w:t xml:space="preserve"> the merging </w:t>
      </w:r>
      <w:r w:rsidR="0028423F">
        <w:t>partie</w:t>
      </w:r>
      <w:r w:rsidR="0028423F" w:rsidDel="00D97A97">
        <w:t xml:space="preserve">s </w:t>
      </w:r>
      <w:r w:rsidR="00BF4BFE" w:rsidDel="00D97A97">
        <w:t>initially proposed divestment</w:t>
      </w:r>
      <w:r w:rsidR="001303F8">
        <w:t xml:space="preserve"> remedie</w:t>
      </w:r>
      <w:r w:rsidR="00BF4BFE" w:rsidDel="00D97A97">
        <w:t>s on a certain expected ‘broad’ market definition – its simulation, once accounting for this divestment</w:t>
      </w:r>
      <w:r w:rsidR="001303F8">
        <w:t xml:space="preserve"> remedy</w:t>
      </w:r>
      <w:r w:rsidR="00BF4BFE" w:rsidDel="00D97A97">
        <w:t>, showed that the price increase would be reduced to 2%.</w:t>
      </w:r>
      <w:r w:rsidR="00BD666F">
        <w:rPr>
          <w:rStyle w:val="FootnoteReference"/>
        </w:rPr>
        <w:footnoteReference w:id="45"/>
      </w:r>
      <w:r w:rsidR="00BF4BFE" w:rsidDel="00D97A97">
        <w:t xml:space="preserve"> Nevertheless, the </w:t>
      </w:r>
      <w:r w:rsidR="008B63A1">
        <w:t>Commission</w:t>
      </w:r>
      <w:r w:rsidR="00BF4BFE" w:rsidDel="00D97A97">
        <w:t xml:space="preserve"> decided upon narrower product markets, for which the initial proposed divestment </w:t>
      </w:r>
      <w:r w:rsidR="001303F8">
        <w:t xml:space="preserve">remedy </w:t>
      </w:r>
      <w:r w:rsidR="00BF4BFE" w:rsidDel="00D97A97">
        <w:t xml:space="preserve">would not </w:t>
      </w:r>
      <w:r w:rsidR="00BF4BFE" w:rsidDel="00D97A97">
        <w:lastRenderedPageBreak/>
        <w:t xml:space="preserve">alleviate all of </w:t>
      </w:r>
      <w:r w:rsidR="004B2061">
        <w:t>its</w:t>
      </w:r>
      <w:r w:rsidR="00BF4BFE" w:rsidDel="00D97A97">
        <w:t xml:space="preserve"> competition concerns. As a result, the final divestment </w:t>
      </w:r>
      <w:r w:rsidR="00381529">
        <w:t xml:space="preserve">remedy </w:t>
      </w:r>
      <w:r w:rsidR="00BF4BFE" w:rsidDel="00D97A97">
        <w:t>package was larger, consisting of more brands.</w:t>
      </w:r>
    </w:p>
    <w:p w14:paraId="1AA64DFA" w14:textId="21740673" w:rsidR="00F55A67" w:rsidRDefault="004F0BFE" w:rsidP="00F55A67">
      <w:r>
        <w:t xml:space="preserve">Some of the simulations </w:t>
      </w:r>
      <w:r w:rsidR="00F55A67">
        <w:t>produce</w:t>
      </w:r>
      <w:r w:rsidR="00DC7761">
        <w:t>d</w:t>
      </w:r>
      <w:r w:rsidR="00F55A67">
        <w:t xml:space="preserve"> </w:t>
      </w:r>
      <w:r w:rsidR="00F55A67" w:rsidRPr="00B319B4">
        <w:rPr>
          <w:b/>
          <w:bCs/>
        </w:rPr>
        <w:t xml:space="preserve">results that </w:t>
      </w:r>
      <w:r w:rsidR="00C726B9" w:rsidRPr="00B319B4">
        <w:rPr>
          <w:b/>
          <w:bCs/>
        </w:rPr>
        <w:t>we</w:t>
      </w:r>
      <w:r w:rsidR="00F55A67" w:rsidRPr="00B319B4">
        <w:rPr>
          <w:b/>
          <w:bCs/>
        </w:rPr>
        <w:t>re</w:t>
      </w:r>
      <w:r w:rsidR="00F55A67">
        <w:t xml:space="preserve"> </w:t>
      </w:r>
      <w:r w:rsidR="00F55A67" w:rsidRPr="005429EE">
        <w:rPr>
          <w:b/>
        </w:rPr>
        <w:t>overly sensitive</w:t>
      </w:r>
      <w:r w:rsidR="00F55A67">
        <w:t xml:space="preserve"> to small changes in the inputs. These issues arose solely in the </w:t>
      </w:r>
      <w:r w:rsidR="00760515">
        <w:t>simulations</w:t>
      </w:r>
      <w:r w:rsidR="00F55A67">
        <w:t xml:space="preserve"> based on particularly sophisticated econometrically-estimated demand (i.e., BLP or random coefficients (RCs) models), as compared to simpler models such as nested logit. As a result, </w:t>
      </w:r>
      <w:r w:rsidR="004077DC">
        <w:t>other</w:t>
      </w:r>
      <w:r w:rsidR="00F55A67">
        <w:t xml:space="preserve"> methods </w:t>
      </w:r>
      <w:r w:rsidR="00C726B9">
        <w:t>we</w:t>
      </w:r>
      <w:r w:rsidR="00F55A67">
        <w:t xml:space="preserve">re </w:t>
      </w:r>
      <w:r w:rsidR="00390476">
        <w:t>summoned</w:t>
      </w:r>
      <w:r w:rsidR="00F55A67">
        <w:t xml:space="preserve"> to estimate them, such as numerical methods, which c</w:t>
      </w:r>
      <w:r w:rsidR="00C726B9">
        <w:t>ould</w:t>
      </w:r>
      <w:r w:rsidR="00F55A67">
        <w:t xml:space="preserve"> allegedly produce ‘unstable’ results that </w:t>
      </w:r>
      <w:r w:rsidR="004077DC">
        <w:t>we</w:t>
      </w:r>
      <w:r w:rsidR="00F55A67">
        <w:t>re harder to replicate.</w:t>
      </w:r>
      <w:r w:rsidR="00AC4B44">
        <w:rPr>
          <w:rStyle w:val="FootnoteReference"/>
        </w:rPr>
        <w:footnoteReference w:id="46"/>
      </w:r>
    </w:p>
    <w:p w14:paraId="1ED9AC3F" w14:textId="0EE103D1" w:rsidR="005C5DB3" w:rsidRDefault="005C5DB3" w:rsidP="00F55A67">
      <w:r w:rsidDel="00D97A97">
        <w:t xml:space="preserve">The </w:t>
      </w:r>
      <w:r w:rsidRPr="00D128C1" w:rsidDel="00D97A97">
        <w:rPr>
          <w:b/>
        </w:rPr>
        <w:t>realism of elasticities</w:t>
      </w:r>
      <w:r w:rsidDel="00D97A97">
        <w:t xml:space="preserve"> predicted by the simulation </w:t>
      </w:r>
      <w:r>
        <w:t>is</w:t>
      </w:r>
      <w:r w:rsidDel="00D97A97">
        <w:t xml:space="preserve"> a key factor in the price </w:t>
      </w:r>
      <w:r w:rsidR="006C08D8">
        <w:t>change</w:t>
      </w:r>
      <w:r w:rsidDel="00D97A97">
        <w:t>s it predicts</w:t>
      </w:r>
      <w:r>
        <w:t>, and is one of the key assumptions behind a simulation model.</w:t>
      </w:r>
      <w:r w:rsidDel="00D97A97">
        <w:t xml:space="preserve"> </w:t>
      </w:r>
      <w:r>
        <w:t>For example, in</w:t>
      </w:r>
      <w:r w:rsidDel="00D97A97">
        <w:t xml:space="preserve"> </w:t>
      </w:r>
      <w:r w:rsidRPr="00D128C1" w:rsidDel="00D97A97">
        <w:rPr>
          <w:i/>
          <w:iCs/>
        </w:rPr>
        <w:t>D</w:t>
      </w:r>
      <w:r w:rsidRPr="00D128C1">
        <w:rPr>
          <w:i/>
          <w:iCs/>
        </w:rPr>
        <w:t>EMB</w:t>
      </w:r>
      <w:r w:rsidRPr="00D128C1" w:rsidDel="00D97A97">
        <w:rPr>
          <w:i/>
        </w:rPr>
        <w:t>/Mondelez</w:t>
      </w:r>
      <w:r w:rsidDel="00D97A97">
        <w:t>, because the simulation was judged to have been applied to the wrong market definition (see above) the substitution patterns it predicted were also judged to be unrealistic.</w:t>
      </w:r>
    </w:p>
    <w:p w14:paraId="5A329415" w14:textId="7EB2A2FA" w:rsidR="00F55A67" w:rsidRDefault="003F3BD4" w:rsidP="00215968">
      <w:r>
        <w:t>Finally, s</w:t>
      </w:r>
      <w:r w:rsidR="00A55944">
        <w:t>ome other cases produced results, where the parties contested t</w:t>
      </w:r>
      <w:r w:rsidR="00F55A67">
        <w:t xml:space="preserve">he </w:t>
      </w:r>
      <w:r w:rsidR="00E249E1" w:rsidRPr="00E249E1">
        <w:rPr>
          <w:b/>
          <w:bCs/>
        </w:rPr>
        <w:t>precision</w:t>
      </w:r>
      <w:r w:rsidR="00F55A67" w:rsidRPr="00E249E1">
        <w:rPr>
          <w:b/>
        </w:rPr>
        <w:t xml:space="preserve"> of</w:t>
      </w:r>
      <w:r w:rsidR="00F55A67">
        <w:t xml:space="preserve"> </w:t>
      </w:r>
      <w:r w:rsidR="00F55A67">
        <w:rPr>
          <w:b/>
        </w:rPr>
        <w:t xml:space="preserve">the </w:t>
      </w:r>
      <w:r w:rsidR="00F55A67" w:rsidRPr="00A71B3F">
        <w:rPr>
          <w:b/>
          <w:bCs/>
        </w:rPr>
        <w:t>predictions</w:t>
      </w:r>
      <w:r w:rsidR="007A615E">
        <w:t>. The Commission used various methods to address these criticisms, for example using Monte Carlo simulations to estimate confidence intervals</w:t>
      </w:r>
      <w:r w:rsidR="00ED65C6">
        <w:t>.</w:t>
      </w:r>
      <w:r w:rsidR="007A615E">
        <w:rPr>
          <w:rStyle w:val="FootnoteReference"/>
        </w:rPr>
        <w:footnoteReference w:id="47"/>
      </w:r>
      <w:r w:rsidR="007A615E">
        <w:t xml:space="preserve"> </w:t>
      </w:r>
    </w:p>
    <w:p w14:paraId="48253432" w14:textId="5D5D1E27" w:rsidR="007A68F5" w:rsidDel="00095DDF" w:rsidRDefault="007A68F5" w:rsidP="00474A00">
      <w:r w:rsidDel="00095DDF">
        <w:t xml:space="preserve">As the above overview suggests, methodological </w:t>
      </w:r>
      <w:r w:rsidR="00A754E0" w:rsidDel="00095DDF">
        <w:t xml:space="preserve">issues such as model </w:t>
      </w:r>
      <w:r w:rsidDel="00095DDF">
        <w:t>choices</w:t>
      </w:r>
      <w:r w:rsidR="00A754E0" w:rsidDel="00095DDF">
        <w:t xml:space="preserve"> or modelling assumptions</w:t>
      </w:r>
      <w:r w:rsidDel="00095DDF">
        <w:t xml:space="preserve"> </w:t>
      </w:r>
      <w:r w:rsidR="00A754E0" w:rsidDel="00095DDF">
        <w:t xml:space="preserve">in merger simulations </w:t>
      </w:r>
      <w:r w:rsidR="00AC66AC" w:rsidDel="00095DDF">
        <w:t xml:space="preserve">are most likely to be contested between the </w:t>
      </w:r>
      <w:r w:rsidR="001849F5">
        <w:t>Commission</w:t>
      </w:r>
      <w:r w:rsidR="001849F5" w:rsidDel="00095DDF">
        <w:t xml:space="preserve"> </w:t>
      </w:r>
      <w:r w:rsidR="00AC66AC" w:rsidDel="00095DDF">
        <w:t xml:space="preserve">and the merging </w:t>
      </w:r>
      <w:r w:rsidR="0028423F">
        <w:t>partie</w:t>
      </w:r>
      <w:r w:rsidR="00886626">
        <w:t>s</w:t>
      </w:r>
      <w:r w:rsidR="00AC66AC" w:rsidDel="00095DDF">
        <w:t>. T</w:t>
      </w:r>
      <w:r w:rsidR="00A754E0" w:rsidDel="00095DDF">
        <w:t xml:space="preserve">his is not surprising, </w:t>
      </w:r>
      <w:r w:rsidR="001E587E">
        <w:t xml:space="preserve">as </w:t>
      </w:r>
      <w:r w:rsidR="00A754E0" w:rsidDel="00095DDF">
        <w:t xml:space="preserve">the choice of the </w:t>
      </w:r>
      <w:r w:rsidR="00C30403" w:rsidDel="00095DDF">
        <w:t xml:space="preserve">simulation method and the assumptions can lead to widely differing </w:t>
      </w:r>
      <w:r w:rsidR="00B63991">
        <w:t>price change</w:t>
      </w:r>
      <w:r w:rsidR="00C30403" w:rsidDel="00095DDF">
        <w:t xml:space="preserve"> predictions. </w:t>
      </w:r>
      <w:r w:rsidR="00F55731" w:rsidDel="00095DDF">
        <w:t xml:space="preserve">In </w:t>
      </w:r>
      <w:r w:rsidR="005E3798">
        <w:t>s</w:t>
      </w:r>
      <w:r w:rsidR="00F55731" w:rsidDel="00095DDF">
        <w:t xml:space="preserve">ection </w:t>
      </w:r>
      <w:r w:rsidR="006A211F">
        <w:t>5</w:t>
      </w:r>
      <w:r w:rsidR="005E3798">
        <w:t xml:space="preserve"> and 6</w:t>
      </w:r>
      <w:r w:rsidR="00886626">
        <w:t xml:space="preserve"> </w:t>
      </w:r>
      <w:r w:rsidR="00F55731" w:rsidDel="00095DDF">
        <w:t xml:space="preserve">we aim to </w:t>
      </w:r>
      <w:r w:rsidR="004B62E3" w:rsidDel="00095DDF">
        <w:t xml:space="preserve">further understand what drives these </w:t>
      </w:r>
      <w:r w:rsidR="00B63991">
        <w:t>price change</w:t>
      </w:r>
      <w:r w:rsidR="004B62E3" w:rsidDel="00095DDF">
        <w:t xml:space="preserve"> estimates</w:t>
      </w:r>
      <w:r w:rsidR="00F55731" w:rsidDel="00095DDF">
        <w:t>.</w:t>
      </w:r>
    </w:p>
    <w:p w14:paraId="4ECE70AF" w14:textId="20AC72F6" w:rsidR="00B82132" w:rsidRDefault="00B82132" w:rsidP="00B82132">
      <w:pPr>
        <w:pStyle w:val="Heading2"/>
      </w:pPr>
      <w:r>
        <w:t>The role of the Chief Economist</w:t>
      </w:r>
    </w:p>
    <w:p w14:paraId="3D1B6085" w14:textId="554F7102" w:rsidR="00820A44" w:rsidRDefault="00E41EF0" w:rsidP="00820A44">
      <w:r>
        <w:t>Although the Chief Economist</w:t>
      </w:r>
      <w:r w:rsidR="00FD7EBB">
        <w:t xml:space="preserve"> </w:t>
      </w:r>
      <w:r w:rsidR="00653D79">
        <w:t xml:space="preserve">and the Chief Economist Team </w:t>
      </w:r>
      <w:r w:rsidR="00C51936">
        <w:t>(CE</w:t>
      </w:r>
      <w:r w:rsidR="00653D79">
        <w:t>T</w:t>
      </w:r>
      <w:r w:rsidR="00C51936">
        <w:t xml:space="preserve">) </w:t>
      </w:r>
      <w:r w:rsidR="00FD7EBB" w:rsidRPr="00FD7EBB">
        <w:t xml:space="preserve">operate within </w:t>
      </w:r>
      <w:r w:rsidR="00FD7EBB">
        <w:t>the</w:t>
      </w:r>
      <w:r w:rsidR="00FD7EBB" w:rsidRPr="00FD7EBB">
        <w:t xml:space="preserve"> structured institutional framework</w:t>
      </w:r>
      <w:r w:rsidR="00FD7EBB">
        <w:t xml:space="preserve"> of the European Commission, they do have independence </w:t>
      </w:r>
      <w:r w:rsidR="00465AAF">
        <w:t>regarding the assessment of</w:t>
      </w:r>
      <w:r w:rsidR="00E82B24">
        <w:t xml:space="preserve"> economic</w:t>
      </w:r>
      <w:r w:rsidR="00465AAF">
        <w:t xml:space="preserve"> evidence</w:t>
      </w:r>
      <w:r w:rsidR="00CB369F">
        <w:t xml:space="preserve"> used in merger assessments</w:t>
      </w:r>
      <w:r w:rsidR="00653D79">
        <w:t>, for example</w:t>
      </w:r>
      <w:r w:rsidR="00CB369F">
        <w:t xml:space="preserve"> </w:t>
      </w:r>
      <w:r w:rsidR="006955AC">
        <w:t>influencing</w:t>
      </w:r>
      <w:r w:rsidR="00653D79">
        <w:t xml:space="preserve"> what economic evidence is put forward by the CET, as well as influencing how the CET should interpret economic evidence put forward by the merging </w:t>
      </w:r>
      <w:r w:rsidR="006F1810">
        <w:t>partie</w:t>
      </w:r>
      <w:r w:rsidR="00886626">
        <w:t xml:space="preserve">s </w:t>
      </w:r>
      <w:r w:rsidR="00653D79">
        <w:t>in merger review</w:t>
      </w:r>
      <w:r w:rsidR="00D4370B">
        <w:t>, and whether to rely on merger simulations at all in a merger case</w:t>
      </w:r>
      <w:r w:rsidR="00E82B24">
        <w:t xml:space="preserve">. </w:t>
      </w:r>
    </w:p>
    <w:p w14:paraId="66827828" w14:textId="4BA3E99C" w:rsidR="00B82132" w:rsidRDefault="005054E2" w:rsidP="00B82132">
      <w:r>
        <w:t xml:space="preserve">Table </w:t>
      </w:r>
      <w:r w:rsidR="002B407B">
        <w:t>3</w:t>
      </w:r>
      <w:r w:rsidR="003324A2">
        <w:t xml:space="preserve"> </w:t>
      </w:r>
      <w:r>
        <w:t xml:space="preserve">below lists </w:t>
      </w:r>
      <w:r w:rsidR="00274A4C">
        <w:t xml:space="preserve">each </w:t>
      </w:r>
      <w:r>
        <w:t>Chief Economist and their respective tenures. As can be seen, Massimo Motta oversaw the busiest period in terms of merger simulations deployed, which coincided with the wave of telecoms mergers.</w:t>
      </w:r>
    </w:p>
    <w:p w14:paraId="6A661014" w14:textId="63AF4300" w:rsidR="00820A44" w:rsidRDefault="005B3586" w:rsidP="00B91921">
      <w:r w:rsidRPr="005B3586">
        <w:rPr>
          <w:noProof/>
        </w:rPr>
        <w:lastRenderedPageBreak/>
        <w:t xml:space="preserve"> </w:t>
      </w:r>
      <w:r w:rsidR="00A05C0C" w:rsidRPr="00A05C0C">
        <w:rPr>
          <w:noProof/>
        </w:rPr>
        <w:drawing>
          <wp:inline distT="0" distB="0" distL="0" distR="0" wp14:anchorId="5A397A71" wp14:editId="706F86C5">
            <wp:extent cx="5731510" cy="5353685"/>
            <wp:effectExtent l="0" t="0" r="2540" b="0"/>
            <wp:docPr id="203199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3310" name=""/>
                    <pic:cNvPicPr/>
                  </pic:nvPicPr>
                  <pic:blipFill>
                    <a:blip r:embed="rId11"/>
                    <a:stretch>
                      <a:fillRect/>
                    </a:stretch>
                  </pic:blipFill>
                  <pic:spPr>
                    <a:xfrm>
                      <a:off x="0" y="0"/>
                      <a:ext cx="5731510" cy="5353685"/>
                    </a:xfrm>
                    <a:prstGeom prst="rect">
                      <a:avLst/>
                    </a:prstGeom>
                  </pic:spPr>
                </pic:pic>
              </a:graphicData>
            </a:graphic>
          </wp:inline>
        </w:drawing>
      </w:r>
    </w:p>
    <w:p w14:paraId="59F8CD18" w14:textId="102FF923" w:rsidR="00D4370B" w:rsidRDefault="00D00BE8" w:rsidP="000E1BB0">
      <w:r w:rsidRPr="00D00BE8">
        <w:t xml:space="preserve">We </w:t>
      </w:r>
      <w:r>
        <w:t xml:space="preserve">also looked at </w:t>
      </w:r>
      <w:r w:rsidR="008E06A4">
        <w:t xml:space="preserve">how contested some of the </w:t>
      </w:r>
      <w:r w:rsidR="004B5721">
        <w:t xml:space="preserve">modelling issues were when using simulations under the different Chief Economists. </w:t>
      </w:r>
      <w:r w:rsidR="004B5721" w:rsidRPr="008618F0">
        <w:t xml:space="preserve">Figure </w:t>
      </w:r>
      <w:r w:rsidR="005B69DA">
        <w:t>2</w:t>
      </w:r>
      <w:r w:rsidR="004B5721">
        <w:t xml:space="preserve"> </w:t>
      </w:r>
      <w:r w:rsidRPr="00D00BE8">
        <w:t xml:space="preserve">below shows the share of modelling issues that were </w:t>
      </w:r>
      <w:r w:rsidR="004B5721">
        <w:t>uncontested</w:t>
      </w:r>
      <w:r w:rsidRPr="00D00BE8">
        <w:t>/</w:t>
      </w:r>
      <w:r w:rsidR="00A709E2">
        <w:t>debated</w:t>
      </w:r>
      <w:r w:rsidRPr="00D00BE8">
        <w:t>/</w:t>
      </w:r>
      <w:r w:rsidR="00A709E2">
        <w:t>criticised</w:t>
      </w:r>
      <w:r w:rsidR="00A709E2" w:rsidRPr="00D00BE8">
        <w:t xml:space="preserve"> </w:t>
      </w:r>
      <w:r w:rsidRPr="00D00BE8">
        <w:t xml:space="preserve">for each. As can be seen, the share of modelling issues that did not face any </w:t>
      </w:r>
      <w:r w:rsidR="0023164A">
        <w:t xml:space="preserve">debate or </w:t>
      </w:r>
      <w:r w:rsidRPr="00D00BE8">
        <w:t>criticism at all decreased over the period, whil</w:t>
      </w:r>
      <w:r w:rsidR="00545713">
        <w:t>st</w:t>
      </w:r>
      <w:r w:rsidRPr="00D00BE8">
        <w:t xml:space="preserve"> the share of issues that were </w:t>
      </w:r>
      <w:r w:rsidR="0023164A">
        <w:t>debated or criticised</w:t>
      </w:r>
      <w:r w:rsidRPr="00D00BE8">
        <w:t xml:space="preserve"> rose. </w:t>
      </w:r>
    </w:p>
    <w:p w14:paraId="713F2485" w14:textId="297CB5B3" w:rsidR="00EE1229" w:rsidRPr="008618F0" w:rsidRDefault="00EE1229" w:rsidP="008618F0">
      <w:pPr>
        <w:pStyle w:val="Caption"/>
        <w:keepNext/>
        <w:jc w:val="center"/>
        <w:rPr>
          <w:sz w:val="20"/>
          <w:szCs w:val="20"/>
        </w:rPr>
      </w:pPr>
      <w:r w:rsidRPr="008A707F">
        <w:rPr>
          <w:i w:val="0"/>
          <w:iCs w:val="0"/>
          <w:sz w:val="20"/>
          <w:szCs w:val="20"/>
        </w:rPr>
        <w:lastRenderedPageBreak/>
        <w:t xml:space="preserve">Figure </w:t>
      </w:r>
      <w:r w:rsidR="005B69DA">
        <w:rPr>
          <w:i w:val="0"/>
          <w:iCs w:val="0"/>
          <w:sz w:val="20"/>
          <w:szCs w:val="20"/>
        </w:rPr>
        <w:t>2</w:t>
      </w:r>
      <w:r w:rsidRPr="008A707F">
        <w:rPr>
          <w:i w:val="0"/>
          <w:iCs w:val="0"/>
          <w:sz w:val="20"/>
          <w:szCs w:val="20"/>
        </w:rPr>
        <w:t xml:space="preserve"> </w:t>
      </w:r>
      <w:r w:rsidR="00464ACE">
        <w:rPr>
          <w:i w:val="0"/>
          <w:iCs w:val="0"/>
          <w:sz w:val="20"/>
          <w:szCs w:val="20"/>
        </w:rPr>
        <w:t>–</w:t>
      </w:r>
      <w:r w:rsidRPr="008A707F">
        <w:rPr>
          <w:i w:val="0"/>
          <w:iCs w:val="0"/>
          <w:sz w:val="20"/>
          <w:szCs w:val="20"/>
        </w:rPr>
        <w:t xml:space="preserve"> </w:t>
      </w:r>
      <w:r w:rsidR="00464ACE">
        <w:rPr>
          <w:i w:val="0"/>
          <w:iCs w:val="0"/>
          <w:sz w:val="20"/>
          <w:szCs w:val="20"/>
        </w:rPr>
        <w:t>Share of uncontested/debated/criticised modelling issues, by Chief Economist</w:t>
      </w:r>
    </w:p>
    <w:p w14:paraId="0C4295DE" w14:textId="0565CD8D" w:rsidR="00346DB5" w:rsidRDefault="00A20CEE" w:rsidP="00330DC1">
      <w:pPr>
        <w:jc w:val="center"/>
        <w:rPr>
          <w:noProof/>
        </w:rPr>
      </w:pPr>
      <w:r w:rsidRPr="00A20CEE">
        <w:rPr>
          <w:noProof/>
        </w:rPr>
        <w:drawing>
          <wp:inline distT="0" distB="0" distL="0" distR="0" wp14:anchorId="45085BA1" wp14:editId="5F0C261C">
            <wp:extent cx="5731510" cy="4479290"/>
            <wp:effectExtent l="0" t="0" r="2540" b="0"/>
            <wp:docPr id="190672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24396" name=""/>
                    <pic:cNvPicPr/>
                  </pic:nvPicPr>
                  <pic:blipFill>
                    <a:blip r:embed="rId12"/>
                    <a:stretch>
                      <a:fillRect/>
                    </a:stretch>
                  </pic:blipFill>
                  <pic:spPr>
                    <a:xfrm>
                      <a:off x="0" y="0"/>
                      <a:ext cx="5731510" cy="4479290"/>
                    </a:xfrm>
                    <a:prstGeom prst="rect">
                      <a:avLst/>
                    </a:prstGeom>
                  </pic:spPr>
                </pic:pic>
              </a:graphicData>
            </a:graphic>
          </wp:inline>
        </w:drawing>
      </w:r>
    </w:p>
    <w:p w14:paraId="4225D093" w14:textId="6FE93B51" w:rsidR="00F41D46" w:rsidRDefault="006204C4" w:rsidP="00506421">
      <w:pPr>
        <w:pStyle w:val="Heading1"/>
      </w:pPr>
      <w:r>
        <w:t>The p</w:t>
      </w:r>
      <w:r w:rsidR="00C36A0D">
        <w:t>rice effect</w:t>
      </w:r>
      <w:r>
        <w:t>s</w:t>
      </w:r>
      <w:r w:rsidR="00C36A0D">
        <w:t xml:space="preserve"> </w:t>
      </w:r>
      <w:r w:rsidR="00422397">
        <w:t>predicted by</w:t>
      </w:r>
      <w:r w:rsidR="00C36A0D">
        <w:t xml:space="preserve"> simulations</w:t>
      </w:r>
    </w:p>
    <w:p w14:paraId="722BCB67" w14:textId="2A73944B" w:rsidR="0058082D" w:rsidRPr="0058082D" w:rsidRDefault="0058082D" w:rsidP="00825348">
      <w:r>
        <w:t>In this section, we introduce three hypotheses regarding how the implementation of merger simulations can vary from model to model and case to case. We then assess these hypotheses qualitatively. Next, we introduce our data set of price change estimates used for our quantitative analysis in Section 6.</w:t>
      </w:r>
    </w:p>
    <w:p w14:paraId="33C0C032" w14:textId="1A743A98" w:rsidR="00022ED5" w:rsidRDefault="008A1604" w:rsidP="00567132">
      <w:pPr>
        <w:pStyle w:val="Heading2"/>
      </w:pPr>
      <w:r>
        <w:t>Hypotheses</w:t>
      </w:r>
    </w:p>
    <w:p w14:paraId="677BEB2F" w14:textId="2F2968F7" w:rsidR="00F61808" w:rsidRDefault="00D60E71" w:rsidP="003B1E6F">
      <w:r>
        <w:t xml:space="preserve">In reviewing </w:t>
      </w:r>
      <w:r w:rsidR="00E75404">
        <w:t xml:space="preserve">the </w:t>
      </w:r>
      <w:r w:rsidR="00760EFB">
        <w:t xml:space="preserve">price effects predicted by </w:t>
      </w:r>
      <w:r w:rsidR="00530C8B">
        <w:t xml:space="preserve">merger </w:t>
      </w:r>
      <w:r w:rsidR="00760EFB">
        <w:t>simulations</w:t>
      </w:r>
      <w:r w:rsidR="00530C8B">
        <w:t xml:space="preserve">, </w:t>
      </w:r>
      <w:r>
        <w:t xml:space="preserve">we focus on </w:t>
      </w:r>
      <w:r w:rsidR="00A03A94">
        <w:t xml:space="preserve">three </w:t>
      </w:r>
      <w:r>
        <w:t>main hypotheses</w:t>
      </w:r>
      <w:r w:rsidR="00DF6E59">
        <w:t xml:space="preserve">, which </w:t>
      </w:r>
      <w:r w:rsidR="005B1408">
        <w:t>both</w:t>
      </w:r>
      <w:r w:rsidR="00DF6E59">
        <w:t xml:space="preserve"> relate to </w:t>
      </w:r>
      <w:r w:rsidR="00C226BF">
        <w:t>issues</w:t>
      </w:r>
      <w:r w:rsidR="00DF6E59">
        <w:t xml:space="preserve"> that formally or informally have been </w:t>
      </w:r>
      <w:r w:rsidR="00E4557D">
        <w:t>expressed</w:t>
      </w:r>
      <w:r w:rsidR="00DF6E59">
        <w:t xml:space="preserve"> </w:t>
      </w:r>
      <w:r w:rsidR="00623B22">
        <w:t xml:space="preserve">by </w:t>
      </w:r>
      <w:r w:rsidR="00AF4D59">
        <w:t xml:space="preserve">previous </w:t>
      </w:r>
      <w:r w:rsidR="00623B22">
        <w:t>commentators</w:t>
      </w:r>
      <w:r w:rsidR="00C226BF">
        <w:t xml:space="preserve"> or by the </w:t>
      </w:r>
      <w:r w:rsidR="00E936AE">
        <w:t>Commission itself</w:t>
      </w:r>
      <w:r w:rsidR="00F61808">
        <w:t>, and that we identified to be the most contentious when reviewing the decisions</w:t>
      </w:r>
      <w:r w:rsidR="00077452">
        <w:t xml:space="preserve">. </w:t>
      </w:r>
    </w:p>
    <w:p w14:paraId="3EEF4A29" w14:textId="1320AC3A" w:rsidR="003B1E6F" w:rsidRDefault="003E563E" w:rsidP="003B1E6F">
      <w:r>
        <w:t>More specifically, w</w:t>
      </w:r>
      <w:r w:rsidR="00077452">
        <w:t>e</w:t>
      </w:r>
      <w:r w:rsidR="00077452" w:rsidDel="00E936AE">
        <w:t xml:space="preserve"> </w:t>
      </w:r>
      <w:r w:rsidR="00077452">
        <w:t xml:space="preserve">test whether simulation outcomes depend </w:t>
      </w:r>
      <w:r w:rsidR="006235A7">
        <w:t xml:space="preserve">materially </w:t>
      </w:r>
      <w:r w:rsidR="00077452">
        <w:t xml:space="preserve">on the methods </w:t>
      </w:r>
      <w:r w:rsidR="006235A7">
        <w:t xml:space="preserve">and models </w:t>
      </w:r>
      <w:r w:rsidR="00077452">
        <w:t xml:space="preserve">used, </w:t>
      </w:r>
      <w:r w:rsidR="005B1408">
        <w:t xml:space="preserve">whether it </w:t>
      </w:r>
      <w:r>
        <w:t xml:space="preserve">matters for the price </w:t>
      </w:r>
      <w:r w:rsidR="00030906">
        <w:t>change</w:t>
      </w:r>
      <w:r w:rsidR="0053144D">
        <w:t xml:space="preserve"> </w:t>
      </w:r>
      <w:r>
        <w:t>estimates whether the simulation was conducted</w:t>
      </w:r>
      <w:r w:rsidR="005B1408">
        <w:t xml:space="preserve"> by the Commission or the merging parties</w:t>
      </w:r>
      <w:r w:rsidR="006235A7">
        <w:t>’ economists</w:t>
      </w:r>
      <w:r w:rsidR="0053144D">
        <w:t>, and on the industry that the merger took place in</w:t>
      </w:r>
      <w:r w:rsidR="003E54D2">
        <w:t>.</w:t>
      </w:r>
      <w:r w:rsidR="003639BA">
        <w:rPr>
          <w:rStyle w:val="FootnoteReference"/>
        </w:rPr>
        <w:footnoteReference w:id="48"/>
      </w:r>
    </w:p>
    <w:p w14:paraId="13051513" w14:textId="0EE90DF3" w:rsidR="00F61808" w:rsidRDefault="00262D51" w:rsidP="00990EE3">
      <w:r w:rsidRPr="00567132">
        <w:rPr>
          <w:b/>
          <w:bCs/>
        </w:rPr>
        <w:lastRenderedPageBreak/>
        <w:t>First, do simulation outcomes depend on the method?</w:t>
      </w:r>
      <w:r>
        <w:t xml:space="preserve"> </w:t>
      </w:r>
      <w:r w:rsidR="00F61808">
        <w:t>W</w:t>
      </w:r>
      <w:r w:rsidR="00F61808">
        <w:t xml:space="preserve">hilst formal explanations are not given, there has been some speculation among practitioners that econometrically estimated simulations are possibly more likely to produce lower predicted price increases. For example, in </w:t>
      </w:r>
      <w:r w:rsidR="00F61808" w:rsidRPr="00E340AC">
        <w:rPr>
          <w:i/>
          <w:iCs/>
        </w:rPr>
        <w:t>Hutchison 3G UK/Telefónica UK</w:t>
      </w:r>
      <w:r w:rsidR="00F61808">
        <w:t>, the merging parties argued that: “</w:t>
      </w:r>
      <w:r w:rsidR="00F61808" w:rsidRPr="004126E8">
        <w:rPr>
          <w:i/>
          <w:iCs/>
        </w:rPr>
        <w:t>When in previous mergers where the Commission has complemented pricing pressure analysis with demand estimation based merger simulation techniques, those alternatives produced much lower predicted price increases</w:t>
      </w:r>
      <w:r w:rsidR="00F61808">
        <w:t>.”</w:t>
      </w:r>
      <w:r w:rsidR="00F61808">
        <w:rPr>
          <w:rStyle w:val="FootnoteReference"/>
        </w:rPr>
        <w:footnoteReference w:id="49"/>
      </w:r>
      <w:r w:rsidR="00F61808">
        <w:t xml:space="preserve"> </w:t>
      </w:r>
    </w:p>
    <w:p w14:paraId="2AB7E926" w14:textId="1DC8E0DF" w:rsidR="00D706DC" w:rsidRDefault="00F61808" w:rsidP="00990EE3">
      <w:r>
        <w:t>In the literature, w</w:t>
      </w:r>
      <w:r w:rsidR="00D9620D">
        <w:t xml:space="preserve">hen looking at different types of merger simulations, </w:t>
      </w:r>
      <w:proofErr w:type="spellStart"/>
      <w:r w:rsidR="00D9620D">
        <w:t>Froeb</w:t>
      </w:r>
      <w:proofErr w:type="spellEnd"/>
      <w:r w:rsidR="00D9620D">
        <w:t xml:space="preserve"> et al. (2003) find that different assumptions regarding the shape of the demand curve </w:t>
      </w:r>
      <w:r w:rsidR="00FD5A79">
        <w:t xml:space="preserve">(linear, log-linear etc.) </w:t>
      </w:r>
      <w:r w:rsidR="00D9620D">
        <w:t xml:space="preserve">can have a large effect on the resulting elasticity estimates and thus price increase predictions. </w:t>
      </w:r>
      <w:r w:rsidR="005D05E8">
        <w:t>T</w:t>
      </w:r>
      <w:r w:rsidR="005142F9">
        <w:t xml:space="preserve">here is </w:t>
      </w:r>
      <w:r w:rsidR="005D05E8">
        <w:t xml:space="preserve">also </w:t>
      </w:r>
      <w:r w:rsidR="00FD5A79">
        <w:t>a consensus</w:t>
      </w:r>
      <w:r w:rsidR="005142F9">
        <w:t xml:space="preserve"> that simulations (under certain assumptions) produce larger price-increase </w:t>
      </w:r>
      <w:r w:rsidR="00580B96">
        <w:t>predictions</w:t>
      </w:r>
      <w:r w:rsidR="005D05E8">
        <w:t xml:space="preserve"> than price-pressure methods</w:t>
      </w:r>
      <w:r w:rsidR="005142F9">
        <w:t>. For example</w:t>
      </w:r>
      <w:r w:rsidR="00872A41">
        <w:t>,</w:t>
      </w:r>
      <w:r w:rsidR="005142F9">
        <w:t xml:space="preserve"> </w:t>
      </w:r>
      <w:proofErr w:type="spellStart"/>
      <w:r w:rsidR="00947179">
        <w:t>Valletti</w:t>
      </w:r>
      <w:proofErr w:type="spellEnd"/>
      <w:r w:rsidR="00947179">
        <w:t xml:space="preserve"> and Zenger (2021) rank price-pressure methods and calibrated simulations (with isoelastic demand), and show that isoelastic simulations produce larger price increases than </w:t>
      </w:r>
      <w:r w:rsidR="00637860">
        <w:t>illustrative price rise (</w:t>
      </w:r>
      <w:r w:rsidR="00947179">
        <w:t>IPR</w:t>
      </w:r>
      <w:r w:rsidR="00637860">
        <w:t>)</w:t>
      </w:r>
      <w:r w:rsidR="00947179">
        <w:t xml:space="preserve">, GUPPI, or </w:t>
      </w:r>
      <w:r w:rsidR="00637860">
        <w:t>compensating marginal cost reduction (</w:t>
      </w:r>
      <w:r w:rsidR="00947179">
        <w:t>CMCR</w:t>
      </w:r>
      <w:r w:rsidR="00637860">
        <w:t>)</w:t>
      </w:r>
      <w:r w:rsidR="00947179">
        <w:t>.</w:t>
      </w:r>
      <w:r w:rsidR="007449E5">
        <w:rPr>
          <w:rStyle w:val="FootnoteReference"/>
        </w:rPr>
        <w:footnoteReference w:id="50"/>
      </w:r>
    </w:p>
    <w:p w14:paraId="0B5C35AE" w14:textId="504D7309" w:rsidR="00990EE3" w:rsidRDefault="00D706DC" w:rsidP="00990EE3">
      <w:r>
        <w:t>As explained in Section 2, we distinguish between two branches of simulations methods: calibrated and econometrically estimated.</w:t>
      </w:r>
      <w:r w:rsidR="003E5A5E">
        <w:t xml:space="preserve"> </w:t>
      </w:r>
      <w:r w:rsidR="00B63375">
        <w:t>12</w:t>
      </w:r>
      <w:r w:rsidR="00A3213F">
        <w:t xml:space="preserve"> </w:t>
      </w:r>
      <w:r>
        <w:t xml:space="preserve">of our </w:t>
      </w:r>
      <w:r w:rsidR="009B0B27">
        <w:t xml:space="preserve">simulation </w:t>
      </w:r>
      <w:r w:rsidR="00A3213F">
        <w:t>models</w:t>
      </w:r>
      <w:r w:rsidR="00B63375">
        <w:t xml:space="preserve"> had their parameters calibrated (</w:t>
      </w:r>
      <w:r w:rsidR="008A2114">
        <w:t>eight</w:t>
      </w:r>
      <w:r w:rsidR="00AD66FD">
        <w:t xml:space="preserve"> with the standard Bertrand-Nash framework of differentiated products, </w:t>
      </w:r>
      <w:r w:rsidR="008A2114">
        <w:t>two</w:t>
      </w:r>
      <w:r w:rsidR="00AD66FD">
        <w:t xml:space="preserve"> with the Bertrand-Edgeworth model, </w:t>
      </w:r>
      <w:r w:rsidR="008A2114">
        <w:t>one</w:t>
      </w:r>
      <w:r w:rsidR="00AD66FD">
        <w:t xml:space="preserve"> with an auction model and </w:t>
      </w:r>
      <w:r w:rsidR="008A2114">
        <w:t>one</w:t>
      </w:r>
      <w:r w:rsidR="00AD66FD">
        <w:t xml:space="preserve"> with a Cournot model), and 10 </w:t>
      </w:r>
      <w:r w:rsidR="00A3213F">
        <w:t xml:space="preserve">models </w:t>
      </w:r>
      <w:r w:rsidR="00AD66FD">
        <w:t>had their parameters econometrically estimated (</w:t>
      </w:r>
      <w:r w:rsidR="008A2114">
        <w:t>six</w:t>
      </w:r>
      <w:r w:rsidR="00AD66FD">
        <w:t xml:space="preserve"> with the nested logit demand model, </w:t>
      </w:r>
      <w:r w:rsidR="008A2114">
        <w:t>two</w:t>
      </w:r>
      <w:r w:rsidR="00A3213F">
        <w:t xml:space="preserve"> with the BLP demand model and </w:t>
      </w:r>
      <w:r w:rsidR="008A2114">
        <w:t>two</w:t>
      </w:r>
      <w:r w:rsidR="00A3213F">
        <w:t xml:space="preserve"> with the random coefficients demand model).</w:t>
      </w:r>
      <w:r w:rsidR="00930F39">
        <w:t xml:space="preserve"> </w:t>
      </w:r>
      <w:r w:rsidR="00C6202D">
        <w:t>W</w:t>
      </w:r>
      <w:r w:rsidR="00990EE3">
        <w:t xml:space="preserve">e are not aware of any </w:t>
      </w:r>
      <w:r w:rsidR="00293D5E">
        <w:t xml:space="preserve">work </w:t>
      </w:r>
      <w:r w:rsidR="00FF5861">
        <w:t>analysi</w:t>
      </w:r>
      <w:r w:rsidR="00293D5E">
        <w:t>ng</w:t>
      </w:r>
      <w:r w:rsidR="00FF5861">
        <w:t xml:space="preserve"> whether</w:t>
      </w:r>
      <w:r w:rsidR="00FF5861" w:rsidDel="00C6202D">
        <w:t xml:space="preserve"> </w:t>
      </w:r>
      <w:r w:rsidR="00C6202D">
        <w:t xml:space="preserve">these two types of model </w:t>
      </w:r>
      <w:r w:rsidR="00FF5861">
        <w:t>are likely to produce systematically different post-merger price predictions</w:t>
      </w:r>
      <w:r w:rsidR="00990EE3">
        <w:t xml:space="preserve">. </w:t>
      </w:r>
    </w:p>
    <w:p w14:paraId="048C365E" w14:textId="0F24DC15" w:rsidR="00E6710E" w:rsidRDefault="00A44025" w:rsidP="00E6710E">
      <w:r>
        <w:rPr>
          <w:i/>
        </w:rPr>
        <w:t>A</w:t>
      </w:r>
      <w:r w:rsidRPr="00A85BCA">
        <w:rPr>
          <w:i/>
        </w:rPr>
        <w:t xml:space="preserve"> priori</w:t>
      </w:r>
      <w:r>
        <w:t>, if the assumptions behind the calibrated simulations are aligned with the core parameter estimates of the econometric simulations, there is no economic reason why predictions using one method should be different from the predictions of the other. On the other hand, differences in the assumptions behind calibrated versus estimated demand parameters, or differences in how efficiencies are taken into account can lead to differences in estimates</w:t>
      </w:r>
      <w:r w:rsidR="00F61808">
        <w:t>.</w:t>
      </w:r>
    </w:p>
    <w:p w14:paraId="3EA465B3" w14:textId="24738ADC" w:rsidR="00150860" w:rsidRDefault="00EE605E" w:rsidP="00BA37D4">
      <w:pPr>
        <w:rPr>
          <w:iCs/>
        </w:rPr>
      </w:pPr>
      <w:r w:rsidRPr="00567132">
        <w:rPr>
          <w:b/>
          <w:bCs/>
        </w:rPr>
        <w:t>Second, d</w:t>
      </w:r>
      <w:r w:rsidR="003E54D2" w:rsidRPr="00567132">
        <w:rPr>
          <w:b/>
          <w:bCs/>
        </w:rPr>
        <w:t xml:space="preserve">o simulation outcomes depend on whether </w:t>
      </w:r>
      <w:r w:rsidR="0051316E" w:rsidRPr="00567132">
        <w:rPr>
          <w:b/>
          <w:bCs/>
        </w:rPr>
        <w:t>they were prepared</w:t>
      </w:r>
      <w:r w:rsidR="003E54D2" w:rsidRPr="00567132">
        <w:rPr>
          <w:b/>
          <w:bCs/>
        </w:rPr>
        <w:t xml:space="preserve"> by the </w:t>
      </w:r>
      <w:r w:rsidR="00250DA0" w:rsidRPr="00567132">
        <w:rPr>
          <w:b/>
          <w:bCs/>
        </w:rPr>
        <w:t xml:space="preserve">Commission </w:t>
      </w:r>
      <w:r w:rsidR="003E54D2" w:rsidRPr="00567132">
        <w:rPr>
          <w:b/>
          <w:bCs/>
        </w:rPr>
        <w:t xml:space="preserve">or the </w:t>
      </w:r>
      <w:r w:rsidR="00297F9E" w:rsidRPr="00567132">
        <w:rPr>
          <w:b/>
          <w:bCs/>
        </w:rPr>
        <w:t>merging parties</w:t>
      </w:r>
      <w:r w:rsidR="003E54D2" w:rsidRPr="00567132">
        <w:rPr>
          <w:b/>
          <w:bCs/>
        </w:rPr>
        <w:t>?</w:t>
      </w:r>
      <w:r w:rsidRPr="00567132">
        <w:rPr>
          <w:b/>
          <w:bCs/>
          <w:iCs/>
        </w:rPr>
        <w:t xml:space="preserve"> </w:t>
      </w:r>
      <w:r w:rsidR="00995594">
        <w:rPr>
          <w:iCs/>
        </w:rPr>
        <w:t xml:space="preserve">This hypothesis arises from the conception that economic advisors could be held captive to the merging parties that they represent, but also that the competition authority (in our case, the Commission) could hold pre-conceived notions of whether a merger should be cleared or not. </w:t>
      </w:r>
    </w:p>
    <w:p w14:paraId="00919D90" w14:textId="7FA2DA82" w:rsidR="00E21E6D" w:rsidRPr="00EE605E" w:rsidRDefault="00A87BF6" w:rsidP="00BA37D4">
      <w:r w:rsidRPr="00EE605E">
        <w:rPr>
          <w:iCs/>
        </w:rPr>
        <w:t>In principle,</w:t>
      </w:r>
      <w:r w:rsidR="00051A43" w:rsidRPr="00EE605E">
        <w:t xml:space="preserve"> </w:t>
      </w:r>
      <w:r w:rsidR="00A04BE1" w:rsidRPr="00EE605E">
        <w:t xml:space="preserve">there </w:t>
      </w:r>
      <w:r w:rsidR="00051A43" w:rsidRPr="00EE605E">
        <w:t>should</w:t>
      </w:r>
      <w:r w:rsidR="00051A43" w:rsidRPr="00EE605E" w:rsidDel="00A04BE1">
        <w:t xml:space="preserve"> </w:t>
      </w:r>
      <w:r w:rsidR="00A04BE1" w:rsidRPr="00EE605E">
        <w:t xml:space="preserve">be </w:t>
      </w:r>
      <w:r w:rsidR="00051A43" w:rsidRPr="00EE605E">
        <w:t xml:space="preserve">no reason to believe that </w:t>
      </w:r>
      <w:r w:rsidR="0092091D" w:rsidRPr="00EE605E">
        <w:t xml:space="preserve">predictions </w:t>
      </w:r>
      <w:r w:rsidR="00051A43" w:rsidRPr="00EE605E">
        <w:t xml:space="preserve">coming from </w:t>
      </w:r>
      <w:r w:rsidR="0092091D" w:rsidRPr="00EE605E">
        <w:t xml:space="preserve">models developed by </w:t>
      </w:r>
      <w:r w:rsidR="00051A43" w:rsidRPr="00EE605E">
        <w:t>the Commission or the merging parties</w:t>
      </w:r>
      <w:r w:rsidR="00380427" w:rsidRPr="00EE605E">
        <w:t>’ economic advisors</w:t>
      </w:r>
      <w:r w:rsidR="00051A43" w:rsidRPr="00EE605E">
        <w:t xml:space="preserve"> </w:t>
      </w:r>
      <w:r w:rsidR="0092091D" w:rsidRPr="00EE605E">
        <w:t xml:space="preserve">would be </w:t>
      </w:r>
      <w:r w:rsidR="009768D3" w:rsidRPr="00EE605E">
        <w:t xml:space="preserve">different. </w:t>
      </w:r>
      <w:r w:rsidR="006D1639" w:rsidRPr="00EE605E">
        <w:t>In an ideal world there would exist a single method which would produce</w:t>
      </w:r>
      <w:r w:rsidR="00312869" w:rsidRPr="00EE605E">
        <w:t xml:space="preserve"> reliable estimates that </w:t>
      </w:r>
      <w:r w:rsidR="006D1639" w:rsidRPr="00EE605E">
        <w:t>do not hinge on who is conducting the stud</w:t>
      </w:r>
      <w:r w:rsidR="00163D82" w:rsidRPr="00EE605E">
        <w:t>y</w:t>
      </w:r>
      <w:r w:rsidR="006D1639" w:rsidRPr="00EE605E">
        <w:t xml:space="preserve">, i.e. the estimates presented by the Commission </w:t>
      </w:r>
      <w:r w:rsidR="00CF0130" w:rsidRPr="00EE605E">
        <w:t>should</w:t>
      </w:r>
      <w:r w:rsidR="006D1639" w:rsidRPr="00EE605E">
        <w:t xml:space="preserve"> not systematically differ from the estimates of the merging parties.</w:t>
      </w:r>
      <w:r w:rsidR="00312869" w:rsidRPr="00EE605E">
        <w:t xml:space="preserve"> But if</w:t>
      </w:r>
      <w:r w:rsidR="009768D3" w:rsidRPr="00EE605E">
        <w:t xml:space="preserve"> different methods produce </w:t>
      </w:r>
      <w:r w:rsidR="00457FDA" w:rsidRPr="00EE605E">
        <w:t xml:space="preserve">consistently different estimates, and if the Commission or the merging parties are more/less likely to rely on certain methods, this could lead to differences in the </w:t>
      </w:r>
      <w:r w:rsidR="00B63991">
        <w:t>price change</w:t>
      </w:r>
      <w:r w:rsidR="00D05773" w:rsidRPr="00EE605E">
        <w:t xml:space="preserve"> </w:t>
      </w:r>
      <w:r w:rsidR="00457FDA" w:rsidRPr="00EE605E">
        <w:t>estimate</w:t>
      </w:r>
      <w:r w:rsidR="007942F4" w:rsidRPr="00EE605E">
        <w:t>s.</w:t>
      </w:r>
      <w:r w:rsidR="0099152E" w:rsidRPr="00EE605E">
        <w:t xml:space="preserve"> </w:t>
      </w:r>
      <w:r w:rsidR="00E21E6D" w:rsidRPr="00EE605E">
        <w:t xml:space="preserve">Some </w:t>
      </w:r>
      <w:r w:rsidR="004555BC" w:rsidRPr="00EE605E">
        <w:t xml:space="preserve">commentators </w:t>
      </w:r>
      <w:r w:rsidR="00E21E6D" w:rsidRPr="00EE605E">
        <w:t>have indeed ar</w:t>
      </w:r>
      <w:r w:rsidR="00990EAB" w:rsidRPr="00EE605E">
        <w:t xml:space="preserve">gued that </w:t>
      </w:r>
      <w:r w:rsidR="004555BC" w:rsidRPr="00EE605E">
        <w:t>the outcomes of merger simulations can be ‘gamed’</w:t>
      </w:r>
      <w:r w:rsidR="003E3708" w:rsidRPr="00EE605E">
        <w:t>, particularly given the different incentives that the Commission and merging parties might have</w:t>
      </w:r>
      <w:r w:rsidR="00E01310" w:rsidRPr="00EE605E">
        <w:t xml:space="preserve"> in a merger review</w:t>
      </w:r>
      <w:r w:rsidR="003E3708" w:rsidRPr="00EE605E">
        <w:t>.</w:t>
      </w:r>
      <w:r w:rsidR="003E3708" w:rsidRPr="00EE605E">
        <w:rPr>
          <w:rStyle w:val="FootnoteReference"/>
        </w:rPr>
        <w:footnoteReference w:id="51"/>
      </w:r>
    </w:p>
    <w:p w14:paraId="174A0DB6" w14:textId="36EF6C5C" w:rsidR="00636F9C" w:rsidRPr="00636F9C" w:rsidRDefault="00F71D83" w:rsidP="00636F9C">
      <w:r>
        <w:lastRenderedPageBreak/>
        <w:t xml:space="preserve">Different assumptions can also lead to different estimates, and if the assumptions </w:t>
      </w:r>
      <w:r w:rsidR="00993C98">
        <w:t xml:space="preserve">used by the Commission </w:t>
      </w:r>
      <w:r>
        <w:t xml:space="preserve">are </w:t>
      </w:r>
      <w:r w:rsidR="00993C98">
        <w:t xml:space="preserve">systematically different from those used by merging parties, it can </w:t>
      </w:r>
      <w:r w:rsidR="005B029E">
        <w:t xml:space="preserve">lead to systematically different estimates. </w:t>
      </w:r>
      <w:r w:rsidR="00016A24">
        <w:t>One might expect that t</w:t>
      </w:r>
      <w:r w:rsidR="005B029E">
        <w:t>his</w:t>
      </w:r>
      <w:r w:rsidR="005B029E" w:rsidDel="00016A24">
        <w:t xml:space="preserve"> </w:t>
      </w:r>
      <w:r w:rsidR="00016A24">
        <w:t xml:space="preserve">would be </w:t>
      </w:r>
      <w:r w:rsidR="005B029E">
        <w:t xml:space="preserve">more likely to be so in the case of </w:t>
      </w:r>
      <w:r w:rsidR="007942F4">
        <w:t>calibrated models, where more hinges on the assumed information used for characterising demand and supply.</w:t>
      </w:r>
    </w:p>
    <w:p w14:paraId="44C9D7A2" w14:textId="5078BB42" w:rsidR="00580B96" w:rsidRDefault="0089161D" w:rsidP="00580B96">
      <w:r w:rsidRPr="00567132">
        <w:rPr>
          <w:b/>
          <w:bCs/>
        </w:rPr>
        <w:t>Third, have companies in the telecoms industry received ‘unfair’ treatment from the Commission?</w:t>
      </w:r>
      <w:r>
        <w:t xml:space="preserve"> </w:t>
      </w:r>
      <w:r w:rsidR="00580B96">
        <w:t>There have been numerous telecoms mergers in the EU since 2010, many of which were characterised as</w:t>
      </w:r>
      <w:r w:rsidR="00156956">
        <w:t xml:space="preserve"> a reduction of four </w:t>
      </w:r>
      <w:r w:rsidR="00742D40">
        <w:t xml:space="preserve">firms in the market to three (often referred to as a </w:t>
      </w:r>
      <w:r w:rsidR="002F5B5B">
        <w:t>‘</w:t>
      </w:r>
      <w:r w:rsidR="00580B96">
        <w:t>4</w:t>
      </w:r>
      <w:r w:rsidR="0099152E">
        <w:t>-</w:t>
      </w:r>
      <w:r w:rsidR="00580B96">
        <w:t>to</w:t>
      </w:r>
      <w:r w:rsidR="0099152E">
        <w:t>-</w:t>
      </w:r>
      <w:r w:rsidR="00580B96">
        <w:t>3</w:t>
      </w:r>
      <w:r w:rsidR="002F5B5B">
        <w:t>’</w:t>
      </w:r>
      <w:r w:rsidR="00742D40">
        <w:t xml:space="preserve"> merger)</w:t>
      </w:r>
      <w:r w:rsidR="00580B96">
        <w:t xml:space="preserve">. </w:t>
      </w:r>
      <w:r w:rsidR="00E36FF5">
        <w:t>I</w:t>
      </w:r>
      <w:r w:rsidR="00580B96">
        <w:t>n most of these cases</w:t>
      </w:r>
      <w:r w:rsidR="0071487D">
        <w:t xml:space="preserve"> a</w:t>
      </w:r>
      <w:r w:rsidR="00580B96">
        <w:t xml:space="preserve"> merger simulation, as well as other economic models such as UPP, have been used to determine the possible consumer harm caused by the merger.</w:t>
      </w:r>
    </w:p>
    <w:p w14:paraId="0E624E17" w14:textId="0DF6862F" w:rsidR="00580B96" w:rsidRDefault="00AC3104" w:rsidP="00580B96">
      <w:r>
        <w:t>It has been noted</w:t>
      </w:r>
      <w:r w:rsidR="00580B96">
        <w:t xml:space="preserve"> that, due to the nature of the telecoms industry, </w:t>
      </w:r>
      <w:r w:rsidR="004B2FD2">
        <w:t xml:space="preserve">oligopolistic markets </w:t>
      </w:r>
      <w:r w:rsidR="00580B96">
        <w:t xml:space="preserve">where a large share of players’ costs are fixed, a merger simulation would be more likely to predict higher price </w:t>
      </w:r>
      <w:r w:rsidR="00030906">
        <w:t>change</w:t>
      </w:r>
      <w:r w:rsidR="00580B96">
        <w:t>s than an equivalent model applied to mergers in other industries would.</w:t>
      </w:r>
      <w:r w:rsidR="00AB0A10">
        <w:rPr>
          <w:rStyle w:val="FootnoteReference"/>
        </w:rPr>
        <w:footnoteReference w:id="52"/>
      </w:r>
      <w:r w:rsidR="00580B96">
        <w:t xml:space="preserve"> Therefore, if the Commission had an incentive to prohibit the merger, a merger simulation might be a fruitful avenue for showing competitive harm – and commentators have argued that this may explain why merger simulations were so popular in this industry and not others.</w:t>
      </w:r>
      <w:r w:rsidR="001F3C1E">
        <w:rPr>
          <w:rStyle w:val="FootnoteReference"/>
        </w:rPr>
        <w:footnoteReference w:id="53"/>
      </w:r>
    </w:p>
    <w:p w14:paraId="6C5A7742" w14:textId="1FAF9E3E" w:rsidR="00580B96" w:rsidRDefault="00580B96" w:rsidP="00580B96">
      <w:r>
        <w:t xml:space="preserve">In addition, </w:t>
      </w:r>
      <w:r w:rsidR="007175DE" w:rsidRPr="007175DE">
        <w:t xml:space="preserve">it has been argued that data availability </w:t>
      </w:r>
      <w:r>
        <w:t xml:space="preserve">may </w:t>
      </w:r>
      <w:r w:rsidR="00287ADD">
        <w:t xml:space="preserve">have </w:t>
      </w:r>
      <w:r>
        <w:t>also play</w:t>
      </w:r>
      <w:r w:rsidR="00287ADD">
        <w:t>ed</w:t>
      </w:r>
      <w:r>
        <w:t xml:space="preserve"> a role: in </w:t>
      </w:r>
      <w:r w:rsidRPr="00E340AC">
        <w:rPr>
          <w:i/>
          <w:iCs/>
        </w:rPr>
        <w:t>Hutchison 3G UK/Telefónica UK</w:t>
      </w:r>
      <w:r>
        <w:t xml:space="preserve"> (a merger which was blocked by the Commission in 2016), the merging parties argued: “</w:t>
      </w:r>
      <w:r w:rsidRPr="00CA18C3">
        <w:rPr>
          <w:i/>
          <w:iCs/>
        </w:rPr>
        <w:t>The use of [UPP] as key evidence would also give rise to an arbitrary discrimination against mergers in markets where [UPP] data is available</w:t>
      </w:r>
      <w:r>
        <w:t>”.</w:t>
      </w:r>
      <w:r>
        <w:rPr>
          <w:rStyle w:val="FootnoteReference"/>
        </w:rPr>
        <w:footnoteReference w:id="54"/>
      </w:r>
    </w:p>
    <w:p w14:paraId="7001DBD7" w14:textId="24DED94F" w:rsidR="007231C4" w:rsidRDefault="007231C4" w:rsidP="00AE3BA5">
      <w:pPr>
        <w:pStyle w:val="Heading2"/>
      </w:pPr>
      <w:r>
        <w:t>A</w:t>
      </w:r>
      <w:r w:rsidR="00A10491">
        <w:t xml:space="preserve"> qualitative assessment of </w:t>
      </w:r>
      <w:r w:rsidR="008819B5">
        <w:t>the above hypotheses</w:t>
      </w:r>
    </w:p>
    <w:p w14:paraId="441EF044" w14:textId="35732AB5" w:rsidR="007231C4" w:rsidRDefault="007231C4" w:rsidP="007231C4">
      <w:r>
        <w:t xml:space="preserve">As shown in Table 1, in four cases (all in the telecoms industry), more than one merger simulation was put forward, from which in principle a direct </w:t>
      </w:r>
      <w:r w:rsidR="00AC4A39">
        <w:t xml:space="preserve">qualitative </w:t>
      </w:r>
      <w:r>
        <w:t xml:space="preserve">assessment of </w:t>
      </w:r>
      <w:r w:rsidR="000F419F">
        <w:t xml:space="preserve">the first and second </w:t>
      </w:r>
      <w:r>
        <w:t xml:space="preserve">hypotheses </w:t>
      </w:r>
      <w:r w:rsidR="000F419F">
        <w:t>above</w:t>
      </w:r>
      <w:r>
        <w:t xml:space="preserve"> might be possible. </w:t>
      </w:r>
    </w:p>
    <w:p w14:paraId="71F43A8A" w14:textId="5779ABB9" w:rsidR="007231C4" w:rsidRDefault="007231C4" w:rsidP="007231C4">
      <w:pPr>
        <w:pStyle w:val="ListParagraph"/>
        <w:numPr>
          <w:ilvl w:val="0"/>
          <w:numId w:val="27"/>
        </w:numPr>
      </w:pPr>
      <w:r>
        <w:t xml:space="preserve">In </w:t>
      </w:r>
      <w:r w:rsidRPr="00467292">
        <w:rPr>
          <w:i/>
          <w:iCs/>
        </w:rPr>
        <w:t>Hutchison 3G UK/Telefónica Ireland</w:t>
      </w:r>
      <w:r>
        <w:t xml:space="preserve">, the Commission put forward a linear calibrated model (based primarily on mobile number porting/switching data) and an econometric BLP model (based on based on tariff-level data), and Compass Lexecon </w:t>
      </w:r>
      <w:r w:rsidR="00077E4B">
        <w:t>submitted</w:t>
      </w:r>
      <w:r>
        <w:t xml:space="preserve"> a nested logit calibrated model (where the underlying data is not described). The linear calibrated model predicted substantial price increases in the baseline for the merging </w:t>
      </w:r>
      <w:r w:rsidR="006F1810">
        <w:t>partie</w:t>
      </w:r>
      <w:r>
        <w:t>s and the market. The BLP model predicted a market-wide price increase of “</w:t>
      </w:r>
      <w:r w:rsidRPr="00467292">
        <w:rPr>
          <w:i/>
          <w:iCs/>
        </w:rPr>
        <w:t>not less than 4%</w:t>
      </w:r>
      <w:r>
        <w:t>”, consistent with the low end of the range of the calibrated model.</w:t>
      </w:r>
      <w:r>
        <w:rPr>
          <w:rStyle w:val="FootnoteReference"/>
        </w:rPr>
        <w:footnoteReference w:id="55"/>
      </w:r>
      <w:r>
        <w:t xml:space="preserve"> On the other hand, the nested logit calibrated model predicted “</w:t>
      </w:r>
      <w:r w:rsidRPr="00467292">
        <w:rPr>
          <w:i/>
          <w:iCs/>
        </w:rPr>
        <w:t>negligible price increases</w:t>
      </w:r>
      <w:r>
        <w:t>”.</w:t>
      </w:r>
      <w:r>
        <w:rPr>
          <w:rStyle w:val="FootnoteReference"/>
        </w:rPr>
        <w:footnoteReference w:id="56"/>
      </w:r>
      <w:r>
        <w:t xml:space="preserve"> In the decision the Commission appears to suggest that the difference </w:t>
      </w:r>
      <w:r w:rsidR="00BB3C89">
        <w:t>wa</w:t>
      </w:r>
      <w:r>
        <w:t>s due to the nested logit model “</w:t>
      </w:r>
      <w:r w:rsidRPr="00467292">
        <w:rPr>
          <w:i/>
          <w:iCs/>
        </w:rPr>
        <w:t>not [being] quantified on the basis of observed factual data of the Irish mobile telecommunications market</w:t>
      </w:r>
      <w:r>
        <w:t>”.</w:t>
      </w:r>
    </w:p>
    <w:p w14:paraId="4176B82B" w14:textId="123E8E94" w:rsidR="007231C4" w:rsidRDefault="007231C4" w:rsidP="007231C4">
      <w:pPr>
        <w:pStyle w:val="ListParagraph"/>
        <w:numPr>
          <w:ilvl w:val="0"/>
          <w:numId w:val="27"/>
        </w:numPr>
      </w:pPr>
      <w:r>
        <w:lastRenderedPageBreak/>
        <w:t xml:space="preserve">In </w:t>
      </w:r>
      <w:r w:rsidRPr="00D31081">
        <w:rPr>
          <w:i/>
          <w:iCs/>
        </w:rPr>
        <w:t xml:space="preserve">Telefónica </w:t>
      </w:r>
      <w:r w:rsidRPr="00467292">
        <w:rPr>
          <w:i/>
          <w:iCs/>
        </w:rPr>
        <w:t>Deutschland/E-Plus</w:t>
      </w:r>
      <w:r>
        <w:t>, the Commission complemented its linear calibrated model (also based on mobile number porting data) with nested logit and BLP econometric demand-based simulations (also based on tariff-level data). It noted that the results of the econometrically-estimated simulations are consistent with the linear calibrated model’s sensitivity scenario based on incremental rather than contribution margin data, though it did not expand on why this could be, but rather used it as further evidence that the overall conclusions from the economic analysis as a whole were robust.</w:t>
      </w:r>
    </w:p>
    <w:p w14:paraId="0284232A" w14:textId="05CD8F04" w:rsidR="007231C4" w:rsidRDefault="007231C4" w:rsidP="007231C4">
      <w:pPr>
        <w:pStyle w:val="ListParagraph"/>
        <w:numPr>
          <w:ilvl w:val="0"/>
          <w:numId w:val="27"/>
        </w:numPr>
      </w:pPr>
      <w:r>
        <w:t xml:space="preserve">In </w:t>
      </w:r>
      <w:r w:rsidRPr="00467292">
        <w:rPr>
          <w:i/>
          <w:iCs/>
        </w:rPr>
        <w:t>Hutchison 3G Italy/Wind JV</w:t>
      </w:r>
      <w:r>
        <w:t xml:space="preserve">, the Commission again put forward a linear calibrated model based on mobile number porting data. In response, Compass Lexecon </w:t>
      </w:r>
      <w:r w:rsidR="00C65F2F">
        <w:t>submitted</w:t>
      </w:r>
      <w:r>
        <w:t xml:space="preserve"> </w:t>
      </w:r>
      <w:r w:rsidR="008E467A">
        <w:t>a model which attempted to estimate demand parameters based on online survey responses and which predicted the overall effect of the merger on consumer surplus taking into account anticipated quality improvements (i.e. calculating ‘quality-adjusted prices’). Although the merging parties argued that the overall impact was positive, the Commission compared the ‘raw’ price changes to its own model, stating that they were largely comparable (with the exception of the predicted price change for H3G, which was higher in Compass Lexecon’s model), without attempting to explain why.</w:t>
      </w:r>
    </w:p>
    <w:p w14:paraId="00E6707F" w14:textId="5FE7D97D" w:rsidR="007231C4" w:rsidRDefault="007231C4" w:rsidP="00C65F2F">
      <w:pPr>
        <w:pStyle w:val="ListParagraph"/>
        <w:numPr>
          <w:ilvl w:val="0"/>
          <w:numId w:val="27"/>
        </w:numPr>
      </w:pPr>
      <w:r>
        <w:t xml:space="preserve">In </w:t>
      </w:r>
      <w:r w:rsidRPr="00467292">
        <w:rPr>
          <w:i/>
          <w:iCs/>
        </w:rPr>
        <w:t>T-Mobile NL/Tele2 NL</w:t>
      </w:r>
      <w:r>
        <w:t xml:space="preserve">, </w:t>
      </w:r>
      <w:r w:rsidR="008E467A">
        <w:t xml:space="preserve">the Commission, in its standard linear calibrated model, found price </w:t>
      </w:r>
      <w:r w:rsidR="00AF633A">
        <w:t>change</w:t>
      </w:r>
      <w:r w:rsidR="008E467A">
        <w:t xml:space="preserve">s that </w:t>
      </w:r>
      <w:r w:rsidR="00D009A4">
        <w:t>it described as “</w:t>
      </w:r>
      <w:r w:rsidR="00D009A4" w:rsidRPr="00C65F2F">
        <w:rPr>
          <w:i/>
          <w:iCs/>
        </w:rPr>
        <w:t>moderate</w:t>
      </w:r>
      <w:r w:rsidR="00D009A4">
        <w:t xml:space="preserve">”. In comparison, Compass Lexecon, in its model that was similar to the one used in </w:t>
      </w:r>
      <w:r w:rsidR="00D009A4" w:rsidRPr="00467292">
        <w:rPr>
          <w:i/>
          <w:iCs/>
        </w:rPr>
        <w:t>Hutchison 3G Italy/Wind JV</w:t>
      </w:r>
      <w:r w:rsidR="00D009A4">
        <w:t xml:space="preserve">, found price </w:t>
      </w:r>
      <w:r w:rsidR="00AF633A">
        <w:t>change</w:t>
      </w:r>
      <w:r w:rsidR="00D009A4">
        <w:t>s that it described as “</w:t>
      </w:r>
      <w:r w:rsidR="00D009A4" w:rsidRPr="00C65F2F">
        <w:rPr>
          <w:i/>
          <w:iCs/>
        </w:rPr>
        <w:t>modest and more than offset by the merged entity offering higher quality FMC product</w:t>
      </w:r>
      <w:r w:rsidR="00D009A4">
        <w:rPr>
          <w:i/>
          <w:iCs/>
        </w:rPr>
        <w:t>s</w:t>
      </w:r>
      <w:r w:rsidR="00D009A4" w:rsidRPr="00C65F2F">
        <w:rPr>
          <w:i/>
          <w:iCs/>
        </w:rPr>
        <w:t xml:space="preserve"> </w:t>
      </w:r>
      <w:r w:rsidR="00D009A4" w:rsidRPr="00D009A4">
        <w:rPr>
          <w:i/>
          <w:iCs/>
        </w:rPr>
        <w:t>post</w:t>
      </w:r>
      <w:r w:rsidR="00D009A4" w:rsidRPr="00C65F2F">
        <w:rPr>
          <w:i/>
          <w:iCs/>
        </w:rPr>
        <w:t>-transaction</w:t>
      </w:r>
      <w:r w:rsidR="00D009A4">
        <w:t>” – the Commission agreed that the findings of this model coincided with its ultimate assessment of the merger not giving rise to a significant impediment to competition.</w:t>
      </w:r>
    </w:p>
    <w:p w14:paraId="338C1185" w14:textId="40985E6F" w:rsidR="00D009A4" w:rsidRPr="007231C4" w:rsidRDefault="002A383D" w:rsidP="00C65F2F">
      <w:r>
        <w:t>T</w:t>
      </w:r>
      <w:r w:rsidR="000F419F">
        <w:t xml:space="preserve">hese </w:t>
      </w:r>
      <w:r w:rsidR="00887DF4">
        <w:t>four</w:t>
      </w:r>
      <w:r w:rsidR="000F419F">
        <w:t xml:space="preserve"> cases alone</w:t>
      </w:r>
      <w:r w:rsidR="00D009A4">
        <w:t xml:space="preserve"> </w:t>
      </w:r>
      <w:r>
        <w:t>illustrate</w:t>
      </w:r>
      <w:r w:rsidR="00D009A4">
        <w:t xml:space="preserve"> that different modelling approaches and/or economists can still result in consistent estimates, other than in instances where the data inputted into the model are potentially incorrect. Nevertheless, </w:t>
      </w:r>
      <w:r w:rsidR="0057639A">
        <w:t xml:space="preserve">in </w:t>
      </w:r>
      <w:r w:rsidR="00D009A4">
        <w:t xml:space="preserve">our </w:t>
      </w:r>
      <w:r w:rsidR="00C65F2F">
        <w:t xml:space="preserve">quantitative </w:t>
      </w:r>
      <w:r w:rsidR="00D009A4">
        <w:t>analysis in the following section</w:t>
      </w:r>
      <w:r w:rsidR="00887DF4">
        <w:t>,</w:t>
      </w:r>
      <w:r w:rsidR="00D009A4">
        <w:t xml:space="preserve"> we are able to compare the results of all merger simulation models, and not just </w:t>
      </w:r>
      <w:r w:rsidR="004F7923">
        <w:t>those from</w:t>
      </w:r>
      <w:r w:rsidR="00D009A4">
        <w:t xml:space="preserve"> cases where more than one model was put forward.</w:t>
      </w:r>
    </w:p>
    <w:p w14:paraId="5E1948BB" w14:textId="5CC6F659" w:rsidR="00FA3BD1" w:rsidRDefault="00AE3BA5" w:rsidP="00AE3BA5">
      <w:pPr>
        <w:pStyle w:val="Heading2"/>
      </w:pPr>
      <w:bookmarkStart w:id="0" w:name="_Ref212028390"/>
      <w:r>
        <w:t xml:space="preserve">Our sample </w:t>
      </w:r>
      <w:r w:rsidR="00FA3BD1">
        <w:t xml:space="preserve">of </w:t>
      </w:r>
      <w:r>
        <w:t>price</w:t>
      </w:r>
      <w:r w:rsidR="008A1604">
        <w:t xml:space="preserve"> change</w:t>
      </w:r>
      <w:r>
        <w:t xml:space="preserve"> estimates</w:t>
      </w:r>
      <w:bookmarkEnd w:id="0"/>
    </w:p>
    <w:p w14:paraId="2667035D" w14:textId="7775BDC9" w:rsidR="006B3814" w:rsidRDefault="006B3814" w:rsidP="0025365C">
      <w:r>
        <w:t xml:space="preserve">Because simulations were run and reported differently in each case, there is considerable variation in the data available from these simulations. Models can calculate and report predicted price </w:t>
      </w:r>
      <w:r w:rsidR="00AF633A">
        <w:t>change</w:t>
      </w:r>
      <w:r>
        <w:t xml:space="preserve">s for the merging </w:t>
      </w:r>
      <w:r w:rsidR="006F1810">
        <w:t>partie</w:t>
      </w:r>
      <w:r>
        <w:t>s, the merged entity, for competitors or the market as a whole (in any combination).</w:t>
      </w:r>
      <w:r>
        <w:rPr>
          <w:rStyle w:val="FootnoteReference"/>
        </w:rPr>
        <w:footnoteReference w:id="57"/>
      </w:r>
    </w:p>
    <w:p w14:paraId="631FD0F5" w14:textId="575DF959" w:rsidR="00C85B5E" w:rsidRDefault="00CD43C2" w:rsidP="0025365C">
      <w:r>
        <w:t>The unit-of-observation</w:t>
      </w:r>
      <w:r w:rsidR="00071A49">
        <w:t xml:space="preserve"> in </w:t>
      </w:r>
      <w:r w:rsidR="00514048">
        <w:t>our</w:t>
      </w:r>
      <w:r w:rsidR="00AE3BA5">
        <w:t xml:space="preserve"> </w:t>
      </w:r>
      <w:r w:rsidR="00B63991">
        <w:t>price change</w:t>
      </w:r>
      <w:r w:rsidR="00514048">
        <w:t xml:space="preserve"> data</w:t>
      </w:r>
      <w:r w:rsidR="0058082D">
        <w:t xml:space="preserve"> </w:t>
      </w:r>
      <w:r w:rsidR="00514048">
        <w:t>set</w:t>
      </w:r>
      <w:r w:rsidR="00071A49">
        <w:t xml:space="preserve"> </w:t>
      </w:r>
      <w:r w:rsidR="0045206F">
        <w:t xml:space="preserve">therefore </w:t>
      </w:r>
      <w:r w:rsidR="00071A49">
        <w:t>represents a</w:t>
      </w:r>
      <w:r w:rsidR="0079029C">
        <w:t xml:space="preserve"> given </w:t>
      </w:r>
      <w:r w:rsidR="00B93C5F">
        <w:t>‘player’ in the market (the merged entity</w:t>
      </w:r>
      <w:r w:rsidR="00C50AA4">
        <w:t>,</w:t>
      </w:r>
      <w:r w:rsidR="00B93C5F">
        <w:t xml:space="preserve"> a competitor, or the market as a whole), </w:t>
      </w:r>
      <w:r w:rsidR="00545351">
        <w:t>for a given</w:t>
      </w:r>
      <w:r w:rsidR="00071A49">
        <w:t xml:space="preserve"> product-geographic market </w:t>
      </w:r>
      <w:r w:rsidR="00374080">
        <w:t>combination</w:t>
      </w:r>
      <w:r w:rsidR="00545351">
        <w:t>,</w:t>
      </w:r>
      <w:r w:rsidR="00374080">
        <w:t xml:space="preserve"> for a given merger simulation model</w:t>
      </w:r>
      <w:r w:rsidR="00545351">
        <w:t>,</w:t>
      </w:r>
      <w:r w:rsidR="00374080">
        <w:t xml:space="preserve"> </w:t>
      </w:r>
      <w:r w:rsidR="00492524">
        <w:t xml:space="preserve">for either the baseline analysis or a sensitivity, </w:t>
      </w:r>
      <w:r w:rsidR="00374080">
        <w:t xml:space="preserve">deployed in a given merger case. For example, </w:t>
      </w:r>
      <w:r w:rsidR="001F1C6F">
        <w:t>in</w:t>
      </w:r>
      <w:r w:rsidR="009B380B">
        <w:t xml:space="preserve"> </w:t>
      </w:r>
      <w:r w:rsidR="009B380B" w:rsidRPr="00632AD3">
        <w:rPr>
          <w:i/>
        </w:rPr>
        <w:t>Volvo/Scania</w:t>
      </w:r>
      <w:r w:rsidR="009B380B">
        <w:t xml:space="preserve">, the </w:t>
      </w:r>
      <w:r w:rsidR="004252F7">
        <w:t xml:space="preserve">Commission </w:t>
      </w:r>
      <w:r w:rsidR="009B380B">
        <w:t xml:space="preserve">deployed merger simulations in </w:t>
      </w:r>
      <w:r w:rsidR="00362727">
        <w:t>16</w:t>
      </w:r>
      <w:r w:rsidR="009B380B">
        <w:t xml:space="preserve"> countries</w:t>
      </w:r>
      <w:r w:rsidR="00FC63AA">
        <w:t xml:space="preserve"> (where the geographic market was deemed to be national)</w:t>
      </w:r>
      <w:r w:rsidR="00362727">
        <w:t>,</w:t>
      </w:r>
      <w:r w:rsidR="00FC63AA">
        <w:t xml:space="preserve"> for </w:t>
      </w:r>
      <w:r w:rsidR="0020412E">
        <w:t>two</w:t>
      </w:r>
      <w:r w:rsidR="00FC63AA">
        <w:t xml:space="preserve"> types </w:t>
      </w:r>
      <w:r w:rsidR="00FC63AA">
        <w:lastRenderedPageBreak/>
        <w:t>of truck (</w:t>
      </w:r>
      <w:r w:rsidR="00362727">
        <w:t xml:space="preserve">‘rigid’ or ‘tractor’, </w:t>
      </w:r>
      <w:r w:rsidR="00351BF3">
        <w:t>following the product market definition)</w:t>
      </w:r>
      <w:r w:rsidR="00362727">
        <w:t xml:space="preserve">, </w:t>
      </w:r>
      <w:r w:rsidR="0041064C">
        <w:t xml:space="preserve">showing predicted price </w:t>
      </w:r>
      <w:r w:rsidR="00AF633A">
        <w:t>change</w:t>
      </w:r>
      <w:r w:rsidR="0041064C">
        <w:t xml:space="preserve">s for </w:t>
      </w:r>
      <w:r w:rsidR="0020420E">
        <w:t>two ‘players’ (</w:t>
      </w:r>
      <w:r w:rsidR="0041064C">
        <w:t>the merged entity and for all other competitors together</w:t>
      </w:r>
      <w:r w:rsidR="0020420E">
        <w:t>)</w:t>
      </w:r>
      <w:r w:rsidR="00351BF3">
        <w:t>.</w:t>
      </w:r>
      <w:r w:rsidR="0020420E">
        <w:t xml:space="preserve"> </w:t>
      </w:r>
      <w:r w:rsidR="00D07A1C">
        <w:t xml:space="preserve">Because all of these would produce a separate </w:t>
      </w:r>
      <w:r w:rsidR="00B63991">
        <w:t>price change</w:t>
      </w:r>
      <w:r w:rsidR="00D07A1C">
        <w:t xml:space="preserve"> estimate, i</w:t>
      </w:r>
      <w:r w:rsidR="002434B9">
        <w:t>n this case, we have</w:t>
      </w:r>
      <w:r w:rsidR="00503948">
        <w:t xml:space="preserve"> </w:t>
      </w:r>
      <m:oMath>
        <m:r>
          <w:rPr>
            <w:rFonts w:ascii="Cambria Math" w:hAnsi="Cambria Math"/>
          </w:rPr>
          <m:t>16×2×2=64</m:t>
        </m:r>
      </m:oMath>
      <w:r w:rsidR="0020420E">
        <w:t xml:space="preserve"> observations in </w:t>
      </w:r>
      <w:r w:rsidR="00D07A1C">
        <w:t>our sample.</w:t>
      </w:r>
      <w:r w:rsidR="00FF44CE">
        <w:rPr>
          <w:rStyle w:val="FootnoteReference"/>
        </w:rPr>
        <w:footnoteReference w:id="58"/>
      </w:r>
    </w:p>
    <w:p w14:paraId="0DC9A33F" w14:textId="4FB6CC3A" w:rsidR="0025365C" w:rsidRDefault="00B90E42" w:rsidP="0025365C">
      <w:r>
        <w:t>T</w:t>
      </w:r>
      <w:r w:rsidR="003678AC">
        <w:t xml:space="preserve">his gives us a sample of </w:t>
      </w:r>
      <w:r w:rsidR="009E1BA1">
        <w:t xml:space="preserve">272 </w:t>
      </w:r>
      <w:r w:rsidR="0007324E">
        <w:t>baseline estimate</w:t>
      </w:r>
      <w:r w:rsidR="007E54EB">
        <w:t>s</w:t>
      </w:r>
      <w:r w:rsidR="0007324E">
        <w:t xml:space="preserve">, of which </w:t>
      </w:r>
      <w:r w:rsidR="005A39BB">
        <w:t>11</w:t>
      </w:r>
      <w:r w:rsidR="00691056">
        <w:t>4</w:t>
      </w:r>
      <w:r w:rsidR="005A39BB">
        <w:t xml:space="preserve"> </w:t>
      </w:r>
      <w:r w:rsidR="007A12D3">
        <w:t>price</w:t>
      </w:r>
      <w:r w:rsidR="00A02EA6">
        <w:t xml:space="preserve"> change</w:t>
      </w:r>
      <w:r w:rsidR="00691056">
        <w:t xml:space="preserve"> </w:t>
      </w:r>
      <w:r w:rsidR="007A12D3">
        <w:t>estimates</w:t>
      </w:r>
      <w:r w:rsidR="005A39BB">
        <w:t xml:space="preserve"> </w:t>
      </w:r>
      <w:r w:rsidR="0043793E">
        <w:t>we</w:t>
      </w:r>
      <w:r w:rsidR="0007324E">
        <w:t xml:space="preserve">re </w:t>
      </w:r>
      <w:r w:rsidR="005A39BB">
        <w:t>for the merged entity</w:t>
      </w:r>
      <w:r w:rsidR="004D3BD1">
        <w:t>, a</w:t>
      </w:r>
      <w:r w:rsidR="00720BDE">
        <w:t xml:space="preserve"> further 123 </w:t>
      </w:r>
      <w:r w:rsidR="0043793E">
        <w:t xml:space="preserve">for </w:t>
      </w:r>
      <w:r w:rsidR="00720BDE">
        <w:t xml:space="preserve">competitors, and </w:t>
      </w:r>
      <w:r w:rsidR="009E1BA1">
        <w:t xml:space="preserve">35 </w:t>
      </w:r>
      <w:r w:rsidR="007E0BF6">
        <w:t>for the market as a whole</w:t>
      </w:r>
      <w:r w:rsidR="007A12D3">
        <w:t xml:space="preserve">. </w:t>
      </w:r>
      <w:r w:rsidR="004D4B09">
        <w:t xml:space="preserve">The merger simulations also include </w:t>
      </w:r>
      <w:r w:rsidR="0043793E">
        <w:t xml:space="preserve">a further </w:t>
      </w:r>
      <w:r w:rsidR="009E1BA1">
        <w:t xml:space="preserve">508 </w:t>
      </w:r>
      <w:r w:rsidR="008A6955">
        <w:t xml:space="preserve">sensitivity </w:t>
      </w:r>
      <w:r w:rsidR="004D4B09">
        <w:t xml:space="preserve">estimates for the </w:t>
      </w:r>
      <w:r w:rsidR="00FB646B">
        <w:t>impact of the merger on prices</w:t>
      </w:r>
      <w:r w:rsidR="008A6955">
        <w:t xml:space="preserve"> </w:t>
      </w:r>
      <w:r w:rsidR="004061D0">
        <w:t xml:space="preserve">(of which, </w:t>
      </w:r>
      <w:r w:rsidR="004426B8">
        <w:t>156</w:t>
      </w:r>
      <w:r w:rsidR="004061D0">
        <w:t xml:space="preserve"> are </w:t>
      </w:r>
      <w:r w:rsidR="00C57EC6">
        <w:t>for the merging parties</w:t>
      </w:r>
      <w:r w:rsidR="004426B8">
        <w:t xml:space="preserve">, 326 </w:t>
      </w:r>
      <w:r w:rsidR="00C57EC6">
        <w:t xml:space="preserve">for competitors </w:t>
      </w:r>
      <w:r w:rsidR="004426B8">
        <w:t xml:space="preserve">and </w:t>
      </w:r>
      <w:r w:rsidR="009E1BA1">
        <w:t xml:space="preserve">26 </w:t>
      </w:r>
      <w:r w:rsidR="00C57EC6">
        <w:t>for the market as a whole)</w:t>
      </w:r>
      <w:r w:rsidR="00FB646B" w:rsidDel="00D17C27">
        <w:t>.</w:t>
      </w:r>
    </w:p>
    <w:p w14:paraId="2E46527D" w14:textId="448DB916" w:rsidR="0074290F" w:rsidRDefault="00361B96" w:rsidP="0025365C">
      <w:r>
        <w:t>M</w:t>
      </w:r>
      <w:r w:rsidR="0019260B">
        <w:t>ost</w:t>
      </w:r>
      <w:r w:rsidR="009224F6">
        <w:t xml:space="preserve"> </w:t>
      </w:r>
      <w:r w:rsidR="0019260B">
        <w:t>price</w:t>
      </w:r>
      <w:r w:rsidR="00A02EA6">
        <w:t xml:space="preserve"> change</w:t>
      </w:r>
      <w:r w:rsidR="0019260B">
        <w:t xml:space="preserve"> estimates </w:t>
      </w:r>
      <w:r w:rsidR="009535A9">
        <w:t xml:space="preserve">(162 baseline and 662 including sensitivities) </w:t>
      </w:r>
      <w:r w:rsidR="0019260B">
        <w:t xml:space="preserve">are from </w:t>
      </w:r>
      <w:r w:rsidR="0026112F">
        <w:t>simulations where demand parameters were not estimated from data</w:t>
      </w:r>
      <w:r w:rsidR="00C83CDC">
        <w:t xml:space="preserve"> (</w:t>
      </w:r>
      <w:r w:rsidR="002F5B5B">
        <w:t>‘</w:t>
      </w:r>
      <w:r w:rsidR="00C83CDC">
        <w:t>calibrated models</w:t>
      </w:r>
      <w:r w:rsidR="002F5B5B">
        <w:t>’</w:t>
      </w:r>
      <w:r w:rsidR="007A5244">
        <w:t>)</w:t>
      </w:r>
      <w:r w:rsidR="00DD0381">
        <w:t xml:space="preserve">, particularly </w:t>
      </w:r>
      <w:r w:rsidR="004013CC">
        <w:t xml:space="preserve">so </w:t>
      </w:r>
      <w:r w:rsidR="00DD0381">
        <w:t>when including</w:t>
      </w:r>
      <w:r w:rsidR="00FB0B62">
        <w:t xml:space="preserve"> sensitivity checks, which is unsurprising, as these models rest on a wider range of assumptions regarding demand parameters</w:t>
      </w:r>
      <w:r w:rsidR="00813EDB">
        <w:t xml:space="preserve"> (i.e. more sensitivities are presented around these assumptions)</w:t>
      </w:r>
      <w:r w:rsidR="00FB0B62">
        <w:t>.</w:t>
      </w:r>
      <w:r w:rsidR="007A5244">
        <w:t xml:space="preserve"> </w:t>
      </w:r>
      <w:r w:rsidR="00C500F5">
        <w:t xml:space="preserve">Around </w:t>
      </w:r>
      <w:r w:rsidR="004013CC">
        <w:t xml:space="preserve">40% </w:t>
      </w:r>
      <w:r w:rsidR="00C500F5">
        <w:t>of the baseline estimates</w:t>
      </w:r>
      <w:r w:rsidR="007902A5">
        <w:t xml:space="preserve"> (11</w:t>
      </w:r>
      <w:r w:rsidR="004013CC">
        <w:t>0</w:t>
      </w:r>
      <w:r w:rsidR="007902A5">
        <w:t xml:space="preserve"> estimates)</w:t>
      </w:r>
      <w:r w:rsidR="00C500F5">
        <w:t xml:space="preserve">, and </w:t>
      </w:r>
      <w:r w:rsidR="001E374C">
        <w:t>1</w:t>
      </w:r>
      <w:r w:rsidR="004013CC">
        <w:t>5</w:t>
      </w:r>
      <w:r w:rsidR="001E374C">
        <w:t>% of all estimates including sensitivities</w:t>
      </w:r>
      <w:r w:rsidR="007902A5">
        <w:t xml:space="preserve"> (1</w:t>
      </w:r>
      <w:r w:rsidR="004013CC">
        <w:t>18</w:t>
      </w:r>
      <w:r w:rsidR="007902A5">
        <w:t xml:space="preserve"> estimates</w:t>
      </w:r>
      <w:r w:rsidR="001E374C">
        <w:t>)</w:t>
      </w:r>
      <w:r w:rsidR="00BE31D4">
        <w:t xml:space="preserve"> were based on </w:t>
      </w:r>
      <w:r w:rsidR="007A5244">
        <w:t>an econometric estimation of demand parameters (</w:t>
      </w:r>
      <w:r w:rsidR="002F5B5B">
        <w:t>‘</w:t>
      </w:r>
      <w:r w:rsidR="007A5244">
        <w:t>econometric models</w:t>
      </w:r>
      <w:r w:rsidR="002F5B5B">
        <w:t>’</w:t>
      </w:r>
      <w:r w:rsidR="007B690F">
        <w:t>)</w:t>
      </w:r>
      <w:r w:rsidR="00BE31D4">
        <w:t>.</w:t>
      </w:r>
      <w:r w:rsidR="005E132D">
        <w:rPr>
          <w:rStyle w:val="FootnoteReference"/>
        </w:rPr>
        <w:footnoteReference w:id="59"/>
      </w:r>
    </w:p>
    <w:p w14:paraId="3246C558" w14:textId="0C02639A" w:rsidR="009F1798" w:rsidRDefault="00C76BB4" w:rsidP="009F1798">
      <w:r>
        <w:t>M</w:t>
      </w:r>
      <w:r w:rsidR="00DE2182">
        <w:t xml:space="preserve">ost </w:t>
      </w:r>
      <w:r w:rsidR="00B82412">
        <w:t>simulation</w:t>
      </w:r>
      <w:r w:rsidR="00DE2182">
        <w:t>s</w:t>
      </w:r>
      <w:r w:rsidR="00BA1B18">
        <w:t xml:space="preserve"> (</w:t>
      </w:r>
      <w:r w:rsidR="00A7217C">
        <w:t>2</w:t>
      </w:r>
      <w:r w:rsidR="002327AD">
        <w:t>46</w:t>
      </w:r>
      <w:r w:rsidR="00A7217C">
        <w:t xml:space="preserve"> baseline </w:t>
      </w:r>
      <w:r w:rsidR="00AF1B94">
        <w:t xml:space="preserve">predicted price changes </w:t>
      </w:r>
      <w:r w:rsidR="00A7217C">
        <w:t xml:space="preserve">and </w:t>
      </w:r>
      <w:r w:rsidR="002327AD">
        <w:t xml:space="preserve">753 </w:t>
      </w:r>
      <w:r w:rsidR="0042742B">
        <w:t xml:space="preserve">including </w:t>
      </w:r>
      <w:r w:rsidR="00A7217C">
        <w:t>sensitivities)</w:t>
      </w:r>
      <w:r w:rsidR="00DE2182">
        <w:t xml:space="preserve"> c</w:t>
      </w:r>
      <w:r w:rsidR="00A44CE6">
        <w:t>o</w:t>
      </w:r>
      <w:r w:rsidR="00DE2182">
        <w:t xml:space="preserve">me from the Commission. Moreover, the Commission </w:t>
      </w:r>
      <w:r w:rsidR="002327AD">
        <w:t xml:space="preserve">was </w:t>
      </w:r>
      <w:r w:rsidR="00DE2182">
        <w:t xml:space="preserve">more likely to report a larger number of sensitivity estimates in its assessments. </w:t>
      </w:r>
      <w:r w:rsidR="00FE0DAD">
        <w:t>Roughly 1</w:t>
      </w:r>
      <w:r w:rsidR="002327AD">
        <w:t>0</w:t>
      </w:r>
      <w:r w:rsidR="00FE0DAD">
        <w:t xml:space="preserve">% of </w:t>
      </w:r>
      <w:r w:rsidR="00607F2D">
        <w:t>all baseline price</w:t>
      </w:r>
      <w:r w:rsidR="00517637">
        <w:t xml:space="preserve"> </w:t>
      </w:r>
      <w:r w:rsidR="00607F2D">
        <w:t xml:space="preserve">change predictions, and </w:t>
      </w:r>
      <w:r w:rsidR="002327AD">
        <w:t>only 3</w:t>
      </w:r>
      <w:r w:rsidR="008654BF">
        <w:t xml:space="preserve">% of all estimates (including sensitivities) were delivered by the </w:t>
      </w:r>
      <w:r w:rsidR="000544D3">
        <w:t>merging parties.</w:t>
      </w:r>
      <w:r w:rsidR="002A1A30">
        <w:rPr>
          <w:rStyle w:val="FootnoteReference"/>
        </w:rPr>
        <w:footnoteReference w:id="60"/>
      </w:r>
      <w:r w:rsidR="00952F55">
        <w:t xml:space="preserve"> </w:t>
      </w:r>
    </w:p>
    <w:p w14:paraId="593CF4C6" w14:textId="7E48A961" w:rsidR="00EB3F95" w:rsidRDefault="00793EE2" w:rsidP="00FC7146">
      <w:r>
        <w:t>M</w:t>
      </w:r>
      <w:r w:rsidR="00FC7146">
        <w:t xml:space="preserve">ost </w:t>
      </w:r>
      <w:r w:rsidR="00B40FAA">
        <w:t xml:space="preserve">(57% baseline estimates, and 77% including sensitivities) </w:t>
      </w:r>
      <w:r w:rsidR="00FC7146">
        <w:t xml:space="preserve">price </w:t>
      </w:r>
      <w:r w:rsidR="00EC1804">
        <w:t xml:space="preserve">change </w:t>
      </w:r>
      <w:r w:rsidR="00FC7146">
        <w:t>estimates are for telecoms</w:t>
      </w:r>
      <w:r w:rsidR="00FC7146" w:rsidRPr="004B29D6">
        <w:t xml:space="preserve">, followed by </w:t>
      </w:r>
      <w:r w:rsidR="00B40FAA">
        <w:t xml:space="preserve">the automobiles and </w:t>
      </w:r>
      <w:r w:rsidR="00FC7146">
        <w:t>f</w:t>
      </w:r>
      <w:r w:rsidR="00FC7146" w:rsidRPr="004B29D6">
        <w:t xml:space="preserve">ast </w:t>
      </w:r>
      <w:r w:rsidR="00FC7146">
        <w:t>m</w:t>
      </w:r>
      <w:r w:rsidR="00FC7146" w:rsidRPr="004B29D6">
        <w:t xml:space="preserve">oving </w:t>
      </w:r>
      <w:r w:rsidR="00FC7146">
        <w:t>c</w:t>
      </w:r>
      <w:r w:rsidR="00FC7146" w:rsidRPr="004B29D6">
        <w:t xml:space="preserve">onsumer </w:t>
      </w:r>
      <w:r w:rsidR="00FC7146">
        <w:t>g</w:t>
      </w:r>
      <w:r w:rsidR="00FC7146" w:rsidRPr="004B29D6">
        <w:t>oods</w:t>
      </w:r>
      <w:r w:rsidR="00B40FAA">
        <w:t xml:space="preserve"> industries</w:t>
      </w:r>
      <w:r w:rsidR="00FC7146">
        <w:t>,</w:t>
      </w:r>
      <w:r w:rsidR="00FC7146" w:rsidRPr="004B29D6">
        <w:t xml:space="preserve"> then </w:t>
      </w:r>
      <w:r w:rsidR="00B40FAA">
        <w:t xml:space="preserve">followed by </w:t>
      </w:r>
      <w:r w:rsidR="00FC7146" w:rsidRPr="004B29D6">
        <w:t xml:space="preserve">a tail of other industries </w:t>
      </w:r>
      <w:r w:rsidR="00B40FAA">
        <w:t>with smaller contributions to the sample</w:t>
      </w:r>
      <w:r w:rsidR="00FC7146" w:rsidRPr="004B29D6">
        <w:t xml:space="preserve">. </w:t>
      </w:r>
      <w:r w:rsidR="00FC7146">
        <w:t xml:space="preserve">In telecoms, merger simulations seemed to have </w:t>
      </w:r>
      <w:r w:rsidR="00FC7146" w:rsidRPr="004B29D6">
        <w:t>bec</w:t>
      </w:r>
      <w:r w:rsidR="00FC7146">
        <w:t>o</w:t>
      </w:r>
      <w:r w:rsidR="00FC7146" w:rsidRPr="004B29D6">
        <w:t>me self-reinforcing precedent, which may explain why it was used more in this industry compared to the others.</w:t>
      </w:r>
      <w:r w:rsidR="00C76BB4">
        <w:rPr>
          <w:rStyle w:val="FootnoteReference"/>
        </w:rPr>
        <w:footnoteReference w:id="61"/>
      </w:r>
      <w:r w:rsidR="00FC7146">
        <w:t xml:space="preserve"> </w:t>
      </w:r>
    </w:p>
    <w:p w14:paraId="296EBA80" w14:textId="2B5576BE" w:rsidR="00476956" w:rsidRDefault="00EB3F95" w:rsidP="00FC7146">
      <w:r>
        <w:t xml:space="preserve">Finally, </w:t>
      </w:r>
      <w:r w:rsidR="00B52691">
        <w:t>there is variation in how much each merger simulation model (and thus the associated case as a whole) contributes to the overall sample count</w:t>
      </w:r>
      <w:r w:rsidR="00AC3F5E">
        <w:t xml:space="preserve">, and thus its </w:t>
      </w:r>
      <w:r w:rsidR="00CD1BC8">
        <w:t xml:space="preserve">contribution </w:t>
      </w:r>
      <w:r w:rsidR="00AC3F5E">
        <w:t>in the regression</w:t>
      </w:r>
      <w:r w:rsidR="00B52691">
        <w:t>.</w:t>
      </w:r>
      <w:r w:rsidR="004E3DFB">
        <w:rPr>
          <w:rStyle w:val="FootnoteReference"/>
        </w:rPr>
        <w:footnoteReference w:id="62"/>
      </w:r>
      <w:r w:rsidR="00AC3F5E">
        <w:t xml:space="preserve"> This is explained by the fact that some of the mergers in the sample have their merger simulation applied to multiple product/geographic markets,</w:t>
      </w:r>
      <w:r w:rsidR="00AC3F5E">
        <w:rPr>
          <w:rStyle w:val="FootnoteReference"/>
        </w:rPr>
        <w:footnoteReference w:id="63"/>
      </w:r>
      <w:r w:rsidR="00AC3F5E">
        <w:t xml:space="preserve"> </w:t>
      </w:r>
      <w:r w:rsidR="004E3DFB">
        <w:t xml:space="preserve">and because there is variation in how much detail the Commission provides in its decisions regarding the merger simulation models, e.g. whether price </w:t>
      </w:r>
      <w:r w:rsidR="00AF633A">
        <w:t>change</w:t>
      </w:r>
      <w:r w:rsidR="004E3DFB">
        <w:t xml:space="preserve"> predictions are provided for all market participants and the market as a whole, or just a subset of these.</w:t>
      </w:r>
    </w:p>
    <w:p w14:paraId="34F7E42A" w14:textId="7CB0895B" w:rsidR="00481021" w:rsidRDefault="00820272" w:rsidP="00481021">
      <w:pPr>
        <w:pStyle w:val="Heading2"/>
      </w:pPr>
      <w:r>
        <w:lastRenderedPageBreak/>
        <w:t>V</w:t>
      </w:r>
      <w:r w:rsidR="00481021">
        <w:t>ariables</w:t>
      </w:r>
    </w:p>
    <w:p w14:paraId="6E6A637F" w14:textId="5547B894" w:rsidR="00E77387" w:rsidRDefault="00A64AF0" w:rsidP="00E77387">
      <w:r>
        <w:t>O</w:t>
      </w:r>
      <w:r w:rsidR="00111ED0">
        <w:t xml:space="preserve">ur </w:t>
      </w:r>
      <w:r w:rsidR="0008064B">
        <w:t>data set comprises</w:t>
      </w:r>
      <w:r w:rsidR="00766DA8">
        <w:t xml:space="preserve"> </w:t>
      </w:r>
      <w:r w:rsidR="00E77387">
        <w:t>the following variables</w:t>
      </w:r>
      <w:r w:rsidR="0008064B">
        <w:t>.</w:t>
      </w:r>
    </w:p>
    <w:p w14:paraId="0DFA974D" w14:textId="17CC479D" w:rsidR="0033481E" w:rsidRDefault="0033481E" w:rsidP="0033481E">
      <w:pPr>
        <w:pStyle w:val="ListParagraph"/>
        <w:numPr>
          <w:ilvl w:val="0"/>
          <w:numId w:val="17"/>
        </w:numPr>
      </w:pPr>
      <w:r w:rsidRPr="0083316A">
        <w:rPr>
          <w:b/>
          <w:bCs/>
        </w:rPr>
        <w:t>Price</w:t>
      </w:r>
      <w:r w:rsidR="00B40FAA">
        <w:rPr>
          <w:b/>
          <w:bCs/>
        </w:rPr>
        <w:t xml:space="preserve"> </w:t>
      </w:r>
      <w:r w:rsidR="00045883">
        <w:rPr>
          <w:b/>
          <w:bCs/>
        </w:rPr>
        <w:t>change</w:t>
      </w:r>
      <w:r>
        <w:t xml:space="preserve">: the </w:t>
      </w:r>
      <w:r w:rsidR="00070D42">
        <w:t xml:space="preserve">price </w:t>
      </w:r>
      <w:r>
        <w:t xml:space="preserve">increase estimated by the merger simulation, expressed as a percentage of pre-merger prices. </w:t>
      </w:r>
      <w:r w:rsidR="001674E3">
        <w:t>In some decisions the price</w:t>
      </w:r>
      <w:r w:rsidR="00517637">
        <w:t xml:space="preserve"> </w:t>
      </w:r>
      <w:r w:rsidR="00045883">
        <w:t>change</w:t>
      </w:r>
      <w:r w:rsidR="001674E3">
        <w:t xml:space="preserve"> prediction is redacted into 5 or 10% ranges; in these instances, the midpoint is used.</w:t>
      </w:r>
    </w:p>
    <w:p w14:paraId="0A19A1AD" w14:textId="730F7A91" w:rsidR="007639ED" w:rsidRDefault="007639ED" w:rsidP="007639ED">
      <w:pPr>
        <w:pStyle w:val="ListParagraph"/>
        <w:numPr>
          <w:ilvl w:val="0"/>
          <w:numId w:val="17"/>
        </w:numPr>
      </w:pPr>
      <w:r w:rsidRPr="00BC4C6A">
        <w:rPr>
          <w:b/>
        </w:rPr>
        <w:t>Econometric demand</w:t>
      </w:r>
      <w:r>
        <w:t>: whether the parameters in the demand model in the merger simulation were estimated econometrically.</w:t>
      </w:r>
    </w:p>
    <w:p w14:paraId="465BE89F" w14:textId="6A669F7C" w:rsidR="009F1749" w:rsidRPr="00BC4C6A" w:rsidRDefault="009F1749" w:rsidP="009F1749">
      <w:pPr>
        <w:pStyle w:val="ListParagraph"/>
        <w:numPr>
          <w:ilvl w:val="0"/>
          <w:numId w:val="17"/>
        </w:numPr>
      </w:pPr>
      <w:r>
        <w:rPr>
          <w:b/>
          <w:bCs/>
        </w:rPr>
        <w:t>Source</w:t>
      </w:r>
      <w:r>
        <w:t>: whether the merger simulation was prepared by the Commission.</w:t>
      </w:r>
    </w:p>
    <w:p w14:paraId="2C888C35" w14:textId="0A1D5193" w:rsidR="005F5A17" w:rsidRDefault="006F5162" w:rsidP="009F1C01">
      <w:pPr>
        <w:pStyle w:val="ListParagraph"/>
        <w:numPr>
          <w:ilvl w:val="0"/>
          <w:numId w:val="17"/>
        </w:numPr>
      </w:pPr>
      <w:r w:rsidRPr="00BC4C6A">
        <w:rPr>
          <w:b/>
        </w:rPr>
        <w:t>Telecoms</w:t>
      </w:r>
      <w:r>
        <w:t>: whether the merger simulation was deployed in a merger assessment in the telecoms industry.</w:t>
      </w:r>
    </w:p>
    <w:p w14:paraId="710B1822" w14:textId="3593552D" w:rsidR="00E77387" w:rsidRDefault="00E77387" w:rsidP="009F1C01">
      <w:pPr>
        <w:pStyle w:val="ListParagraph"/>
        <w:numPr>
          <w:ilvl w:val="0"/>
          <w:numId w:val="17"/>
        </w:numPr>
      </w:pPr>
      <w:r w:rsidRPr="00445AF4">
        <w:rPr>
          <w:b/>
          <w:bCs/>
        </w:rPr>
        <w:t>Combined share</w:t>
      </w:r>
      <w:r>
        <w:t xml:space="preserve">: </w:t>
      </w:r>
      <w:r w:rsidR="00E849B5">
        <w:t>t</w:t>
      </w:r>
      <w:r>
        <w:t>he combined market share of the merging parties. We use this as a measure of market concentration.</w:t>
      </w:r>
    </w:p>
    <w:p w14:paraId="51A9D1D4" w14:textId="70377B48" w:rsidR="00E77387" w:rsidRDefault="00E77387" w:rsidP="009F1C01">
      <w:pPr>
        <w:pStyle w:val="ListParagraph"/>
        <w:numPr>
          <w:ilvl w:val="0"/>
          <w:numId w:val="17"/>
        </w:numPr>
      </w:pPr>
      <w:r w:rsidRPr="0005277A">
        <w:rPr>
          <w:b/>
          <w:bCs/>
        </w:rPr>
        <w:t>Increment</w:t>
      </w:r>
      <w:r>
        <w:rPr>
          <w:b/>
          <w:bCs/>
        </w:rPr>
        <w:t>:</w:t>
      </w:r>
      <w:r>
        <w:t xml:space="preserve"> </w:t>
      </w:r>
      <w:r w:rsidR="00E849B5">
        <w:t>t</w:t>
      </w:r>
      <w:r>
        <w:t>he change in market concentration</w:t>
      </w:r>
      <w:r w:rsidR="000C1261">
        <w:t xml:space="preserve"> caused by the merger, </w:t>
      </w:r>
      <w:r w:rsidR="00071A49">
        <w:t xml:space="preserve">equal to the smaller market share of the two merging </w:t>
      </w:r>
      <w:r w:rsidR="006F1810">
        <w:t>parties</w:t>
      </w:r>
      <w:r w:rsidR="00216971">
        <w:t>.</w:t>
      </w:r>
      <w:r>
        <w:t xml:space="preserve"> </w:t>
      </w:r>
    </w:p>
    <w:p w14:paraId="7AE3870E" w14:textId="22EB5BB1" w:rsidR="00E77387" w:rsidRPr="00066B5D" w:rsidRDefault="00E77387" w:rsidP="009F1C01">
      <w:pPr>
        <w:pStyle w:val="ListParagraph"/>
        <w:numPr>
          <w:ilvl w:val="0"/>
          <w:numId w:val="17"/>
        </w:numPr>
      </w:pPr>
      <w:r w:rsidRPr="00066B5D">
        <w:rPr>
          <w:b/>
          <w:bCs/>
        </w:rPr>
        <w:t>Synergies</w:t>
      </w:r>
      <w:r w:rsidRPr="00066B5D">
        <w:t xml:space="preserve">: </w:t>
      </w:r>
      <w:r w:rsidR="00E849B5">
        <w:t>a</w:t>
      </w:r>
      <w:r w:rsidRPr="00066B5D">
        <w:t xml:space="preserve"> binary variable </w:t>
      </w:r>
      <w:r>
        <w:t>to indicate whether merger-related efficiencies were considered in the simulation.</w:t>
      </w:r>
    </w:p>
    <w:p w14:paraId="07A66014" w14:textId="3A294914" w:rsidR="00FE5729" w:rsidRPr="00BC4C6A" w:rsidRDefault="00FE5729" w:rsidP="009F1C01">
      <w:pPr>
        <w:pStyle w:val="ListParagraph"/>
        <w:numPr>
          <w:ilvl w:val="0"/>
          <w:numId w:val="17"/>
        </w:numPr>
      </w:pPr>
      <w:r w:rsidRPr="00BC4C6A">
        <w:rPr>
          <w:b/>
        </w:rPr>
        <w:t>Phase 2</w:t>
      </w:r>
      <w:r>
        <w:t xml:space="preserve">: </w:t>
      </w:r>
      <w:r w:rsidR="00E849B5">
        <w:t>a</w:t>
      </w:r>
      <w:r>
        <w:t xml:space="preserve"> binary variable to indicate </w:t>
      </w:r>
      <w:r w:rsidR="001057C9">
        <w:t>whether the case went to Phase 2 or not.</w:t>
      </w:r>
    </w:p>
    <w:p w14:paraId="05C12A83" w14:textId="5CE54B72" w:rsidR="00E77387" w:rsidRDefault="00E77387" w:rsidP="009F1C01">
      <w:pPr>
        <w:pStyle w:val="ListParagraph"/>
        <w:numPr>
          <w:ilvl w:val="0"/>
          <w:numId w:val="17"/>
        </w:numPr>
      </w:pPr>
      <w:r w:rsidRPr="00E702DC">
        <w:rPr>
          <w:b/>
          <w:bCs/>
        </w:rPr>
        <w:t>Blocked</w:t>
      </w:r>
      <w:r>
        <w:t xml:space="preserve">: </w:t>
      </w:r>
      <w:r w:rsidR="00E849B5">
        <w:t>a</w:t>
      </w:r>
      <w:r>
        <w:t xml:space="preserve"> binary variable to indicate whether the merger was eventually blocked. </w:t>
      </w:r>
    </w:p>
    <w:p w14:paraId="516AF545" w14:textId="6A76A848" w:rsidR="00476E3F" w:rsidRPr="0025365C" w:rsidRDefault="00476E3F" w:rsidP="00476E3F">
      <w:pPr>
        <w:pStyle w:val="ListParagraph"/>
        <w:numPr>
          <w:ilvl w:val="0"/>
          <w:numId w:val="17"/>
        </w:numPr>
      </w:pPr>
      <w:r>
        <w:rPr>
          <w:b/>
          <w:bCs/>
        </w:rPr>
        <w:t>Sensitivity</w:t>
      </w:r>
      <w:r w:rsidRPr="00DA08F9">
        <w:t xml:space="preserve">: a binary variable to indicate whether the predicted price </w:t>
      </w:r>
      <w:r w:rsidR="002033CB">
        <w:t>change</w:t>
      </w:r>
      <w:r w:rsidRPr="00DA08F9">
        <w:t xml:space="preserve"> was a sensitivity to the baseline simulation put forward.</w:t>
      </w:r>
    </w:p>
    <w:p w14:paraId="1453D04A" w14:textId="3251D827" w:rsidR="00E77387" w:rsidRDefault="00E77387" w:rsidP="009F1C01">
      <w:pPr>
        <w:pStyle w:val="ListParagraph"/>
        <w:numPr>
          <w:ilvl w:val="0"/>
          <w:numId w:val="17"/>
        </w:numPr>
      </w:pPr>
      <w:r>
        <w:rPr>
          <w:b/>
          <w:bCs/>
        </w:rPr>
        <w:t>Competitor</w:t>
      </w:r>
      <w:r w:rsidR="00E92E80">
        <w:rPr>
          <w:b/>
          <w:bCs/>
        </w:rPr>
        <w:t xml:space="preserve"> / market</w:t>
      </w:r>
      <w:r>
        <w:t xml:space="preserve">: </w:t>
      </w:r>
      <w:r w:rsidR="00E849B5">
        <w:t>b</w:t>
      </w:r>
      <w:r>
        <w:t>inary variable</w:t>
      </w:r>
      <w:r w:rsidR="00E92E80">
        <w:t>s</w:t>
      </w:r>
      <w:r>
        <w:t xml:space="preserve"> to indicate whether a price estimate is for a competitor</w:t>
      </w:r>
      <w:r w:rsidR="00B64E80">
        <w:t xml:space="preserve"> or the market as a whole (whe</w:t>
      </w:r>
      <w:r w:rsidR="00930F6F">
        <w:t>re</w:t>
      </w:r>
      <w:r w:rsidR="00B64E80">
        <w:t xml:space="preserve"> both are zero</w:t>
      </w:r>
      <w:r w:rsidR="00480227">
        <w:t>,</w:t>
      </w:r>
      <w:r w:rsidR="00B64E80">
        <w:t xml:space="preserve"> the price estimate refers to the merged entity)</w:t>
      </w:r>
      <w:r>
        <w:t>.</w:t>
      </w:r>
    </w:p>
    <w:p w14:paraId="52F22A22" w14:textId="30BF831E" w:rsidR="009B0FBF" w:rsidRDefault="00C543C1" w:rsidP="0017778C">
      <w:r>
        <w:t>Summary statistics for t</w:t>
      </w:r>
      <w:r w:rsidR="006F6A90">
        <w:t xml:space="preserve">he </w:t>
      </w:r>
      <w:r w:rsidR="00F139A1">
        <w:t>main characteristics of the analysed merger</w:t>
      </w:r>
      <w:r w:rsidR="0095096D">
        <w:t xml:space="preserve"> simulation</w:t>
      </w:r>
      <w:r w:rsidR="00F139A1">
        <w:t>s</w:t>
      </w:r>
      <w:r w:rsidR="00FD7A1C">
        <w:t xml:space="preserve"> are given in Table </w:t>
      </w:r>
      <w:r w:rsidR="002B407B">
        <w:t>4</w:t>
      </w:r>
      <w:r w:rsidR="00A36182">
        <w:t xml:space="preserve">, </w:t>
      </w:r>
      <w:r w:rsidR="00E218E4">
        <w:t xml:space="preserve">broken down </w:t>
      </w:r>
      <w:r w:rsidR="0008164D">
        <w:t xml:space="preserve">into pairwise comparisons </w:t>
      </w:r>
      <w:r w:rsidR="00A36182">
        <w:t>by</w:t>
      </w:r>
      <w:r w:rsidR="006A2AF4">
        <w:t>:</w:t>
      </w:r>
      <w:r w:rsidR="00A36182">
        <w:t xml:space="preserve"> the simulation method</w:t>
      </w:r>
      <w:r w:rsidR="0073795A">
        <w:t xml:space="preserve"> (econometric demand vs. </w:t>
      </w:r>
      <w:r w:rsidR="0055334D">
        <w:t>calibrated demand</w:t>
      </w:r>
      <w:r w:rsidR="0073795A">
        <w:t>)</w:t>
      </w:r>
      <w:r w:rsidR="00A36182">
        <w:t xml:space="preserve">, </w:t>
      </w:r>
      <w:r w:rsidR="006A2AF4">
        <w:t xml:space="preserve">the </w:t>
      </w:r>
      <w:r w:rsidR="004907C0">
        <w:t xml:space="preserve">source </w:t>
      </w:r>
      <w:r w:rsidR="0095096D">
        <w:t>(</w:t>
      </w:r>
      <w:r w:rsidR="00E218E4" w:rsidDel="003D2EC2">
        <w:t>Commission</w:t>
      </w:r>
      <w:r w:rsidR="0095096D">
        <w:t xml:space="preserve"> vs. </w:t>
      </w:r>
      <w:r w:rsidR="0055334D">
        <w:t>merging parties)</w:t>
      </w:r>
      <w:r w:rsidR="006A2AF4">
        <w:t>,</w:t>
      </w:r>
      <w:r w:rsidR="003547FB">
        <w:t xml:space="preserve"> and </w:t>
      </w:r>
      <w:r w:rsidR="006A2AF4">
        <w:t xml:space="preserve">the </w:t>
      </w:r>
      <w:r w:rsidR="003547FB">
        <w:t>industry (telecoms vs. others)</w:t>
      </w:r>
      <w:r w:rsidR="00E218E4">
        <w:t xml:space="preserve">. </w:t>
      </w:r>
      <w:r w:rsidR="0008164D">
        <w:t>In each column, and for each pairwise comparison</w:t>
      </w:r>
      <w:r w:rsidR="0055334D">
        <w:t>,</w:t>
      </w:r>
      <w:r w:rsidR="0008164D">
        <w:t xml:space="preserve"> we report the t-statistics and p-values for the difference between the means.</w:t>
      </w:r>
      <w:r w:rsidR="00037E73">
        <w:t xml:space="preserve"> </w:t>
      </w:r>
      <w:r w:rsidR="003A57B2">
        <w:t xml:space="preserve">In the </w:t>
      </w:r>
      <w:r w:rsidR="000F0763">
        <w:t>A</w:t>
      </w:r>
      <w:r w:rsidR="003A57B2" w:rsidRPr="00C543C1">
        <w:t>ppendix</w:t>
      </w:r>
      <w:r w:rsidR="003A57B2">
        <w:t xml:space="preserve">, we present the same table, </w:t>
      </w:r>
      <w:r w:rsidR="00F9380B">
        <w:t xml:space="preserve">showing </w:t>
      </w:r>
      <w:r w:rsidR="00C35897">
        <w:t xml:space="preserve">(a) </w:t>
      </w:r>
      <w:r w:rsidR="002E459A">
        <w:t xml:space="preserve">only </w:t>
      </w:r>
      <w:r w:rsidR="003A57B2">
        <w:t xml:space="preserve">estimates </w:t>
      </w:r>
      <w:r w:rsidR="00AE739C">
        <w:t xml:space="preserve">for </w:t>
      </w:r>
      <w:r w:rsidR="002E459A">
        <w:t>the merged entity</w:t>
      </w:r>
      <w:r w:rsidR="00AE739C">
        <w:t xml:space="preserve">, and </w:t>
      </w:r>
      <w:r w:rsidR="00C35897">
        <w:t xml:space="preserve">(b) </w:t>
      </w:r>
      <w:r w:rsidR="00CB31C0">
        <w:t>incl</w:t>
      </w:r>
      <w:r w:rsidR="00E60D40">
        <w:t>u</w:t>
      </w:r>
      <w:r w:rsidR="00CB31C0">
        <w:t xml:space="preserve">ding </w:t>
      </w:r>
      <w:r w:rsidR="003A57B2">
        <w:t xml:space="preserve">the various sensitivity checks </w:t>
      </w:r>
      <w:r w:rsidR="00F40115">
        <w:t>that are made available.</w:t>
      </w:r>
    </w:p>
    <w:p w14:paraId="6930C98F" w14:textId="25A59D19" w:rsidR="004B5A66" w:rsidRDefault="00802060" w:rsidP="008D4F2A">
      <w:r w:rsidRPr="00802060">
        <w:rPr>
          <w:noProof/>
        </w:rPr>
        <w:lastRenderedPageBreak/>
        <w:drawing>
          <wp:inline distT="0" distB="0" distL="0" distR="0" wp14:anchorId="7E1E7571" wp14:editId="247F5C9B">
            <wp:extent cx="5731510" cy="4323080"/>
            <wp:effectExtent l="0" t="0" r="2540" b="1270"/>
            <wp:docPr id="147376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65049" name=""/>
                    <pic:cNvPicPr/>
                  </pic:nvPicPr>
                  <pic:blipFill>
                    <a:blip r:embed="rId13"/>
                    <a:stretch>
                      <a:fillRect/>
                    </a:stretch>
                  </pic:blipFill>
                  <pic:spPr>
                    <a:xfrm>
                      <a:off x="0" y="0"/>
                      <a:ext cx="5731510" cy="4323080"/>
                    </a:xfrm>
                    <a:prstGeom prst="rect">
                      <a:avLst/>
                    </a:prstGeom>
                  </pic:spPr>
                </pic:pic>
              </a:graphicData>
            </a:graphic>
          </wp:inline>
        </w:drawing>
      </w:r>
    </w:p>
    <w:p w14:paraId="70449453" w14:textId="3EB3CA97" w:rsidR="008D4F2A" w:rsidRDefault="008D4F2A" w:rsidP="008D4F2A">
      <w:r>
        <w:t>The price</w:t>
      </w:r>
      <w:r w:rsidR="0000332E">
        <w:t xml:space="preserve"> </w:t>
      </w:r>
      <w:r w:rsidR="003C0B80">
        <w:t>change</w:t>
      </w:r>
      <w:r>
        <w:t xml:space="preserve"> column</w:t>
      </w:r>
      <w:r w:rsidR="00496E96">
        <w:t xml:space="preserve"> in the table above</w:t>
      </w:r>
      <w:r>
        <w:t xml:space="preserve"> provides </w:t>
      </w:r>
      <w:r w:rsidR="00CC34E6">
        <w:t xml:space="preserve">some </w:t>
      </w:r>
      <w:r>
        <w:t xml:space="preserve">descriptive evidence </w:t>
      </w:r>
      <w:r w:rsidR="00144AA3">
        <w:t xml:space="preserve">to </w:t>
      </w:r>
      <w:r>
        <w:t xml:space="preserve">the hypotheses introduced above. </w:t>
      </w:r>
      <w:r w:rsidR="00D40792">
        <w:t>Price increase predictions are</w:t>
      </w:r>
      <w:r>
        <w:t xml:space="preserve"> lower when using econometric estimation of demand parameters in comparison to </w:t>
      </w:r>
      <w:r w:rsidR="0026773F">
        <w:t>calibrating them</w:t>
      </w:r>
      <w:r>
        <w:t xml:space="preserve">, </w:t>
      </w:r>
      <w:r w:rsidR="00B86F5B">
        <w:t xml:space="preserve">even though econometric simulations were applied in markets that were </w:t>
      </w:r>
      <w:r w:rsidR="00DD399F">
        <w:t xml:space="preserve">becoming </w:t>
      </w:r>
      <w:r w:rsidR="000D08BF">
        <w:t xml:space="preserve">slightly </w:t>
      </w:r>
      <w:r w:rsidR="00B86F5B">
        <w:t xml:space="preserve">more concentrated. </w:t>
      </w:r>
      <w:r w:rsidR="00A953D1">
        <w:t>P</w:t>
      </w:r>
      <w:r w:rsidR="00872DEE">
        <w:t xml:space="preserve">rice increases are predicted to be </w:t>
      </w:r>
      <w:r w:rsidR="000D08BF">
        <w:t xml:space="preserve">higher </w:t>
      </w:r>
      <w:r>
        <w:t xml:space="preserve">when </w:t>
      </w:r>
      <w:r w:rsidR="00872DEE">
        <w:t xml:space="preserve">the simulation was </w:t>
      </w:r>
      <w:r>
        <w:t xml:space="preserve">done by </w:t>
      </w:r>
      <w:r w:rsidR="000D08BF">
        <w:t>the Commission</w:t>
      </w:r>
      <w:r w:rsidR="000B480F">
        <w:t xml:space="preserve"> </w:t>
      </w:r>
      <w:r>
        <w:t xml:space="preserve">in comparison to the </w:t>
      </w:r>
      <w:r w:rsidR="000B480F">
        <w:t>merging parties</w:t>
      </w:r>
      <w:r w:rsidR="00A32926">
        <w:t xml:space="preserve">, </w:t>
      </w:r>
      <w:r w:rsidR="00607F2C">
        <w:t xml:space="preserve">though the difference is </w:t>
      </w:r>
      <w:r w:rsidR="00FF6F89">
        <w:t xml:space="preserve">(marginally) </w:t>
      </w:r>
      <w:r w:rsidR="00607F2C">
        <w:t xml:space="preserve">statistically </w:t>
      </w:r>
      <w:r w:rsidR="00FF6F89">
        <w:t>in</w:t>
      </w:r>
      <w:r w:rsidR="00607F2C">
        <w:t xml:space="preserve">significant. </w:t>
      </w:r>
      <w:r w:rsidR="00E71542">
        <w:t>F</w:t>
      </w:r>
      <w:r w:rsidR="00A953D1">
        <w:t xml:space="preserve">inally, the </w:t>
      </w:r>
      <w:r w:rsidR="00483FE5">
        <w:t xml:space="preserve">predicted </w:t>
      </w:r>
      <w:r w:rsidR="00A953D1">
        <w:t>price increase is high</w:t>
      </w:r>
      <w:r w:rsidR="00483FE5">
        <w:t>er</w:t>
      </w:r>
      <w:r w:rsidR="00A953D1">
        <w:t xml:space="preserve"> in the telecoms industry, even though the </w:t>
      </w:r>
      <w:r w:rsidR="00553296">
        <w:t xml:space="preserve">markets </w:t>
      </w:r>
      <w:r w:rsidR="00A953D1">
        <w:t xml:space="preserve">in the telecoms mergers </w:t>
      </w:r>
      <w:r w:rsidR="00553296">
        <w:t>were</w:t>
      </w:r>
      <w:r w:rsidR="0014049B">
        <w:t xml:space="preserve"> not becoming as highly concentrated </w:t>
      </w:r>
      <w:r w:rsidR="00A953D1">
        <w:t>on average.</w:t>
      </w:r>
      <w:r w:rsidR="0034075F">
        <w:t xml:space="preserve"> </w:t>
      </w:r>
    </w:p>
    <w:p w14:paraId="168FB0FD" w14:textId="53E88D82" w:rsidR="00C15F67" w:rsidRDefault="00C15F67" w:rsidP="008D4F2A">
      <w:r>
        <w:t xml:space="preserve">The Commission has always stated that models estimating price effects are just one piece of evidence considered in a merger review, and thus that there is no ‘safe harbour’ predicted price increase under which a merger would be considered unproblematic. However, </w:t>
      </w:r>
      <w:r w:rsidR="00986A70">
        <w:t>commentators in the past have argued that such a threshold may be present, for example in Unilever/Sara Lee, where a predicted price rise higher than 2% identified markets affected by the merger where divestments were required.</w:t>
      </w:r>
      <w:r w:rsidR="00986A70">
        <w:rPr>
          <w:rStyle w:val="FootnoteReference"/>
        </w:rPr>
        <w:footnoteReference w:id="64"/>
      </w:r>
    </w:p>
    <w:p w14:paraId="2DB5A1A0" w14:textId="727ABCEB" w:rsidR="001F2B04" w:rsidRDefault="00F527B2" w:rsidP="001F2B04">
      <w:r>
        <w:t>In addition, s</w:t>
      </w:r>
      <w:r w:rsidR="004503EB">
        <w:t>imulations relying on ec</w:t>
      </w:r>
      <w:r w:rsidR="008D4F2A">
        <w:t>onometric</w:t>
      </w:r>
      <w:r w:rsidR="004503EB">
        <w:t>ally estimated</w:t>
      </w:r>
      <w:r w:rsidR="008D4F2A">
        <w:t xml:space="preserve"> demand </w:t>
      </w:r>
      <w:r w:rsidR="004503EB">
        <w:t xml:space="preserve">parameters were more likely in cases that ended up being blocked by the </w:t>
      </w:r>
      <w:r>
        <w:t>Commission</w:t>
      </w:r>
      <w:r w:rsidR="004503EB">
        <w:t xml:space="preserve">. </w:t>
      </w:r>
      <w:r w:rsidR="009D6C7C">
        <w:t xml:space="preserve">This is more likely to do with the </w:t>
      </w:r>
      <w:r>
        <w:t xml:space="preserve">Commission </w:t>
      </w:r>
      <w:r w:rsidR="009D6C7C">
        <w:t xml:space="preserve">using </w:t>
      </w:r>
      <w:r w:rsidR="002C1C60">
        <w:t>econometrically</w:t>
      </w:r>
      <w:r w:rsidR="0034099F">
        <w:t xml:space="preserve"> estimated demand parameters, because none of the cases where </w:t>
      </w:r>
      <w:r w:rsidR="008D4F2A">
        <w:t xml:space="preserve">the merging parties’ consultancies </w:t>
      </w:r>
      <w:r w:rsidR="0034099F">
        <w:t xml:space="preserve">delivered simulations </w:t>
      </w:r>
      <w:r w:rsidR="008D4F2A">
        <w:t>were blocked.</w:t>
      </w:r>
      <w:r w:rsidR="001F2B04">
        <w:rPr>
          <w:rStyle w:val="FootnoteReference"/>
        </w:rPr>
        <w:footnoteReference w:id="65"/>
      </w:r>
    </w:p>
    <w:p w14:paraId="11FB39AD" w14:textId="46C62FB7" w:rsidR="008D4F2A" w:rsidRDefault="001627A0" w:rsidP="008D4F2A">
      <w:r>
        <w:lastRenderedPageBreak/>
        <w:t xml:space="preserve">As is always the case, </w:t>
      </w:r>
      <w:r w:rsidR="003D799D">
        <w:t xml:space="preserve">these variables are correlated with each other, </w:t>
      </w:r>
      <w:r w:rsidR="00CC29E3">
        <w:t>which is why we use standard regression techniques to illicit which are the most important.</w:t>
      </w:r>
    </w:p>
    <w:p w14:paraId="4CA1C2A7" w14:textId="6A42B351" w:rsidR="005F6D46" w:rsidRDefault="00C80FF5" w:rsidP="00BC4C6A">
      <w:pPr>
        <w:pStyle w:val="Heading1"/>
      </w:pPr>
      <w:r>
        <w:t>T</w:t>
      </w:r>
      <w:r w:rsidR="00C1221B">
        <w:t xml:space="preserve">he main drivers of price </w:t>
      </w:r>
      <w:r w:rsidR="00804F6C">
        <w:t xml:space="preserve">change </w:t>
      </w:r>
      <w:r w:rsidR="00C1221B">
        <w:t>estimates</w:t>
      </w:r>
    </w:p>
    <w:p w14:paraId="2FCC7E6E" w14:textId="5D8882E6" w:rsidR="0058082D" w:rsidRPr="0058082D" w:rsidRDefault="0058082D" w:rsidP="00825348">
      <w:r>
        <w:t xml:space="preserve">In this section, we perform our quantitative analysis of the data set introduced </w:t>
      </w:r>
      <w:r w:rsidR="00941F4E">
        <w:t>above</w:t>
      </w:r>
      <w:r>
        <w:t>. Specifically, we test if there is evidence in the data supporting the three main hypotheses regarding how price change estimates can vary from model to model and case to case.</w:t>
      </w:r>
    </w:p>
    <w:p w14:paraId="0C9EE9F0" w14:textId="72D02F3F" w:rsidR="00C80FF5" w:rsidRPr="00C80FF5" w:rsidRDefault="00C80FF5" w:rsidP="00BC4C6A">
      <w:pPr>
        <w:pStyle w:val="Heading2"/>
      </w:pPr>
      <w:r>
        <w:t>Descriptive findings</w:t>
      </w:r>
    </w:p>
    <w:p w14:paraId="4B313213" w14:textId="11CFAF40" w:rsidR="003179F3" w:rsidRDefault="00727655" w:rsidP="003179F3">
      <w:r>
        <w:t>W</w:t>
      </w:r>
      <w:r w:rsidR="00E92502">
        <w:t xml:space="preserve">e </w:t>
      </w:r>
      <w:r>
        <w:t>now examine</w:t>
      </w:r>
      <w:r w:rsidR="00E92502">
        <w:t xml:space="preserve"> </w:t>
      </w:r>
      <w:r w:rsidR="00934DE9">
        <w:t xml:space="preserve">how the interaction of the </w:t>
      </w:r>
      <w:r w:rsidR="002C44E1">
        <w:t xml:space="preserve">factors </w:t>
      </w:r>
      <w:r w:rsidR="006732A6">
        <w:t xml:space="preserve">presented in Table </w:t>
      </w:r>
      <w:r w:rsidR="00722717">
        <w:t>4</w:t>
      </w:r>
      <w:r w:rsidR="006732A6">
        <w:t xml:space="preserve"> </w:t>
      </w:r>
      <w:r w:rsidR="002C44E1">
        <w:t xml:space="preserve">impact </w:t>
      </w:r>
      <w:r w:rsidR="00934DE9">
        <w:t>the average estimated price effect</w:t>
      </w:r>
      <w:r w:rsidR="002C44E1">
        <w:t>.</w:t>
      </w:r>
      <w:r w:rsidR="00FC615D">
        <w:t xml:space="preserve"> </w:t>
      </w:r>
      <w:r w:rsidR="003179F3">
        <w:t xml:space="preserve">Table </w:t>
      </w:r>
      <w:r w:rsidR="00722717">
        <w:t>5</w:t>
      </w:r>
      <w:r w:rsidR="003179F3">
        <w:t xml:space="preserve"> summarises the mean predicted price change for samples of the data that were selected around </w:t>
      </w:r>
      <w:r w:rsidR="00DD55D7">
        <w:t xml:space="preserve">the </w:t>
      </w:r>
      <w:r w:rsidR="003179F3">
        <w:t>three testable hypotheses</w:t>
      </w:r>
      <w:r w:rsidR="00DD55D7">
        <w:t xml:space="preserve"> </w:t>
      </w:r>
      <w:r w:rsidR="00EB6020">
        <w:t>described above</w:t>
      </w:r>
      <w:r w:rsidR="003179F3">
        <w:t>.</w:t>
      </w:r>
    </w:p>
    <w:p w14:paraId="448FA2F8" w14:textId="6BECDEE6" w:rsidR="00656146" w:rsidRDefault="009177EA" w:rsidP="00796866">
      <w:r>
        <w:t xml:space="preserve">For example, the first two rows show </w:t>
      </w:r>
      <w:r w:rsidR="00157D9C">
        <w:t>the mean price</w:t>
      </w:r>
      <w:r w:rsidR="00517637">
        <w:t xml:space="preserve"> </w:t>
      </w:r>
      <w:r w:rsidR="00157D9C">
        <w:t xml:space="preserve">change estimate when using econometric demand models </w:t>
      </w:r>
      <w:r w:rsidR="00540E06">
        <w:t>in</w:t>
      </w:r>
      <w:r w:rsidR="00157D9C">
        <w:t xml:space="preserve"> simulation</w:t>
      </w:r>
      <w:r w:rsidR="00540E06">
        <w:t>s</w:t>
      </w:r>
      <w:r w:rsidR="00157D9C">
        <w:t xml:space="preserve"> done by the Commission, </w:t>
      </w:r>
      <w:r w:rsidR="003B7DD1">
        <w:t>first</w:t>
      </w:r>
      <w:r w:rsidR="00157D9C">
        <w:t xml:space="preserve"> for </w:t>
      </w:r>
      <w:r w:rsidR="003B7DD1">
        <w:t xml:space="preserve">simulations in the </w:t>
      </w:r>
      <w:r w:rsidR="00157D9C">
        <w:t>telecom</w:t>
      </w:r>
      <w:r w:rsidR="003B7DD1">
        <w:t>s industry</w:t>
      </w:r>
      <w:r w:rsidR="00157D9C">
        <w:t xml:space="preserve"> </w:t>
      </w:r>
      <w:r w:rsidR="00B755AC">
        <w:t>(</w:t>
      </w:r>
      <w:r w:rsidR="003A446C">
        <w:t xml:space="preserve">a </w:t>
      </w:r>
      <w:r w:rsidR="00B755AC">
        <w:t>3.8</w:t>
      </w:r>
      <w:r w:rsidR="003A446C">
        <w:t xml:space="preserve">pp </w:t>
      </w:r>
      <w:r w:rsidR="00B755AC">
        <w:t>price increase</w:t>
      </w:r>
      <w:r w:rsidR="00952469">
        <w:t xml:space="preserve"> </w:t>
      </w:r>
      <w:r w:rsidR="003B7DD1">
        <w:t xml:space="preserve">when considering </w:t>
      </w:r>
      <w:r w:rsidR="00952469">
        <w:t>the baseline model</w:t>
      </w:r>
      <w:r w:rsidR="003B7DD1">
        <w:t>s</w:t>
      </w:r>
      <w:r w:rsidR="00B755AC">
        <w:t xml:space="preserve">) </w:t>
      </w:r>
      <w:r w:rsidR="00157D9C">
        <w:t xml:space="preserve">and </w:t>
      </w:r>
      <w:r w:rsidR="003B7DD1">
        <w:t xml:space="preserve">then for simulations in </w:t>
      </w:r>
      <w:r w:rsidR="00157D9C">
        <w:t xml:space="preserve">other </w:t>
      </w:r>
      <w:r w:rsidR="003B7DD1">
        <w:t xml:space="preserve">industries </w:t>
      </w:r>
      <w:r w:rsidR="00B755AC">
        <w:t>(</w:t>
      </w:r>
      <w:r w:rsidR="003B7DD1">
        <w:t xml:space="preserve">a </w:t>
      </w:r>
      <w:r w:rsidR="00B755AC">
        <w:t>3.1</w:t>
      </w:r>
      <w:r w:rsidR="003B7DD1">
        <w:t xml:space="preserve">pp </w:t>
      </w:r>
      <w:r w:rsidR="00B755AC">
        <w:t>price increase)</w:t>
      </w:r>
      <w:r w:rsidR="00157D9C">
        <w:t>.</w:t>
      </w:r>
    </w:p>
    <w:p w14:paraId="7A04FD36" w14:textId="79300B8C" w:rsidR="00701976" w:rsidRDefault="00B625E5" w:rsidP="00796866">
      <w:r w:rsidRPr="00B625E5">
        <w:rPr>
          <w:noProof/>
        </w:rPr>
        <w:drawing>
          <wp:inline distT="0" distB="0" distL="0" distR="0" wp14:anchorId="5F72D1E8" wp14:editId="0DF401F0">
            <wp:extent cx="5731510" cy="2153920"/>
            <wp:effectExtent l="0" t="0" r="2540" b="0"/>
            <wp:docPr id="25049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93723" name=""/>
                    <pic:cNvPicPr/>
                  </pic:nvPicPr>
                  <pic:blipFill>
                    <a:blip r:embed="rId14"/>
                    <a:stretch>
                      <a:fillRect/>
                    </a:stretch>
                  </pic:blipFill>
                  <pic:spPr>
                    <a:xfrm>
                      <a:off x="0" y="0"/>
                      <a:ext cx="5731510" cy="2153920"/>
                    </a:xfrm>
                    <a:prstGeom prst="rect">
                      <a:avLst/>
                    </a:prstGeom>
                  </pic:spPr>
                </pic:pic>
              </a:graphicData>
            </a:graphic>
          </wp:inline>
        </w:drawing>
      </w:r>
    </w:p>
    <w:p w14:paraId="54AB1A10" w14:textId="6332918C" w:rsidR="003413B8" w:rsidRDefault="003413B8" w:rsidP="003413B8">
      <w:r>
        <w:t xml:space="preserve">Although, on average, simulations done by the </w:t>
      </w:r>
      <w:r w:rsidR="004252F7">
        <w:t>Commission</w:t>
      </w:r>
      <w:r w:rsidR="0073401D">
        <w:t xml:space="preserve"> seem</w:t>
      </w:r>
      <w:r w:rsidR="00D858E2">
        <w:t xml:space="preserve"> to</w:t>
      </w:r>
      <w:r w:rsidR="004252F7">
        <w:t xml:space="preserve"> </w:t>
      </w:r>
      <w:r>
        <w:t>produce higher price</w:t>
      </w:r>
      <w:r w:rsidR="003735B4">
        <w:t xml:space="preserve"> change</w:t>
      </w:r>
      <w:r>
        <w:t xml:space="preserve"> estimates </w:t>
      </w:r>
      <w:r w:rsidR="007834AD">
        <w:t xml:space="preserve">on average </w:t>
      </w:r>
      <w:r>
        <w:t>(</w:t>
      </w:r>
      <w:r w:rsidR="007834AD">
        <w:t xml:space="preserve">as was shown in </w:t>
      </w:r>
      <w:r>
        <w:t>Table</w:t>
      </w:r>
      <w:r w:rsidR="00D858E2">
        <w:t xml:space="preserve"> 4</w:t>
      </w:r>
      <w:r>
        <w:t xml:space="preserve">), </w:t>
      </w:r>
      <w:r w:rsidR="007834AD">
        <w:t xml:space="preserve">Table </w:t>
      </w:r>
      <w:r w:rsidR="00D858E2">
        <w:t>5</w:t>
      </w:r>
      <w:r w:rsidR="007834AD">
        <w:t xml:space="preserve"> suggests </w:t>
      </w:r>
      <w:r>
        <w:t>that this is not true for econometrically estimated simulations</w:t>
      </w:r>
      <w:r w:rsidR="006B215A">
        <w:t xml:space="preserve"> (top half of table) in telecoms</w:t>
      </w:r>
      <w:r w:rsidR="001E0CFE">
        <w:t xml:space="preserve">, where </w:t>
      </w:r>
      <w:r w:rsidR="00931497">
        <w:t xml:space="preserve">the mean price change is </w:t>
      </w:r>
      <w:r w:rsidR="005E6EF0">
        <w:t xml:space="preserve">6pp (0.06) in </w:t>
      </w:r>
      <w:r w:rsidR="001E0CFE">
        <w:t>simulations produced by the merging parties, as opposed to 3.8pp (0.038) in Commission simulations</w:t>
      </w:r>
      <w:r w:rsidRPr="00450B64">
        <w:t>.</w:t>
      </w:r>
      <w:r w:rsidR="00101286">
        <w:rPr>
          <w:rStyle w:val="FootnoteReference"/>
        </w:rPr>
        <w:footnoteReference w:id="66"/>
      </w:r>
    </w:p>
    <w:p w14:paraId="39484F7C" w14:textId="6D86294D" w:rsidR="008015EC" w:rsidRDefault="00D858E2" w:rsidP="005C03B2">
      <w:r>
        <w:t>S</w:t>
      </w:r>
      <w:r w:rsidR="00FB2572">
        <w:t>imulations in the telecom</w:t>
      </w:r>
      <w:r w:rsidR="000C4648">
        <w:t>s industry predict higher post-merger price increases than those in other industries</w:t>
      </w:r>
      <w:r>
        <w:t>, and</w:t>
      </w:r>
      <w:r w:rsidR="000C4648">
        <w:t xml:space="preserve"> </w:t>
      </w:r>
      <w:r>
        <w:t xml:space="preserve">econometrically estimated merger simulations predict lower post-merger price increases than calibrated models </w:t>
      </w:r>
      <w:r w:rsidR="000C4648">
        <w:t xml:space="preserve">(see Table </w:t>
      </w:r>
      <w:r>
        <w:t>4</w:t>
      </w:r>
      <w:r w:rsidR="000C4648">
        <w:t xml:space="preserve"> in the previous section). </w:t>
      </w:r>
      <w:r w:rsidR="00EA66E0">
        <w:t xml:space="preserve">However, </w:t>
      </w:r>
      <w:r w:rsidR="00341333">
        <w:t>T</w:t>
      </w:r>
      <w:r w:rsidR="008015EC">
        <w:t xml:space="preserve">able </w:t>
      </w:r>
      <w:r>
        <w:t>5</w:t>
      </w:r>
      <w:r w:rsidDel="00B8399D">
        <w:t xml:space="preserve"> </w:t>
      </w:r>
      <w:r w:rsidR="00B8399D">
        <w:t xml:space="preserve">above </w:t>
      </w:r>
      <w:r w:rsidR="008015EC">
        <w:t>shows that this relationship depends on some of the other characteristics of the simulation.</w:t>
      </w:r>
      <w:r w:rsidR="005C03B2">
        <w:t xml:space="preserve"> </w:t>
      </w:r>
      <w:r w:rsidR="000C4580">
        <w:t>Firstly</w:t>
      </w:r>
      <w:r w:rsidR="00F35B1B">
        <w:t>,</w:t>
      </w:r>
      <w:r w:rsidR="00374601" w:rsidDel="00464805">
        <w:t xml:space="preserve"> </w:t>
      </w:r>
      <w:r w:rsidR="00374601">
        <w:t>price increase</w:t>
      </w:r>
      <w:r w:rsidR="00464805">
        <w:t>s are larger</w:t>
      </w:r>
      <w:r w:rsidR="00B8399D">
        <w:t xml:space="preserve"> in telecoms, but only for econometric models</w:t>
      </w:r>
      <w:r w:rsidR="006A352E">
        <w:t xml:space="preserve"> (for calibrated models, the opposite </w:t>
      </w:r>
      <w:r w:rsidR="006A352E">
        <w:lastRenderedPageBreak/>
        <w:t>is true)</w:t>
      </w:r>
      <w:r w:rsidR="00B8399D">
        <w:t>.</w:t>
      </w:r>
      <w:r w:rsidR="005C03B2">
        <w:t xml:space="preserve"> </w:t>
      </w:r>
      <w:r w:rsidR="000C4580">
        <w:t>On the other hand</w:t>
      </w:r>
      <w:r w:rsidR="00B8399D">
        <w:t>,</w:t>
      </w:r>
      <w:r w:rsidR="00995D84">
        <w:t xml:space="preserve"> price </w:t>
      </w:r>
      <w:r w:rsidR="00AF633A">
        <w:t>changes</w:t>
      </w:r>
      <w:r w:rsidR="00995D84">
        <w:t xml:space="preserve"> are lower for econometric models</w:t>
      </w:r>
      <w:r w:rsidR="000F03E2">
        <w:t>,</w:t>
      </w:r>
      <w:r w:rsidR="006A0C72">
        <w:t xml:space="preserve"> but</w:t>
      </w:r>
      <w:r w:rsidR="008917F7">
        <w:t xml:space="preserve"> </w:t>
      </w:r>
      <w:r w:rsidR="005F3CB0">
        <w:t xml:space="preserve">not for models </w:t>
      </w:r>
      <w:r w:rsidR="00B92783">
        <w:t>put forward by the merging parties in telecoms</w:t>
      </w:r>
      <w:r w:rsidR="000B774A">
        <w:t>.</w:t>
      </w:r>
      <w:r w:rsidR="00BD7E1C">
        <w:rPr>
          <w:rStyle w:val="FootnoteReference"/>
        </w:rPr>
        <w:footnoteReference w:id="67"/>
      </w:r>
    </w:p>
    <w:p w14:paraId="19B93F4E" w14:textId="3ED003AC" w:rsidR="00450729" w:rsidRPr="009C1544" w:rsidRDefault="00A54C9F" w:rsidP="00B937A0">
      <w:r>
        <w:t>T</w:t>
      </w:r>
      <w:r w:rsidR="000446C9">
        <w:t>o</w:t>
      </w:r>
      <w:r w:rsidR="00340786">
        <w:t xml:space="preserve"> test whether the</w:t>
      </w:r>
      <w:r w:rsidR="000446C9">
        <w:t>se</w:t>
      </w:r>
      <w:r w:rsidR="00340786">
        <w:t xml:space="preserve"> differences in the estimated </w:t>
      </w:r>
      <w:r w:rsidR="00B63991">
        <w:t>price change</w:t>
      </w:r>
      <w:r w:rsidR="00340786">
        <w:t xml:space="preserve"> of the merger remain when controlling for other merger characteristics, such as the combined market share of the merging parties, we turn to a regression analysis</w:t>
      </w:r>
      <w:r w:rsidR="000446C9">
        <w:t xml:space="preserve"> in the following </w:t>
      </w:r>
      <w:r w:rsidR="005E3798">
        <w:t>sub-</w:t>
      </w:r>
      <w:r w:rsidR="000446C9">
        <w:t>section</w:t>
      </w:r>
      <w:r w:rsidR="00340786">
        <w:t>.</w:t>
      </w:r>
    </w:p>
    <w:p w14:paraId="0CA0D20C" w14:textId="639057E5" w:rsidR="00F77151" w:rsidRDefault="00FA6366" w:rsidP="00C80FF5">
      <w:pPr>
        <w:pStyle w:val="Heading2"/>
      </w:pPr>
      <w:r>
        <w:t>Regression analysis</w:t>
      </w:r>
    </w:p>
    <w:p w14:paraId="648351A9" w14:textId="0128D508" w:rsidR="00534797" w:rsidRDefault="00534797" w:rsidP="00B1696E">
      <w:r>
        <w:t>We estimate two regression models:</w:t>
      </w:r>
    </w:p>
    <w:p w14:paraId="7A58E9D7" w14:textId="2716CB9E" w:rsidR="006A7DE6" w:rsidRDefault="00000000" w:rsidP="00B1696E">
      <m:oMathPara>
        <m:oMath>
          <m:sSub>
            <m:sSubPr>
              <m:ctrlPr>
                <w:rPr>
                  <w:rFonts w:ascii="Cambria Math" w:hAnsi="Cambria Math"/>
                  <w:i/>
                </w:rPr>
              </m:ctrlPr>
            </m:sSubPr>
            <m:e>
              <m:r>
                <w:rPr>
                  <w:rFonts w:ascii="Cambria Math" w:hAnsi="Cambria Math"/>
                </w:rPr>
                <m:t>PriceChange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Econometric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Commission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Telecoms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CombinedShare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Increment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Synergies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Phase2</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Blocked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Sensitivity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Competitor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Market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oMath>
      </m:oMathPara>
    </w:p>
    <w:p w14:paraId="70DB6B2E" w14:textId="31E35F0A" w:rsidR="00AE3B38" w:rsidRPr="001C0A7D" w:rsidRDefault="00AE3B38" w:rsidP="00B1696E">
      <w:r w:rsidRPr="001C0A7D">
        <w:t>and</w:t>
      </w:r>
    </w:p>
    <w:p w14:paraId="530D011E" w14:textId="07447D61" w:rsidR="00534797" w:rsidRDefault="00000000" w:rsidP="00B1696E">
      <m:oMathPara>
        <m:oMath>
          <m:sSub>
            <m:sSubPr>
              <m:ctrlPr>
                <w:rPr>
                  <w:rFonts w:ascii="Cambria Math" w:hAnsi="Cambria Math"/>
                  <w:i/>
                </w:rPr>
              </m:ctrlPr>
            </m:sSubPr>
            <m:e>
              <m:r>
                <w:rPr>
                  <w:rFonts w:ascii="Cambria Math" w:hAnsi="Cambria Math"/>
                </w:rPr>
                <m:t>PriceChange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Econometric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Commission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Telecoms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Econometric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Commission</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Econometric</m:t>
                  </m:r>
                </m:e>
                <m:sub>
                  <m:r>
                    <w:rPr>
                      <w:rFonts w:ascii="Cambria Math" w:hAnsi="Cambria Math"/>
                    </w:rPr>
                    <m:t>i</m:t>
                  </m:r>
                </m:sub>
              </m:sSub>
              <m:r>
                <w:rPr>
                  <w:rFonts w:ascii="Cambria Math" w:hAnsi="Cambria Math"/>
                </w:rPr>
                <m:t>*Telecoms</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Commission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Telecoms</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Econometric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Commission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Telecoms</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CombinedShare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Increment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Synergies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Phase2</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Blocked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Sensitivity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Competitor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Market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oMath>
      </m:oMathPara>
    </w:p>
    <w:p w14:paraId="4B0A80C6" w14:textId="5912A1F2" w:rsidR="00C852F1" w:rsidRDefault="00AA356F" w:rsidP="00B1696E">
      <w:r>
        <w:t>w</w:t>
      </w:r>
      <w:r w:rsidR="00C852F1">
        <w:t xml:space="preserve">here </w:t>
      </w:r>
      <w:proofErr w:type="spellStart"/>
      <w:r w:rsidR="00CB58FD" w:rsidRPr="001C0A7D">
        <w:rPr>
          <w:i/>
          <w:iCs/>
        </w:rPr>
        <w:t>i</w:t>
      </w:r>
      <w:proofErr w:type="spellEnd"/>
      <w:r w:rsidR="00C852F1">
        <w:t xml:space="preserve"> denotes </w:t>
      </w:r>
      <w:r w:rsidR="00373557">
        <w:t xml:space="preserve">a single price </w:t>
      </w:r>
      <w:r w:rsidR="00DE7E3A">
        <w:t>change</w:t>
      </w:r>
      <w:r w:rsidR="00373557">
        <w:t xml:space="preserve"> estimate, as described in Section </w:t>
      </w:r>
      <w:r w:rsidR="005E3798">
        <w:t>5</w:t>
      </w:r>
      <w:r w:rsidR="00F56A4B">
        <w:t>.3</w:t>
      </w:r>
      <w:r w:rsidR="00CB58FD">
        <w:t>.</w:t>
      </w:r>
      <w:r>
        <w:t xml:space="preserve"> Each regression is applied to two samples: </w:t>
      </w:r>
      <w:r w:rsidR="000D228F">
        <w:t>just the models’ baseline estimates (n=272), and including the models’ sensitivity estimates (n=780).</w:t>
      </w:r>
    </w:p>
    <w:p w14:paraId="456AA57B" w14:textId="3ADBAC70" w:rsidR="003B2296" w:rsidRDefault="00C47F22" w:rsidP="00B1696E">
      <w:r>
        <w:t xml:space="preserve">In Table </w:t>
      </w:r>
      <w:r w:rsidR="0045782B">
        <w:t>6</w:t>
      </w:r>
      <w:r>
        <w:t xml:space="preserve"> we </w:t>
      </w:r>
      <w:r w:rsidR="002E1CE0">
        <w:t>focus on ou</w:t>
      </w:r>
      <w:r w:rsidR="00AE03C2">
        <w:t>r</w:t>
      </w:r>
      <w:r w:rsidR="002E1CE0">
        <w:t xml:space="preserve"> three main hypotheses introduced in Section </w:t>
      </w:r>
      <w:r w:rsidR="005E3798">
        <w:t>5</w:t>
      </w:r>
      <w:r w:rsidR="006A3D1E">
        <w:t>.1</w:t>
      </w:r>
      <w:r w:rsidR="002E1CE0">
        <w:t>.</w:t>
      </w:r>
      <w:r w:rsidR="00D32F2C">
        <w:t xml:space="preserve"> The full results of our regression analysis are presented in </w:t>
      </w:r>
      <w:r w:rsidR="00D32F2C" w:rsidRPr="00112BAC">
        <w:t xml:space="preserve">Table </w:t>
      </w:r>
      <w:r w:rsidR="00112BAC" w:rsidRPr="00112BAC">
        <w:t>14</w:t>
      </w:r>
      <w:r w:rsidR="00D32F2C">
        <w:t xml:space="preserve"> in the Appendix.</w:t>
      </w:r>
      <w:r w:rsidR="00D32F2C">
        <w:rPr>
          <w:rStyle w:val="FootnoteReference"/>
        </w:rPr>
        <w:footnoteReference w:id="68"/>
      </w:r>
      <w:r w:rsidR="00D32F2C">
        <w:t xml:space="preserve"> </w:t>
      </w:r>
      <w:r w:rsidR="003B2296" w:rsidRPr="007E3F0C">
        <w:t xml:space="preserve">Because the different price estimates within a </w:t>
      </w:r>
      <w:r w:rsidR="008C10C5">
        <w:t xml:space="preserve">given merger simulation </w:t>
      </w:r>
      <w:r w:rsidR="003B2296" w:rsidRPr="007E3F0C">
        <w:t xml:space="preserve">model are likely not independent, in our headline models we cluster standard errors </w:t>
      </w:r>
      <w:r w:rsidR="00044A84">
        <w:t>within each</w:t>
      </w:r>
      <w:r w:rsidR="003B2296" w:rsidRPr="007E3F0C">
        <w:t xml:space="preserve"> simulation model</w:t>
      </w:r>
      <w:r w:rsidR="003B2296">
        <w:t>.</w:t>
      </w:r>
      <w:r w:rsidR="007E3F0C">
        <w:rPr>
          <w:rStyle w:val="FootnoteReference"/>
        </w:rPr>
        <w:footnoteReference w:id="69"/>
      </w:r>
      <w:r w:rsidR="001F2CCE">
        <w:t xml:space="preserve"> </w:t>
      </w:r>
    </w:p>
    <w:p w14:paraId="039D9AD5" w14:textId="3A1F3DA4" w:rsidR="001C3FAE" w:rsidRDefault="0045782B" w:rsidP="00B1696E">
      <w:r>
        <w:t>The t</w:t>
      </w:r>
      <w:r w:rsidR="00D32F2C">
        <w:t xml:space="preserve">able shows the predicted marginal effects, using the </w:t>
      </w:r>
      <w:r w:rsidR="001F1DF8">
        <w:t xml:space="preserve">estimated </w:t>
      </w:r>
      <w:r w:rsidR="00D32F2C">
        <w:t>regression parameters</w:t>
      </w:r>
      <w:r w:rsidR="001F1DF8">
        <w:t xml:space="preserve"> together with different combinations of values of </w:t>
      </w:r>
      <w:r w:rsidR="00D32F2C">
        <w:t>the three main variables of interest</w:t>
      </w:r>
      <w:r w:rsidR="001F1DF8">
        <w:t xml:space="preserve"> (</w:t>
      </w:r>
      <w:r>
        <w:t xml:space="preserve">econometric vs. calibrated </w:t>
      </w:r>
      <w:r w:rsidR="00981840">
        <w:t xml:space="preserve">demand </w:t>
      </w:r>
      <w:r>
        <w:t>model</w:t>
      </w:r>
      <w:r w:rsidR="00587DF6">
        <w:t xml:space="preserve">, </w:t>
      </w:r>
      <w:r>
        <w:t xml:space="preserve">Commission vs. </w:t>
      </w:r>
      <w:r w:rsidR="00587DF6">
        <w:t xml:space="preserve">merging parties, </w:t>
      </w:r>
      <w:r>
        <w:t>telecoms vs. other industries</w:t>
      </w:r>
      <w:r w:rsidR="00587DF6">
        <w:t>)</w:t>
      </w:r>
      <w:r w:rsidR="00D32F2C">
        <w:t>.</w:t>
      </w:r>
    </w:p>
    <w:p w14:paraId="50992312" w14:textId="30CAF939" w:rsidR="007B4363" w:rsidRDefault="001F2CCE" w:rsidP="00B1696E">
      <w:r>
        <w:t xml:space="preserve">For example, the first row </w:t>
      </w:r>
      <w:r w:rsidR="00211D2B">
        <w:t xml:space="preserve">shows the </w:t>
      </w:r>
      <w:r w:rsidR="0045782B">
        <w:t xml:space="preserve">difference in the </w:t>
      </w:r>
      <w:r w:rsidR="006F3464">
        <w:t xml:space="preserve">predicted price </w:t>
      </w:r>
      <w:r w:rsidR="0045782B">
        <w:t xml:space="preserve">increase </w:t>
      </w:r>
      <w:r w:rsidR="00211D2B">
        <w:t>between econometrically estimated simulations</w:t>
      </w:r>
      <w:r w:rsidR="00902813">
        <w:t xml:space="preserve"> </w:t>
      </w:r>
      <w:r w:rsidR="00211D2B">
        <w:t xml:space="preserve">and calibrated models </w:t>
      </w:r>
      <w:r w:rsidR="00477801">
        <w:t xml:space="preserve">done by the Commission in </w:t>
      </w:r>
      <w:r w:rsidR="0006653C">
        <w:t xml:space="preserve">the </w:t>
      </w:r>
      <w:r w:rsidR="00D2148F">
        <w:t>t</w:t>
      </w:r>
      <w:r w:rsidR="00477801">
        <w:t xml:space="preserve">elecoms </w:t>
      </w:r>
      <w:r w:rsidR="0006653C">
        <w:t>industry</w:t>
      </w:r>
      <w:r w:rsidR="00902813">
        <w:t xml:space="preserve">. This </w:t>
      </w:r>
      <w:r w:rsidR="00E611D2">
        <w:t xml:space="preserve">suggests </w:t>
      </w:r>
      <w:r w:rsidR="00902813">
        <w:t>that econometrically</w:t>
      </w:r>
      <w:r w:rsidR="0006653C">
        <w:t>-</w:t>
      </w:r>
      <w:r w:rsidR="00F17AB6">
        <w:t xml:space="preserve">estimated simulations </w:t>
      </w:r>
      <w:r w:rsidR="00670368">
        <w:t>predict</w:t>
      </w:r>
      <w:r w:rsidR="00F17AB6">
        <w:t>, on average, 2.5</w:t>
      </w:r>
      <w:r w:rsidR="00994457">
        <w:t>pp</w:t>
      </w:r>
      <w:r w:rsidR="00F17AB6">
        <w:t xml:space="preserve"> lower price increases</w:t>
      </w:r>
      <w:r w:rsidR="00E250D3">
        <w:t xml:space="preserve"> </w:t>
      </w:r>
      <w:r w:rsidR="00947871">
        <w:t xml:space="preserve">when considering </w:t>
      </w:r>
      <w:r w:rsidR="00E250D3">
        <w:t>baseline models</w:t>
      </w:r>
      <w:r w:rsidR="00167103">
        <w:t xml:space="preserve">, </w:t>
      </w:r>
      <w:r w:rsidR="00E250D3">
        <w:t xml:space="preserve">and </w:t>
      </w:r>
      <w:r w:rsidR="00947871">
        <w:t xml:space="preserve">the </w:t>
      </w:r>
      <w:r w:rsidR="00E250D3">
        <w:t>difference is significant with a p-value of 0.01</w:t>
      </w:r>
      <w:r w:rsidR="005B7F4D">
        <w:t>1</w:t>
      </w:r>
      <w:r w:rsidR="00E250D3">
        <w:t>.</w:t>
      </w:r>
    </w:p>
    <w:p w14:paraId="54789466" w14:textId="75C7D858" w:rsidR="00F05F24" w:rsidRDefault="00D451B1" w:rsidP="00B1696E">
      <w:r w:rsidRPr="00D451B1">
        <w:rPr>
          <w:noProof/>
        </w:rPr>
        <w:lastRenderedPageBreak/>
        <w:drawing>
          <wp:inline distT="0" distB="0" distL="0" distR="0" wp14:anchorId="6F47D82A" wp14:editId="38894D9E">
            <wp:extent cx="5731510" cy="2418715"/>
            <wp:effectExtent l="0" t="0" r="2540" b="635"/>
            <wp:docPr id="44082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29685" name=""/>
                    <pic:cNvPicPr/>
                  </pic:nvPicPr>
                  <pic:blipFill>
                    <a:blip r:embed="rId15"/>
                    <a:stretch>
                      <a:fillRect/>
                    </a:stretch>
                  </pic:blipFill>
                  <pic:spPr>
                    <a:xfrm>
                      <a:off x="0" y="0"/>
                      <a:ext cx="5731510" cy="2418715"/>
                    </a:xfrm>
                    <a:prstGeom prst="rect">
                      <a:avLst/>
                    </a:prstGeom>
                  </pic:spPr>
                </pic:pic>
              </a:graphicData>
            </a:graphic>
          </wp:inline>
        </w:drawing>
      </w:r>
      <w:r w:rsidR="0045782B" w:rsidRPr="0045782B" w:rsidDel="0045782B">
        <w:t xml:space="preserve"> </w:t>
      </w:r>
    </w:p>
    <w:p w14:paraId="1884DA2C" w14:textId="1356FB71" w:rsidR="00057419" w:rsidRDefault="00057419" w:rsidP="00057419">
      <w:pPr>
        <w:pStyle w:val="Heading3"/>
      </w:pPr>
      <w:r>
        <w:t>Does it matter which method is used?</w:t>
      </w:r>
    </w:p>
    <w:p w14:paraId="342A277F" w14:textId="009FFB31" w:rsidR="00A32BDF" w:rsidRDefault="00484ACD" w:rsidP="00057419">
      <w:r>
        <w:t xml:space="preserve">Table </w:t>
      </w:r>
      <w:r w:rsidR="00947871">
        <w:t>6</w:t>
      </w:r>
      <w:r>
        <w:t xml:space="preserve"> s</w:t>
      </w:r>
      <w:r w:rsidR="008963D3">
        <w:t xml:space="preserve">hows </w:t>
      </w:r>
      <w:r w:rsidR="00057419">
        <w:t xml:space="preserve">that simulations using econometrically estimated demand parameters produce lower </w:t>
      </w:r>
      <w:r w:rsidR="00B63991">
        <w:t>price change</w:t>
      </w:r>
      <w:r w:rsidR="00057419">
        <w:t xml:space="preserve"> estimates</w:t>
      </w:r>
      <w:r w:rsidR="005D1EA0">
        <w:t xml:space="preserve"> even after controlling for differences in market concentration</w:t>
      </w:r>
      <w:r w:rsidR="00494C7D">
        <w:t xml:space="preserve"> </w:t>
      </w:r>
      <w:r w:rsidR="009E3F98">
        <w:t>and other factors</w:t>
      </w:r>
      <w:r w:rsidR="008963D3">
        <w:t>,</w:t>
      </w:r>
      <w:r w:rsidR="009C2F57">
        <w:t xml:space="preserve"> </w:t>
      </w:r>
      <w:r>
        <w:t xml:space="preserve">but </w:t>
      </w:r>
      <w:r w:rsidR="00065263">
        <w:t xml:space="preserve">only for </w:t>
      </w:r>
      <w:r w:rsidR="003D3FBB">
        <w:t xml:space="preserve">simulations done </w:t>
      </w:r>
      <w:r w:rsidR="00065263">
        <w:t>by the Commission</w:t>
      </w:r>
      <w:r w:rsidR="007B7485">
        <w:t xml:space="preserve">, </w:t>
      </w:r>
      <w:r w:rsidR="00065263">
        <w:t>either in telecoms</w:t>
      </w:r>
      <w:r w:rsidR="004279BE">
        <w:t>,</w:t>
      </w:r>
      <w:r w:rsidR="004279BE">
        <w:rPr>
          <w:rStyle w:val="FootnoteReference"/>
        </w:rPr>
        <w:footnoteReference w:id="70"/>
      </w:r>
      <w:r w:rsidR="00402A5F">
        <w:t xml:space="preserve"> </w:t>
      </w:r>
      <w:r w:rsidR="00065263">
        <w:t>or in other industries</w:t>
      </w:r>
      <w:r w:rsidR="00057419">
        <w:t>.</w:t>
      </w:r>
      <w:r w:rsidR="00FC474E">
        <w:t xml:space="preserve"> </w:t>
      </w:r>
      <w:r w:rsidR="00057419">
        <w:t xml:space="preserve">On the other hand, </w:t>
      </w:r>
      <w:r w:rsidR="00F42F74">
        <w:t xml:space="preserve">econometric models </w:t>
      </w:r>
      <w:r w:rsidR="00057419">
        <w:t xml:space="preserve">result in </w:t>
      </w:r>
      <w:r w:rsidR="00057419" w:rsidRPr="004279BE">
        <w:rPr>
          <w:i/>
          <w:iCs/>
        </w:rPr>
        <w:t>higher</w:t>
      </w:r>
      <w:r w:rsidR="00057419">
        <w:t xml:space="preserve"> </w:t>
      </w:r>
      <w:r w:rsidR="00B63991">
        <w:t>price change</w:t>
      </w:r>
      <w:r w:rsidR="00057419">
        <w:t xml:space="preserve"> estimates if the simulation was </w:t>
      </w:r>
      <w:r w:rsidR="00F42F74">
        <w:t>performed</w:t>
      </w:r>
      <w:r w:rsidR="00057419">
        <w:t xml:space="preserve"> by the merging parties</w:t>
      </w:r>
      <w:r w:rsidR="001B2DD5">
        <w:t>.</w:t>
      </w:r>
      <w:r w:rsidR="001B2DD5">
        <w:rPr>
          <w:rStyle w:val="FootnoteReference"/>
        </w:rPr>
        <w:footnoteReference w:id="71"/>
      </w:r>
      <w:r w:rsidR="00ED57A8">
        <w:t xml:space="preserve"> </w:t>
      </w:r>
      <w:r w:rsidR="003F68F4">
        <w:t xml:space="preserve">One intuitive explanation could be that in calibrated models there are more assumptions about the underlying demand/supply parameters, and </w:t>
      </w:r>
      <w:r w:rsidR="00FE54F1">
        <w:t xml:space="preserve">thus </w:t>
      </w:r>
      <w:r w:rsidR="00E253D4">
        <w:t>more</w:t>
      </w:r>
      <w:r w:rsidR="004666F1">
        <w:t xml:space="preserve"> leeway </w:t>
      </w:r>
      <w:r w:rsidR="00E253D4">
        <w:t xml:space="preserve">than </w:t>
      </w:r>
      <w:r w:rsidR="004666F1">
        <w:t>where demand/supply parameters are estimated from data.</w:t>
      </w:r>
      <w:r w:rsidR="00856FA7">
        <w:t xml:space="preserve"> </w:t>
      </w:r>
      <w:r w:rsidR="00C368AC">
        <w:t>This is discussed in more detail below.</w:t>
      </w:r>
    </w:p>
    <w:p w14:paraId="274128A8" w14:textId="11D3866A" w:rsidR="00605FB9" w:rsidRDefault="00605FB9" w:rsidP="00605FB9">
      <w:pPr>
        <w:pStyle w:val="Heading3"/>
      </w:pPr>
      <w:r>
        <w:t xml:space="preserve">Do </w:t>
      </w:r>
      <w:r w:rsidR="74CDF8FC">
        <w:t xml:space="preserve">the </w:t>
      </w:r>
      <w:r w:rsidR="00FB6AFA">
        <w:t>Commission’s</w:t>
      </w:r>
      <w:r>
        <w:t xml:space="preserve"> simulations always </w:t>
      </w:r>
      <w:r w:rsidR="0078445C">
        <w:t>produce</w:t>
      </w:r>
      <w:r w:rsidDel="00FB6AFA">
        <w:t xml:space="preserve"> </w:t>
      </w:r>
      <w:r w:rsidR="00FB6AFA">
        <w:t xml:space="preserve">higher </w:t>
      </w:r>
      <w:r>
        <w:t>price increase predictions?</w:t>
      </w:r>
    </w:p>
    <w:p w14:paraId="02C58A04" w14:textId="5D9FD568" w:rsidR="00223F19" w:rsidRDefault="00977CA4" w:rsidP="00223F19">
      <w:r>
        <w:t xml:space="preserve">Even when controlling for </w:t>
      </w:r>
      <w:r w:rsidR="00BC1989">
        <w:t>other factors, w</w:t>
      </w:r>
      <w:r w:rsidR="006C3865">
        <w:t>e</w:t>
      </w:r>
      <w:r w:rsidR="001146B3">
        <w:t xml:space="preserve"> find </w:t>
      </w:r>
      <w:r w:rsidR="00DE6DE6">
        <w:t xml:space="preserve">evidence </w:t>
      </w:r>
      <w:r w:rsidR="00FA73BC">
        <w:t xml:space="preserve">to reject </w:t>
      </w:r>
      <w:r w:rsidR="001146B3">
        <w:t xml:space="preserve">the hypothesis that </w:t>
      </w:r>
      <w:r w:rsidR="000E6759">
        <w:t>the Commission</w:t>
      </w:r>
      <w:r w:rsidR="00341C3A">
        <w:t xml:space="preserve"> </w:t>
      </w:r>
      <w:r w:rsidR="00FA73BC" w:rsidRPr="00370C18">
        <w:rPr>
          <w:i/>
          <w:iCs/>
        </w:rPr>
        <w:t>always</w:t>
      </w:r>
      <w:r w:rsidR="00FA73BC">
        <w:t xml:space="preserve"> </w:t>
      </w:r>
      <w:r w:rsidR="00341C3A">
        <w:t>produce</w:t>
      </w:r>
      <w:r w:rsidR="000E6759">
        <w:t>s</w:t>
      </w:r>
      <w:r w:rsidR="00341C3A" w:rsidDel="000E6759">
        <w:t xml:space="preserve"> </w:t>
      </w:r>
      <w:r w:rsidR="000E6759">
        <w:t xml:space="preserve">higher </w:t>
      </w:r>
      <w:r w:rsidR="00341C3A">
        <w:t>price-increase estimates</w:t>
      </w:r>
      <w:r w:rsidR="0078445C">
        <w:t xml:space="preserve"> (or, that the </w:t>
      </w:r>
      <w:r w:rsidR="000E6759">
        <w:t>merging parties</w:t>
      </w:r>
      <w:r w:rsidR="0078445C">
        <w:t xml:space="preserve"> always produce </w:t>
      </w:r>
      <w:r w:rsidR="000E6759">
        <w:t xml:space="preserve">lower </w:t>
      </w:r>
      <w:r w:rsidR="0078445C">
        <w:t>price-increase estimates)</w:t>
      </w:r>
      <w:r w:rsidR="00DE6DE6">
        <w:t xml:space="preserve">. </w:t>
      </w:r>
      <w:r w:rsidR="00132A57">
        <w:t xml:space="preserve">When </w:t>
      </w:r>
      <w:r w:rsidR="00C42D7F">
        <w:t>using</w:t>
      </w:r>
      <w:r w:rsidR="00132A57">
        <w:t xml:space="preserve"> </w:t>
      </w:r>
      <w:r w:rsidR="001146B3">
        <w:t xml:space="preserve">simulations based on </w:t>
      </w:r>
      <w:r w:rsidR="00132A57">
        <w:t xml:space="preserve">econometrically estimated demand </w:t>
      </w:r>
      <w:r w:rsidR="001146B3">
        <w:t xml:space="preserve">parameters, the merging parties’ price increase estimates </w:t>
      </w:r>
      <w:r w:rsidR="00591BDC">
        <w:t xml:space="preserve">actually </w:t>
      </w:r>
      <w:r w:rsidR="002035D3">
        <w:t xml:space="preserve">seem to be </w:t>
      </w:r>
      <w:r w:rsidR="001146B3">
        <w:t>higher</w:t>
      </w:r>
      <w:r w:rsidR="002035D3">
        <w:t xml:space="preserve"> than those of the </w:t>
      </w:r>
      <w:r w:rsidR="00591BDC">
        <w:t>Commission</w:t>
      </w:r>
      <w:r w:rsidR="00981840">
        <w:t xml:space="preserve">, </w:t>
      </w:r>
      <w:r w:rsidR="00FD4BD9">
        <w:t>after controlling for differences in market concentration</w:t>
      </w:r>
      <w:r w:rsidR="00CB6118">
        <w:t xml:space="preserve"> and</w:t>
      </w:r>
      <w:r w:rsidR="00FD4BD9">
        <w:t xml:space="preserve"> the industry</w:t>
      </w:r>
      <w:r w:rsidR="00FC4A14">
        <w:t xml:space="preserve"> (-2</w:t>
      </w:r>
      <w:r w:rsidR="00D46DC1">
        <w:t>.</w:t>
      </w:r>
      <w:r w:rsidR="00FC4A14">
        <w:t xml:space="preserve">4pp </w:t>
      </w:r>
      <w:r w:rsidR="00833349">
        <w:t xml:space="preserve">in telecoms </w:t>
      </w:r>
      <w:r w:rsidR="00FC4A14">
        <w:t>and -9</w:t>
      </w:r>
      <w:r w:rsidR="00D46DC1">
        <w:t>.</w:t>
      </w:r>
      <w:r w:rsidR="00FC4A14">
        <w:t>5pp</w:t>
      </w:r>
      <w:r w:rsidR="00833349">
        <w:t xml:space="preserve"> in other industries</w:t>
      </w:r>
      <w:r w:rsidR="00FC4A14">
        <w:t>)</w:t>
      </w:r>
      <w:r w:rsidR="00FD4BD9">
        <w:t>.</w:t>
      </w:r>
      <w:r w:rsidR="008B7C42">
        <w:t xml:space="preserve"> </w:t>
      </w:r>
      <w:r w:rsidR="00A8648C">
        <w:t>Moreover</w:t>
      </w:r>
      <w:r w:rsidR="00FB07FA">
        <w:t>, the</w:t>
      </w:r>
      <w:r w:rsidR="006D4D4A">
        <w:t>se</w:t>
      </w:r>
      <w:r w:rsidR="00FB07FA">
        <w:t xml:space="preserve"> difference</w:t>
      </w:r>
      <w:r w:rsidR="006D4D4A">
        <w:t>s</w:t>
      </w:r>
      <w:r w:rsidR="00FB07FA">
        <w:t xml:space="preserve"> between the Commission</w:t>
      </w:r>
      <w:r w:rsidR="0016368E">
        <w:t>’s</w:t>
      </w:r>
      <w:r w:rsidR="00FB07FA">
        <w:t xml:space="preserve"> and </w:t>
      </w:r>
      <w:r w:rsidR="00FB07FA">
        <w:lastRenderedPageBreak/>
        <w:t xml:space="preserve">the merging parties’ predictions is </w:t>
      </w:r>
      <w:r w:rsidR="00C0196E">
        <w:t xml:space="preserve">also </w:t>
      </w:r>
      <w:r w:rsidR="00EC797B">
        <w:t>lower</w:t>
      </w:r>
      <w:r w:rsidR="00FB07FA">
        <w:t xml:space="preserve"> </w:t>
      </w:r>
      <w:r w:rsidR="002661A5">
        <w:t xml:space="preserve">in absolute terms </w:t>
      </w:r>
      <w:r w:rsidR="00C0196E">
        <w:t xml:space="preserve">than when </w:t>
      </w:r>
      <w:r w:rsidR="00AC3F94">
        <w:t>demand parameters are calibrated (10</w:t>
      </w:r>
      <w:r w:rsidR="00D46DC1">
        <w:t>.</w:t>
      </w:r>
      <w:r w:rsidR="00AC3F94">
        <w:t>6pp</w:t>
      </w:r>
      <w:r w:rsidR="00A8648C">
        <w:t xml:space="preserve"> in telecoms</w:t>
      </w:r>
      <w:r w:rsidR="00AC3F94">
        <w:t xml:space="preserve"> and 11</w:t>
      </w:r>
      <w:r w:rsidR="00D46DC1">
        <w:t>.</w:t>
      </w:r>
      <w:r w:rsidR="00AC3F94">
        <w:t>6pp</w:t>
      </w:r>
      <w:r w:rsidR="00A8648C">
        <w:t xml:space="preserve"> in other industries</w:t>
      </w:r>
      <w:r w:rsidR="00AC3F94">
        <w:t>)</w:t>
      </w:r>
      <w:r w:rsidR="00223F19">
        <w:t>.</w:t>
      </w:r>
    </w:p>
    <w:p w14:paraId="029C4253" w14:textId="08AC855C" w:rsidR="009F7284" w:rsidRDefault="00605FB9" w:rsidP="009F7284">
      <w:r>
        <w:t xml:space="preserve">We draw </w:t>
      </w:r>
      <w:r w:rsidR="00570956">
        <w:t>the following conclusions</w:t>
      </w:r>
      <w:r w:rsidR="008B7C42">
        <w:t xml:space="preserve"> from this</w:t>
      </w:r>
      <w:r w:rsidR="008525E4">
        <w:t>.</w:t>
      </w:r>
      <w:r w:rsidR="0016368E">
        <w:t xml:space="preserve"> </w:t>
      </w:r>
      <w:r w:rsidR="00CF79C2">
        <w:t>First, s</w:t>
      </w:r>
      <w:r>
        <w:t>imulations relying on econometrically estimated demand parameters give more consistent post-merger price predictions</w:t>
      </w:r>
      <w:r w:rsidR="000034C3">
        <w:t xml:space="preserve"> (first two rows of the </w:t>
      </w:r>
      <w:r w:rsidR="00885C17">
        <w:t>Commission vs merging parties block in Table 6</w:t>
      </w:r>
      <w:r w:rsidR="00B15195">
        <w:t>)</w:t>
      </w:r>
      <w:r>
        <w:t xml:space="preserve">. This could be because </w:t>
      </w:r>
      <w:r w:rsidR="00BC7A0B">
        <w:t xml:space="preserve">non-econometrically estimated </w:t>
      </w:r>
      <w:r>
        <w:t>simulations</w:t>
      </w:r>
      <w:r w:rsidR="00BD0850">
        <w:t xml:space="preserve"> (typically calibrated models)</w:t>
      </w:r>
      <w:r>
        <w:t xml:space="preserve"> rely on more arbitrary assumptions.</w:t>
      </w:r>
      <w:r w:rsidR="00AA17EA">
        <w:t xml:space="preserve"> </w:t>
      </w:r>
      <w:r w:rsidR="00DA7AA2">
        <w:t>This is something that CMA has also noted</w:t>
      </w:r>
      <w:r w:rsidR="00F9382B">
        <w:t xml:space="preserve"> in </w:t>
      </w:r>
      <w:r w:rsidR="00F9382B" w:rsidRPr="00950B83">
        <w:rPr>
          <w:i/>
        </w:rPr>
        <w:t>Vodafone/</w:t>
      </w:r>
      <w:r w:rsidR="00443909">
        <w:rPr>
          <w:i/>
          <w:iCs/>
        </w:rPr>
        <w:t>Three</w:t>
      </w:r>
      <w:r w:rsidR="00F9382B">
        <w:t xml:space="preserve"> </w:t>
      </w:r>
      <w:r w:rsidR="00771053" w:rsidRPr="00950B83">
        <w:rPr>
          <w:i/>
        </w:rPr>
        <w:t>JV</w:t>
      </w:r>
      <w:r w:rsidR="00F9382B">
        <w:t>: “</w:t>
      </w:r>
      <w:r w:rsidR="00DA7AA2" w:rsidRPr="00F9382B">
        <w:rPr>
          <w:i/>
          <w:iCs/>
        </w:rPr>
        <w:t xml:space="preserve">Compared to the detailed [econometric] estimation exercise </w:t>
      </w:r>
      <w:r w:rsidR="00CC029D">
        <w:rPr>
          <w:i/>
          <w:iCs/>
        </w:rPr>
        <w:t>…</w:t>
      </w:r>
      <w:r w:rsidR="00DA7AA2" w:rsidRPr="00F9382B">
        <w:rPr>
          <w:i/>
          <w:iCs/>
        </w:rPr>
        <w:t xml:space="preserve"> a calibration approach is more approximate and has a number of limitations. As such we place limited evidentiary weight on specific harm estimates and instead consider how the scale and direction of the harm estimates change under different assumptions</w:t>
      </w:r>
      <w:r w:rsidR="00F9382B">
        <w:t>.</w:t>
      </w:r>
      <w:r w:rsidR="00DA7AA2" w:rsidRPr="00DA7AA2">
        <w:t>”</w:t>
      </w:r>
      <w:r w:rsidR="00F9382B">
        <w:rPr>
          <w:rStyle w:val="FootnoteReference"/>
        </w:rPr>
        <w:footnoteReference w:id="72"/>
      </w:r>
    </w:p>
    <w:p w14:paraId="725E969D" w14:textId="0595DBFA" w:rsidR="001059DA" w:rsidRDefault="00F134B3" w:rsidP="009F7284">
      <w:r>
        <w:t>To offer some qualitative support to this point</w:t>
      </w:r>
      <w:r w:rsidDel="005B0801">
        <w:t xml:space="preserve">, </w:t>
      </w:r>
      <w:r w:rsidR="001059DA">
        <w:t>i</w:t>
      </w:r>
      <w:r w:rsidR="001059DA" w:rsidRPr="00BC36B4">
        <w:t xml:space="preserve">n </w:t>
      </w:r>
      <w:r w:rsidR="001059DA" w:rsidRPr="00BC36B4">
        <w:rPr>
          <w:i/>
          <w:iCs/>
        </w:rPr>
        <w:t>Oracle/People</w:t>
      </w:r>
      <w:r w:rsidR="002372D2">
        <w:rPr>
          <w:i/>
          <w:iCs/>
        </w:rPr>
        <w:t>S</w:t>
      </w:r>
      <w:r w:rsidR="001059DA" w:rsidRPr="00BC36B4">
        <w:rPr>
          <w:i/>
          <w:iCs/>
        </w:rPr>
        <w:t>oft</w:t>
      </w:r>
      <w:r w:rsidR="005B0801">
        <w:t xml:space="preserve"> </w:t>
      </w:r>
      <w:r w:rsidR="001059DA" w:rsidRPr="00BC36B4">
        <w:t xml:space="preserve">the </w:t>
      </w:r>
      <w:r w:rsidR="001059DA">
        <w:t xml:space="preserve">merging parties debated the degree </w:t>
      </w:r>
      <w:r w:rsidR="001059DA" w:rsidRPr="00BC36B4">
        <w:t xml:space="preserve">to which both the </w:t>
      </w:r>
      <w:r w:rsidR="001F647C">
        <w:t>Commission</w:t>
      </w:r>
      <w:r w:rsidR="001059DA" w:rsidRPr="00BC36B4">
        <w:t xml:space="preserve"> </w:t>
      </w:r>
      <w:r w:rsidR="00BD2A85">
        <w:t>(</w:t>
      </w:r>
      <w:r w:rsidR="001059DA" w:rsidRPr="00BC36B4">
        <w:t>and</w:t>
      </w:r>
      <w:r w:rsidR="00BD2A85">
        <w:t xml:space="preserve"> the</w:t>
      </w:r>
      <w:r w:rsidR="001059DA" w:rsidRPr="00BC36B4">
        <w:t xml:space="preserve"> DOJ</w:t>
      </w:r>
      <w:r w:rsidR="00BD2A85">
        <w:t>,</w:t>
      </w:r>
      <w:r w:rsidR="001059DA" w:rsidRPr="00BC36B4">
        <w:t xml:space="preserve"> </w:t>
      </w:r>
      <w:r w:rsidR="00BD2A85">
        <w:t>in its own simulation submitted in the merger review in the US</w:t>
      </w:r>
      <w:r w:rsidR="00BD2A85">
        <w:rPr>
          <w:rStyle w:val="FootnoteReference"/>
        </w:rPr>
        <w:footnoteReference w:id="73"/>
      </w:r>
      <w:r w:rsidR="00BD2A85">
        <w:t xml:space="preserve">) </w:t>
      </w:r>
      <w:r w:rsidR="00A478A5">
        <w:t xml:space="preserve">relied on </w:t>
      </w:r>
      <w:r w:rsidR="001059DA" w:rsidRPr="00BC36B4">
        <w:t>simplifying assumptions</w:t>
      </w:r>
      <w:r w:rsidR="00D958F2">
        <w:t xml:space="preserve"> in their respective models</w:t>
      </w:r>
      <w:r w:rsidR="001059DA">
        <w:t>, such as using market shares as a proxy for success rate in bids, not accounting for costs in the model because they were “</w:t>
      </w:r>
      <w:r w:rsidR="001059DA" w:rsidRPr="00E57E8D">
        <w:rPr>
          <w:i/>
        </w:rPr>
        <w:t>mostly sunk</w:t>
      </w:r>
      <w:r w:rsidR="001059DA">
        <w:t>”,</w:t>
      </w:r>
      <w:r w:rsidR="001059DA" w:rsidRPr="00BC36B4">
        <w:t xml:space="preserve"> </w:t>
      </w:r>
      <w:r w:rsidR="001059DA">
        <w:t xml:space="preserve">and assumption of participants having ‘complete information’ </w:t>
      </w:r>
      <w:r w:rsidR="001059DA" w:rsidRPr="00BC36B4">
        <w:t>made their respective models unrealistic.</w:t>
      </w:r>
      <w:r w:rsidR="0050749D">
        <w:t xml:space="preserve"> This lead to a </w:t>
      </w:r>
      <w:r w:rsidR="00F738DA">
        <w:t xml:space="preserve">predicted price increase of </w:t>
      </w:r>
      <w:r w:rsidR="00370C18">
        <w:t>24.</w:t>
      </w:r>
      <w:r w:rsidR="00F7285C">
        <w:t>9</w:t>
      </w:r>
      <w:r w:rsidR="00370C18">
        <w:t>%</w:t>
      </w:r>
      <w:r w:rsidR="0050749D">
        <w:t xml:space="preserve"> </w:t>
      </w:r>
      <w:r w:rsidR="00F7285C">
        <w:t xml:space="preserve">in the </w:t>
      </w:r>
      <w:r w:rsidR="001F647C">
        <w:t>Commission</w:t>
      </w:r>
      <w:r w:rsidR="00F7285C">
        <w:t>’s model</w:t>
      </w:r>
      <w:r w:rsidR="0050749D">
        <w:t xml:space="preserve"> (averaged across all baseline and sensitivity estimates</w:t>
      </w:r>
      <w:r w:rsidR="00370C18">
        <w:t>).</w:t>
      </w:r>
      <w:r w:rsidR="00F7285C">
        <w:rPr>
          <w:rStyle w:val="FootnoteReference"/>
        </w:rPr>
        <w:footnoteReference w:id="74"/>
      </w:r>
    </w:p>
    <w:p w14:paraId="4E189EB4" w14:textId="600A24A0" w:rsidR="0079369A" w:rsidRDefault="007E738C" w:rsidP="009F7284">
      <w:r>
        <w:t>I</w:t>
      </w:r>
      <w:r w:rsidR="0079369A" w:rsidRPr="0079369A">
        <w:t xml:space="preserve">n </w:t>
      </w:r>
      <w:r w:rsidR="0079369A" w:rsidRPr="001E6FF2">
        <w:rPr>
          <w:i/>
        </w:rPr>
        <w:t>Outokumpu/</w:t>
      </w:r>
      <w:r w:rsidR="00B25757">
        <w:rPr>
          <w:i/>
        </w:rPr>
        <w:t>INOXUM</w:t>
      </w:r>
      <w:r w:rsidR="0079369A" w:rsidRPr="0079369A">
        <w:t xml:space="preserve"> (and</w:t>
      </w:r>
      <w:r w:rsidR="00924542">
        <w:t xml:space="preserve"> also</w:t>
      </w:r>
      <w:r w:rsidR="0079369A" w:rsidRPr="0079369A">
        <w:t xml:space="preserve"> </w:t>
      </w:r>
      <w:r w:rsidR="000B61BC">
        <w:rPr>
          <w:i/>
          <w:iCs/>
        </w:rPr>
        <w:t>INEOS</w:t>
      </w:r>
      <w:r w:rsidR="0079369A" w:rsidRPr="001E6FF2">
        <w:rPr>
          <w:i/>
        </w:rPr>
        <w:t>/Solvay JV</w:t>
      </w:r>
      <w:r w:rsidR="0079369A" w:rsidRPr="0079369A">
        <w:t xml:space="preserve">, which used </w:t>
      </w:r>
      <w:r w:rsidR="00A3204F">
        <w:t xml:space="preserve">a similar </w:t>
      </w:r>
      <w:r w:rsidR="00D958F2">
        <w:t>simulation model</w:t>
      </w:r>
      <w:r w:rsidR="00A478A5">
        <w:t>)</w:t>
      </w:r>
      <w:r w:rsidR="00D958F2">
        <w:t xml:space="preserve"> </w:t>
      </w:r>
      <w:r w:rsidR="0079369A" w:rsidRPr="0079369A">
        <w:t xml:space="preserve">the </w:t>
      </w:r>
      <w:r w:rsidR="0022089E">
        <w:t xml:space="preserve">Commission </w:t>
      </w:r>
      <w:r w:rsidR="00EF28E2">
        <w:t xml:space="preserve">predicted </w:t>
      </w:r>
      <w:r w:rsidR="005E78A0">
        <w:t>a 1</w:t>
      </w:r>
      <w:r w:rsidR="003F708D">
        <w:t>0.6</w:t>
      </w:r>
      <w:r w:rsidR="005E78A0">
        <w:t>% post-merger price increase</w:t>
      </w:r>
      <w:r w:rsidR="00197D69">
        <w:t xml:space="preserve"> for the merged entity</w:t>
      </w:r>
      <w:r w:rsidR="005E78A0">
        <w:t xml:space="preserve"> (averaged across all baseline and sensitivity estimates), but </w:t>
      </w:r>
      <w:r w:rsidR="0079369A" w:rsidRPr="0079369A">
        <w:t xml:space="preserve">acknowledged that its model could not account for various features such as customer switching costs </w:t>
      </w:r>
      <w:r w:rsidR="0079369A" w:rsidRPr="00BD2A85">
        <w:t xml:space="preserve">– in response, the merging </w:t>
      </w:r>
      <w:r w:rsidR="006F1810">
        <w:t>partie</w:t>
      </w:r>
      <w:r w:rsidR="006F1810" w:rsidRPr="00BD2A85">
        <w:t xml:space="preserve">s </w:t>
      </w:r>
      <w:r w:rsidR="00BD2A85" w:rsidRPr="002A4127">
        <w:t xml:space="preserve">suggested </w:t>
      </w:r>
      <w:r w:rsidR="00BD2A85" w:rsidRPr="00BD2A85">
        <w:t>adjust</w:t>
      </w:r>
      <w:r w:rsidR="00BD2A85" w:rsidRPr="002A4127">
        <w:t>ments to the</w:t>
      </w:r>
      <w:r w:rsidR="00BD2A85" w:rsidRPr="00BD2A85">
        <w:t xml:space="preserve"> </w:t>
      </w:r>
      <w:r w:rsidR="0079369A" w:rsidRPr="00BD2A85">
        <w:t xml:space="preserve">model that </w:t>
      </w:r>
      <w:r w:rsidR="00BD2A85" w:rsidRPr="002A4127">
        <w:t xml:space="preserve">would result in little to no </w:t>
      </w:r>
      <w:r w:rsidR="0079369A" w:rsidRPr="00BD2A85">
        <w:t>predicted price effect, but</w:t>
      </w:r>
      <w:r w:rsidR="0079369A" w:rsidRPr="0079369A">
        <w:t xml:space="preserve"> the </w:t>
      </w:r>
      <w:r w:rsidR="004252F7">
        <w:t>Commission</w:t>
      </w:r>
      <w:r w:rsidR="004252F7" w:rsidRPr="0079369A">
        <w:t xml:space="preserve"> </w:t>
      </w:r>
      <w:r w:rsidR="008A2114">
        <w:t xml:space="preserve">rejected these, </w:t>
      </w:r>
      <w:r w:rsidR="0079369A" w:rsidRPr="0079369A">
        <w:t>argu</w:t>
      </w:r>
      <w:r w:rsidR="008A2114">
        <w:t>ing</w:t>
      </w:r>
      <w:r w:rsidR="0079369A" w:rsidRPr="0079369A">
        <w:t xml:space="preserve"> the assumptions needed to achieve this result were “</w:t>
      </w:r>
      <w:r w:rsidR="0079369A" w:rsidRPr="001E6FF2">
        <w:rPr>
          <w:i/>
        </w:rPr>
        <w:t>extreme</w:t>
      </w:r>
      <w:r w:rsidR="0079369A" w:rsidRPr="0079369A">
        <w:t>”.</w:t>
      </w:r>
    </w:p>
    <w:p w14:paraId="1BAA0979" w14:textId="77777777" w:rsidR="00050976" w:rsidRDefault="008E3088" w:rsidP="00377C57">
      <w:r>
        <w:t>Other assumptions in calibrated models can also</w:t>
      </w:r>
      <w:r w:rsidR="0091587B">
        <w:t xml:space="preserve"> lead to discrepanc</w:t>
      </w:r>
      <w:r w:rsidR="0022089E">
        <w:t>ies</w:t>
      </w:r>
      <w:r w:rsidR="0091587B">
        <w:t xml:space="preserve"> in the price-increase estimates between the </w:t>
      </w:r>
      <w:r w:rsidR="0022089E">
        <w:t>Commission</w:t>
      </w:r>
      <w:r w:rsidR="0091587B">
        <w:t xml:space="preserve"> and the merging parties. For example, i</w:t>
      </w:r>
      <w:r w:rsidR="004636B7">
        <w:t xml:space="preserve">t is well known from economic theory that the convexity of the demand curve impacts the level of pass-on, </w:t>
      </w:r>
      <w:r w:rsidR="00850267">
        <w:t xml:space="preserve">and thus </w:t>
      </w:r>
      <w:r w:rsidR="004636B7">
        <w:t>the size of the price effect of the merger.</w:t>
      </w:r>
      <w:r w:rsidR="00C16E9F">
        <w:rPr>
          <w:rStyle w:val="FootnoteReference"/>
        </w:rPr>
        <w:footnoteReference w:id="75"/>
      </w:r>
      <w:r w:rsidR="00C16E9F">
        <w:t xml:space="preserve"> </w:t>
      </w:r>
      <w:r w:rsidR="00CD1E9C">
        <w:t>The Commission typically assumes linear demand in their calibrated simulations</w:t>
      </w:r>
      <w:r w:rsidR="004636B7">
        <w:t>, which is associated with lower pass-on on than convex demand curves, and argues that this is a lower bound. However, it appears that when the Commission econometrically estimates demand parameters, it leads to a lower predicted post-merger price increase.</w:t>
      </w:r>
      <w:r w:rsidR="00652E7C">
        <w:t xml:space="preserve"> Similarly, p</w:t>
      </w:r>
      <w:r w:rsidR="0021746F" w:rsidRPr="0021746F">
        <w:t xml:space="preserve">redicted post-merger price </w:t>
      </w:r>
      <w:r w:rsidR="00DE7E3A">
        <w:t>change</w:t>
      </w:r>
      <w:r w:rsidR="0021746F" w:rsidRPr="0021746F">
        <w:t>s can vary greatly depending on elasticity assumptions</w:t>
      </w:r>
      <w:r w:rsidR="00652E7C">
        <w:t xml:space="preserve"> in a calibrated model</w:t>
      </w:r>
      <w:r w:rsidR="0021746F">
        <w:t>.</w:t>
      </w:r>
      <w:r w:rsidR="0021746F">
        <w:rPr>
          <w:rStyle w:val="FootnoteReference"/>
        </w:rPr>
        <w:footnoteReference w:id="76"/>
      </w:r>
      <w:r w:rsidR="003444F9">
        <w:t xml:space="preserve"> Finally, in the cases where the Commission </w:t>
      </w:r>
      <w:r w:rsidR="00BB6E3D">
        <w:t xml:space="preserve">predicted lower price increases it is possible that the Commission relied on more conservative assumptions </w:t>
      </w:r>
      <w:r w:rsidR="001E186B">
        <w:t>to show that even under those assumptions, there is still a meaningful price increase.</w:t>
      </w:r>
      <w:r w:rsidR="00BC624C">
        <w:t xml:space="preserve"> </w:t>
      </w:r>
    </w:p>
    <w:p w14:paraId="30A398E7" w14:textId="026819B3" w:rsidR="00476956" w:rsidRDefault="005E305A" w:rsidP="00377C57">
      <w:r>
        <w:t>Based on the above, and</w:t>
      </w:r>
      <w:r w:rsidR="00BC624C">
        <w:t xml:space="preserve"> </w:t>
      </w:r>
      <w:r w:rsidR="00050976">
        <w:t xml:space="preserve">if one accepts the argument that consistency across the two sides </w:t>
      </w:r>
      <w:r w:rsidR="0067724F">
        <w:t>is</w:t>
      </w:r>
      <w:r w:rsidR="00050976">
        <w:t xml:space="preserve"> an indicator of robustness of the analysis, </w:t>
      </w:r>
      <w:r w:rsidR="005A3A2C">
        <w:t>econometric simulations, and in particular those done in the telecom</w:t>
      </w:r>
      <w:r w:rsidR="0067724F">
        <w:t>s</w:t>
      </w:r>
      <w:r w:rsidR="005A3A2C">
        <w:t xml:space="preserve"> </w:t>
      </w:r>
      <w:r w:rsidR="0067724F">
        <w:t>industry</w:t>
      </w:r>
      <w:r w:rsidR="005A3A2C">
        <w:t>, would be a good starting point for designing future simulations.</w:t>
      </w:r>
    </w:p>
    <w:p w14:paraId="4B9B872E" w14:textId="2CE1D7DC" w:rsidR="00497A5A" w:rsidRDefault="00497A5A" w:rsidP="00825348">
      <w:pPr>
        <w:pStyle w:val="Heading3"/>
      </w:pPr>
      <w:r>
        <w:lastRenderedPageBreak/>
        <w:t>The role of the Chief Economist</w:t>
      </w:r>
      <w:r w:rsidR="008963F6">
        <w:t xml:space="preserve"> in the </w:t>
      </w:r>
      <w:r w:rsidR="00557EF5">
        <w:t xml:space="preserve">predicted </w:t>
      </w:r>
      <w:r w:rsidR="008963F6">
        <w:t xml:space="preserve">price </w:t>
      </w:r>
      <w:r w:rsidR="00557EF5">
        <w:t>change</w:t>
      </w:r>
    </w:p>
    <w:p w14:paraId="6CBF4004" w14:textId="03D6C17A" w:rsidR="00A82782" w:rsidRDefault="0067178D" w:rsidP="00F968F0">
      <w:r>
        <w:t>Although we did not include this in our regression (</w:t>
      </w:r>
      <w:r w:rsidR="003E63A6">
        <w:t>given our sample size)</w:t>
      </w:r>
      <w:r w:rsidR="00647688">
        <w:t xml:space="preserve">, on an aggregate level </w:t>
      </w:r>
      <w:r w:rsidR="00D47A93" w:rsidRPr="00D47A93">
        <w:t xml:space="preserve">we </w:t>
      </w:r>
      <w:r w:rsidR="00647688">
        <w:t xml:space="preserve">looked at </w:t>
      </w:r>
      <w:r w:rsidR="00D47A93" w:rsidRPr="00D47A93">
        <w:t xml:space="preserve">whether the average predicted price </w:t>
      </w:r>
      <w:r w:rsidR="00DE7E3A">
        <w:t>change</w:t>
      </w:r>
      <w:r w:rsidR="00D47A93" w:rsidRPr="00D47A93">
        <w:t>s of the merged entity changed depending on the Chief Economist in charge</w:t>
      </w:r>
      <w:r w:rsidR="000F445D">
        <w:t xml:space="preserve"> – see Figure </w:t>
      </w:r>
      <w:r w:rsidR="000A6BA2">
        <w:t>3</w:t>
      </w:r>
      <w:r w:rsidR="000F445D">
        <w:t xml:space="preserve"> below</w:t>
      </w:r>
      <w:r w:rsidR="00D47A93" w:rsidRPr="00D47A93">
        <w:t>.</w:t>
      </w:r>
      <w:r w:rsidR="009A44F9">
        <w:rPr>
          <w:rStyle w:val="FootnoteReference"/>
        </w:rPr>
        <w:footnoteReference w:id="77"/>
      </w:r>
      <w:r w:rsidR="00D47A93" w:rsidRPr="00D47A93">
        <w:t xml:space="preserve"> There was a gradual increase in the average </w:t>
      </w:r>
      <w:r w:rsidR="00365143">
        <w:t xml:space="preserve">predicted </w:t>
      </w:r>
      <w:r w:rsidR="00D47A93" w:rsidRPr="00D47A93">
        <w:t xml:space="preserve">price </w:t>
      </w:r>
      <w:r w:rsidR="00DE7E3A">
        <w:t>change</w:t>
      </w:r>
      <w:r w:rsidR="00050961">
        <w:t xml:space="preserve"> for each Chief Economist</w:t>
      </w:r>
      <w:r w:rsidR="00D47A93" w:rsidRPr="00D47A93">
        <w:t xml:space="preserve">, followed a sharp decline </w:t>
      </w:r>
      <w:r w:rsidR="004E6F11">
        <w:t>towards the end of our sample period</w:t>
      </w:r>
      <w:r w:rsidR="00D47A93" w:rsidRPr="00D47A93">
        <w:t xml:space="preserve">, which might reflect that the two </w:t>
      </w:r>
      <w:r w:rsidR="004E6F11">
        <w:t>last simulation mergers</w:t>
      </w:r>
      <w:r w:rsidR="00D47A93" w:rsidRPr="00D47A93">
        <w:t xml:space="preserve"> – </w:t>
      </w:r>
      <w:r w:rsidR="00D47A93" w:rsidRPr="008618F0">
        <w:rPr>
          <w:i/>
          <w:iCs/>
        </w:rPr>
        <w:t>Fortum/Uniper</w:t>
      </w:r>
      <w:r w:rsidR="00D47A93" w:rsidRPr="00D47A93">
        <w:t xml:space="preserve"> and </w:t>
      </w:r>
      <w:r w:rsidR="00D47A93" w:rsidRPr="008618F0">
        <w:rPr>
          <w:i/>
          <w:iCs/>
        </w:rPr>
        <w:t>T-Mobile NL/Tele2 NL</w:t>
      </w:r>
      <w:r w:rsidR="00D47A93" w:rsidRPr="00D47A93">
        <w:t xml:space="preserve"> – </w:t>
      </w:r>
      <w:r w:rsidR="004E6F11">
        <w:t xml:space="preserve">which </w:t>
      </w:r>
      <w:r w:rsidR="00D47A93" w:rsidRPr="00D47A93">
        <w:t>were relatively less complex mergers, both being cleared without remedies (the former in Phase 1 and the latter in Phase 2).</w:t>
      </w:r>
    </w:p>
    <w:p w14:paraId="68D03302" w14:textId="136E3F4B" w:rsidR="003A4BB1" w:rsidRPr="008618F0" w:rsidRDefault="003A4BB1" w:rsidP="008618F0">
      <w:pPr>
        <w:pStyle w:val="Caption"/>
        <w:keepNext/>
        <w:jc w:val="center"/>
        <w:rPr>
          <w:sz w:val="20"/>
          <w:szCs w:val="20"/>
        </w:rPr>
      </w:pPr>
      <w:r w:rsidRPr="008A707F">
        <w:rPr>
          <w:i w:val="0"/>
          <w:iCs w:val="0"/>
          <w:sz w:val="20"/>
          <w:szCs w:val="20"/>
        </w:rPr>
        <w:t xml:space="preserve">Figure </w:t>
      </w:r>
      <w:r w:rsidR="008A2114">
        <w:rPr>
          <w:i w:val="0"/>
          <w:iCs w:val="0"/>
          <w:sz w:val="20"/>
          <w:szCs w:val="20"/>
        </w:rPr>
        <w:t>3</w:t>
      </w:r>
      <w:r w:rsidRPr="008A707F">
        <w:rPr>
          <w:i w:val="0"/>
          <w:iCs w:val="0"/>
          <w:sz w:val="20"/>
          <w:szCs w:val="20"/>
        </w:rPr>
        <w:t xml:space="preserve"> </w:t>
      </w:r>
      <w:r>
        <w:rPr>
          <w:i w:val="0"/>
          <w:iCs w:val="0"/>
          <w:sz w:val="20"/>
          <w:szCs w:val="20"/>
        </w:rPr>
        <w:t>–</w:t>
      </w:r>
      <w:r w:rsidRPr="008A707F">
        <w:rPr>
          <w:i w:val="0"/>
          <w:iCs w:val="0"/>
          <w:sz w:val="20"/>
          <w:szCs w:val="20"/>
        </w:rPr>
        <w:t xml:space="preserve"> </w:t>
      </w:r>
      <w:r w:rsidR="006462BF">
        <w:rPr>
          <w:i w:val="0"/>
          <w:iCs w:val="0"/>
          <w:sz w:val="20"/>
          <w:szCs w:val="20"/>
        </w:rPr>
        <w:t>Average</w:t>
      </w:r>
      <w:r w:rsidR="008A2114">
        <w:rPr>
          <w:i w:val="0"/>
          <w:iCs w:val="0"/>
          <w:sz w:val="20"/>
          <w:szCs w:val="20"/>
        </w:rPr>
        <w:t xml:space="preserve"> merged entity</w:t>
      </w:r>
      <w:r w:rsidR="006462BF">
        <w:rPr>
          <w:i w:val="0"/>
          <w:iCs w:val="0"/>
          <w:sz w:val="20"/>
          <w:szCs w:val="20"/>
        </w:rPr>
        <w:t xml:space="preserve"> predicted </w:t>
      </w:r>
      <w:r w:rsidR="00064A21">
        <w:rPr>
          <w:i w:val="0"/>
          <w:iCs w:val="0"/>
          <w:sz w:val="20"/>
          <w:szCs w:val="20"/>
        </w:rPr>
        <w:t xml:space="preserve">price </w:t>
      </w:r>
      <w:r w:rsidR="00DE7E3A">
        <w:rPr>
          <w:i w:val="0"/>
          <w:iCs w:val="0"/>
          <w:sz w:val="20"/>
          <w:szCs w:val="20"/>
        </w:rPr>
        <w:t>change</w:t>
      </w:r>
      <w:r w:rsidR="00905F2B">
        <w:rPr>
          <w:i w:val="0"/>
          <w:iCs w:val="0"/>
          <w:sz w:val="20"/>
          <w:szCs w:val="20"/>
        </w:rPr>
        <w:t xml:space="preserve"> (baseline estimates)</w:t>
      </w:r>
      <w:r>
        <w:rPr>
          <w:i w:val="0"/>
          <w:iCs w:val="0"/>
          <w:sz w:val="20"/>
          <w:szCs w:val="20"/>
        </w:rPr>
        <w:t>, by Chief Economist</w:t>
      </w:r>
    </w:p>
    <w:p w14:paraId="58D2D9D5" w14:textId="755780A9" w:rsidR="00050961" w:rsidRDefault="00520413" w:rsidP="006907F1">
      <w:pPr>
        <w:pStyle w:val="NormalWeb"/>
        <w:spacing w:after="0" w:afterAutospacing="0"/>
      </w:pPr>
      <w:r w:rsidRPr="00520413">
        <w:rPr>
          <w:noProof/>
        </w:rPr>
        <w:drawing>
          <wp:inline distT="0" distB="0" distL="0" distR="0" wp14:anchorId="38EFD133" wp14:editId="579DB003">
            <wp:extent cx="5731510" cy="3452495"/>
            <wp:effectExtent l="0" t="0" r="2540" b="0"/>
            <wp:docPr id="120252522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25229" name="Picture 1" descr="A graph of different colored bars&#10;&#10;AI-generated content may be incorrect."/>
                    <pic:cNvPicPr/>
                  </pic:nvPicPr>
                  <pic:blipFill>
                    <a:blip r:embed="rId16"/>
                    <a:stretch>
                      <a:fillRect/>
                    </a:stretch>
                  </pic:blipFill>
                  <pic:spPr>
                    <a:xfrm>
                      <a:off x="0" y="0"/>
                      <a:ext cx="5731510" cy="3452495"/>
                    </a:xfrm>
                    <a:prstGeom prst="rect">
                      <a:avLst/>
                    </a:prstGeom>
                  </pic:spPr>
                </pic:pic>
              </a:graphicData>
            </a:graphic>
          </wp:inline>
        </w:drawing>
      </w:r>
    </w:p>
    <w:p w14:paraId="73483AD8" w14:textId="0E4CB91D" w:rsidR="00BD6D1F" w:rsidRDefault="00BD6D1F" w:rsidP="006907F1">
      <w:pPr>
        <w:spacing w:after="0"/>
        <w:rPr>
          <w:i/>
          <w:iCs/>
        </w:rPr>
      </w:pPr>
      <w:r>
        <w:rPr>
          <w:i/>
          <w:iCs/>
        </w:rPr>
        <w:t>Notes</w:t>
      </w:r>
    </w:p>
    <w:p w14:paraId="1A9F6E98" w14:textId="7A3F806E" w:rsidR="00BD6D1F" w:rsidRDefault="00BD6D1F" w:rsidP="006907F1">
      <w:pPr>
        <w:spacing w:after="0"/>
        <w:rPr>
          <w:i/>
          <w:iCs/>
        </w:rPr>
      </w:pPr>
      <w:r>
        <w:rPr>
          <w:i/>
          <w:iCs/>
        </w:rPr>
        <w:t xml:space="preserve">[1] </w:t>
      </w:r>
      <w:r w:rsidR="00AA4181">
        <w:rPr>
          <w:i/>
          <w:iCs/>
        </w:rPr>
        <w:t xml:space="preserve">EC stands for European Commission, and </w:t>
      </w:r>
      <w:r>
        <w:rPr>
          <w:i/>
          <w:iCs/>
        </w:rPr>
        <w:t>MP for merging parties.</w:t>
      </w:r>
    </w:p>
    <w:p w14:paraId="60601C3F" w14:textId="0A3E712F" w:rsidR="00547FF1" w:rsidRPr="006907F1" w:rsidRDefault="00547FF1" w:rsidP="005A211B">
      <w:pPr>
        <w:rPr>
          <w:i/>
          <w:iCs/>
        </w:rPr>
      </w:pPr>
      <w:r>
        <w:rPr>
          <w:i/>
          <w:iCs/>
        </w:rPr>
        <w:t>[2] Includes predicted price changes without corresponding market share estimates.</w:t>
      </w:r>
    </w:p>
    <w:p w14:paraId="12C128B0" w14:textId="01AA09D7" w:rsidR="00A82782" w:rsidRDefault="00A82782" w:rsidP="005A211B">
      <w:r w:rsidRPr="00D47A93">
        <w:t>When focusing on</w:t>
      </w:r>
      <w:r w:rsidR="002F6A1E">
        <w:t xml:space="preserve"> the limited sub-sample of</w:t>
      </w:r>
      <w:r w:rsidRPr="00D47A93">
        <w:t xml:space="preserve"> simulations </w:t>
      </w:r>
      <w:r w:rsidR="002F6A1E">
        <w:t>put forward by the merging parties</w:t>
      </w:r>
      <w:r w:rsidR="00050961">
        <w:t xml:space="preserve"> (‘MP’ in the figure)</w:t>
      </w:r>
      <w:r w:rsidRPr="00D47A93">
        <w:t xml:space="preserve">, we see an increase from Damien Neven tenure to the Massimo Motta and Tommaso Valletti tenures, which is driven by the models put forward in </w:t>
      </w:r>
      <w:r w:rsidRPr="008618F0">
        <w:rPr>
          <w:i/>
          <w:iCs/>
        </w:rPr>
        <w:t>Hutchison 3G Italy/Wind JV</w:t>
      </w:r>
      <w:r w:rsidRPr="00D47A93">
        <w:t xml:space="preserve"> and </w:t>
      </w:r>
      <w:r w:rsidRPr="008618F0">
        <w:rPr>
          <w:i/>
          <w:iCs/>
        </w:rPr>
        <w:t>T-Mobile NL/Tele2 NL</w:t>
      </w:r>
      <w:r>
        <w:t>,</w:t>
      </w:r>
      <w:r w:rsidRPr="00D47A93">
        <w:t xml:space="preserve"> which predicted</w:t>
      </w:r>
      <w:r w:rsidR="00050961">
        <w:t xml:space="preserve"> relatively</w:t>
      </w:r>
      <w:r w:rsidRPr="00D47A93">
        <w:t xml:space="preserve"> large price increases (</w:t>
      </w:r>
      <w:r w:rsidR="00050961">
        <w:t>reflected in the data set</w:t>
      </w:r>
      <w:r w:rsidRPr="00D47A93">
        <w:t xml:space="preserve">) but which were offset by even larger quality increases (not </w:t>
      </w:r>
      <w:r w:rsidR="00050961">
        <w:t>reflected in the data set</w:t>
      </w:r>
      <w:r w:rsidRPr="00D47A93">
        <w:t>).</w:t>
      </w:r>
      <w:r w:rsidR="00794D66">
        <w:rPr>
          <w:rStyle w:val="FootnoteReference"/>
        </w:rPr>
        <w:footnoteReference w:id="78"/>
      </w:r>
    </w:p>
    <w:p w14:paraId="1F982B90" w14:textId="2412D7CC" w:rsidR="0041556A" w:rsidRDefault="0041556A" w:rsidP="0041556A">
      <w:pPr>
        <w:pStyle w:val="Heading3"/>
      </w:pPr>
      <w:r>
        <w:t xml:space="preserve">Does it matter if the </w:t>
      </w:r>
      <w:r w:rsidR="003309D8">
        <w:t>merger</w:t>
      </w:r>
      <w:r>
        <w:t xml:space="preserve"> is in the telecoms industry?</w:t>
      </w:r>
    </w:p>
    <w:p w14:paraId="48BAC10C" w14:textId="6E0951F2" w:rsidR="0041556A" w:rsidRDefault="00817E3D" w:rsidP="0041556A">
      <w:r>
        <w:t>In Table 6, w</w:t>
      </w:r>
      <w:r w:rsidR="0041556A">
        <w:t xml:space="preserve">e </w:t>
      </w:r>
      <w:r w:rsidR="005A211B">
        <w:t>present</w:t>
      </w:r>
      <w:r w:rsidR="0041556A">
        <w:t xml:space="preserve"> evidence that simulations in the telecoms industry produce higher </w:t>
      </w:r>
      <w:r w:rsidR="00B63991">
        <w:t>price change</w:t>
      </w:r>
      <w:r w:rsidR="0041556A">
        <w:t xml:space="preserve"> estimates even after controlling for differences in market concentration and other factors</w:t>
      </w:r>
      <w:r w:rsidR="00A90A48">
        <w:t xml:space="preserve">, </w:t>
      </w:r>
      <w:r w:rsidR="00A32F5D">
        <w:t xml:space="preserve">although </w:t>
      </w:r>
      <w:r w:rsidR="00A32F5D">
        <w:lastRenderedPageBreak/>
        <w:t>this is</w:t>
      </w:r>
      <w:r w:rsidR="0041556A">
        <w:t xml:space="preserve"> only true for</w:t>
      </w:r>
      <w:r w:rsidR="00F93D1B">
        <w:t xml:space="preserve"> </w:t>
      </w:r>
      <w:r w:rsidR="003F5637">
        <w:t>simulations using econometrically estimated demand parameters,</w:t>
      </w:r>
      <w:r w:rsidR="0041556A">
        <w:t xml:space="preserve"> done by the Commission. For </w:t>
      </w:r>
      <w:r w:rsidR="00134B37">
        <w:t xml:space="preserve">econometric </w:t>
      </w:r>
      <w:r w:rsidR="0041556A">
        <w:t xml:space="preserve">simulations </w:t>
      </w:r>
      <w:r w:rsidR="00D9366B">
        <w:t>p</w:t>
      </w:r>
      <w:r w:rsidR="0041556A">
        <w:t xml:space="preserve">ut forward by the merging parties, or calibrated </w:t>
      </w:r>
      <w:r w:rsidR="00360983">
        <w:t>models put forward by the Commission</w:t>
      </w:r>
      <w:r w:rsidR="0099612F">
        <w:t xml:space="preserve"> (where the majority of observations are)</w:t>
      </w:r>
      <w:r w:rsidR="0041556A">
        <w:t xml:space="preserve">, the </w:t>
      </w:r>
      <w:r w:rsidR="00401281">
        <w:t>price</w:t>
      </w:r>
      <w:r w:rsidR="00517637">
        <w:t xml:space="preserve"> </w:t>
      </w:r>
      <w:r w:rsidR="00401281">
        <w:t xml:space="preserve">change </w:t>
      </w:r>
      <w:r w:rsidR="00A32F5D">
        <w:t xml:space="preserve">predictions </w:t>
      </w:r>
      <w:r w:rsidR="00401281">
        <w:t>in</w:t>
      </w:r>
      <w:r w:rsidR="0041556A">
        <w:t xml:space="preserve"> telecoms and other industries </w:t>
      </w:r>
      <w:r w:rsidR="003866D8">
        <w:t xml:space="preserve">are </w:t>
      </w:r>
      <w:r w:rsidR="0041556A">
        <w:t>not statistically significantly different</w:t>
      </w:r>
      <w:r w:rsidR="003866D8">
        <w:t xml:space="preserve"> from each other</w:t>
      </w:r>
      <w:r w:rsidR="0041556A">
        <w:t xml:space="preserve">. </w:t>
      </w:r>
      <w:r w:rsidR="00034CF6">
        <w:t>Finally</w:t>
      </w:r>
      <w:r w:rsidR="0041556A">
        <w:t xml:space="preserve">, for calibrated models put forward by the </w:t>
      </w:r>
      <w:r w:rsidR="001D7FF7">
        <w:t>merging parties</w:t>
      </w:r>
      <w:r w:rsidR="0041556A">
        <w:t xml:space="preserve">, </w:t>
      </w:r>
      <w:r w:rsidR="00504A0F">
        <w:t xml:space="preserve">predicted </w:t>
      </w:r>
      <w:r w:rsidR="0041556A">
        <w:t xml:space="preserve">price </w:t>
      </w:r>
      <w:r w:rsidR="00DE7E3A">
        <w:t>changes</w:t>
      </w:r>
      <w:r w:rsidR="0041556A">
        <w:t xml:space="preserve"> are actually </w:t>
      </w:r>
      <w:r w:rsidR="0041556A" w:rsidRPr="00E857CE">
        <w:rPr>
          <w:i/>
          <w:iCs/>
        </w:rPr>
        <w:t>higher</w:t>
      </w:r>
      <w:r w:rsidR="0041556A">
        <w:t xml:space="preserve"> in other industries than in telecoms.</w:t>
      </w:r>
    </w:p>
    <w:p w14:paraId="038273CA" w14:textId="1BD923E2" w:rsidR="00FA6366" w:rsidRDefault="003D547D" w:rsidP="00FA6366">
      <w:pPr>
        <w:pStyle w:val="Heading1"/>
      </w:pPr>
      <w:r>
        <w:t>C</w:t>
      </w:r>
      <w:r w:rsidR="00D17C1C">
        <w:t>onclusion</w:t>
      </w:r>
      <w:r w:rsidR="00740542">
        <w:t>s</w:t>
      </w:r>
    </w:p>
    <w:p w14:paraId="64744BA2" w14:textId="55624944" w:rsidR="007C5472" w:rsidRPr="002121DA" w:rsidRDefault="002248ED" w:rsidP="002121DA">
      <w:r>
        <w:t xml:space="preserve">In this paper we </w:t>
      </w:r>
      <w:r w:rsidR="00B07641">
        <w:t>present a detailed review of</w:t>
      </w:r>
      <w:r w:rsidR="00C267B7">
        <w:t xml:space="preserve"> the merger simulations used in </w:t>
      </w:r>
      <w:r w:rsidR="00C94897">
        <w:t xml:space="preserve">EU </w:t>
      </w:r>
      <w:r w:rsidR="00C267B7">
        <w:t xml:space="preserve">merger control. We </w:t>
      </w:r>
      <w:r w:rsidRPr="002248ED">
        <w:t>analyse key areas of contention between the Commission and merging parties, including differences in the purpose of simulations, data selection, modelling approaches, and underlying assumptions</w:t>
      </w:r>
      <w:r w:rsidR="006B79BB">
        <w:t xml:space="preserve">, and then look at the main drivers of the price </w:t>
      </w:r>
      <w:r w:rsidR="00272AB3">
        <w:t xml:space="preserve">change </w:t>
      </w:r>
      <w:r w:rsidR="006B79BB">
        <w:t xml:space="preserve">estimates produced by these simulations. </w:t>
      </w:r>
    </w:p>
    <w:p w14:paraId="1D0E212A" w14:textId="36A192B1" w:rsidR="003C48E5" w:rsidRDefault="006B79BB" w:rsidP="006A3274">
      <w:r>
        <w:t xml:space="preserve">We </w:t>
      </w:r>
      <w:r w:rsidR="005B672C">
        <w:t xml:space="preserve">do not </w:t>
      </w:r>
      <w:r w:rsidR="00926A6F">
        <w:t xml:space="preserve">find </w:t>
      </w:r>
      <w:r w:rsidR="00E31428">
        <w:t xml:space="preserve">support </w:t>
      </w:r>
      <w:r w:rsidR="00926A6F">
        <w:t xml:space="preserve">for </w:t>
      </w:r>
      <w:r w:rsidR="00E31428">
        <w:t xml:space="preserve">the argument that </w:t>
      </w:r>
      <w:r w:rsidR="00926A6F">
        <w:t>the Commission’s</w:t>
      </w:r>
      <w:r w:rsidR="005B672C">
        <w:t xml:space="preserve"> simulations</w:t>
      </w:r>
      <w:r w:rsidR="00E31428">
        <w:t xml:space="preserve"> </w:t>
      </w:r>
      <w:r w:rsidR="005B672C">
        <w:t xml:space="preserve">always present </w:t>
      </w:r>
      <w:r w:rsidR="00926A6F">
        <w:t xml:space="preserve">higher </w:t>
      </w:r>
      <w:r w:rsidR="00B63991">
        <w:t>price change</w:t>
      </w:r>
      <w:r w:rsidR="00E31428">
        <w:t xml:space="preserve"> estimates</w:t>
      </w:r>
      <w:r w:rsidR="005B672C">
        <w:t xml:space="preserve"> than those of the </w:t>
      </w:r>
      <w:r w:rsidR="00926A6F">
        <w:t>merging parties</w:t>
      </w:r>
      <w:r w:rsidR="005B672C">
        <w:t xml:space="preserve">. </w:t>
      </w:r>
      <w:r w:rsidR="002525F9">
        <w:t>The choice of the simulation method plays an important role in this respect.</w:t>
      </w:r>
    </w:p>
    <w:p w14:paraId="00B55C40" w14:textId="1AD40745" w:rsidR="0046411C" w:rsidRDefault="00C966A2" w:rsidP="006A3274">
      <w:r>
        <w:t>B</w:t>
      </w:r>
      <w:r w:rsidR="00102003">
        <w:t>oth the</w:t>
      </w:r>
      <w:r w:rsidR="00102003" w:rsidDel="00996180">
        <w:t xml:space="preserve"> </w:t>
      </w:r>
      <w:r w:rsidR="00996180">
        <w:t xml:space="preserve">Commission </w:t>
      </w:r>
      <w:r w:rsidR="00102003">
        <w:t xml:space="preserve">and merging </w:t>
      </w:r>
      <w:r w:rsidR="00817E3D">
        <w:t>partie</w:t>
      </w:r>
      <w:r w:rsidR="00102003">
        <w:t>s may question whether the benefits of a full</w:t>
      </w:r>
      <w:r w:rsidR="003C48E5">
        <w:t>y</w:t>
      </w:r>
      <w:r>
        <w:t xml:space="preserve">-fledged merger simulation </w:t>
      </w:r>
      <w:r w:rsidR="00102003">
        <w:t>– with the increased data requirements and complexities that come with that – are worth</w:t>
      </w:r>
      <w:r w:rsidR="00FA0835">
        <w:t>while</w:t>
      </w:r>
      <w:r w:rsidR="00102003">
        <w:t xml:space="preserve"> compared to simpler (and thus cheaper) price pressure indices which are easier to implement and require less data</w:t>
      </w:r>
      <w:r>
        <w:t xml:space="preserve">. This is </w:t>
      </w:r>
      <w:r w:rsidR="00B027A4">
        <w:t>particularly true from the perspective of the Commission</w:t>
      </w:r>
      <w:r w:rsidR="0096138E">
        <w:t xml:space="preserve"> which may be more resource constrained</w:t>
      </w:r>
      <w:r w:rsidR="00B027A4">
        <w:t>, if simulation</w:t>
      </w:r>
      <w:r w:rsidR="00214921">
        <w:t>s are viewed to</w:t>
      </w:r>
      <w:r w:rsidR="00B027A4">
        <w:t xml:space="preserve"> increase </w:t>
      </w:r>
      <w:r w:rsidR="00B31A3B">
        <w:t xml:space="preserve">the Commission’s </w:t>
      </w:r>
      <w:r w:rsidR="00516024">
        <w:t>exposure to a successful appeal by the merging parties</w:t>
      </w:r>
      <w:r w:rsidR="006112F7">
        <w:t>, and if merger simulation</w:t>
      </w:r>
      <w:r w:rsidR="00B31A3B">
        <w:t xml:space="preserve">s are considered to </w:t>
      </w:r>
      <w:r w:rsidR="00B3524E">
        <w:t xml:space="preserve">be </w:t>
      </w:r>
      <w:r w:rsidR="006112F7">
        <w:t xml:space="preserve">only a marginal improvement on </w:t>
      </w:r>
      <w:r w:rsidR="00D51ECD">
        <w:t xml:space="preserve">the predictions of </w:t>
      </w:r>
      <w:r w:rsidR="006112F7">
        <w:t xml:space="preserve">simpler </w:t>
      </w:r>
      <w:r w:rsidR="004D5FA6">
        <w:t>pric</w:t>
      </w:r>
      <w:r w:rsidR="006112F7">
        <w:t>e</w:t>
      </w:r>
      <w:r w:rsidR="004D5FA6">
        <w:t>-pressure methods</w:t>
      </w:r>
      <w:r w:rsidR="00D51ECD">
        <w:t>.</w:t>
      </w:r>
      <w:r w:rsidR="006A3274">
        <w:t xml:space="preserve"> </w:t>
      </w:r>
      <w:r w:rsidR="008A3BD7">
        <w:t>We hope that our article helped</w:t>
      </w:r>
      <w:r w:rsidR="0067724F">
        <w:t>,</w:t>
      </w:r>
      <w:r w:rsidR="008A3BD7">
        <w:t xml:space="preserve"> </w:t>
      </w:r>
      <w:r w:rsidR="00F3611B">
        <w:t>at least</w:t>
      </w:r>
      <w:r w:rsidR="0067724F">
        <w:t>, to</w:t>
      </w:r>
      <w:r w:rsidR="00F3611B">
        <w:t xml:space="preserve"> lessen the </w:t>
      </w:r>
      <w:r w:rsidR="00FD3A86">
        <w:t xml:space="preserve">concerns about these </w:t>
      </w:r>
      <w:r w:rsidR="00B977D9">
        <w:t>points</w:t>
      </w:r>
      <w:r w:rsidR="00F3611B">
        <w:t xml:space="preserve">. </w:t>
      </w:r>
    </w:p>
    <w:p w14:paraId="75DC7F95" w14:textId="728327A1" w:rsidR="00C24CC5" w:rsidRDefault="008B49BE" w:rsidP="006A3274">
      <w:r>
        <w:t xml:space="preserve">We </w:t>
      </w:r>
      <w:r w:rsidR="00D1459E">
        <w:t xml:space="preserve">show that </w:t>
      </w:r>
      <w:r w:rsidR="00EB25A6">
        <w:t xml:space="preserve">there is more consistency in the estimates of the </w:t>
      </w:r>
      <w:r w:rsidR="00991DCD">
        <w:t xml:space="preserve">Commission </w:t>
      </w:r>
      <w:r w:rsidR="00EB25A6">
        <w:t xml:space="preserve">and the merging parties when </w:t>
      </w:r>
      <w:r w:rsidR="00C95A9E">
        <w:t xml:space="preserve">they use </w:t>
      </w:r>
      <w:r w:rsidR="00D1459E">
        <w:t>econometrically estimated simulations</w:t>
      </w:r>
      <w:r w:rsidR="00C95A9E">
        <w:t xml:space="preserve">. </w:t>
      </w:r>
      <w:r w:rsidR="00D40685">
        <w:t>If</w:t>
      </w:r>
      <w:r w:rsidR="006E1A1F">
        <w:t xml:space="preserve"> </w:t>
      </w:r>
      <w:r w:rsidR="008B0F03">
        <w:t xml:space="preserve">the consistency of price predictions between the </w:t>
      </w:r>
      <w:r w:rsidR="004D0E4E">
        <w:t xml:space="preserve">Commission </w:t>
      </w:r>
      <w:r w:rsidR="008B0F03">
        <w:t>and the merging parties can be considered a useful measure of simulation quality</w:t>
      </w:r>
      <w:r w:rsidR="003530C6">
        <w:t xml:space="preserve">, </w:t>
      </w:r>
      <w:r w:rsidR="00026ECE">
        <w:t xml:space="preserve">in future work it would be useful to compare these simulation estimates with the predictions provided by </w:t>
      </w:r>
      <w:r w:rsidR="00A74D5D">
        <w:t>price-pressure methods (</w:t>
      </w:r>
      <w:r w:rsidR="006B41DE">
        <w:t xml:space="preserve">such as GUPPI), which </w:t>
      </w:r>
      <w:r w:rsidR="001320DF">
        <w:t xml:space="preserve">use more assumptions about structural parameters, and hence potentially giving way to more discrepancy between the </w:t>
      </w:r>
      <w:r w:rsidR="004D0E4E">
        <w:t>Commission</w:t>
      </w:r>
      <w:r w:rsidR="001320DF">
        <w:t>’s and the merging parties’ estimates.</w:t>
      </w:r>
    </w:p>
    <w:p w14:paraId="49946AB3" w14:textId="31D73934" w:rsidR="001320DF" w:rsidRDefault="00062028" w:rsidP="006A3274">
      <w:r>
        <w:t xml:space="preserve">This would be particularly important because it </w:t>
      </w:r>
      <w:r w:rsidR="0067724F">
        <w:t>has</w:t>
      </w:r>
      <w:r w:rsidR="00D02C66">
        <w:t xml:space="preserve"> been argued that </w:t>
      </w:r>
      <w:r w:rsidR="00373D63">
        <w:t xml:space="preserve">the </w:t>
      </w:r>
      <w:r w:rsidR="00D02C66">
        <w:t xml:space="preserve">merging parties use simulations to deliver results favourable to them. </w:t>
      </w:r>
      <w:r w:rsidR="00AE146A">
        <w:t>Whilst we do not find general evidence to support this claim, w</w:t>
      </w:r>
      <w:r w:rsidR="00D97DC8">
        <w:t xml:space="preserve">e </w:t>
      </w:r>
      <w:r w:rsidR="00AE146A">
        <w:t>also</w:t>
      </w:r>
      <w:r w:rsidR="00D97DC8">
        <w:t xml:space="preserve"> see no reason to think that this argument should </w:t>
      </w:r>
      <w:r w:rsidR="00D1641B">
        <w:t xml:space="preserve">not </w:t>
      </w:r>
      <w:r w:rsidR="00D97DC8">
        <w:t>also apply for price-pressure methods</w:t>
      </w:r>
      <w:r w:rsidR="00D1641B">
        <w:t xml:space="preserve">. </w:t>
      </w:r>
      <w:r w:rsidR="00730791">
        <w:t xml:space="preserve">Given that these methods are more likely to rely on a </w:t>
      </w:r>
      <w:r w:rsidR="00D1641B">
        <w:t xml:space="preserve">wider </w:t>
      </w:r>
      <w:r w:rsidR="00730791">
        <w:t xml:space="preserve">range of </w:t>
      </w:r>
      <w:r w:rsidR="00D1641B">
        <w:t xml:space="preserve">assumptions, </w:t>
      </w:r>
      <w:r w:rsidR="00C10938">
        <w:t>the same argument should actually favour full</w:t>
      </w:r>
      <w:r w:rsidR="00B9204E">
        <w:t>y</w:t>
      </w:r>
      <w:r w:rsidR="00C10938">
        <w:t xml:space="preserve">-fledged merger simulations as a more consistent </w:t>
      </w:r>
      <w:r w:rsidR="00A7031A">
        <w:t>prediction method.</w:t>
      </w:r>
    </w:p>
    <w:p w14:paraId="1D55DA69" w14:textId="1099388B" w:rsidR="00874F4D" w:rsidRDefault="00D16800" w:rsidP="00102003">
      <w:r>
        <w:t>At the same time, t</w:t>
      </w:r>
      <w:r w:rsidR="00406997">
        <w:t xml:space="preserve">here </w:t>
      </w:r>
      <w:r w:rsidR="00E13038">
        <w:t xml:space="preserve">have </w:t>
      </w:r>
      <w:r>
        <w:t xml:space="preserve">also </w:t>
      </w:r>
      <w:r w:rsidR="00E13038">
        <w:t xml:space="preserve">been </w:t>
      </w:r>
      <w:r w:rsidR="00406997">
        <w:t xml:space="preserve">significant changes </w:t>
      </w:r>
      <w:r w:rsidR="00E13038">
        <w:t xml:space="preserve">over time </w:t>
      </w:r>
      <w:r w:rsidR="00406997">
        <w:t xml:space="preserve">in the types of mergers being </w:t>
      </w:r>
      <w:r w:rsidR="00E13038">
        <w:t xml:space="preserve">attempted </w:t>
      </w:r>
      <w:r w:rsidR="00406997">
        <w:t>and the t</w:t>
      </w:r>
      <w:r w:rsidR="00964FA5">
        <w:t xml:space="preserve">heories of harm being applied to these cases. This should </w:t>
      </w:r>
      <w:r w:rsidR="00F4664C">
        <w:t>provide an even stronger case for</w:t>
      </w:r>
      <w:r w:rsidR="00964FA5">
        <w:t xml:space="preserve"> using simulations. For example, d</w:t>
      </w:r>
      <w:r w:rsidR="00931736">
        <w:t xml:space="preserve">ynamic considerations have become more important in some of the recent large mergers. </w:t>
      </w:r>
      <w:r w:rsidR="00E13038">
        <w:t xml:space="preserve">In </w:t>
      </w:r>
      <w:r w:rsidR="00D47298" w:rsidRPr="00FB5A71">
        <w:rPr>
          <w:i/>
        </w:rPr>
        <w:t>Activision/Blizzard</w:t>
      </w:r>
      <w:r w:rsidR="00D47298">
        <w:t xml:space="preserve">, the main concern was regarding the merger’s impact on cloud gaming, a nascent segment of the gaming industry, and it is possibly difficult to see where a ‘traditional’ </w:t>
      </w:r>
      <w:r w:rsidR="00931736">
        <w:t>simulation</w:t>
      </w:r>
      <w:r w:rsidR="00D47298">
        <w:t xml:space="preserve"> could </w:t>
      </w:r>
      <w:r w:rsidR="00931736">
        <w:t xml:space="preserve">have </w:t>
      </w:r>
      <w:r w:rsidR="00D47298">
        <w:t>represent</w:t>
      </w:r>
      <w:r w:rsidR="00E44428">
        <w:t>ed</w:t>
      </w:r>
      <w:r w:rsidR="00D47298">
        <w:t xml:space="preserve"> useful economic evidence</w:t>
      </w:r>
      <w:r w:rsidR="00931736">
        <w:t xml:space="preserve"> in this regard</w:t>
      </w:r>
      <w:r w:rsidR="00D47298">
        <w:t xml:space="preserve">. Nevertheless, as was shown in </w:t>
      </w:r>
      <w:r w:rsidR="003318F7">
        <w:rPr>
          <w:i/>
          <w:iCs/>
        </w:rPr>
        <w:t>Hutchison 3G Italy/Wind JV</w:t>
      </w:r>
      <w:r w:rsidR="00D47298">
        <w:t xml:space="preserve"> and </w:t>
      </w:r>
      <w:r w:rsidR="00D47298" w:rsidRPr="00FB5A71">
        <w:rPr>
          <w:i/>
        </w:rPr>
        <w:t>T-Mobile NL/Tele2 NL</w:t>
      </w:r>
      <w:r w:rsidR="00E605E4">
        <w:rPr>
          <w:i/>
          <w:iCs/>
        </w:rPr>
        <w:t xml:space="preserve"> </w:t>
      </w:r>
      <w:r w:rsidR="00E605E4">
        <w:t>in front of the Commission</w:t>
      </w:r>
      <w:r w:rsidR="00D47298">
        <w:t>,</w:t>
      </w:r>
      <w:r w:rsidR="00E605E4">
        <w:t xml:space="preserve"> and most recently</w:t>
      </w:r>
      <w:r w:rsidR="000D4DD2">
        <w:t xml:space="preserve"> </w:t>
      </w:r>
      <w:r w:rsidR="000D4DD2" w:rsidRPr="00FB5A71">
        <w:rPr>
          <w:i/>
        </w:rPr>
        <w:t>Vodafone/Three</w:t>
      </w:r>
      <w:r w:rsidR="003318F7">
        <w:rPr>
          <w:i/>
          <w:iCs/>
        </w:rPr>
        <w:t xml:space="preserve"> JV</w:t>
      </w:r>
      <w:r w:rsidR="000D4DD2">
        <w:t xml:space="preserve"> in front of the CMA,</w:t>
      </w:r>
      <w:r w:rsidR="00D47298">
        <w:t xml:space="preserve"> the merging </w:t>
      </w:r>
      <w:r w:rsidR="00817E3D">
        <w:t xml:space="preserve">parties </w:t>
      </w:r>
      <w:r w:rsidR="000D4DD2">
        <w:t xml:space="preserve">tend to </w:t>
      </w:r>
      <w:r w:rsidR="000176EE">
        <w:t xml:space="preserve">submit </w:t>
      </w:r>
      <w:r w:rsidR="000D4DD2">
        <w:t xml:space="preserve">more </w:t>
      </w:r>
      <w:r w:rsidR="00D47298">
        <w:t xml:space="preserve">novel </w:t>
      </w:r>
      <w:r w:rsidR="000176EE">
        <w:lastRenderedPageBreak/>
        <w:t>simulation methods</w:t>
      </w:r>
      <w:r w:rsidR="00D47298">
        <w:t xml:space="preserve"> which aim to quantify efficiencies </w:t>
      </w:r>
      <w:r w:rsidR="007C6392">
        <w:t xml:space="preserve">or quality improvements </w:t>
      </w:r>
      <w:r w:rsidR="00D47298">
        <w:t>directly into the model.</w:t>
      </w:r>
      <w:r w:rsidR="00D10F47">
        <w:t xml:space="preserve"> These types of merger simulation model should be encouraged.</w:t>
      </w:r>
    </w:p>
    <w:p w14:paraId="5941231C" w14:textId="68EA3F6B" w:rsidR="004D5FA6" w:rsidRDefault="00874F4D" w:rsidP="00102003">
      <w:r>
        <w:t xml:space="preserve">Another example is platform mergers, or mergers involving two-sided markets, which have become increasingly relevant in recent years, particularly in the tech </w:t>
      </w:r>
      <w:r w:rsidR="007E777A">
        <w:t>industry</w:t>
      </w:r>
      <w:r>
        <w:t>. A simulation in these settings could be especially useful, given the indirect network effects on each side of the market, the impact of a merger on which may be obscured when using simpler models. Despite there being relevant academic literature on how to incorporate this into a simulation</w:t>
      </w:r>
      <w:r w:rsidR="006703B3">
        <w:rPr>
          <w:rStyle w:val="FootnoteReference"/>
        </w:rPr>
        <w:footnoteReference w:id="79"/>
      </w:r>
      <w:r>
        <w:t>, there have not been any cases of this type where such a simulation was deployed.</w:t>
      </w:r>
    </w:p>
    <w:p w14:paraId="073EC11A" w14:textId="0123D3BC" w:rsidR="00102003" w:rsidRDefault="00102003" w:rsidP="00102003">
      <w:r>
        <w:t xml:space="preserve">Merger reviews are carried out against relatively strict statutory deadlines, which might limit the possibility of the </w:t>
      </w:r>
      <w:r w:rsidR="00880AB3">
        <w:t xml:space="preserve">Commission </w:t>
      </w:r>
      <w:r>
        <w:t xml:space="preserve">or merging </w:t>
      </w:r>
      <w:r w:rsidR="006F1810">
        <w:t xml:space="preserve">parties </w:t>
      </w:r>
      <w:r>
        <w:t xml:space="preserve">to produce complex economic evidence, as their reliable implementation may take time. The </w:t>
      </w:r>
      <w:r w:rsidR="00880AB3">
        <w:t>Commission</w:t>
      </w:r>
      <w:r w:rsidDel="00880AB3">
        <w:t xml:space="preserve"> </w:t>
      </w:r>
      <w:r w:rsidR="00E84A7D">
        <w:t>(and also the CMA</w:t>
      </w:r>
      <w:r w:rsidR="00E84A7D">
        <w:rPr>
          <w:rStyle w:val="FootnoteReference"/>
        </w:rPr>
        <w:footnoteReference w:id="80"/>
      </w:r>
      <w:r w:rsidR="00E84A7D">
        <w:t xml:space="preserve">) </w:t>
      </w:r>
      <w:r>
        <w:t>has indeed stated that time constraints have reduced its ability to produce reliable models</w:t>
      </w:r>
      <w:r w:rsidR="004E7C60">
        <w:t>.</w:t>
      </w:r>
      <w:r w:rsidR="004E7C60">
        <w:rPr>
          <w:rStyle w:val="FootnoteReference"/>
        </w:rPr>
        <w:footnoteReference w:id="81"/>
      </w:r>
      <w:r>
        <w:t xml:space="preserve"> This issue of timing could be mitigated if the merging </w:t>
      </w:r>
      <w:r w:rsidR="0028423F">
        <w:t xml:space="preserve">parties </w:t>
      </w:r>
      <w:r>
        <w:t xml:space="preserve">were able to invest time early in a merger proceeding, for example in pre-notification, for developing a robust, reliable </w:t>
      </w:r>
      <w:r w:rsidR="00B9561F">
        <w:t>simulation model</w:t>
      </w:r>
      <w:r>
        <w:t xml:space="preserve">, which may also help the </w:t>
      </w:r>
      <w:r w:rsidR="00880AB3">
        <w:t xml:space="preserve">Commission </w:t>
      </w:r>
      <w:r>
        <w:t xml:space="preserve">with its own investigation. This </w:t>
      </w:r>
      <w:r w:rsidR="00DA79A3">
        <w:t xml:space="preserve">would </w:t>
      </w:r>
      <w:r>
        <w:t>also ha</w:t>
      </w:r>
      <w:r w:rsidR="00DA79A3">
        <w:t>ve</w:t>
      </w:r>
      <w:r>
        <w:t xml:space="preserve"> the added benefit that the underlying demand model could be used to help with the market definition stage, like in </w:t>
      </w:r>
      <w:r w:rsidRPr="00F4664C">
        <w:rPr>
          <w:i/>
        </w:rPr>
        <w:t>Unilever/Sara Lee</w:t>
      </w:r>
      <w:r>
        <w:t>.</w:t>
      </w:r>
      <w:r w:rsidR="00DA79A3">
        <w:t xml:space="preserve"> </w:t>
      </w:r>
      <w:r w:rsidR="00481803">
        <w:t>In addition, as discussed, a merger simulation model can also help determine the optimal set of divestments required to mitigate any adverse price or consumer surplus effect</w:t>
      </w:r>
      <w:r w:rsidR="002D6A3B">
        <w:t>, where that decision often occurs at a particularly ‘tight’ part of the merger review process</w:t>
      </w:r>
      <w:r w:rsidR="00481803">
        <w:t xml:space="preserve">. </w:t>
      </w:r>
      <w:r w:rsidR="00DA79A3">
        <w:t>In any case, given that</w:t>
      </w:r>
      <w:r>
        <w:t xml:space="preserve"> the length of </w:t>
      </w:r>
      <w:r w:rsidR="00880AB3">
        <w:t>P</w:t>
      </w:r>
      <w:r>
        <w:t xml:space="preserve">hase 1 and 2 reviews has not shortened over time, it is unlikely that this factor has caused the reduction in </w:t>
      </w:r>
      <w:r w:rsidR="00DA79A3">
        <w:t>the</w:t>
      </w:r>
      <w:r>
        <w:t xml:space="preserve"> use</w:t>
      </w:r>
      <w:r w:rsidR="00DA79A3">
        <w:t xml:space="preserve"> of simulations</w:t>
      </w:r>
      <w:r>
        <w:t>.</w:t>
      </w:r>
      <w:r w:rsidR="005D3F3C">
        <w:t xml:space="preserve"> Moreover,</w:t>
      </w:r>
      <w:r w:rsidR="0055480B">
        <w:t xml:space="preserve"> methods are being proposed to </w:t>
      </w:r>
      <w:r w:rsidR="00AA5B90">
        <w:t xml:space="preserve">shorten the time needed for </w:t>
      </w:r>
      <w:r w:rsidR="0055480B">
        <w:t>the estimation of structural parameters</w:t>
      </w:r>
      <w:r w:rsidR="00AA5B90">
        <w:t>,</w:t>
      </w:r>
      <w:r w:rsidR="007C4039">
        <w:rPr>
          <w:rStyle w:val="FootnoteReference"/>
        </w:rPr>
        <w:footnoteReference w:id="82"/>
      </w:r>
      <w:r w:rsidR="00AA5B90">
        <w:t xml:space="preserve"> which could also help </w:t>
      </w:r>
      <w:r w:rsidR="007C4039">
        <w:t>merger simulations to fit into the tight timeframe of merger procedures.</w:t>
      </w:r>
    </w:p>
    <w:p w14:paraId="119A1094" w14:textId="6571B495" w:rsidR="0085719C" w:rsidRDefault="00FC3918" w:rsidP="00102003">
      <w:r>
        <w:t>We must also note that m</w:t>
      </w:r>
      <w:r w:rsidR="0085719C" w:rsidRPr="0085719C">
        <w:t xml:space="preserve">ost of the simulations in our sample were in the </w:t>
      </w:r>
      <w:r w:rsidR="0067724F">
        <w:t>telecoms</w:t>
      </w:r>
      <w:r w:rsidR="0085719C" w:rsidRPr="0085719C">
        <w:t xml:space="preserve"> </w:t>
      </w:r>
      <w:r w:rsidR="0067724F">
        <w:t>industry</w:t>
      </w:r>
      <w:r w:rsidR="0085719C" w:rsidRPr="0085719C">
        <w:t>. This could be simply due to path-dependence, as simulations were done in early big telecom mergers, and subsequent merger analysis built on these previous simulations. It is also possible because</w:t>
      </w:r>
      <w:r w:rsidR="0067724F">
        <w:t>,</w:t>
      </w:r>
      <w:r w:rsidR="0085719C" w:rsidRPr="0085719C">
        <w:t xml:space="preserve"> in telecom</w:t>
      </w:r>
      <w:r w:rsidR="0067724F">
        <w:t>s,</w:t>
      </w:r>
      <w:r w:rsidR="0085719C" w:rsidRPr="0085719C">
        <w:t xml:space="preserve"> standard tools like market shares and simple price comparisons are often not reliable predictors of post-merger outcomes. </w:t>
      </w:r>
      <w:r w:rsidR="0067724F">
        <w:t xml:space="preserve">Pricing in telecoms </w:t>
      </w:r>
      <w:r w:rsidR="0085719C" w:rsidRPr="0085719C">
        <w:t>is highly complex due to bundling, nonlinear tariffs, price discrimination and frequent promotions. Moreover, telecom markets are typically oligopolistic with strong strategic interaction between a small number of firms, meaning that a merger can materially change equilibrium behaviour rather than just add market share. Simulation models allow analysts to explicitly incorporate demand elasticities, substitution between operators and post-merger pricing strategies in these conditions.</w:t>
      </w:r>
    </w:p>
    <w:p w14:paraId="3F9E89C2" w14:textId="3EED535C" w:rsidR="00EE3D80" w:rsidRDefault="0040147D" w:rsidP="007F7C08">
      <w:r>
        <w:t xml:space="preserve">We hope that this review is a useful piece of evidence that </w:t>
      </w:r>
      <w:r w:rsidR="008B61EF">
        <w:t>highlight</w:t>
      </w:r>
      <w:r>
        <w:t>s</w:t>
      </w:r>
      <w:r w:rsidR="008B61EF">
        <w:t xml:space="preserve"> </w:t>
      </w:r>
      <w:r w:rsidR="003E4A30">
        <w:t xml:space="preserve">best practice, </w:t>
      </w:r>
      <w:r w:rsidR="001A3EEA">
        <w:t xml:space="preserve">issues of simulations </w:t>
      </w:r>
      <w:r w:rsidR="00AC63E9">
        <w:t xml:space="preserve">design and delivery </w:t>
      </w:r>
      <w:r w:rsidR="001A3EEA">
        <w:t xml:space="preserve">that are least contentious </w:t>
      </w:r>
      <w:r w:rsidR="00AC63E9">
        <w:t xml:space="preserve">between the </w:t>
      </w:r>
      <w:r w:rsidR="00880AB3">
        <w:t xml:space="preserve">Commission </w:t>
      </w:r>
      <w:r w:rsidR="00AC63E9">
        <w:t>and</w:t>
      </w:r>
      <w:r w:rsidR="00D92F2E">
        <w:t xml:space="preserve"> the</w:t>
      </w:r>
      <w:r w:rsidR="00AC63E9">
        <w:t xml:space="preserve"> merging parties.</w:t>
      </w:r>
      <w:r w:rsidR="001A3EEA">
        <w:t xml:space="preserve"> </w:t>
      </w:r>
      <w:r w:rsidR="00A92C17">
        <w:t xml:space="preserve">At the same time, we acknowledge that simulations are not a standalone merger investigation tool, and we would like to </w:t>
      </w:r>
      <w:r w:rsidR="008B39A5">
        <w:t xml:space="preserve">build on this analysis to also include pricing pressure methods – something </w:t>
      </w:r>
      <w:r w:rsidR="008B39A5">
        <w:lastRenderedPageBreak/>
        <w:t xml:space="preserve">more commonly used by competition authorities – to better understand </w:t>
      </w:r>
      <w:r w:rsidR="00625704">
        <w:t xml:space="preserve">best practice in the </w:t>
      </w:r>
      <w:r w:rsidR="00A93B43">
        <w:t>toolkit of predictive methods that</w:t>
      </w:r>
      <w:r w:rsidR="00625704">
        <w:t xml:space="preserve"> competition authorities rely on for assessing merger</w:t>
      </w:r>
      <w:r w:rsidR="00A93B43">
        <w:t>s</w:t>
      </w:r>
      <w:r w:rsidR="00625704">
        <w:t>.</w:t>
      </w:r>
    </w:p>
    <w:p w14:paraId="758E7247" w14:textId="6DF6E79A" w:rsidR="00EC25BE" w:rsidRDefault="00F40115" w:rsidP="00F40115">
      <w:pPr>
        <w:pStyle w:val="Heading1"/>
      </w:pPr>
      <w:r>
        <w:t>References</w:t>
      </w:r>
    </w:p>
    <w:p w14:paraId="4BAAE67D" w14:textId="4F681071" w:rsidR="00F97F63" w:rsidRPr="00A433C9" w:rsidRDefault="00F97F63" w:rsidP="00EC25BE">
      <w:pPr>
        <w:rPr>
          <w:i/>
          <w:iCs/>
          <w:lang w:val="de-DE"/>
        </w:rPr>
      </w:pPr>
      <w:r w:rsidRPr="00A433C9">
        <w:rPr>
          <w:lang w:val="de-DE"/>
        </w:rPr>
        <w:t xml:space="preserve">Affeldt, P., Duso, T., &amp; Szücs, F. (2018). EU </w:t>
      </w:r>
      <w:proofErr w:type="spellStart"/>
      <w:r w:rsidRPr="00A433C9">
        <w:rPr>
          <w:lang w:val="de-DE"/>
        </w:rPr>
        <w:t>merger</w:t>
      </w:r>
      <w:proofErr w:type="spellEnd"/>
      <w:r w:rsidRPr="00A433C9">
        <w:rPr>
          <w:lang w:val="de-DE"/>
        </w:rPr>
        <w:t xml:space="preserve"> </w:t>
      </w:r>
      <w:proofErr w:type="spellStart"/>
      <w:r w:rsidRPr="00A433C9">
        <w:rPr>
          <w:lang w:val="de-DE"/>
        </w:rPr>
        <w:t>control</w:t>
      </w:r>
      <w:proofErr w:type="spellEnd"/>
      <w:r w:rsidRPr="00A433C9">
        <w:rPr>
          <w:lang w:val="de-DE"/>
        </w:rPr>
        <w:t xml:space="preserve"> </w:t>
      </w:r>
      <w:proofErr w:type="spellStart"/>
      <w:r w:rsidRPr="00A433C9">
        <w:rPr>
          <w:lang w:val="de-DE"/>
        </w:rPr>
        <w:t>database</w:t>
      </w:r>
      <w:proofErr w:type="spellEnd"/>
      <w:r w:rsidRPr="00A433C9">
        <w:rPr>
          <w:lang w:val="de-DE"/>
        </w:rPr>
        <w:t xml:space="preserve">: 1990-2014. </w:t>
      </w:r>
      <w:r w:rsidR="00067E61" w:rsidRPr="00A433C9">
        <w:rPr>
          <w:i/>
          <w:iCs/>
          <w:lang w:val="de-DE"/>
        </w:rPr>
        <w:t>Deutsches Institut für Wirtschaftsforschung (DIW), Berlin (95)</w:t>
      </w:r>
      <w:r w:rsidR="00067E61" w:rsidRPr="00A433C9">
        <w:rPr>
          <w:lang w:val="de-DE"/>
        </w:rPr>
        <w:t>.</w:t>
      </w:r>
    </w:p>
    <w:p w14:paraId="7DBADDE4" w14:textId="51913BAB" w:rsidR="00A038B9" w:rsidRDefault="00A038B9" w:rsidP="00EC25BE">
      <w:r w:rsidRPr="00A038B9">
        <w:t>Balan, D. J., &amp; Brand, K. (2023). Simulating hospital merger simulations. </w:t>
      </w:r>
      <w:r w:rsidRPr="00A038B9">
        <w:rPr>
          <w:i/>
          <w:iCs/>
        </w:rPr>
        <w:t>The Journal of Industrial Economics</w:t>
      </w:r>
      <w:r w:rsidRPr="00A038B9">
        <w:t>, </w:t>
      </w:r>
      <w:r w:rsidRPr="00A038B9">
        <w:rPr>
          <w:i/>
          <w:iCs/>
        </w:rPr>
        <w:t>71</w:t>
      </w:r>
      <w:r w:rsidRPr="00A038B9">
        <w:t>(1), 47-123.</w:t>
      </w:r>
    </w:p>
    <w:p w14:paraId="6D21CC4D" w14:textId="712A31EF" w:rsidR="00957C7C" w:rsidRDefault="00957C7C" w:rsidP="00EC25BE">
      <w:r>
        <w:t xml:space="preserve">Berry, </w:t>
      </w:r>
      <w:r w:rsidR="004060BA">
        <w:t>S.</w:t>
      </w:r>
      <w:r>
        <w:t>,</w:t>
      </w:r>
      <w:r w:rsidDel="004060BA">
        <w:t xml:space="preserve"> </w:t>
      </w:r>
      <w:r>
        <w:t>Levinsohn</w:t>
      </w:r>
      <w:r w:rsidR="004060BA">
        <w:t>, J.</w:t>
      </w:r>
      <w:r w:rsidR="00E452C1">
        <w:t>,</w:t>
      </w:r>
      <w:r>
        <w:t xml:space="preserve"> &amp; Pakes</w:t>
      </w:r>
      <w:r w:rsidR="004060BA">
        <w:t>, A.</w:t>
      </w:r>
      <w:r>
        <w:t xml:space="preserve"> (1995)</w:t>
      </w:r>
      <w:r w:rsidR="00AA421C">
        <w:t>.</w:t>
      </w:r>
      <w:r>
        <w:t xml:space="preserve"> Automobile Prices in Market Equilibrium</w:t>
      </w:r>
      <w:r w:rsidR="00AA421C">
        <w:t>.</w:t>
      </w:r>
      <w:r>
        <w:t xml:space="preserve"> </w:t>
      </w:r>
      <w:proofErr w:type="spellStart"/>
      <w:r w:rsidRPr="00F4664C">
        <w:rPr>
          <w:i/>
        </w:rPr>
        <w:t>Econometrica</w:t>
      </w:r>
      <w:proofErr w:type="spellEnd"/>
      <w:r w:rsidRPr="00F4664C">
        <w:rPr>
          <w:i/>
        </w:rPr>
        <w:t>, 63</w:t>
      </w:r>
      <w:r>
        <w:t>(4)</w:t>
      </w:r>
      <w:r w:rsidR="00A040EF">
        <w:t>,</w:t>
      </w:r>
      <w:r>
        <w:t xml:space="preserve"> 841-890</w:t>
      </w:r>
      <w:r w:rsidR="00AA421C">
        <w:t>.</w:t>
      </w:r>
    </w:p>
    <w:p w14:paraId="170E0530" w14:textId="32121E22" w:rsidR="00383608" w:rsidRDefault="00383608" w:rsidP="00EC25BE">
      <w:r w:rsidRPr="00383608">
        <w:t xml:space="preserve">Björnerstedt, J., &amp; </w:t>
      </w:r>
      <w:proofErr w:type="spellStart"/>
      <w:r w:rsidRPr="00383608">
        <w:t>Verboven</w:t>
      </w:r>
      <w:proofErr w:type="spellEnd"/>
      <w:r w:rsidRPr="00383608">
        <w:t xml:space="preserve">, F. (2016). Does merger simulation work? Evidence from the Swedish analgesics market. </w:t>
      </w:r>
      <w:r w:rsidRPr="00F4664C">
        <w:rPr>
          <w:i/>
        </w:rPr>
        <w:t>American Economic Journal: Applied Economics, 8</w:t>
      </w:r>
      <w:r w:rsidRPr="00383608">
        <w:t>(3), 125-164.</w:t>
      </w:r>
    </w:p>
    <w:p w14:paraId="61C84573" w14:textId="38249CA7" w:rsidR="00FD5736" w:rsidRDefault="00FA3BA7" w:rsidP="00EC25BE">
      <w:r w:rsidRPr="00FA3BA7">
        <w:t>Budzinski, O.</w:t>
      </w:r>
      <w:r w:rsidR="00E452C1">
        <w:t>,</w:t>
      </w:r>
      <w:r w:rsidRPr="00FA3BA7">
        <w:t xml:space="preserve"> </w:t>
      </w:r>
      <w:r>
        <w:t>&amp;</w:t>
      </w:r>
      <w:r w:rsidRPr="00FA3BA7">
        <w:t xml:space="preserve"> Arndt, C.</w:t>
      </w:r>
      <w:r>
        <w:t xml:space="preserve"> (2007).</w:t>
      </w:r>
      <w:r w:rsidRPr="00FA3BA7">
        <w:t xml:space="preserve"> The Oracle/PeopleSoft case: unilateral effects, simulation models and econometrics in contemporary merger control</w:t>
      </w:r>
      <w:r w:rsidR="00F11ABC" w:rsidRPr="00735842">
        <w:rPr>
          <w:rFonts w:cstheme="minorHAnsi"/>
        </w:rPr>
        <w:t xml:space="preserve">. </w:t>
      </w:r>
      <w:r w:rsidR="00735842" w:rsidRPr="00F4664C">
        <w:rPr>
          <w:rFonts w:cstheme="minorHAnsi"/>
          <w:i/>
          <w:color w:val="222222"/>
          <w:shd w:val="clear" w:color="auto" w:fill="FFFFFF"/>
        </w:rPr>
        <w:t>Legal Issues of Economic Integration</w:t>
      </w:r>
      <w:r w:rsidR="00735842" w:rsidRPr="00F4664C">
        <w:rPr>
          <w:rFonts w:cstheme="minorHAnsi"/>
          <w:color w:val="222222"/>
          <w:shd w:val="clear" w:color="auto" w:fill="FFFFFF"/>
        </w:rPr>
        <w:t>, </w:t>
      </w:r>
      <w:r w:rsidR="00735842" w:rsidRPr="00F4664C">
        <w:rPr>
          <w:rFonts w:cstheme="minorHAnsi"/>
          <w:i/>
          <w:color w:val="222222"/>
          <w:shd w:val="clear" w:color="auto" w:fill="FFFFFF"/>
        </w:rPr>
        <w:t>34</w:t>
      </w:r>
      <w:r w:rsidR="00735842" w:rsidRPr="00F4664C">
        <w:rPr>
          <w:rFonts w:cstheme="minorHAnsi"/>
          <w:color w:val="222222"/>
          <w:shd w:val="clear" w:color="auto" w:fill="FFFFFF"/>
        </w:rPr>
        <w:t>(2).</w:t>
      </w:r>
    </w:p>
    <w:p w14:paraId="735F54E5" w14:textId="0CDEFE23" w:rsidR="003F171A" w:rsidRDefault="003F171A" w:rsidP="00EC25BE">
      <w:r w:rsidRPr="003F171A">
        <w:t>Budzinski, O., &amp; Noskova, V. (2022). Prospects and Limits of Merger Simulations as a Computational Antitrust Tool. </w:t>
      </w:r>
      <w:r w:rsidRPr="003F171A">
        <w:rPr>
          <w:i/>
          <w:iCs/>
        </w:rPr>
        <w:t>Stan. Computational Antitrust</w:t>
      </w:r>
      <w:r w:rsidRPr="003F171A">
        <w:t>, </w:t>
      </w:r>
      <w:r w:rsidRPr="003F171A">
        <w:rPr>
          <w:i/>
          <w:iCs/>
        </w:rPr>
        <w:t>2</w:t>
      </w:r>
      <w:r w:rsidRPr="003F171A">
        <w:t>, 56.</w:t>
      </w:r>
    </w:p>
    <w:p w14:paraId="391BED28" w14:textId="512E713C" w:rsidR="00F40115" w:rsidRPr="009222B2" w:rsidRDefault="00EE2C4E" w:rsidP="00EC25BE">
      <w:r w:rsidRPr="00EE2C4E">
        <w:t>Buettner, T., Federico, G., &amp; Lorincz, S. (2016). The use of quantitative economic techniques in EU merger control. </w:t>
      </w:r>
      <w:r w:rsidRPr="00EE2C4E">
        <w:rPr>
          <w:i/>
          <w:iCs/>
        </w:rPr>
        <w:t>Antitrust</w:t>
      </w:r>
      <w:r w:rsidRPr="00EE2C4E">
        <w:t>, </w:t>
      </w:r>
      <w:r w:rsidRPr="00EE2C4E">
        <w:rPr>
          <w:i/>
          <w:iCs/>
        </w:rPr>
        <w:t>31</w:t>
      </w:r>
      <w:r w:rsidRPr="00EE2C4E">
        <w:t>, 68.</w:t>
      </w:r>
    </w:p>
    <w:p w14:paraId="08357544" w14:textId="31FB9D4A" w:rsidR="004A43AA" w:rsidRDefault="004A43AA" w:rsidP="00EC25BE">
      <w:proofErr w:type="spellStart"/>
      <w:r w:rsidRPr="004A43AA">
        <w:t>Cayseele</w:t>
      </w:r>
      <w:proofErr w:type="spellEnd"/>
      <w:r w:rsidR="00534AA5">
        <w:t>, P.</w:t>
      </w:r>
      <w:r w:rsidR="00090124">
        <w:t>,</w:t>
      </w:r>
      <w:r w:rsidRPr="004A43AA">
        <w:t xml:space="preserve"> &amp; </w:t>
      </w:r>
      <w:proofErr w:type="spellStart"/>
      <w:r w:rsidRPr="004A43AA">
        <w:t>Vanormelingen</w:t>
      </w:r>
      <w:proofErr w:type="spellEnd"/>
      <w:r w:rsidR="00090124">
        <w:t>, S</w:t>
      </w:r>
      <w:r w:rsidR="000722DA">
        <w:t>.</w:t>
      </w:r>
      <w:r w:rsidRPr="004A43AA">
        <w:t xml:space="preserve"> (2019)</w:t>
      </w:r>
      <w:r w:rsidR="000722DA">
        <w:t>.</w:t>
      </w:r>
      <w:r w:rsidRPr="004A43AA">
        <w:t xml:space="preserve"> Merger analysis in two-sided markets: the Belgian newspaper industry</w:t>
      </w:r>
      <w:r w:rsidR="000722DA">
        <w:t>.</w:t>
      </w:r>
      <w:r w:rsidRPr="004A43AA">
        <w:t xml:space="preserve"> </w:t>
      </w:r>
      <w:r w:rsidRPr="00F4664C">
        <w:rPr>
          <w:i/>
        </w:rPr>
        <w:t>Review of Industrial Organization, 54</w:t>
      </w:r>
      <w:r w:rsidRPr="004A43AA">
        <w:t>, 509-541.</w:t>
      </w:r>
    </w:p>
    <w:p w14:paraId="6302FA68" w14:textId="61EEE2E2" w:rsidR="008A2114" w:rsidRPr="00E0035B" w:rsidRDefault="00E0035B" w:rsidP="00EC25BE">
      <w:proofErr w:type="spellStart"/>
      <w:r w:rsidRPr="00E0035B">
        <w:t>Döpper</w:t>
      </w:r>
      <w:proofErr w:type="spellEnd"/>
      <w:r>
        <w:t xml:space="preserve">, H., MacKay, A., Miller, N. H., &amp; </w:t>
      </w:r>
      <w:proofErr w:type="spellStart"/>
      <w:r>
        <w:t>Stiebale</w:t>
      </w:r>
      <w:proofErr w:type="spellEnd"/>
      <w:r>
        <w:t xml:space="preserve">, J. (2024). </w:t>
      </w:r>
      <w:r w:rsidRPr="00E0035B">
        <w:t>Rising Markups and the Role of Consumer Preferences</w:t>
      </w:r>
      <w:r>
        <w:t xml:space="preserve">. </w:t>
      </w:r>
      <w:r>
        <w:rPr>
          <w:i/>
          <w:iCs/>
        </w:rPr>
        <w:t xml:space="preserve">Journal of Political Economy, </w:t>
      </w:r>
      <w:r w:rsidRPr="00CB19F2">
        <w:rPr>
          <w:i/>
          <w:iCs/>
        </w:rPr>
        <w:t>133</w:t>
      </w:r>
      <w:r w:rsidRPr="00CB19F2">
        <w:t>(8</w:t>
      </w:r>
      <w:r w:rsidRPr="00E0035B">
        <w:t>).</w:t>
      </w:r>
      <w:r>
        <w:t xml:space="preserve"> </w:t>
      </w:r>
    </w:p>
    <w:p w14:paraId="5FB7D1EB" w14:textId="0891F8D0" w:rsidR="00492AD3" w:rsidRDefault="00492AD3" w:rsidP="00EC25BE">
      <w:proofErr w:type="spellStart"/>
      <w:r w:rsidRPr="00492AD3">
        <w:t>Froeb</w:t>
      </w:r>
      <w:proofErr w:type="spellEnd"/>
      <w:r w:rsidRPr="00492AD3">
        <w:t xml:space="preserve">, L., Tschantz, S., &amp; Crooke, P. (2003). Bertrand competition with capacity constraints: mergers among parking lots. </w:t>
      </w:r>
      <w:r w:rsidRPr="00F4664C">
        <w:rPr>
          <w:i/>
        </w:rPr>
        <w:t>Journal of Econometrics, 113</w:t>
      </w:r>
      <w:r w:rsidRPr="00492AD3">
        <w:t xml:space="preserve">(1), 49-67. </w:t>
      </w:r>
    </w:p>
    <w:p w14:paraId="1AFFD842" w14:textId="1B6A7FDC" w:rsidR="00E257D9" w:rsidRDefault="00E257D9" w:rsidP="00EC25BE">
      <w:proofErr w:type="spellStart"/>
      <w:r w:rsidRPr="00F4664C">
        <w:t>Döpper</w:t>
      </w:r>
      <w:proofErr w:type="spellEnd"/>
      <w:r w:rsidRPr="00F4664C">
        <w:t xml:space="preserve">, H., MacKay, A., Miller, N., &amp; </w:t>
      </w:r>
      <w:proofErr w:type="spellStart"/>
      <w:r w:rsidRPr="00F4664C">
        <w:t>Stiebale</w:t>
      </w:r>
      <w:proofErr w:type="spellEnd"/>
      <w:r w:rsidRPr="00F4664C">
        <w:t xml:space="preserve">, J. (2024). </w:t>
      </w:r>
      <w:r w:rsidRPr="00E257D9">
        <w:t xml:space="preserve">Rising markups and the role of consumer preferences (No. w32739). </w:t>
      </w:r>
      <w:r w:rsidRPr="00F4664C">
        <w:rPr>
          <w:i/>
        </w:rPr>
        <w:t>National Bureau of Economic Research</w:t>
      </w:r>
      <w:r w:rsidRPr="00E257D9">
        <w:t>.</w:t>
      </w:r>
    </w:p>
    <w:p w14:paraId="30DF1694" w14:textId="662FC82D" w:rsidR="004A43AA" w:rsidRDefault="004A43AA" w:rsidP="00EC25BE">
      <w:proofErr w:type="spellStart"/>
      <w:r w:rsidRPr="004A43AA">
        <w:t>Filistrucchi</w:t>
      </w:r>
      <w:proofErr w:type="spellEnd"/>
      <w:r w:rsidR="00A30E63">
        <w:t>, L.,</w:t>
      </w:r>
      <w:r w:rsidRPr="004A43AA">
        <w:t xml:space="preserve"> </w:t>
      </w:r>
      <w:r w:rsidR="00791AAC">
        <w:t>Klein, T.</w:t>
      </w:r>
      <w:r w:rsidR="009E157B">
        <w:t>, &amp; Mich</w:t>
      </w:r>
      <w:r w:rsidR="00E82820">
        <w:t>ielsen, T.</w:t>
      </w:r>
      <w:r w:rsidR="00A74794">
        <w:t xml:space="preserve"> </w:t>
      </w:r>
      <w:r w:rsidRPr="004A43AA">
        <w:t>(2012)</w:t>
      </w:r>
      <w:r w:rsidR="00880AB3">
        <w:t xml:space="preserve">. </w:t>
      </w:r>
      <w:r w:rsidRPr="004A43AA">
        <w:t>Assessing unilateral merger effects in a two-sided market: an application to the Dutch daily newspaper market</w:t>
      </w:r>
      <w:r w:rsidR="00880AB3">
        <w:t>.</w:t>
      </w:r>
      <w:r w:rsidRPr="004A43AA">
        <w:t xml:space="preserve"> </w:t>
      </w:r>
      <w:r w:rsidRPr="00F4664C">
        <w:rPr>
          <w:i/>
        </w:rPr>
        <w:t>Journal of Competition Law &amp; Economics, 8</w:t>
      </w:r>
      <w:r w:rsidRPr="004A43AA">
        <w:t>(2), 297-329</w:t>
      </w:r>
      <w:r>
        <w:t>.</w:t>
      </w:r>
    </w:p>
    <w:p w14:paraId="795E5F52" w14:textId="58745546" w:rsidR="00C76F61" w:rsidRDefault="00C76F61" w:rsidP="00EC25BE">
      <w:r w:rsidRPr="00C76F61">
        <w:t xml:space="preserve">Friberg, R., &amp; Romahn, A. (2015). Divestiture requirements as a tool for competition policy: A case from the Swedish beer market. </w:t>
      </w:r>
      <w:r w:rsidRPr="00F4664C">
        <w:rPr>
          <w:i/>
        </w:rPr>
        <w:t xml:space="preserve">International </w:t>
      </w:r>
      <w:r w:rsidR="00866F65" w:rsidRPr="00F4664C">
        <w:rPr>
          <w:i/>
          <w:iCs/>
        </w:rPr>
        <w:t>J</w:t>
      </w:r>
      <w:r w:rsidRPr="00F4664C">
        <w:rPr>
          <w:i/>
          <w:iCs/>
        </w:rPr>
        <w:t>ournal</w:t>
      </w:r>
      <w:r w:rsidRPr="00F4664C">
        <w:rPr>
          <w:i/>
        </w:rPr>
        <w:t xml:space="preserve"> of </w:t>
      </w:r>
      <w:r w:rsidR="00866F65" w:rsidRPr="00F4664C">
        <w:rPr>
          <w:i/>
        </w:rPr>
        <w:t xml:space="preserve">Industrial </w:t>
      </w:r>
      <w:r w:rsidR="00866F65" w:rsidRPr="00F4664C">
        <w:rPr>
          <w:i/>
          <w:iCs/>
        </w:rPr>
        <w:t>Organization</w:t>
      </w:r>
      <w:r w:rsidRPr="00F4664C">
        <w:rPr>
          <w:i/>
        </w:rPr>
        <w:t>, 42</w:t>
      </w:r>
      <w:r w:rsidRPr="00C76F61">
        <w:t>, 1-18.</w:t>
      </w:r>
    </w:p>
    <w:p w14:paraId="0263B66C" w14:textId="690564FF" w:rsidR="00E0035B" w:rsidRPr="006A5FE3" w:rsidRDefault="00E0035B" w:rsidP="00EC25BE">
      <w:r>
        <w:t xml:space="preserve">Garmon, C. (2017). The accuracy of hospital merger screening methods. </w:t>
      </w:r>
      <w:r>
        <w:rPr>
          <w:i/>
          <w:iCs/>
        </w:rPr>
        <w:t xml:space="preserve">The RAND Journal of Economics, </w:t>
      </w:r>
      <w:r w:rsidR="006A5FE3">
        <w:rPr>
          <w:i/>
          <w:iCs/>
        </w:rPr>
        <w:t>48</w:t>
      </w:r>
      <w:r w:rsidR="006A5FE3">
        <w:t>(4), 1068-1102.</w:t>
      </w:r>
    </w:p>
    <w:p w14:paraId="6E50A8DE" w14:textId="27240BD6" w:rsidR="000D2874" w:rsidRDefault="000D2874" w:rsidP="00EC25BE">
      <w:r w:rsidRPr="000D2874">
        <w:t>Illanes, G., Bhattacharya, V., Stillerman, D., Kreps, A., &amp; Salas, J. (2024). A Large-Scale Evaluation of Merger Simulations. Available at SSRN 5177604.</w:t>
      </w:r>
    </w:p>
    <w:p w14:paraId="2C082741" w14:textId="77777777" w:rsidR="0013243C" w:rsidRPr="0013243C" w:rsidRDefault="0013243C" w:rsidP="00EC25BE">
      <w:pPr>
        <w:rPr>
          <w:rFonts w:cstheme="minorHAnsi"/>
        </w:rPr>
      </w:pPr>
      <w:r w:rsidRPr="00F4664C">
        <w:rPr>
          <w:rFonts w:cstheme="minorHAnsi"/>
          <w:color w:val="222222"/>
          <w:shd w:val="clear" w:color="auto" w:fill="FFFFFF"/>
        </w:rPr>
        <w:t xml:space="preserve">Ivaldi, M., &amp; </w:t>
      </w:r>
      <w:proofErr w:type="spellStart"/>
      <w:r w:rsidRPr="00F4664C">
        <w:rPr>
          <w:rFonts w:cstheme="minorHAnsi"/>
          <w:color w:val="222222"/>
          <w:shd w:val="clear" w:color="auto" w:fill="FFFFFF"/>
        </w:rPr>
        <w:t>Verboven</w:t>
      </w:r>
      <w:proofErr w:type="spellEnd"/>
      <w:r w:rsidRPr="00F4664C">
        <w:rPr>
          <w:rFonts w:cstheme="minorHAnsi"/>
          <w:color w:val="222222"/>
          <w:shd w:val="clear" w:color="auto" w:fill="FFFFFF"/>
        </w:rPr>
        <w:t>, F. (2005). Quantifying the effects from horizontal mergers in European competition policy. </w:t>
      </w:r>
      <w:r w:rsidRPr="00F4664C">
        <w:rPr>
          <w:rFonts w:cstheme="minorHAnsi"/>
          <w:i/>
          <w:color w:val="222222"/>
          <w:shd w:val="clear" w:color="auto" w:fill="FFFFFF"/>
        </w:rPr>
        <w:t>International Journal of Industrial Organization</w:t>
      </w:r>
      <w:r w:rsidRPr="00F4664C">
        <w:rPr>
          <w:rFonts w:cstheme="minorHAnsi"/>
          <w:color w:val="222222"/>
          <w:shd w:val="clear" w:color="auto" w:fill="FFFFFF"/>
        </w:rPr>
        <w:t>, </w:t>
      </w:r>
      <w:r w:rsidRPr="00F4664C">
        <w:rPr>
          <w:rFonts w:cstheme="minorHAnsi"/>
          <w:i/>
          <w:color w:val="222222"/>
          <w:shd w:val="clear" w:color="auto" w:fill="FFFFFF"/>
        </w:rPr>
        <w:t>23</w:t>
      </w:r>
      <w:r w:rsidRPr="00F4664C">
        <w:rPr>
          <w:rFonts w:cstheme="minorHAnsi"/>
          <w:color w:val="222222"/>
          <w:shd w:val="clear" w:color="auto" w:fill="FFFFFF"/>
        </w:rPr>
        <w:t>(9-10), 669-691.</w:t>
      </w:r>
      <w:r w:rsidRPr="0013243C">
        <w:rPr>
          <w:rFonts w:cstheme="minorHAnsi"/>
        </w:rPr>
        <w:t xml:space="preserve"> </w:t>
      </w:r>
    </w:p>
    <w:p w14:paraId="0EB83FE8" w14:textId="2AB30E18" w:rsidR="00CF72ED" w:rsidRPr="0013243C" w:rsidRDefault="00CF72ED" w:rsidP="00EC25BE">
      <w:proofErr w:type="spellStart"/>
      <w:r w:rsidRPr="00CF72ED">
        <w:lastRenderedPageBreak/>
        <w:t>Mariuzzo</w:t>
      </w:r>
      <w:proofErr w:type="spellEnd"/>
      <w:r w:rsidRPr="00CF72ED">
        <w:t>, F., Ormosi, P.L,</w:t>
      </w:r>
      <w:r w:rsidR="0013243C">
        <w:t xml:space="preserve"> &amp;</w:t>
      </w:r>
      <w:r w:rsidRPr="00CF72ED">
        <w:t xml:space="preserve"> </w:t>
      </w:r>
      <w:proofErr w:type="spellStart"/>
      <w:r w:rsidRPr="00CF72ED">
        <w:t>Havell</w:t>
      </w:r>
      <w:proofErr w:type="spellEnd"/>
      <w:r w:rsidRPr="00CF72ED">
        <w:t>, R. (2019)</w:t>
      </w:r>
      <w:r w:rsidR="0013243C">
        <w:t>.</w:t>
      </w:r>
      <w:r w:rsidRPr="00CF72ED">
        <w:t xml:space="preserve"> A review of merger decisions in the EU, </w:t>
      </w:r>
      <w:r w:rsidRPr="00F4664C">
        <w:rPr>
          <w:i/>
        </w:rPr>
        <w:t>Book chapter in Ex-post economic evaluation of competition policy: the EU experience, Wolters Klumer</w:t>
      </w:r>
      <w:r w:rsidR="0013243C">
        <w:t>.</w:t>
      </w:r>
    </w:p>
    <w:p w14:paraId="16AC3E3E" w14:textId="2B205A67" w:rsidR="002905E5" w:rsidRDefault="002905E5" w:rsidP="00EC25BE">
      <w:r w:rsidRPr="002905E5">
        <w:t xml:space="preserve">Nevo, A. (2000). Mergers with differentiated products: The case of the ready-to-eat cereal industry. </w:t>
      </w:r>
      <w:r w:rsidRPr="00F4664C">
        <w:rPr>
          <w:i/>
        </w:rPr>
        <w:t xml:space="preserve">The Rand </w:t>
      </w:r>
      <w:r w:rsidR="0013243C" w:rsidRPr="00F4664C">
        <w:rPr>
          <w:i/>
          <w:iCs/>
        </w:rPr>
        <w:t>J</w:t>
      </w:r>
      <w:r w:rsidRPr="00F4664C">
        <w:rPr>
          <w:i/>
          <w:iCs/>
        </w:rPr>
        <w:t>ournal</w:t>
      </w:r>
      <w:r w:rsidRPr="00F4664C">
        <w:rPr>
          <w:i/>
        </w:rPr>
        <w:t xml:space="preserve"> of </w:t>
      </w:r>
      <w:r w:rsidR="00796F92" w:rsidRPr="00F4664C">
        <w:rPr>
          <w:i/>
          <w:iCs/>
        </w:rPr>
        <w:t>E</w:t>
      </w:r>
      <w:r w:rsidRPr="00F4664C">
        <w:rPr>
          <w:i/>
          <w:iCs/>
        </w:rPr>
        <w:t>conomics</w:t>
      </w:r>
      <w:r w:rsidRPr="002905E5">
        <w:t>, 395-421.</w:t>
      </w:r>
    </w:p>
    <w:p w14:paraId="70941696" w14:textId="2AE29C01" w:rsidR="0039734E" w:rsidRDefault="0039734E" w:rsidP="00EC25BE">
      <w:proofErr w:type="spellStart"/>
      <w:r w:rsidRPr="00F8084F">
        <w:t>Panhans</w:t>
      </w:r>
      <w:proofErr w:type="spellEnd"/>
      <w:r w:rsidRPr="00F8084F">
        <w:t xml:space="preserve">, M. T., &amp; Taragin, C. (2023). </w:t>
      </w:r>
      <w:r w:rsidRPr="0039734E">
        <w:t xml:space="preserve">Consequences of model choice in predicting horizontal merger effects. </w:t>
      </w:r>
      <w:r w:rsidRPr="00FA063A">
        <w:rPr>
          <w:i/>
          <w:iCs/>
        </w:rPr>
        <w:t>International Journal of Industrial Organization</w:t>
      </w:r>
      <w:r w:rsidRPr="0039734E">
        <w:t>, 89, 102986.</w:t>
      </w:r>
    </w:p>
    <w:p w14:paraId="5367A661" w14:textId="0A76ADE4" w:rsidR="00CC6468" w:rsidRDefault="00CC6468" w:rsidP="00EC25BE">
      <w:r w:rsidRPr="00CC6468">
        <w:t xml:space="preserve">Peters, C. (2006). Evaluating the performance of merger simulation: Evidence from the US airline industry. </w:t>
      </w:r>
      <w:r w:rsidRPr="00F4664C">
        <w:rPr>
          <w:i/>
        </w:rPr>
        <w:t xml:space="preserve">The Journal of </w:t>
      </w:r>
      <w:r w:rsidR="00796F92">
        <w:rPr>
          <w:i/>
          <w:iCs/>
        </w:rPr>
        <w:t>L</w:t>
      </w:r>
      <w:r w:rsidRPr="00F4664C">
        <w:rPr>
          <w:i/>
          <w:iCs/>
        </w:rPr>
        <w:t>aw</w:t>
      </w:r>
      <w:r w:rsidRPr="00F4664C">
        <w:rPr>
          <w:i/>
        </w:rPr>
        <w:t xml:space="preserve"> and </w:t>
      </w:r>
      <w:r w:rsidR="00796F92" w:rsidRPr="00F4664C">
        <w:rPr>
          <w:i/>
          <w:iCs/>
        </w:rPr>
        <w:t>E</w:t>
      </w:r>
      <w:r w:rsidRPr="00F4664C">
        <w:rPr>
          <w:i/>
          <w:iCs/>
        </w:rPr>
        <w:t>conomics</w:t>
      </w:r>
      <w:r w:rsidRPr="00F4664C">
        <w:rPr>
          <w:i/>
        </w:rPr>
        <w:t>, 49</w:t>
      </w:r>
      <w:r w:rsidRPr="00CC6468">
        <w:t>(2), 627-649.</w:t>
      </w:r>
    </w:p>
    <w:p w14:paraId="61D94D7F" w14:textId="2F1CE345" w:rsidR="00577AAF" w:rsidRPr="009222B2" w:rsidRDefault="00577AAF" w:rsidP="00EC25BE">
      <w:proofErr w:type="spellStart"/>
      <w:r w:rsidRPr="00577AAF">
        <w:t>Pinkse</w:t>
      </w:r>
      <w:proofErr w:type="spellEnd"/>
      <w:r w:rsidRPr="00577AAF">
        <w:t xml:space="preserve">, J., &amp; Slade, M. E. (2004). Mergers, brand competition, and the price of a pint. </w:t>
      </w:r>
      <w:r w:rsidRPr="00F4664C">
        <w:rPr>
          <w:i/>
        </w:rPr>
        <w:t>European Economic Review, 48</w:t>
      </w:r>
      <w:r w:rsidRPr="00577AAF">
        <w:t>(3), 617-643.</w:t>
      </w:r>
    </w:p>
    <w:p w14:paraId="3A69D539" w14:textId="3391ADCC" w:rsidR="00FA6366" w:rsidRPr="00FA6366" w:rsidRDefault="00386B9F" w:rsidP="00FA6366">
      <w:r w:rsidRPr="00386B9F">
        <w:t>Valletti, T., &amp; Zenger, H. (2021). Mergers with differentiated products: Where do we stand?. </w:t>
      </w:r>
      <w:r w:rsidRPr="00386B9F">
        <w:rPr>
          <w:i/>
          <w:iCs/>
        </w:rPr>
        <w:t>Review of Industrial Organization</w:t>
      </w:r>
      <w:r w:rsidRPr="00386B9F">
        <w:t>, </w:t>
      </w:r>
      <w:r w:rsidRPr="00386B9F">
        <w:rPr>
          <w:i/>
          <w:iCs/>
        </w:rPr>
        <w:t>58</w:t>
      </w:r>
      <w:r w:rsidRPr="00386B9F">
        <w:t>, 179-212.</w:t>
      </w:r>
    </w:p>
    <w:p w14:paraId="72F3DCA4" w14:textId="11E76E3D" w:rsidR="00796A1E" w:rsidRDefault="00796A1E" w:rsidP="00FA6366">
      <w:r w:rsidRPr="00796A1E">
        <w:t xml:space="preserve">Walker, M. (2005). The potential for significant inaccuracies in merger simulation models. </w:t>
      </w:r>
      <w:r w:rsidRPr="00F4664C">
        <w:rPr>
          <w:i/>
        </w:rPr>
        <w:t>Journal of Competition Law and Economics, 1</w:t>
      </w:r>
      <w:r w:rsidRPr="00796A1E">
        <w:t>(3), 473-496.</w:t>
      </w:r>
    </w:p>
    <w:p w14:paraId="4F4BD51F" w14:textId="2B4487F1" w:rsidR="001E7763" w:rsidRPr="00FA6366" w:rsidRDefault="001E7763" w:rsidP="00FA6366">
      <w:r w:rsidRPr="001E7763">
        <w:t xml:space="preserve">Weinberg, M. C. (2011). More evidence on the performance of merger simulations. </w:t>
      </w:r>
      <w:r w:rsidRPr="001E7763">
        <w:rPr>
          <w:i/>
          <w:iCs/>
        </w:rPr>
        <w:t>American Economic Review</w:t>
      </w:r>
      <w:r w:rsidRPr="001E7763">
        <w:t>, 101(3), 51-55.</w:t>
      </w:r>
    </w:p>
    <w:p w14:paraId="2586195E" w14:textId="240F981B" w:rsidR="003C00CA" w:rsidRPr="00FA6366" w:rsidRDefault="003C00CA" w:rsidP="00FA6366">
      <w:r w:rsidRPr="002248ED">
        <w:t xml:space="preserve">Weinberg, M. C., &amp; Hosken, D. (2013). </w:t>
      </w:r>
      <w:r w:rsidRPr="003C00CA">
        <w:t xml:space="preserve">Evidence on the accuracy of merger simulations. </w:t>
      </w:r>
      <w:r w:rsidRPr="00F4664C">
        <w:rPr>
          <w:i/>
        </w:rPr>
        <w:t>Review of Economics and Statistics, 95</w:t>
      </w:r>
      <w:r w:rsidRPr="003C00CA">
        <w:t>(5), 1584-1600.</w:t>
      </w:r>
    </w:p>
    <w:p w14:paraId="166D23AF" w14:textId="43EDBF6D" w:rsidR="00FD2E9E" w:rsidRDefault="007D2BD8" w:rsidP="00F40115">
      <w:pPr>
        <w:pStyle w:val="Heading1"/>
      </w:pPr>
      <w:r>
        <w:t>A</w:t>
      </w:r>
      <w:r w:rsidR="00F40115">
        <w:t>ppendix</w:t>
      </w:r>
    </w:p>
    <w:p w14:paraId="78B34C50" w14:textId="23B6B663" w:rsidR="0034075F" w:rsidRPr="0034075F" w:rsidRDefault="0034075F" w:rsidP="00CB19F2">
      <w:pPr>
        <w:pStyle w:val="Heading2"/>
      </w:pPr>
      <w:r>
        <w:t>Qualitative review</w:t>
      </w:r>
    </w:p>
    <w:p w14:paraId="7CC1265A" w14:textId="1E826BA8" w:rsidR="000C0BC4" w:rsidRPr="000C0BC4" w:rsidRDefault="006745E7" w:rsidP="000C0BC4">
      <w:r w:rsidRPr="003B79B0">
        <w:t xml:space="preserve">Figure </w:t>
      </w:r>
      <w:r w:rsidR="003B79B0" w:rsidRPr="003B79B0">
        <w:t>4</w:t>
      </w:r>
      <w:r>
        <w:t xml:space="preserve"> shows the </w:t>
      </w:r>
      <w:r w:rsidR="000C0BC4">
        <w:t xml:space="preserve">number of uncontested/debated/criticised issues for each </w:t>
      </w:r>
      <w:r w:rsidR="00E3744F">
        <w:t xml:space="preserve">merger simulation model </w:t>
      </w:r>
      <w:r>
        <w:t>in our sample</w:t>
      </w:r>
      <w:r w:rsidR="000C0BC4">
        <w:t xml:space="preserve">. For example, the merger between coffee manufacturers DEMB and Mondelez, which was approved subject to a set of remedies after a Phase 2 investigation, included simulations presented by the merging parties that were seemingly strongly criticised by the Commission. On the other hand, in the telecom merger between Orange and </w:t>
      </w:r>
      <w:proofErr w:type="spellStart"/>
      <w:r w:rsidR="000C0BC4">
        <w:t>Jazztel</w:t>
      </w:r>
      <w:proofErr w:type="spellEnd"/>
      <w:r w:rsidR="000C0BC4">
        <w:t>, there was more agreement between the Commission and the merging parties on how the Commission’s simulation</w:t>
      </w:r>
      <w:r w:rsidR="000C0BC4" w:rsidDel="00727830">
        <w:t xml:space="preserve"> </w:t>
      </w:r>
      <w:r w:rsidR="000C0BC4">
        <w:t>was run.</w:t>
      </w:r>
    </w:p>
    <w:p w14:paraId="0C79DB22" w14:textId="62053D50" w:rsidR="00447DDF" w:rsidRPr="003B5202" w:rsidRDefault="00447DDF" w:rsidP="00447DDF">
      <w:pPr>
        <w:pStyle w:val="Caption"/>
        <w:keepNext/>
        <w:jc w:val="center"/>
        <w:rPr>
          <w:i w:val="0"/>
          <w:iCs w:val="0"/>
          <w:sz w:val="20"/>
          <w:szCs w:val="20"/>
        </w:rPr>
      </w:pPr>
      <w:r w:rsidRPr="003B5202">
        <w:rPr>
          <w:i w:val="0"/>
          <w:iCs w:val="0"/>
          <w:sz w:val="20"/>
          <w:szCs w:val="20"/>
        </w:rPr>
        <w:lastRenderedPageBreak/>
        <w:t xml:space="preserve">Figure </w:t>
      </w:r>
      <w:r w:rsidR="006745E7">
        <w:rPr>
          <w:i w:val="0"/>
          <w:iCs w:val="0"/>
          <w:sz w:val="20"/>
          <w:szCs w:val="20"/>
        </w:rPr>
        <w:t>4</w:t>
      </w:r>
      <w:r w:rsidRPr="003B5202">
        <w:rPr>
          <w:i w:val="0"/>
          <w:iCs w:val="0"/>
          <w:sz w:val="20"/>
          <w:szCs w:val="20"/>
        </w:rPr>
        <w:t xml:space="preserve"> - Modelling issues and the outcomes of </w:t>
      </w:r>
      <w:r>
        <w:rPr>
          <w:i w:val="0"/>
          <w:iCs w:val="0"/>
          <w:sz w:val="20"/>
          <w:szCs w:val="20"/>
        </w:rPr>
        <w:t>simulations</w:t>
      </w:r>
      <w:r w:rsidRPr="003B5202">
        <w:rPr>
          <w:i w:val="0"/>
          <w:iCs w:val="0"/>
          <w:sz w:val="20"/>
          <w:szCs w:val="20"/>
        </w:rPr>
        <w:t xml:space="preserve"> used in </w:t>
      </w:r>
      <w:r>
        <w:rPr>
          <w:i w:val="0"/>
          <w:iCs w:val="0"/>
          <w:sz w:val="20"/>
          <w:szCs w:val="20"/>
        </w:rPr>
        <w:t>Commission</w:t>
      </w:r>
      <w:r w:rsidRPr="003B5202">
        <w:rPr>
          <w:i w:val="0"/>
          <w:iCs w:val="0"/>
          <w:sz w:val="20"/>
          <w:szCs w:val="20"/>
        </w:rPr>
        <w:t xml:space="preserve"> merger review, and how they were debated by </w:t>
      </w:r>
      <w:r>
        <w:rPr>
          <w:i w:val="0"/>
          <w:iCs w:val="0"/>
          <w:sz w:val="20"/>
          <w:szCs w:val="20"/>
        </w:rPr>
        <w:t>each</w:t>
      </w:r>
      <w:r w:rsidRPr="003B5202">
        <w:rPr>
          <w:i w:val="0"/>
          <w:iCs w:val="0"/>
          <w:sz w:val="20"/>
          <w:szCs w:val="20"/>
        </w:rPr>
        <w:t xml:space="preserve"> side</w:t>
      </w:r>
      <w:r>
        <w:rPr>
          <w:i w:val="0"/>
          <w:iCs w:val="0"/>
          <w:sz w:val="20"/>
          <w:szCs w:val="20"/>
        </w:rPr>
        <w:t xml:space="preserve"> (sorted chronologically)</w:t>
      </w:r>
    </w:p>
    <w:p w14:paraId="4FE12CA0" w14:textId="0C68CA9A" w:rsidR="00447DDF" w:rsidRPr="000B0D9A" w:rsidRDefault="00370AEC" w:rsidP="00CB19F2">
      <w:pPr>
        <w:spacing w:before="240"/>
        <w:jc w:val="center"/>
      </w:pPr>
      <w:r w:rsidRPr="00370AEC">
        <w:rPr>
          <w:noProof/>
        </w:rPr>
        <w:drawing>
          <wp:inline distT="0" distB="0" distL="0" distR="0" wp14:anchorId="2573F225" wp14:editId="30EDF2E2">
            <wp:extent cx="5731510" cy="7089775"/>
            <wp:effectExtent l="0" t="0" r="2540" b="0"/>
            <wp:docPr id="207690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01184" name=""/>
                    <pic:cNvPicPr/>
                  </pic:nvPicPr>
                  <pic:blipFill>
                    <a:blip r:embed="rId17"/>
                    <a:stretch>
                      <a:fillRect/>
                    </a:stretch>
                  </pic:blipFill>
                  <pic:spPr>
                    <a:xfrm>
                      <a:off x="0" y="0"/>
                      <a:ext cx="5731510" cy="7089775"/>
                    </a:xfrm>
                    <a:prstGeom prst="rect">
                      <a:avLst/>
                    </a:prstGeom>
                  </pic:spPr>
                </pic:pic>
              </a:graphicData>
            </a:graphic>
          </wp:inline>
        </w:drawing>
      </w:r>
    </w:p>
    <w:p w14:paraId="0CC5364E" w14:textId="3780AD70" w:rsidR="00953DDF" w:rsidRDefault="0034075F" w:rsidP="002215BF">
      <w:pPr>
        <w:pStyle w:val="Heading2"/>
      </w:pPr>
      <w:r>
        <w:t xml:space="preserve">Quantitative analysis: </w:t>
      </w:r>
      <w:r w:rsidR="005A4BD2">
        <w:t>summary statistics</w:t>
      </w:r>
    </w:p>
    <w:p w14:paraId="32BA8B53" w14:textId="4AEA4878" w:rsidR="005E132D" w:rsidRDefault="00200D40" w:rsidP="005E132D">
      <w:r>
        <w:t xml:space="preserve">The following tables show the breakdown of the </w:t>
      </w:r>
      <w:r w:rsidR="004B5AE0">
        <w:t>regression sample</w:t>
      </w:r>
      <w:r w:rsidR="006B1B41">
        <w:t>s</w:t>
      </w:r>
      <w:r w:rsidR="004B5AE0">
        <w:t xml:space="preserve"> by the following variables: model type, </w:t>
      </w:r>
      <w:r w:rsidR="000B30FF">
        <w:t xml:space="preserve">source (Commission or </w:t>
      </w:r>
      <w:r w:rsidR="004B5AE0">
        <w:t>economi</w:t>
      </w:r>
      <w:r w:rsidR="000B30FF">
        <w:t>c consultancy)</w:t>
      </w:r>
      <w:r w:rsidR="004B5AE0">
        <w:t>, industry and finally by model.</w:t>
      </w:r>
    </w:p>
    <w:p w14:paraId="2B9A9897" w14:textId="2ECD7B4E" w:rsidR="00C76BB4" w:rsidRDefault="002C592C" w:rsidP="009C3066">
      <w:pPr>
        <w:jc w:val="center"/>
      </w:pPr>
      <w:r w:rsidRPr="002C592C">
        <w:rPr>
          <w:noProof/>
        </w:rPr>
        <w:lastRenderedPageBreak/>
        <w:drawing>
          <wp:inline distT="0" distB="0" distL="0" distR="0" wp14:anchorId="086DEE30" wp14:editId="06DF21B8">
            <wp:extent cx="3567745" cy="2395649"/>
            <wp:effectExtent l="0" t="0" r="0" b="5080"/>
            <wp:docPr id="1449018500"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18500" name="Picture 1" descr="A table with text on it&#10;&#10;AI-generated content may be incorrect."/>
                    <pic:cNvPicPr/>
                  </pic:nvPicPr>
                  <pic:blipFill>
                    <a:blip r:embed="rId18"/>
                    <a:stretch>
                      <a:fillRect/>
                    </a:stretch>
                  </pic:blipFill>
                  <pic:spPr>
                    <a:xfrm>
                      <a:off x="0" y="0"/>
                      <a:ext cx="3578721" cy="2403019"/>
                    </a:xfrm>
                    <a:prstGeom prst="rect">
                      <a:avLst/>
                    </a:prstGeom>
                  </pic:spPr>
                </pic:pic>
              </a:graphicData>
            </a:graphic>
          </wp:inline>
        </w:drawing>
      </w:r>
      <w:r w:rsidRPr="002C592C">
        <w:rPr>
          <w:noProof/>
        </w:rPr>
        <w:drawing>
          <wp:inline distT="0" distB="0" distL="0" distR="0" wp14:anchorId="433C52D9" wp14:editId="64A41F8F">
            <wp:extent cx="3562460" cy="1611453"/>
            <wp:effectExtent l="0" t="0" r="0" b="8255"/>
            <wp:docPr id="121255295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52950" name="Picture 1" descr="A table with numbers and text&#10;&#10;AI-generated content may be incorrect."/>
                    <pic:cNvPicPr/>
                  </pic:nvPicPr>
                  <pic:blipFill>
                    <a:blip r:embed="rId19"/>
                    <a:stretch>
                      <a:fillRect/>
                    </a:stretch>
                  </pic:blipFill>
                  <pic:spPr>
                    <a:xfrm>
                      <a:off x="0" y="0"/>
                      <a:ext cx="3585270" cy="1621771"/>
                    </a:xfrm>
                    <a:prstGeom prst="rect">
                      <a:avLst/>
                    </a:prstGeom>
                  </pic:spPr>
                </pic:pic>
              </a:graphicData>
            </a:graphic>
          </wp:inline>
        </w:drawing>
      </w:r>
      <w:r w:rsidRPr="002C592C">
        <w:rPr>
          <w:noProof/>
        </w:rPr>
        <w:lastRenderedPageBreak/>
        <w:drawing>
          <wp:inline distT="0" distB="0" distL="0" distR="0" wp14:anchorId="4E94F590" wp14:editId="46EBC106">
            <wp:extent cx="2759056" cy="1662508"/>
            <wp:effectExtent l="0" t="0" r="3810" b="0"/>
            <wp:docPr id="37498991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89913" name="Picture 1" descr="A table with numbers and text&#10;&#10;AI-generated content may be incorrect."/>
                    <pic:cNvPicPr/>
                  </pic:nvPicPr>
                  <pic:blipFill>
                    <a:blip r:embed="rId20"/>
                    <a:stretch>
                      <a:fillRect/>
                    </a:stretch>
                  </pic:blipFill>
                  <pic:spPr>
                    <a:xfrm>
                      <a:off x="0" y="0"/>
                      <a:ext cx="2772490" cy="1670603"/>
                    </a:xfrm>
                    <a:prstGeom prst="rect">
                      <a:avLst/>
                    </a:prstGeom>
                  </pic:spPr>
                </pic:pic>
              </a:graphicData>
            </a:graphic>
          </wp:inline>
        </w:drawing>
      </w:r>
      <w:r w:rsidR="005A4BD2" w:rsidRPr="005A4BD2">
        <w:rPr>
          <w:noProof/>
        </w:rPr>
        <w:drawing>
          <wp:inline distT="0" distB="0" distL="0" distR="0" wp14:anchorId="70C7CB8D" wp14:editId="3BD8C287">
            <wp:extent cx="4394426" cy="3435527"/>
            <wp:effectExtent l="0" t="0" r="6350" b="0"/>
            <wp:docPr id="38467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70737" name=""/>
                    <pic:cNvPicPr/>
                  </pic:nvPicPr>
                  <pic:blipFill>
                    <a:blip r:embed="rId21"/>
                    <a:stretch>
                      <a:fillRect/>
                    </a:stretch>
                  </pic:blipFill>
                  <pic:spPr>
                    <a:xfrm>
                      <a:off x="0" y="0"/>
                      <a:ext cx="4394426" cy="3435527"/>
                    </a:xfrm>
                    <a:prstGeom prst="rect">
                      <a:avLst/>
                    </a:prstGeom>
                  </pic:spPr>
                </pic:pic>
              </a:graphicData>
            </a:graphic>
          </wp:inline>
        </w:drawing>
      </w:r>
    </w:p>
    <w:p w14:paraId="3BDE5879" w14:textId="118A9272" w:rsidR="00BF647F" w:rsidRDefault="00BF647F" w:rsidP="00EE15A7">
      <w:r>
        <w:t xml:space="preserve">Table </w:t>
      </w:r>
      <w:r w:rsidR="005A4BD2">
        <w:t>11</w:t>
      </w:r>
      <w:r>
        <w:t xml:space="preserve"> below </w:t>
      </w:r>
      <w:r w:rsidR="00D420D0">
        <w:t xml:space="preserve">shows the summary statistics of the main variables from Table </w:t>
      </w:r>
      <w:r w:rsidR="00200D40">
        <w:t>4</w:t>
      </w:r>
      <w:r w:rsidR="00D420D0">
        <w:t xml:space="preserve">, but instead </w:t>
      </w:r>
      <w:r w:rsidR="00ED12C6">
        <w:t xml:space="preserve">restricting the sample to the price </w:t>
      </w:r>
      <w:r w:rsidR="00DE7E3A">
        <w:t>change</w:t>
      </w:r>
      <w:r w:rsidR="00ED12C6">
        <w:t xml:space="preserve"> estimates of the merged entity only.</w:t>
      </w:r>
      <w:r w:rsidR="00061EB6">
        <w:t xml:space="preserve"> </w:t>
      </w:r>
    </w:p>
    <w:p w14:paraId="1BF40E8F" w14:textId="5629A380" w:rsidR="00FD0E06" w:rsidRDefault="00802060" w:rsidP="009C3066">
      <w:pPr>
        <w:jc w:val="center"/>
        <w:rPr>
          <w:noProof/>
        </w:rPr>
      </w:pPr>
      <w:r w:rsidRPr="00802060">
        <w:rPr>
          <w:noProof/>
        </w:rPr>
        <w:lastRenderedPageBreak/>
        <w:drawing>
          <wp:inline distT="0" distB="0" distL="0" distR="0" wp14:anchorId="29BA6122" wp14:editId="78247921">
            <wp:extent cx="5731510" cy="4324985"/>
            <wp:effectExtent l="0" t="0" r="2540" b="0"/>
            <wp:docPr id="75999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9947" name=""/>
                    <pic:cNvPicPr/>
                  </pic:nvPicPr>
                  <pic:blipFill>
                    <a:blip r:embed="rId22"/>
                    <a:stretch>
                      <a:fillRect/>
                    </a:stretch>
                  </pic:blipFill>
                  <pic:spPr>
                    <a:xfrm>
                      <a:off x="0" y="0"/>
                      <a:ext cx="5731510" cy="4324985"/>
                    </a:xfrm>
                    <a:prstGeom prst="rect">
                      <a:avLst/>
                    </a:prstGeom>
                  </pic:spPr>
                </pic:pic>
              </a:graphicData>
            </a:graphic>
          </wp:inline>
        </w:drawing>
      </w:r>
    </w:p>
    <w:p w14:paraId="32D3BEBF" w14:textId="05E2A52E" w:rsidR="00000A1E" w:rsidRDefault="00000A1E" w:rsidP="00EE15A7">
      <w:r>
        <w:t xml:space="preserve">Table </w:t>
      </w:r>
      <w:r w:rsidR="001767F5">
        <w:t>12</w:t>
      </w:r>
      <w:r>
        <w:t xml:space="preserve"> below shows the summary statistics of the main variables from Table </w:t>
      </w:r>
      <w:r w:rsidR="00200D40">
        <w:t>4</w:t>
      </w:r>
      <w:r>
        <w:t xml:space="preserve">, but instead including sensitivity estimates in addition to baseline estimates. </w:t>
      </w:r>
      <w:r w:rsidR="00CF7A9C">
        <w:t>Here, the</w:t>
      </w:r>
      <w:r w:rsidR="008D74FB">
        <w:t xml:space="preserve"> (positive) difference between average price </w:t>
      </w:r>
      <w:r w:rsidR="00DE7E3A">
        <w:t>change</w:t>
      </w:r>
      <w:r w:rsidR="008D74FB">
        <w:t>s produced by the Commission vs. the merging part</w:t>
      </w:r>
      <w:r w:rsidR="003625BD">
        <w:t xml:space="preserve">ies is statistically significant, and the average price </w:t>
      </w:r>
      <w:r w:rsidR="00DE7E3A">
        <w:t>change</w:t>
      </w:r>
      <w:r w:rsidR="003625BD">
        <w:t xml:space="preserve"> in telecoms is lower than in other industries.</w:t>
      </w:r>
      <w:r w:rsidR="009D76F2">
        <w:rPr>
          <w:rStyle w:val="FootnoteReference"/>
        </w:rPr>
        <w:footnoteReference w:id="83"/>
      </w:r>
    </w:p>
    <w:p w14:paraId="0EFAA184" w14:textId="16724A82" w:rsidR="003625BD" w:rsidRDefault="00802060" w:rsidP="009C3066">
      <w:pPr>
        <w:jc w:val="center"/>
        <w:rPr>
          <w:noProof/>
        </w:rPr>
      </w:pPr>
      <w:r w:rsidRPr="00802060">
        <w:rPr>
          <w:noProof/>
        </w:rPr>
        <w:lastRenderedPageBreak/>
        <w:drawing>
          <wp:inline distT="0" distB="0" distL="0" distR="0" wp14:anchorId="5CB7AA88" wp14:editId="46AA023D">
            <wp:extent cx="5731510" cy="4309110"/>
            <wp:effectExtent l="0" t="0" r="2540" b="0"/>
            <wp:docPr id="147953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38029" name=""/>
                    <pic:cNvPicPr/>
                  </pic:nvPicPr>
                  <pic:blipFill>
                    <a:blip r:embed="rId23"/>
                    <a:stretch>
                      <a:fillRect/>
                    </a:stretch>
                  </pic:blipFill>
                  <pic:spPr>
                    <a:xfrm>
                      <a:off x="0" y="0"/>
                      <a:ext cx="5731510" cy="4309110"/>
                    </a:xfrm>
                    <a:prstGeom prst="rect">
                      <a:avLst/>
                    </a:prstGeom>
                  </pic:spPr>
                </pic:pic>
              </a:graphicData>
            </a:graphic>
          </wp:inline>
        </w:drawing>
      </w:r>
    </w:p>
    <w:p w14:paraId="0B708063" w14:textId="0257170C" w:rsidR="0062681C" w:rsidRDefault="0062681C" w:rsidP="0062681C">
      <w:r>
        <w:t xml:space="preserve">Table </w:t>
      </w:r>
      <w:r w:rsidR="001767F5">
        <w:t>13</w:t>
      </w:r>
      <w:r>
        <w:t xml:space="preserve"> below shows the </w:t>
      </w:r>
      <w:r w:rsidR="00F7267B">
        <w:t xml:space="preserve">differences in mean price </w:t>
      </w:r>
      <w:r w:rsidR="00DE7E3A">
        <w:t>changes</w:t>
      </w:r>
      <w:r w:rsidR="00F7267B">
        <w:t xml:space="preserve"> across different dimensions of the data </w:t>
      </w:r>
      <w:r>
        <w:t xml:space="preserve">from Table </w:t>
      </w:r>
      <w:r w:rsidR="001767F5">
        <w:t>5</w:t>
      </w:r>
      <w:r>
        <w:t xml:space="preserve">, but instead restricting the sample to the price </w:t>
      </w:r>
      <w:r w:rsidR="00DE7E3A">
        <w:t>change</w:t>
      </w:r>
      <w:r>
        <w:t xml:space="preserve"> estimates of the merged entity only. The results are </w:t>
      </w:r>
      <w:r w:rsidR="00EF7173">
        <w:t xml:space="preserve">largely </w:t>
      </w:r>
      <w:r>
        <w:t>qualitatively similar</w:t>
      </w:r>
      <w:r w:rsidR="0051476B">
        <w:t xml:space="preserve">, </w:t>
      </w:r>
      <w:r w:rsidR="003D0EEB">
        <w:t>except for</w:t>
      </w:r>
      <w:r w:rsidR="0051476B">
        <w:t xml:space="preserve"> predicted price </w:t>
      </w:r>
      <w:r w:rsidR="00DE7E3A">
        <w:t>changes</w:t>
      </w:r>
      <w:r w:rsidR="0051476B">
        <w:t xml:space="preserve"> being higher </w:t>
      </w:r>
      <w:r w:rsidR="00D908E0">
        <w:t>in telecoms for calibrated models put forward by the Commission</w:t>
      </w:r>
      <w:r>
        <w:t>.</w:t>
      </w:r>
    </w:p>
    <w:p w14:paraId="7871F8A2" w14:textId="2F4C4FB1" w:rsidR="00353D2D" w:rsidRDefault="007748E5" w:rsidP="00EE15A7">
      <w:r w:rsidRPr="007748E5">
        <w:rPr>
          <w:noProof/>
        </w:rPr>
        <w:drawing>
          <wp:inline distT="0" distB="0" distL="0" distR="0" wp14:anchorId="27182DF0" wp14:editId="79D7F092">
            <wp:extent cx="5731510" cy="2165350"/>
            <wp:effectExtent l="0" t="0" r="2540" b="6350"/>
            <wp:docPr id="103571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17352" name=""/>
                    <pic:cNvPicPr/>
                  </pic:nvPicPr>
                  <pic:blipFill>
                    <a:blip r:embed="rId24"/>
                    <a:stretch>
                      <a:fillRect/>
                    </a:stretch>
                  </pic:blipFill>
                  <pic:spPr>
                    <a:xfrm>
                      <a:off x="0" y="0"/>
                      <a:ext cx="5731510" cy="2165350"/>
                    </a:xfrm>
                    <a:prstGeom prst="rect">
                      <a:avLst/>
                    </a:prstGeom>
                  </pic:spPr>
                </pic:pic>
              </a:graphicData>
            </a:graphic>
          </wp:inline>
        </w:drawing>
      </w:r>
    </w:p>
    <w:p w14:paraId="6BCC7A3D" w14:textId="77777777" w:rsidR="00B17C1D" w:rsidRDefault="00B17C1D" w:rsidP="00B17C1D">
      <w:pPr>
        <w:pStyle w:val="Heading2"/>
      </w:pPr>
      <w:r>
        <w:t>Full regression results</w:t>
      </w:r>
    </w:p>
    <w:p w14:paraId="1E7A6C79" w14:textId="72391049" w:rsidR="00B17C1D" w:rsidRDefault="00B17C1D" w:rsidP="00B17C1D">
      <w:r>
        <w:t xml:space="preserve">The full regression results underlying the marginal effects presented in Table </w:t>
      </w:r>
      <w:r w:rsidR="00A91DEF">
        <w:t>6</w:t>
      </w:r>
      <w:r>
        <w:t xml:space="preserve"> are presented in Table </w:t>
      </w:r>
      <w:r w:rsidR="00A91DEF">
        <w:t>14</w:t>
      </w:r>
      <w:r>
        <w:t xml:space="preserve"> below.</w:t>
      </w:r>
      <w:r w:rsidR="004546C0">
        <w:t xml:space="preserve"> </w:t>
      </w:r>
    </w:p>
    <w:p w14:paraId="59A0309A" w14:textId="1848CDE5" w:rsidR="00B17C1D" w:rsidRDefault="00A91DEF" w:rsidP="009C3066">
      <w:pPr>
        <w:jc w:val="center"/>
      </w:pPr>
      <w:r w:rsidRPr="00A91DEF">
        <w:rPr>
          <w:noProof/>
        </w:rPr>
        <w:lastRenderedPageBreak/>
        <w:drawing>
          <wp:inline distT="0" distB="0" distL="0" distR="0" wp14:anchorId="5530AAB3" wp14:editId="55F45E55">
            <wp:extent cx="4026107" cy="3670489"/>
            <wp:effectExtent l="0" t="0" r="0" b="6350"/>
            <wp:docPr id="1979321328" name="Picture 1" descr="A table of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21328" name="Picture 1" descr="A table of numbers and lines&#10;&#10;AI-generated content may be incorrect."/>
                    <pic:cNvPicPr/>
                  </pic:nvPicPr>
                  <pic:blipFill>
                    <a:blip r:embed="rId25"/>
                    <a:stretch>
                      <a:fillRect/>
                    </a:stretch>
                  </pic:blipFill>
                  <pic:spPr>
                    <a:xfrm>
                      <a:off x="0" y="0"/>
                      <a:ext cx="4026107" cy="3670489"/>
                    </a:xfrm>
                    <a:prstGeom prst="rect">
                      <a:avLst/>
                    </a:prstGeom>
                  </pic:spPr>
                </pic:pic>
              </a:graphicData>
            </a:graphic>
          </wp:inline>
        </w:drawing>
      </w:r>
    </w:p>
    <w:p w14:paraId="38D2DE80" w14:textId="3A5F645A" w:rsidR="00953DDF" w:rsidRDefault="00953DDF" w:rsidP="002215BF">
      <w:pPr>
        <w:pStyle w:val="Heading2"/>
      </w:pPr>
      <w:r>
        <w:t>Regression sensitivities</w:t>
      </w:r>
    </w:p>
    <w:p w14:paraId="6DF9410F" w14:textId="7614572D" w:rsidR="007850F1" w:rsidRDefault="007850F1" w:rsidP="00EE15A7">
      <w:r>
        <w:t xml:space="preserve">Table </w:t>
      </w:r>
      <w:r w:rsidR="006C5C89">
        <w:t>15</w:t>
      </w:r>
      <w:r w:rsidR="0063052C">
        <w:t xml:space="preserve"> shows the estimated marginal effects </w:t>
      </w:r>
      <w:r w:rsidR="007176C7">
        <w:t xml:space="preserve">of the </w:t>
      </w:r>
      <w:r w:rsidR="004D3DE3">
        <w:t xml:space="preserve">main regression model, but instead </w:t>
      </w:r>
      <w:r w:rsidR="0035434C">
        <w:t xml:space="preserve">calculates the average price </w:t>
      </w:r>
      <w:r w:rsidR="00DE7E3A">
        <w:t>change</w:t>
      </w:r>
      <w:r w:rsidR="0035434C">
        <w:t xml:space="preserve"> across </w:t>
      </w:r>
      <w:r w:rsidR="0028423F">
        <w:t xml:space="preserve">the </w:t>
      </w:r>
      <w:r w:rsidR="0035434C">
        <w:t xml:space="preserve">merging </w:t>
      </w:r>
      <w:r w:rsidR="0028423F">
        <w:t xml:space="preserve">parties </w:t>
      </w:r>
      <w:r w:rsidR="0035434C">
        <w:t xml:space="preserve">weighted by each merging </w:t>
      </w:r>
      <w:r w:rsidR="00442295">
        <w:t xml:space="preserve">party’s </w:t>
      </w:r>
      <w:r w:rsidR="0035434C">
        <w:t>pre-merger market share</w:t>
      </w:r>
      <w:r w:rsidR="00863609">
        <w:t xml:space="preserve"> (rather than </w:t>
      </w:r>
      <w:r w:rsidR="0037298C">
        <w:t xml:space="preserve">taking </w:t>
      </w:r>
      <w:r w:rsidR="00863609">
        <w:t>a simple average).</w:t>
      </w:r>
      <w:r w:rsidR="0006653C">
        <w:rPr>
          <w:rStyle w:val="FootnoteReference"/>
        </w:rPr>
        <w:footnoteReference w:id="84"/>
      </w:r>
      <w:r w:rsidR="00863609">
        <w:t xml:space="preserve"> Table </w:t>
      </w:r>
      <w:r w:rsidR="006C5C89">
        <w:t>16</w:t>
      </w:r>
      <w:r w:rsidR="00863609">
        <w:t xml:space="preserve"> shows the equivalent regression results. </w:t>
      </w:r>
      <w:r w:rsidR="00B329EC">
        <w:t xml:space="preserve">The results are qualitatively similar, with the exception that </w:t>
      </w:r>
      <w:r w:rsidR="00B80656">
        <w:t xml:space="preserve">the negative difference between the predicted price </w:t>
      </w:r>
      <w:r w:rsidR="00DE7E3A">
        <w:t>changes</w:t>
      </w:r>
      <w:r w:rsidR="00B80656">
        <w:t xml:space="preserve"> </w:t>
      </w:r>
      <w:r w:rsidR="000429B3">
        <w:t xml:space="preserve">of telecoms vs. other industries </w:t>
      </w:r>
      <w:r w:rsidR="00860B09">
        <w:t xml:space="preserve">for calibrated models put forward by the Commission </w:t>
      </w:r>
      <w:r w:rsidR="000429B3">
        <w:t>becomes statistically significant.</w:t>
      </w:r>
    </w:p>
    <w:p w14:paraId="58C08BA8" w14:textId="1232C226" w:rsidR="00863609" w:rsidRDefault="00D72D63" w:rsidP="00EE15A7">
      <w:r w:rsidRPr="00D72D63">
        <w:rPr>
          <w:noProof/>
        </w:rPr>
        <w:t xml:space="preserve"> </w:t>
      </w:r>
      <w:r w:rsidRPr="00D72D63">
        <w:rPr>
          <w:noProof/>
        </w:rPr>
        <w:drawing>
          <wp:inline distT="0" distB="0" distL="0" distR="0" wp14:anchorId="681705F1" wp14:editId="19BF7D83">
            <wp:extent cx="5731510" cy="1713865"/>
            <wp:effectExtent l="0" t="0" r="2540" b="635"/>
            <wp:docPr id="138723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3165" name="Picture 1" descr="A screenshot of a computer&#10;&#10;AI-generated content may be incorrect."/>
                    <pic:cNvPicPr/>
                  </pic:nvPicPr>
                  <pic:blipFill>
                    <a:blip r:embed="rId26"/>
                    <a:stretch>
                      <a:fillRect/>
                    </a:stretch>
                  </pic:blipFill>
                  <pic:spPr>
                    <a:xfrm>
                      <a:off x="0" y="0"/>
                      <a:ext cx="5731510" cy="1713865"/>
                    </a:xfrm>
                    <a:prstGeom prst="rect">
                      <a:avLst/>
                    </a:prstGeom>
                  </pic:spPr>
                </pic:pic>
              </a:graphicData>
            </a:graphic>
          </wp:inline>
        </w:drawing>
      </w:r>
    </w:p>
    <w:p w14:paraId="206BE979" w14:textId="61EA0B75" w:rsidR="00B91455" w:rsidRDefault="007A5727" w:rsidP="009C3066">
      <w:pPr>
        <w:jc w:val="center"/>
      </w:pPr>
      <w:r w:rsidRPr="007A5727">
        <w:rPr>
          <w:noProof/>
        </w:rPr>
        <w:lastRenderedPageBreak/>
        <w:drawing>
          <wp:inline distT="0" distB="0" distL="0" distR="0" wp14:anchorId="7AF9BDF4" wp14:editId="5E5F26C0">
            <wp:extent cx="3968954" cy="3702240"/>
            <wp:effectExtent l="0" t="0" r="0" b="0"/>
            <wp:docPr id="474987451" name="Picture 1" descr="A table of statistic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87451" name="Picture 1" descr="A table of statistics with numbers&#10;&#10;AI-generated content may be incorrect."/>
                    <pic:cNvPicPr/>
                  </pic:nvPicPr>
                  <pic:blipFill>
                    <a:blip r:embed="rId27"/>
                    <a:stretch>
                      <a:fillRect/>
                    </a:stretch>
                  </pic:blipFill>
                  <pic:spPr>
                    <a:xfrm>
                      <a:off x="0" y="0"/>
                      <a:ext cx="3968954" cy="3702240"/>
                    </a:xfrm>
                    <a:prstGeom prst="rect">
                      <a:avLst/>
                    </a:prstGeom>
                  </pic:spPr>
                </pic:pic>
              </a:graphicData>
            </a:graphic>
          </wp:inline>
        </w:drawing>
      </w:r>
    </w:p>
    <w:p w14:paraId="0E768E80" w14:textId="78917ED2" w:rsidR="009F778E" w:rsidRDefault="009F778E" w:rsidP="009F778E">
      <w:r>
        <w:t xml:space="preserve">Table </w:t>
      </w:r>
      <w:r w:rsidR="007856AF">
        <w:t>1</w:t>
      </w:r>
      <w:r w:rsidR="00670E9A">
        <w:t>7</w:t>
      </w:r>
      <w:r>
        <w:t xml:space="preserve"> shows the estimated marginal effects of the main regression model, but instead</w:t>
      </w:r>
      <w:r w:rsidR="00AC1FA4">
        <w:t xml:space="preserve"> removes combined share and increment as regressors, in order to include the observations from the merging parties’ model in </w:t>
      </w:r>
      <w:r w:rsidR="00AC1FA4" w:rsidRPr="002215BF">
        <w:rPr>
          <w:i/>
        </w:rPr>
        <w:t>T-Mobile</w:t>
      </w:r>
      <w:r w:rsidR="004329BD" w:rsidRPr="002215BF">
        <w:rPr>
          <w:i/>
        </w:rPr>
        <w:t xml:space="preserve"> NL</w:t>
      </w:r>
      <w:r w:rsidR="00AC1FA4" w:rsidRPr="002215BF">
        <w:rPr>
          <w:i/>
        </w:rPr>
        <w:t>/Tele2</w:t>
      </w:r>
      <w:r w:rsidR="004329BD" w:rsidRPr="002215BF">
        <w:rPr>
          <w:i/>
        </w:rPr>
        <w:t xml:space="preserve"> NL</w:t>
      </w:r>
      <w:r w:rsidR="00AC1FA4">
        <w:t xml:space="preserve"> in the sample (as well as other observations without </w:t>
      </w:r>
      <w:r w:rsidR="004329BD">
        <w:t>combined share and increment)</w:t>
      </w:r>
      <w:r>
        <w:t xml:space="preserve">. Table </w:t>
      </w:r>
      <w:r w:rsidR="00BE20E4">
        <w:t>1</w:t>
      </w:r>
      <w:r w:rsidR="00670E9A">
        <w:t>8</w:t>
      </w:r>
      <w:r>
        <w:t xml:space="preserve"> shows the equivalent regression results. The results are qualitatively similar, with the exception that the negative difference between the predicted price </w:t>
      </w:r>
      <w:r w:rsidR="00DE7E3A">
        <w:t>changes</w:t>
      </w:r>
      <w:r>
        <w:t xml:space="preserve"> of telecoms vs. other industries for </w:t>
      </w:r>
      <w:r w:rsidR="00113DE5">
        <w:t>econometric</w:t>
      </w:r>
      <w:r>
        <w:t xml:space="preserve"> models put forward by the </w:t>
      </w:r>
      <w:r w:rsidR="00113DE5">
        <w:t>merging parties</w:t>
      </w:r>
      <w:r w:rsidR="00DB132C">
        <w:t xml:space="preserve"> </w:t>
      </w:r>
      <w:r w:rsidR="00351C7C">
        <w:t xml:space="preserve">and </w:t>
      </w:r>
      <w:r w:rsidR="00DB132C">
        <w:t xml:space="preserve">calibrated models put forward by the Commission </w:t>
      </w:r>
      <w:r>
        <w:t>become statistically significant.</w:t>
      </w:r>
    </w:p>
    <w:p w14:paraId="5A6215CF" w14:textId="7C7A52FC" w:rsidR="009F778E" w:rsidRDefault="00D72D63" w:rsidP="00EE15A7">
      <w:r w:rsidRPr="00D72D63">
        <w:rPr>
          <w:noProof/>
        </w:rPr>
        <w:t xml:space="preserve"> </w:t>
      </w:r>
      <w:r w:rsidRPr="00D72D63">
        <w:rPr>
          <w:noProof/>
        </w:rPr>
        <w:drawing>
          <wp:inline distT="0" distB="0" distL="0" distR="0" wp14:anchorId="2FE9315C" wp14:editId="31320672">
            <wp:extent cx="5731510" cy="1694815"/>
            <wp:effectExtent l="0" t="0" r="2540" b="635"/>
            <wp:docPr id="579798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98808" name="Picture 1" descr="A screenshot of a computer&#10;&#10;AI-generated content may be incorrect."/>
                    <pic:cNvPicPr/>
                  </pic:nvPicPr>
                  <pic:blipFill>
                    <a:blip r:embed="rId28"/>
                    <a:stretch>
                      <a:fillRect/>
                    </a:stretch>
                  </pic:blipFill>
                  <pic:spPr>
                    <a:xfrm>
                      <a:off x="0" y="0"/>
                      <a:ext cx="5731510" cy="1694815"/>
                    </a:xfrm>
                    <a:prstGeom prst="rect">
                      <a:avLst/>
                    </a:prstGeom>
                  </pic:spPr>
                </pic:pic>
              </a:graphicData>
            </a:graphic>
          </wp:inline>
        </w:drawing>
      </w:r>
    </w:p>
    <w:p w14:paraId="5AF698DD" w14:textId="5CB7DF9A" w:rsidR="004D3392" w:rsidRDefault="007A4F8E" w:rsidP="009C3066">
      <w:pPr>
        <w:jc w:val="center"/>
      </w:pPr>
      <w:r w:rsidRPr="007A4F8E">
        <w:rPr>
          <w:noProof/>
        </w:rPr>
        <w:lastRenderedPageBreak/>
        <w:drawing>
          <wp:inline distT="0" distB="0" distL="0" distR="0" wp14:anchorId="02F0143E" wp14:editId="3D50DC39">
            <wp:extent cx="4045158" cy="3695890"/>
            <wp:effectExtent l="0" t="0" r="0" b="0"/>
            <wp:docPr id="1903167086"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67086" name="Picture 1" descr="A table of numbers and symbols&#10;&#10;AI-generated content may be incorrect."/>
                    <pic:cNvPicPr/>
                  </pic:nvPicPr>
                  <pic:blipFill>
                    <a:blip r:embed="rId29"/>
                    <a:stretch>
                      <a:fillRect/>
                    </a:stretch>
                  </pic:blipFill>
                  <pic:spPr>
                    <a:xfrm>
                      <a:off x="0" y="0"/>
                      <a:ext cx="4045158" cy="3695890"/>
                    </a:xfrm>
                    <a:prstGeom prst="rect">
                      <a:avLst/>
                    </a:prstGeom>
                  </pic:spPr>
                </pic:pic>
              </a:graphicData>
            </a:graphic>
          </wp:inline>
        </w:drawing>
      </w:r>
    </w:p>
    <w:p w14:paraId="1B449FF4" w14:textId="54479984" w:rsidR="008354EC" w:rsidRDefault="00064F15" w:rsidP="00EE15A7">
      <w:r>
        <w:t xml:space="preserve">Table </w:t>
      </w:r>
      <w:r w:rsidR="007856AF">
        <w:t xml:space="preserve">19 </w:t>
      </w:r>
      <w:r>
        <w:t xml:space="preserve">shows the estimated marginal effects of the main regression model, </w:t>
      </w:r>
      <w:r w:rsidRPr="00286793">
        <w:t xml:space="preserve">but </w:t>
      </w:r>
      <w:r>
        <w:t xml:space="preserve">clusters the standard errors by case (rather than model). Table </w:t>
      </w:r>
      <w:r w:rsidR="007A4F8E">
        <w:t xml:space="preserve">20 </w:t>
      </w:r>
      <w:r>
        <w:t xml:space="preserve">shows the equivalent regression results. Now, the negative difference between econometric and calibrated models for models done by the Commission in telecoms is no longer statistically significant, </w:t>
      </w:r>
      <w:r w:rsidR="000D1C72">
        <w:t xml:space="preserve">and </w:t>
      </w:r>
      <w:r w:rsidR="00A72809">
        <w:t xml:space="preserve">the difference between econometric and calibrated models for models done by the </w:t>
      </w:r>
      <w:r w:rsidR="00112BA9">
        <w:t xml:space="preserve">merging parties </w:t>
      </w:r>
      <w:r w:rsidR="00A72809">
        <w:t xml:space="preserve">in </w:t>
      </w:r>
      <w:r w:rsidR="00112BA9">
        <w:t xml:space="preserve">other industries </w:t>
      </w:r>
      <w:r w:rsidR="00A72809">
        <w:t>is no longer statistically significant</w:t>
      </w:r>
      <w:r>
        <w:t>.</w:t>
      </w:r>
    </w:p>
    <w:p w14:paraId="796D90E2" w14:textId="21E7DBA4" w:rsidR="00313515" w:rsidRDefault="00D72D63" w:rsidP="00EE15A7">
      <w:r w:rsidRPr="00D72D63">
        <w:rPr>
          <w:noProof/>
        </w:rPr>
        <w:t xml:space="preserve"> </w:t>
      </w:r>
      <w:r w:rsidRPr="00D72D63">
        <w:rPr>
          <w:noProof/>
        </w:rPr>
        <w:drawing>
          <wp:inline distT="0" distB="0" distL="0" distR="0" wp14:anchorId="1AE18847" wp14:editId="192CC30D">
            <wp:extent cx="5731510" cy="1685925"/>
            <wp:effectExtent l="0" t="0" r="2540" b="9525"/>
            <wp:docPr id="159729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9371" name="Picture 1" descr="A screenshot of a computer&#10;&#10;AI-generated content may be incorrect."/>
                    <pic:cNvPicPr/>
                  </pic:nvPicPr>
                  <pic:blipFill>
                    <a:blip r:embed="rId30"/>
                    <a:stretch>
                      <a:fillRect/>
                    </a:stretch>
                  </pic:blipFill>
                  <pic:spPr>
                    <a:xfrm>
                      <a:off x="0" y="0"/>
                      <a:ext cx="5731510" cy="1685925"/>
                    </a:xfrm>
                    <a:prstGeom prst="rect">
                      <a:avLst/>
                    </a:prstGeom>
                  </pic:spPr>
                </pic:pic>
              </a:graphicData>
            </a:graphic>
          </wp:inline>
        </w:drawing>
      </w:r>
    </w:p>
    <w:p w14:paraId="4A40E614" w14:textId="25CA0766" w:rsidR="00313515" w:rsidRDefault="007A4F8E" w:rsidP="009C3066">
      <w:pPr>
        <w:jc w:val="center"/>
      </w:pPr>
      <w:r w:rsidRPr="007A4F8E">
        <w:rPr>
          <w:noProof/>
        </w:rPr>
        <w:lastRenderedPageBreak/>
        <w:drawing>
          <wp:inline distT="0" distB="0" distL="0" distR="0" wp14:anchorId="281AFB20" wp14:editId="197300E7">
            <wp:extent cx="4064209" cy="3695890"/>
            <wp:effectExtent l="0" t="0" r="0" b="0"/>
            <wp:docPr id="400050196" name="Picture 1" descr="A table of statistic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0196" name="Picture 1" descr="A table of statistics with numbers&#10;&#10;AI-generated content may be incorrect."/>
                    <pic:cNvPicPr/>
                  </pic:nvPicPr>
                  <pic:blipFill>
                    <a:blip r:embed="rId31"/>
                    <a:stretch>
                      <a:fillRect/>
                    </a:stretch>
                  </pic:blipFill>
                  <pic:spPr>
                    <a:xfrm>
                      <a:off x="0" y="0"/>
                      <a:ext cx="4064209" cy="3695890"/>
                    </a:xfrm>
                    <a:prstGeom prst="rect">
                      <a:avLst/>
                    </a:prstGeom>
                  </pic:spPr>
                </pic:pic>
              </a:graphicData>
            </a:graphic>
          </wp:inline>
        </w:drawing>
      </w:r>
    </w:p>
    <w:p w14:paraId="00DFBC3C" w14:textId="7D75E4ED" w:rsidR="000D1C72" w:rsidRDefault="001E4D97" w:rsidP="00EE15A7">
      <w:r>
        <w:t xml:space="preserve">Table </w:t>
      </w:r>
      <w:r w:rsidR="007856AF">
        <w:t>21</w:t>
      </w:r>
      <w:r>
        <w:t xml:space="preserve"> shows the estimated marginal effects of the main regression model, </w:t>
      </w:r>
      <w:r w:rsidRPr="00286793">
        <w:t>but</w:t>
      </w:r>
      <w:r>
        <w:t xml:space="preserve"> adjusts some price increase predictions </w:t>
      </w:r>
      <w:r w:rsidR="005F108C">
        <w:t>to be ‘quality adjusted prices increases’</w:t>
      </w:r>
      <w:r>
        <w:t>.</w:t>
      </w:r>
      <w:r w:rsidR="005F108C">
        <w:t xml:space="preserve"> In three models, the merger simulation</w:t>
      </w:r>
      <w:r w:rsidR="00DE477A">
        <w:t xml:space="preserve"> predicted increases in price due to the merger, but </w:t>
      </w:r>
      <w:r w:rsidR="00317DF8">
        <w:t>also predicted that consumer surplus would also increase</w:t>
      </w:r>
      <w:r w:rsidR="00885E94">
        <w:t xml:space="preserve"> due to an increase in quality.</w:t>
      </w:r>
      <w:r w:rsidR="00885E94">
        <w:rPr>
          <w:rStyle w:val="FootnoteReference"/>
        </w:rPr>
        <w:footnoteReference w:id="85"/>
      </w:r>
      <w:r>
        <w:t xml:space="preserve"> Table </w:t>
      </w:r>
      <w:r w:rsidR="007A4F8E">
        <w:t xml:space="preserve">22 </w:t>
      </w:r>
      <w:r>
        <w:t xml:space="preserve">shows the equivalent regression results. </w:t>
      </w:r>
      <w:r w:rsidR="00CE5928">
        <w:t xml:space="preserve">The results are </w:t>
      </w:r>
      <w:r w:rsidR="004B60A0">
        <w:t>qualitatively</w:t>
      </w:r>
      <w:r w:rsidR="00CE5928">
        <w:t xml:space="preserve"> the same, other than the difference between </w:t>
      </w:r>
      <w:r w:rsidR="00024D92">
        <w:t xml:space="preserve">the Commission and the merging </w:t>
      </w:r>
      <w:r w:rsidR="004B60A0">
        <w:t>parties</w:t>
      </w:r>
      <w:r w:rsidR="00024D92">
        <w:t xml:space="preserve"> for econometric models in telecoms is no longer </w:t>
      </w:r>
      <w:r w:rsidR="004B60A0">
        <w:t>statistically</w:t>
      </w:r>
      <w:r w:rsidR="00024D92">
        <w:t xml:space="preserve"> significant in the baseline scenario, and the difference between </w:t>
      </w:r>
      <w:r w:rsidR="00CE5928">
        <w:t xml:space="preserve">telecoms and other industries for calibrated models done by the </w:t>
      </w:r>
      <w:r w:rsidR="007856AF">
        <w:t>Commission</w:t>
      </w:r>
      <w:r w:rsidR="00CE5928">
        <w:t xml:space="preserve"> </w:t>
      </w:r>
      <w:r w:rsidR="004B60A0">
        <w:t>is now stati</w:t>
      </w:r>
      <w:r w:rsidR="00D123F7">
        <w:t>sti</w:t>
      </w:r>
      <w:r w:rsidR="004B60A0">
        <w:t>cally significant</w:t>
      </w:r>
      <w:r>
        <w:t>.</w:t>
      </w:r>
    </w:p>
    <w:p w14:paraId="28D46A3C" w14:textId="36D9C6D2" w:rsidR="00486D30" w:rsidRDefault="00D72D63" w:rsidP="00EE15A7">
      <w:r w:rsidRPr="00D72D63">
        <w:rPr>
          <w:noProof/>
        </w:rPr>
        <w:t xml:space="preserve"> </w:t>
      </w:r>
      <w:r w:rsidRPr="00D72D63">
        <w:rPr>
          <w:noProof/>
        </w:rPr>
        <w:drawing>
          <wp:inline distT="0" distB="0" distL="0" distR="0" wp14:anchorId="6FA84B20" wp14:editId="56C41817">
            <wp:extent cx="5731510" cy="1708785"/>
            <wp:effectExtent l="0" t="0" r="2540" b="5715"/>
            <wp:docPr id="21772777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27776" name="Picture 1" descr="A screenshot of a computer screen&#10;&#10;AI-generated content may be incorrect."/>
                    <pic:cNvPicPr/>
                  </pic:nvPicPr>
                  <pic:blipFill>
                    <a:blip r:embed="rId32"/>
                    <a:stretch>
                      <a:fillRect/>
                    </a:stretch>
                  </pic:blipFill>
                  <pic:spPr>
                    <a:xfrm>
                      <a:off x="0" y="0"/>
                      <a:ext cx="5731510" cy="1708785"/>
                    </a:xfrm>
                    <a:prstGeom prst="rect">
                      <a:avLst/>
                    </a:prstGeom>
                  </pic:spPr>
                </pic:pic>
              </a:graphicData>
            </a:graphic>
          </wp:inline>
        </w:drawing>
      </w:r>
    </w:p>
    <w:p w14:paraId="12E7B266" w14:textId="33B554B0" w:rsidR="00CD1F16" w:rsidRDefault="00AC1846" w:rsidP="009C3066">
      <w:pPr>
        <w:jc w:val="center"/>
      </w:pPr>
      <w:r w:rsidRPr="00AC1846">
        <w:rPr>
          <w:noProof/>
        </w:rPr>
        <w:lastRenderedPageBreak/>
        <w:drawing>
          <wp:inline distT="0" distB="0" distL="0" distR="0" wp14:anchorId="3C2581EE" wp14:editId="0830E104">
            <wp:extent cx="4026107" cy="3695890"/>
            <wp:effectExtent l="0" t="0" r="0" b="0"/>
            <wp:docPr id="368113911"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13911" name="Picture 1" descr="A table of numbers and symbols&#10;&#10;AI-generated content may be incorrect."/>
                    <pic:cNvPicPr/>
                  </pic:nvPicPr>
                  <pic:blipFill>
                    <a:blip r:embed="rId33"/>
                    <a:stretch>
                      <a:fillRect/>
                    </a:stretch>
                  </pic:blipFill>
                  <pic:spPr>
                    <a:xfrm>
                      <a:off x="0" y="0"/>
                      <a:ext cx="4026107" cy="3695890"/>
                    </a:xfrm>
                    <a:prstGeom prst="rect">
                      <a:avLst/>
                    </a:prstGeom>
                  </pic:spPr>
                </pic:pic>
              </a:graphicData>
            </a:graphic>
          </wp:inline>
        </w:drawing>
      </w:r>
    </w:p>
    <w:p w14:paraId="491BE9EE" w14:textId="536EE2F0" w:rsidR="00A544FF" w:rsidRDefault="006F247B" w:rsidP="002215BF">
      <w:r>
        <w:t xml:space="preserve">Table </w:t>
      </w:r>
      <w:r w:rsidR="00BE20E4">
        <w:t xml:space="preserve">23 </w:t>
      </w:r>
      <w:r>
        <w:t xml:space="preserve">shows the estimated marginal effects of the main regression model, </w:t>
      </w:r>
      <w:r w:rsidRPr="00286793">
        <w:t>but</w:t>
      </w:r>
      <w:r>
        <w:t xml:space="preserve"> does not combine price increase predictions for </w:t>
      </w:r>
      <w:r w:rsidR="0028423F">
        <w:t xml:space="preserve">the </w:t>
      </w:r>
      <w:r>
        <w:t xml:space="preserve">individual merging </w:t>
      </w:r>
      <w:r w:rsidR="0028423F">
        <w:t xml:space="preserve">parties </w:t>
      </w:r>
      <w:r>
        <w:t>(</w:t>
      </w:r>
      <w:r w:rsidR="00EE2FE4">
        <w:t>for those models where the information is presented as such in the decisions)</w:t>
      </w:r>
      <w:r w:rsidR="00042499">
        <w:t xml:space="preserve"> into a single price increase prediction for the merged entity.</w:t>
      </w:r>
      <w:r>
        <w:t xml:space="preserve"> Table </w:t>
      </w:r>
      <w:r w:rsidR="00AC1846">
        <w:t xml:space="preserve">24 </w:t>
      </w:r>
      <w:r>
        <w:t xml:space="preserve">shows the equivalent regression results. The results are qualitatively the same, other than the </w:t>
      </w:r>
      <w:r w:rsidR="00427134">
        <w:t xml:space="preserve">negative </w:t>
      </w:r>
      <w:r>
        <w:t xml:space="preserve">difference between the </w:t>
      </w:r>
      <w:r w:rsidR="00427134">
        <w:t xml:space="preserve">econometric and calibrated models done by the </w:t>
      </w:r>
      <w:r>
        <w:t xml:space="preserve">Commission </w:t>
      </w:r>
      <w:r w:rsidR="00427134">
        <w:t>in telecoms is no longer significant in the baseline scenario</w:t>
      </w:r>
      <w:r w:rsidR="00D123F7">
        <w:t xml:space="preserve">, and the negative difference between the telecoms and other industries for calibrated models done by the Commission is now </w:t>
      </w:r>
      <w:r>
        <w:t>stati</w:t>
      </w:r>
      <w:r w:rsidR="00D123F7">
        <w:t>sti</w:t>
      </w:r>
      <w:r>
        <w:t>cally significant.</w:t>
      </w:r>
    </w:p>
    <w:p w14:paraId="7BDC6110" w14:textId="6D9756BF" w:rsidR="00042499" w:rsidRDefault="00D72D63" w:rsidP="002215BF">
      <w:r w:rsidRPr="00D72D63">
        <w:rPr>
          <w:noProof/>
        </w:rPr>
        <w:t xml:space="preserve"> </w:t>
      </w:r>
      <w:r w:rsidRPr="00D72D63">
        <w:rPr>
          <w:noProof/>
        </w:rPr>
        <w:drawing>
          <wp:inline distT="0" distB="0" distL="0" distR="0" wp14:anchorId="7DCDE6DF" wp14:editId="3024A647">
            <wp:extent cx="5731510" cy="1663065"/>
            <wp:effectExtent l="0" t="0" r="2540" b="0"/>
            <wp:docPr id="1595825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2528" name="Picture 1" descr="A screenshot of a computer&#10;&#10;AI-generated content may be incorrect."/>
                    <pic:cNvPicPr/>
                  </pic:nvPicPr>
                  <pic:blipFill>
                    <a:blip r:embed="rId34"/>
                    <a:stretch>
                      <a:fillRect/>
                    </a:stretch>
                  </pic:blipFill>
                  <pic:spPr>
                    <a:xfrm>
                      <a:off x="0" y="0"/>
                      <a:ext cx="5731510" cy="1663065"/>
                    </a:xfrm>
                    <a:prstGeom prst="rect">
                      <a:avLst/>
                    </a:prstGeom>
                  </pic:spPr>
                </pic:pic>
              </a:graphicData>
            </a:graphic>
          </wp:inline>
        </w:drawing>
      </w:r>
    </w:p>
    <w:p w14:paraId="393560E2" w14:textId="74AF7A94" w:rsidR="00384388" w:rsidRDefault="00F53274" w:rsidP="009C3066">
      <w:pPr>
        <w:jc w:val="center"/>
      </w:pPr>
      <w:r w:rsidRPr="00F53274">
        <w:rPr>
          <w:noProof/>
        </w:rPr>
        <w:lastRenderedPageBreak/>
        <w:drawing>
          <wp:inline distT="0" distB="0" distL="0" distR="0" wp14:anchorId="5F00F37E" wp14:editId="7E8FDD98">
            <wp:extent cx="3657788" cy="3613336"/>
            <wp:effectExtent l="0" t="0" r="0" b="6350"/>
            <wp:docPr id="129172456"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456" name="Picture 1" descr="A table with numbers and symbols&#10;&#10;AI-generated content may be incorrect."/>
                    <pic:cNvPicPr/>
                  </pic:nvPicPr>
                  <pic:blipFill>
                    <a:blip r:embed="rId35"/>
                    <a:stretch>
                      <a:fillRect/>
                    </a:stretch>
                  </pic:blipFill>
                  <pic:spPr>
                    <a:xfrm>
                      <a:off x="0" y="0"/>
                      <a:ext cx="3657788" cy="3613336"/>
                    </a:xfrm>
                    <a:prstGeom prst="rect">
                      <a:avLst/>
                    </a:prstGeom>
                  </pic:spPr>
                </pic:pic>
              </a:graphicData>
            </a:graphic>
          </wp:inline>
        </w:drawing>
      </w:r>
    </w:p>
    <w:p w14:paraId="7EF351B8" w14:textId="60829229" w:rsidR="00487DE7" w:rsidRDefault="00A91DEF" w:rsidP="00487DE7">
      <w:pPr>
        <w:pStyle w:val="Heading2"/>
      </w:pPr>
      <w:r>
        <w:t xml:space="preserve">Predicted price </w:t>
      </w:r>
      <w:r w:rsidR="00DE7E3A">
        <w:t>change</w:t>
      </w:r>
      <w:r>
        <w:t xml:space="preserve">s, by Chief Economist – </w:t>
      </w:r>
      <w:r w:rsidR="00794D66">
        <w:t>including sensitivity estimates</w:t>
      </w:r>
    </w:p>
    <w:p w14:paraId="579301FE" w14:textId="30C681DC" w:rsidR="00487DE7" w:rsidRPr="00F34863" w:rsidRDefault="00487DE7" w:rsidP="00487DE7">
      <w:pPr>
        <w:pStyle w:val="Caption"/>
        <w:keepNext/>
        <w:jc w:val="center"/>
        <w:rPr>
          <w:i w:val="0"/>
          <w:iCs w:val="0"/>
          <w:sz w:val="20"/>
          <w:szCs w:val="20"/>
        </w:rPr>
      </w:pPr>
      <w:r w:rsidRPr="008A707F">
        <w:rPr>
          <w:i w:val="0"/>
          <w:iCs w:val="0"/>
          <w:sz w:val="20"/>
          <w:szCs w:val="20"/>
        </w:rPr>
        <w:t xml:space="preserve">Figure </w:t>
      </w:r>
      <w:r>
        <w:rPr>
          <w:i w:val="0"/>
          <w:iCs w:val="0"/>
          <w:sz w:val="20"/>
          <w:szCs w:val="20"/>
        </w:rPr>
        <w:t>5</w:t>
      </w:r>
      <w:r w:rsidRPr="008A707F">
        <w:rPr>
          <w:i w:val="0"/>
          <w:iCs w:val="0"/>
          <w:sz w:val="20"/>
          <w:szCs w:val="20"/>
        </w:rPr>
        <w:t xml:space="preserve"> </w:t>
      </w:r>
      <w:r>
        <w:rPr>
          <w:i w:val="0"/>
          <w:iCs w:val="0"/>
          <w:sz w:val="20"/>
          <w:szCs w:val="20"/>
        </w:rPr>
        <w:t>–</w:t>
      </w:r>
      <w:r w:rsidRPr="008A707F">
        <w:rPr>
          <w:i w:val="0"/>
          <w:iCs w:val="0"/>
          <w:sz w:val="20"/>
          <w:szCs w:val="20"/>
        </w:rPr>
        <w:t xml:space="preserve"> </w:t>
      </w:r>
      <w:r>
        <w:rPr>
          <w:i w:val="0"/>
          <w:iCs w:val="0"/>
          <w:sz w:val="20"/>
          <w:szCs w:val="20"/>
        </w:rPr>
        <w:t xml:space="preserve">Average </w:t>
      </w:r>
      <w:r w:rsidR="00794D66">
        <w:rPr>
          <w:i w:val="0"/>
          <w:iCs w:val="0"/>
          <w:sz w:val="20"/>
          <w:szCs w:val="20"/>
        </w:rPr>
        <w:t xml:space="preserve">merged entity </w:t>
      </w:r>
      <w:r>
        <w:rPr>
          <w:i w:val="0"/>
          <w:iCs w:val="0"/>
          <w:sz w:val="20"/>
          <w:szCs w:val="20"/>
        </w:rPr>
        <w:t xml:space="preserve">predicted price </w:t>
      </w:r>
      <w:r w:rsidR="00DE7E3A">
        <w:rPr>
          <w:i w:val="0"/>
          <w:iCs w:val="0"/>
          <w:sz w:val="20"/>
          <w:szCs w:val="20"/>
        </w:rPr>
        <w:t>change</w:t>
      </w:r>
      <w:r w:rsidR="007A28F1">
        <w:rPr>
          <w:i w:val="0"/>
          <w:iCs w:val="0"/>
          <w:sz w:val="20"/>
          <w:szCs w:val="20"/>
        </w:rPr>
        <w:t xml:space="preserve"> (including sensitivity estimates)</w:t>
      </w:r>
      <w:r>
        <w:rPr>
          <w:i w:val="0"/>
          <w:iCs w:val="0"/>
          <w:sz w:val="20"/>
          <w:szCs w:val="20"/>
        </w:rPr>
        <w:t xml:space="preserve">, by Chief Economist </w:t>
      </w:r>
    </w:p>
    <w:p w14:paraId="001F78B9" w14:textId="789C7EDB" w:rsidR="00794D66" w:rsidRDefault="00444889" w:rsidP="006907F1">
      <w:pPr>
        <w:pStyle w:val="NormalWeb"/>
        <w:spacing w:after="0" w:afterAutospacing="0"/>
      </w:pPr>
      <w:r w:rsidRPr="00444889">
        <w:rPr>
          <w:noProof/>
        </w:rPr>
        <w:drawing>
          <wp:inline distT="0" distB="0" distL="0" distR="0" wp14:anchorId="26BB7DEA" wp14:editId="24E8A4D9">
            <wp:extent cx="5731510" cy="3425190"/>
            <wp:effectExtent l="0" t="0" r="2540" b="3810"/>
            <wp:docPr id="1827545367"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45367" name="Picture 1" descr="A graph of different colored bars&#10;&#10;AI-generated content may be incorrect."/>
                    <pic:cNvPicPr/>
                  </pic:nvPicPr>
                  <pic:blipFill>
                    <a:blip r:embed="rId36"/>
                    <a:stretch>
                      <a:fillRect/>
                    </a:stretch>
                  </pic:blipFill>
                  <pic:spPr>
                    <a:xfrm>
                      <a:off x="0" y="0"/>
                      <a:ext cx="5731510" cy="3425190"/>
                    </a:xfrm>
                    <a:prstGeom prst="rect">
                      <a:avLst/>
                    </a:prstGeom>
                  </pic:spPr>
                </pic:pic>
              </a:graphicData>
            </a:graphic>
          </wp:inline>
        </w:drawing>
      </w:r>
    </w:p>
    <w:p w14:paraId="3FCEE350" w14:textId="33C5AC32" w:rsidR="00487DE7" w:rsidRPr="006907F1" w:rsidRDefault="0061561B" w:rsidP="006907F1">
      <w:pPr>
        <w:jc w:val="left"/>
        <w:rPr>
          <w:i/>
          <w:iCs/>
        </w:rPr>
      </w:pPr>
      <w:r>
        <w:rPr>
          <w:i/>
          <w:iCs/>
        </w:rPr>
        <w:t>S</w:t>
      </w:r>
      <w:r w:rsidR="00B226B4">
        <w:rPr>
          <w:i/>
          <w:iCs/>
        </w:rPr>
        <w:t xml:space="preserve">ee figure notes under Figure </w:t>
      </w:r>
      <w:r>
        <w:rPr>
          <w:i/>
          <w:iCs/>
        </w:rPr>
        <w:t>3.</w:t>
      </w:r>
    </w:p>
    <w:sectPr w:rsidR="00487DE7" w:rsidRPr="006907F1">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2DE46" w14:textId="77777777" w:rsidR="001E3798" w:rsidRDefault="001E3798" w:rsidP="0052466E">
      <w:pPr>
        <w:spacing w:after="0" w:line="240" w:lineRule="auto"/>
      </w:pPr>
      <w:r>
        <w:separator/>
      </w:r>
    </w:p>
  </w:endnote>
  <w:endnote w:type="continuationSeparator" w:id="0">
    <w:p w14:paraId="2092776A" w14:textId="77777777" w:rsidR="001E3798" w:rsidRDefault="001E3798" w:rsidP="0052466E">
      <w:pPr>
        <w:spacing w:after="0" w:line="240" w:lineRule="auto"/>
      </w:pPr>
      <w:r>
        <w:continuationSeparator/>
      </w:r>
    </w:p>
  </w:endnote>
  <w:endnote w:type="continuationNotice" w:id="1">
    <w:p w14:paraId="33AC4144" w14:textId="77777777" w:rsidR="001E3798" w:rsidRDefault="001E37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ystem">
    <w:panose1 w:val="000000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089641"/>
      <w:docPartObj>
        <w:docPartGallery w:val="Page Numbers (Bottom of Page)"/>
        <w:docPartUnique/>
      </w:docPartObj>
    </w:sdtPr>
    <w:sdtEndPr>
      <w:rPr>
        <w:noProof/>
      </w:rPr>
    </w:sdtEndPr>
    <w:sdtContent>
      <w:p w14:paraId="0DD81947" w14:textId="5CD496A8" w:rsidR="00A445BC" w:rsidRDefault="00A445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5CC0B0" w14:textId="77777777" w:rsidR="0054488E" w:rsidRDefault="00544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29E04" w14:textId="77777777" w:rsidR="001E3798" w:rsidRDefault="001E3798" w:rsidP="0052466E">
      <w:pPr>
        <w:spacing w:after="0" w:line="240" w:lineRule="auto"/>
      </w:pPr>
      <w:r>
        <w:separator/>
      </w:r>
    </w:p>
  </w:footnote>
  <w:footnote w:type="continuationSeparator" w:id="0">
    <w:p w14:paraId="47B21CFE" w14:textId="77777777" w:rsidR="001E3798" w:rsidRDefault="001E3798" w:rsidP="0052466E">
      <w:pPr>
        <w:spacing w:after="0" w:line="240" w:lineRule="auto"/>
      </w:pPr>
      <w:r>
        <w:continuationSeparator/>
      </w:r>
    </w:p>
  </w:footnote>
  <w:footnote w:type="continuationNotice" w:id="1">
    <w:p w14:paraId="36D35F19" w14:textId="77777777" w:rsidR="001E3798" w:rsidRDefault="001E3798">
      <w:pPr>
        <w:spacing w:after="0" w:line="240" w:lineRule="auto"/>
      </w:pPr>
    </w:p>
  </w:footnote>
  <w:footnote w:id="2">
    <w:p w14:paraId="7BC31CE5" w14:textId="62880AB0" w:rsidR="003A60B0" w:rsidRPr="00CF72ED" w:rsidRDefault="003A60B0" w:rsidP="003A60B0">
      <w:pPr>
        <w:pStyle w:val="FootnoteText"/>
        <w:rPr>
          <w:lang w:val="hu-HU"/>
        </w:rPr>
      </w:pPr>
      <w:r>
        <w:rPr>
          <w:rStyle w:val="FootnoteReference"/>
        </w:rPr>
        <w:footnoteRef/>
      </w:r>
      <w:r w:rsidRPr="00D71275">
        <w:tab/>
      </w:r>
      <w:r w:rsidR="00EE1721" w:rsidRPr="00D71275">
        <w:t>See</w:t>
      </w:r>
      <w:r w:rsidR="00FF4F56" w:rsidRPr="00D71275">
        <w:t>,</w:t>
      </w:r>
      <w:r w:rsidR="00EE1721" w:rsidRPr="00D71275">
        <w:t xml:space="preserve"> for example, </w:t>
      </w:r>
      <w:r w:rsidRPr="00D71275">
        <w:t>Budzinski et al</w:t>
      </w:r>
      <w:r w:rsidR="008A2114" w:rsidRPr="00737BD5">
        <w:t>.</w:t>
      </w:r>
      <w:r w:rsidRPr="00D71275">
        <w:t xml:space="preserve"> (2022), </w:t>
      </w:r>
      <w:proofErr w:type="spellStart"/>
      <w:r w:rsidR="00424BF4" w:rsidRPr="00D71275">
        <w:t>Valletti</w:t>
      </w:r>
      <w:proofErr w:type="spellEnd"/>
      <w:r w:rsidR="00424BF4" w:rsidRPr="00D71275">
        <w:t xml:space="preserve"> et al. (2021), </w:t>
      </w:r>
      <w:r w:rsidR="00A03670" w:rsidRPr="00D71275">
        <w:t xml:space="preserve">Buettner et al. </w:t>
      </w:r>
      <w:r w:rsidR="00A03670" w:rsidRPr="005A0F28">
        <w:t>(2016)</w:t>
      </w:r>
      <w:r w:rsidR="00DF3786" w:rsidRPr="005A0F28">
        <w:t xml:space="preserve"> and</w:t>
      </w:r>
      <w:r w:rsidR="00A03670" w:rsidRPr="005A0F28">
        <w:t xml:space="preserve"> </w:t>
      </w:r>
      <w:proofErr w:type="spellStart"/>
      <w:r w:rsidR="00CF72ED" w:rsidRPr="005A0F28">
        <w:t>Mariuzzo</w:t>
      </w:r>
      <w:proofErr w:type="spellEnd"/>
      <w:r w:rsidR="00CF72ED" w:rsidRPr="005A0F28">
        <w:t xml:space="preserve"> et al. </w:t>
      </w:r>
      <w:r w:rsidR="00CF72ED" w:rsidRPr="002248ED">
        <w:t>(2019)</w:t>
      </w:r>
      <w:r w:rsidR="00372109">
        <w:t>.</w:t>
      </w:r>
    </w:p>
  </w:footnote>
  <w:footnote w:id="3">
    <w:p w14:paraId="214BF96F" w14:textId="67206A1F" w:rsidR="007A55F4" w:rsidRDefault="007A55F4" w:rsidP="004558F8">
      <w:pPr>
        <w:pStyle w:val="FootnoteText"/>
      </w:pPr>
      <w:r>
        <w:rPr>
          <w:rStyle w:val="FootnoteReference"/>
        </w:rPr>
        <w:footnoteRef/>
      </w:r>
      <w:r>
        <w:tab/>
      </w:r>
      <w:r w:rsidR="004558F8">
        <w:t>Draft Communication from the Commission, Guidelines on the assessment of mergers under Council Regulation (EC) No 139/2004 on the control of concentrations between undertakings.</w:t>
      </w:r>
    </w:p>
  </w:footnote>
  <w:footnote w:id="4">
    <w:p w14:paraId="1456F36E" w14:textId="6B5E180A" w:rsidR="001E078B" w:rsidRDefault="001E078B" w:rsidP="001E078B">
      <w:pPr>
        <w:pStyle w:val="FootnoteText"/>
      </w:pPr>
      <w:r>
        <w:rPr>
          <w:rStyle w:val="FootnoteReference"/>
        </w:rPr>
        <w:footnoteRef/>
      </w:r>
      <w:r>
        <w:tab/>
        <w:t xml:space="preserve">Although one might be able to infer the </w:t>
      </w:r>
      <w:r w:rsidR="00E8332F" w:rsidRPr="00E8332F">
        <w:t xml:space="preserve">direction of those effects and </w:t>
      </w:r>
      <w:r w:rsidR="00E8332F">
        <w:t xml:space="preserve">consequently whether </w:t>
      </w:r>
      <w:r w:rsidR="00E8332F" w:rsidRPr="00E8332F">
        <w:t>the result is an upper</w:t>
      </w:r>
      <w:r w:rsidR="00A16BF5">
        <w:t>/lower</w:t>
      </w:r>
      <w:r w:rsidR="00E8332F" w:rsidRPr="00E8332F">
        <w:t xml:space="preserve"> bound effect</w:t>
      </w:r>
      <w:r w:rsidR="00A16BF5">
        <w:t>, etc.</w:t>
      </w:r>
    </w:p>
  </w:footnote>
  <w:footnote w:id="5">
    <w:p w14:paraId="65419B87" w14:textId="77777777" w:rsidR="001A48FC" w:rsidRPr="003E5357" w:rsidRDefault="001A48FC" w:rsidP="001A48FC">
      <w:pPr>
        <w:pStyle w:val="FootnoteText"/>
      </w:pPr>
      <w:r>
        <w:rPr>
          <w:rStyle w:val="FootnoteReference"/>
        </w:rPr>
        <w:footnoteRef/>
      </w:r>
      <w:r w:rsidRPr="003E5357">
        <w:tab/>
        <w:t>See</w:t>
      </w:r>
      <w:r>
        <w:t>,</w:t>
      </w:r>
      <w:r w:rsidRPr="003E5357">
        <w:t xml:space="preserve"> for example</w:t>
      </w:r>
      <w:r>
        <w:t>,</w:t>
      </w:r>
      <w:r w:rsidRPr="003E5357">
        <w:t xml:space="preserve"> </w:t>
      </w:r>
      <w:r w:rsidRPr="00582BCF">
        <w:rPr>
          <w:i/>
        </w:rPr>
        <w:t>Unilever</w:t>
      </w:r>
      <w:r w:rsidRPr="002E6B1D">
        <w:rPr>
          <w:iCs/>
        </w:rPr>
        <w:t>/Sara Lee</w:t>
      </w:r>
      <w:r>
        <w:t>, where the demand model ultimately used for the merger simulation was first used to determine whether ‘male’ and ‘non-male’ deodorants belonged to the same product market or not. See paras. 92-94 of the Decision.</w:t>
      </w:r>
    </w:p>
  </w:footnote>
  <w:footnote w:id="6">
    <w:p w14:paraId="7347FF68" w14:textId="77777777" w:rsidR="005B21F1" w:rsidRDefault="005B21F1" w:rsidP="005B21F1">
      <w:pPr>
        <w:pStyle w:val="FootnoteText"/>
      </w:pPr>
      <w:r>
        <w:rPr>
          <w:rStyle w:val="FootnoteReference"/>
        </w:rPr>
        <w:footnoteRef/>
      </w:r>
      <w:r>
        <w:tab/>
        <w:t>The Commission noted that the specific assumption of linear demand “</w:t>
      </w:r>
      <w:r w:rsidRPr="002E1706">
        <w:rPr>
          <w:i/>
          <w:iCs/>
        </w:rPr>
        <w:t>is conservative as other forms of demand, such as log-linear demand, would imply a higher predicted price increase</w:t>
      </w:r>
      <w:r>
        <w:t xml:space="preserve">.” See, for example, Commission Decision in </w:t>
      </w:r>
      <w:r w:rsidRPr="00260E5D">
        <w:rPr>
          <w:i/>
        </w:rPr>
        <w:t>Hutchison 3G Italy/Wind JV</w:t>
      </w:r>
      <w:r w:rsidRPr="00A70381">
        <w:t>, supra note 23, Annex A at para. 10</w:t>
      </w:r>
      <w:r>
        <w:t>.</w:t>
      </w:r>
    </w:p>
  </w:footnote>
  <w:footnote w:id="7">
    <w:p w14:paraId="48DD0EAA" w14:textId="64DC0E2F" w:rsidR="000D4C75" w:rsidRDefault="000D4C75" w:rsidP="000D4C75">
      <w:pPr>
        <w:pStyle w:val="FootnoteText"/>
      </w:pPr>
      <w:r>
        <w:rPr>
          <w:rStyle w:val="FootnoteReference"/>
        </w:rPr>
        <w:footnoteRef/>
      </w:r>
      <w:r>
        <w:tab/>
      </w:r>
      <w:r w:rsidR="00981AB3">
        <w:t>T</w:t>
      </w:r>
      <w:r w:rsidRPr="000D4C75">
        <w:t xml:space="preserve">he term ‘merger simulation’ features in the Commission decision in </w:t>
      </w:r>
      <w:r w:rsidRPr="005D03F1">
        <w:rPr>
          <w:i/>
          <w:iCs/>
        </w:rPr>
        <w:t>Thales/Finmeccanica/Alcatel Alenia Space</w:t>
      </w:r>
      <w:r w:rsidR="00527CF3" w:rsidRPr="005D03F1">
        <w:rPr>
          <w:i/>
          <w:iCs/>
        </w:rPr>
        <w:t>/</w:t>
      </w:r>
      <w:r w:rsidRPr="005D03F1">
        <w:rPr>
          <w:i/>
          <w:iCs/>
        </w:rPr>
        <w:t>Telespazio</w:t>
      </w:r>
      <w:r w:rsidRPr="000D4C75">
        <w:t>, in regards to an economic model submitted by a complainant to the concentration. However, having reviewed this decision, we believe the analysis is more akin to a vertical arithmetic / bidding analysis, and thus is not comparable to the other merger simulations we analyse in this paper. As a result, we do not include this analysis in our data set.</w:t>
      </w:r>
      <w:r w:rsidR="00F55FFF">
        <w:t xml:space="preserve"> </w:t>
      </w:r>
    </w:p>
  </w:footnote>
  <w:footnote w:id="8">
    <w:p w14:paraId="193C3611" w14:textId="22038227" w:rsidR="001B0FF8" w:rsidRDefault="001B0FF8" w:rsidP="001B0FF8">
      <w:pPr>
        <w:pStyle w:val="FootnoteText"/>
      </w:pPr>
      <w:r>
        <w:rPr>
          <w:rStyle w:val="FootnoteReference"/>
        </w:rPr>
        <w:footnoteRef/>
      </w:r>
      <w:r w:rsidRPr="0084031C">
        <w:rPr>
          <w:lang w:val="pt-BR"/>
        </w:rPr>
        <w:tab/>
      </w:r>
      <w:proofErr w:type="spellStart"/>
      <w:r w:rsidRPr="0084031C">
        <w:rPr>
          <w:lang w:val="pt-BR"/>
        </w:rPr>
        <w:t>From</w:t>
      </w:r>
      <w:proofErr w:type="spellEnd"/>
      <w:r w:rsidRPr="0084031C">
        <w:rPr>
          <w:lang w:val="pt-BR"/>
        </w:rPr>
        <w:t xml:space="preserve"> </w:t>
      </w:r>
      <w:r w:rsidRPr="0084031C">
        <w:rPr>
          <w:i/>
          <w:iCs/>
          <w:lang w:val="pt-BR"/>
        </w:rPr>
        <w:t>Volvo/Scania</w:t>
      </w:r>
      <w:r w:rsidRPr="0084031C">
        <w:rPr>
          <w:lang w:val="pt-BR"/>
        </w:rPr>
        <w:t xml:space="preserve"> (2000) </w:t>
      </w:r>
      <w:proofErr w:type="spellStart"/>
      <w:r w:rsidRPr="0084031C">
        <w:rPr>
          <w:lang w:val="pt-BR"/>
        </w:rPr>
        <w:t>to</w:t>
      </w:r>
      <w:proofErr w:type="spellEnd"/>
      <w:r w:rsidRPr="0084031C">
        <w:rPr>
          <w:lang w:val="pt-BR"/>
        </w:rPr>
        <w:t xml:space="preserve"> </w:t>
      </w:r>
      <w:proofErr w:type="spellStart"/>
      <w:r w:rsidRPr="0084031C">
        <w:rPr>
          <w:i/>
          <w:iCs/>
          <w:lang w:val="pt-BR"/>
        </w:rPr>
        <w:t>Outokumpu</w:t>
      </w:r>
      <w:proofErr w:type="spellEnd"/>
      <w:r w:rsidRPr="0084031C">
        <w:rPr>
          <w:i/>
          <w:iCs/>
          <w:lang w:val="pt-BR"/>
        </w:rPr>
        <w:t>/INOXUM</w:t>
      </w:r>
      <w:r w:rsidRPr="0084031C">
        <w:rPr>
          <w:lang w:val="pt-BR"/>
        </w:rPr>
        <w:t xml:space="preserve"> (2012). </w:t>
      </w:r>
      <w:r>
        <w:t>Although the data sets runs to 2014, the three cases featuring merger simulation in 2014 do not appear.</w:t>
      </w:r>
      <w:r w:rsidR="008E259D">
        <w:t xml:space="preserve"> We restrict the data set to those where the decision was published between 2000 and 2012 inclusive.</w:t>
      </w:r>
    </w:p>
  </w:footnote>
  <w:footnote w:id="9">
    <w:p w14:paraId="17959376" w14:textId="2EE575B5" w:rsidR="00E95B32" w:rsidRDefault="00E95B32" w:rsidP="00E95B32">
      <w:pPr>
        <w:pStyle w:val="FootnoteText"/>
      </w:pPr>
      <w:r>
        <w:rPr>
          <w:rStyle w:val="FootnoteReference"/>
        </w:rPr>
        <w:footnoteRef/>
      </w:r>
      <w:r>
        <w:tab/>
      </w:r>
      <w:r w:rsidR="00093CE7">
        <w:t xml:space="preserve">For some (earlier) cases, we found more information </w:t>
      </w:r>
      <w:r w:rsidR="00444AAD">
        <w:t xml:space="preserve">(both for this qualitative analysis and the later quantitative analysis) </w:t>
      </w:r>
      <w:r w:rsidR="00093CE7">
        <w:t xml:space="preserve">than was presented in the decisions, in academic articles commenting on the cases. These were: </w:t>
      </w:r>
      <w:r w:rsidR="0083528B" w:rsidRPr="0083528B">
        <w:t xml:space="preserve">Ivaldi and </w:t>
      </w:r>
      <w:proofErr w:type="spellStart"/>
      <w:r w:rsidR="0083528B" w:rsidRPr="0083528B">
        <w:t>Verboven</w:t>
      </w:r>
      <w:proofErr w:type="spellEnd"/>
      <w:r w:rsidR="0083528B" w:rsidRPr="0083528B">
        <w:t xml:space="preserve"> (2002), Table 5</w:t>
      </w:r>
      <w:r w:rsidR="0083528B">
        <w:t xml:space="preserve"> </w:t>
      </w:r>
      <w:r w:rsidR="00916845">
        <w:t>(</w:t>
      </w:r>
      <w:r w:rsidR="00333FA7">
        <w:t xml:space="preserve">for </w:t>
      </w:r>
      <w:r w:rsidR="00916845" w:rsidRPr="005E7ED9">
        <w:rPr>
          <w:i/>
        </w:rPr>
        <w:t>Volvo/Scania</w:t>
      </w:r>
      <w:r w:rsidR="00916845">
        <w:t>)</w:t>
      </w:r>
      <w:r w:rsidR="00FA61E0">
        <w:t>;</w:t>
      </w:r>
      <w:r w:rsidR="00916845">
        <w:t xml:space="preserve"> and </w:t>
      </w:r>
      <w:r w:rsidR="00916845" w:rsidRPr="00916845">
        <w:t>Budzinski and Arndt (2007), Tables 3-4</w:t>
      </w:r>
      <w:r w:rsidR="00916845">
        <w:t xml:space="preserve"> (</w:t>
      </w:r>
      <w:r w:rsidR="00FD5736">
        <w:t xml:space="preserve">for </w:t>
      </w:r>
      <w:r w:rsidR="00916845" w:rsidRPr="005E7ED9">
        <w:rPr>
          <w:i/>
        </w:rPr>
        <w:t>Oracle/</w:t>
      </w:r>
      <w:r w:rsidR="00916845" w:rsidRPr="005E7ED9">
        <w:rPr>
          <w:i/>
          <w:iCs/>
        </w:rPr>
        <w:t>People</w:t>
      </w:r>
      <w:r w:rsidR="002F220A">
        <w:rPr>
          <w:i/>
          <w:iCs/>
        </w:rPr>
        <w:t>S</w:t>
      </w:r>
      <w:r w:rsidR="00916845" w:rsidRPr="005E7ED9">
        <w:rPr>
          <w:i/>
          <w:iCs/>
        </w:rPr>
        <w:t>oft</w:t>
      </w:r>
      <w:r w:rsidR="00916845">
        <w:t>).</w:t>
      </w:r>
    </w:p>
  </w:footnote>
  <w:footnote w:id="10">
    <w:p w14:paraId="05FDF0C6" w14:textId="50AD1DC5" w:rsidR="00C445CF" w:rsidRDefault="00C445CF" w:rsidP="00C445CF">
      <w:pPr>
        <w:pStyle w:val="FootnoteText"/>
      </w:pPr>
      <w:r>
        <w:rPr>
          <w:rStyle w:val="FootnoteReference"/>
        </w:rPr>
        <w:footnoteRef/>
      </w:r>
      <w:r>
        <w:tab/>
      </w:r>
      <w:r w:rsidR="00ED2F29">
        <w:t>The number of modelling issues that were uncontested fell f</w:t>
      </w:r>
      <w:r>
        <w:t xml:space="preserve">rom 12 in the first </w:t>
      </w:r>
      <w:r w:rsidR="005E34B8">
        <w:t>six</w:t>
      </w:r>
      <w:r>
        <w:t xml:space="preserve"> </w:t>
      </w:r>
      <w:r w:rsidR="00ED2F29">
        <w:t>cases/</w:t>
      </w:r>
      <w:r>
        <w:t>simulation models (spanning 2000 to 2010</w:t>
      </w:r>
      <w:r w:rsidR="00ED2F29">
        <w:t xml:space="preserve"> inclusive</w:t>
      </w:r>
      <w:r>
        <w:t xml:space="preserve">), </w:t>
      </w:r>
      <w:r w:rsidR="001F3FC9">
        <w:t>nine</w:t>
      </w:r>
      <w:r>
        <w:t xml:space="preserve"> in the next </w:t>
      </w:r>
      <w:r w:rsidR="00ED2F29">
        <w:t>four cases/</w:t>
      </w:r>
      <w:r>
        <w:t xml:space="preserve">eight </w:t>
      </w:r>
      <w:r w:rsidR="00ED2F29">
        <w:t xml:space="preserve">models </w:t>
      </w:r>
      <w:r>
        <w:t xml:space="preserve">(spanning 2012 to 2014), to only </w:t>
      </w:r>
      <w:r w:rsidR="001F3FC9">
        <w:t>five</w:t>
      </w:r>
      <w:r>
        <w:t xml:space="preserve"> in the final </w:t>
      </w:r>
      <w:r w:rsidR="00ED2F29">
        <w:t>six cases/</w:t>
      </w:r>
      <w:r>
        <w:t xml:space="preserve">eight </w:t>
      </w:r>
      <w:r w:rsidR="00ED2F29">
        <w:t xml:space="preserve">models </w:t>
      </w:r>
      <w:r>
        <w:t xml:space="preserve">(spanning 2015 to 2018). See </w:t>
      </w:r>
      <w:r w:rsidRPr="003B79B0">
        <w:t xml:space="preserve">Figure </w:t>
      </w:r>
      <w:r w:rsidR="001F3FC9" w:rsidRPr="00AC1FC8">
        <w:t>4</w:t>
      </w:r>
      <w:r>
        <w:t xml:space="preserve"> in the Appendix. </w:t>
      </w:r>
    </w:p>
  </w:footnote>
  <w:footnote w:id="11">
    <w:p w14:paraId="5B9C92A7" w14:textId="77777777" w:rsidR="00B44A72" w:rsidRDefault="00B44A72" w:rsidP="00B44A72">
      <w:pPr>
        <w:pStyle w:val="FootnoteText"/>
      </w:pPr>
      <w:r>
        <w:rPr>
          <w:rStyle w:val="FootnoteReference"/>
        </w:rPr>
        <w:footnoteRef/>
      </w:r>
      <w:r>
        <w:tab/>
        <w:t xml:space="preserve">The previous models are from: </w:t>
      </w:r>
      <w:r w:rsidRPr="00D128C1">
        <w:rPr>
          <w:i/>
        </w:rPr>
        <w:t>Volvo/Scania</w:t>
      </w:r>
      <w:r>
        <w:t xml:space="preserve">, </w:t>
      </w:r>
      <w:r w:rsidRPr="00D128C1">
        <w:rPr>
          <w:i/>
        </w:rPr>
        <w:t>Kraft Foods/Cadbury</w:t>
      </w:r>
      <w:r>
        <w:t xml:space="preserve">, </w:t>
      </w:r>
      <w:r w:rsidRPr="00D128C1">
        <w:rPr>
          <w:i/>
        </w:rPr>
        <w:t>Outokumpu/</w:t>
      </w:r>
      <w:r>
        <w:rPr>
          <w:i/>
        </w:rPr>
        <w:t>INOXUM</w:t>
      </w:r>
      <w:r>
        <w:t xml:space="preserve">, </w:t>
      </w:r>
      <w:r w:rsidRPr="00D128C1">
        <w:rPr>
          <w:i/>
        </w:rPr>
        <w:t>Hutchison 3G UK/</w:t>
      </w:r>
      <w:r w:rsidRPr="00E340AC">
        <w:rPr>
          <w:i/>
          <w:iCs/>
        </w:rPr>
        <w:t xml:space="preserve">Telefónica </w:t>
      </w:r>
      <w:r w:rsidRPr="00D128C1">
        <w:rPr>
          <w:i/>
        </w:rPr>
        <w:t>Ireland</w:t>
      </w:r>
      <w:r>
        <w:t xml:space="preserve"> and </w:t>
      </w:r>
      <w:r w:rsidRPr="00D128C1">
        <w:rPr>
          <w:i/>
        </w:rPr>
        <w:t>Hutchison 3G Italy/Wind JV</w:t>
      </w:r>
      <w:r>
        <w:t>.</w:t>
      </w:r>
    </w:p>
  </w:footnote>
  <w:footnote w:id="12">
    <w:p w14:paraId="09942D32" w14:textId="300D9B1D" w:rsidR="000E279D" w:rsidRDefault="000E279D" w:rsidP="000E279D">
      <w:pPr>
        <w:pStyle w:val="FootnoteText"/>
      </w:pPr>
      <w:r>
        <w:rPr>
          <w:rStyle w:val="FootnoteReference"/>
        </w:rPr>
        <w:footnoteRef/>
      </w:r>
      <w:r>
        <w:tab/>
      </w:r>
      <w:r w:rsidR="0050739B" w:rsidRPr="00B847B6">
        <w:rPr>
          <w:i/>
        </w:rPr>
        <w:t>Philip Morris/</w:t>
      </w:r>
      <w:proofErr w:type="spellStart"/>
      <w:r w:rsidR="0050739B" w:rsidRPr="00B847B6">
        <w:rPr>
          <w:i/>
        </w:rPr>
        <w:t>Papastratos</w:t>
      </w:r>
      <w:proofErr w:type="spellEnd"/>
      <w:r w:rsidR="0050739B">
        <w:t xml:space="preserve">, </w:t>
      </w:r>
      <w:r w:rsidR="00453FB3" w:rsidRPr="00453FB3">
        <w:rPr>
          <w:i/>
          <w:iCs/>
        </w:rPr>
        <w:t>Lagardère</w:t>
      </w:r>
      <w:r w:rsidR="0050739B" w:rsidRPr="00B847B6">
        <w:rPr>
          <w:i/>
        </w:rPr>
        <w:t>/</w:t>
      </w:r>
      <w:proofErr w:type="spellStart"/>
      <w:r w:rsidR="0050739B" w:rsidRPr="00B847B6">
        <w:rPr>
          <w:i/>
        </w:rPr>
        <w:t>Natexis</w:t>
      </w:r>
      <w:proofErr w:type="spellEnd"/>
      <w:r w:rsidR="0050739B">
        <w:t xml:space="preserve">, </w:t>
      </w:r>
      <w:r w:rsidR="00453FB3" w:rsidRPr="00B847B6">
        <w:rPr>
          <w:i/>
        </w:rPr>
        <w:t>Unilever/Sara Lee</w:t>
      </w:r>
      <w:r w:rsidR="00453FB3">
        <w:t xml:space="preserve"> and </w:t>
      </w:r>
      <w:r w:rsidR="009E1C6B" w:rsidRPr="009E1C6B">
        <w:rPr>
          <w:i/>
          <w:iCs/>
        </w:rPr>
        <w:t>INEOS</w:t>
      </w:r>
      <w:r w:rsidR="00453FB3" w:rsidRPr="00B847B6">
        <w:rPr>
          <w:i/>
        </w:rPr>
        <w:t>/Solvay JV</w:t>
      </w:r>
      <w:r w:rsidR="00453FB3">
        <w:t>.</w:t>
      </w:r>
    </w:p>
  </w:footnote>
  <w:footnote w:id="13">
    <w:p w14:paraId="7D5D9771" w14:textId="1B1CBBAA" w:rsidR="007062C2" w:rsidRDefault="007062C2" w:rsidP="007062C2">
      <w:pPr>
        <w:pStyle w:val="FootnoteText"/>
      </w:pPr>
      <w:r>
        <w:rPr>
          <w:rStyle w:val="FootnoteReference"/>
        </w:rPr>
        <w:footnoteRef/>
      </w:r>
      <w:r>
        <w:tab/>
      </w:r>
      <w:r w:rsidRPr="00635F5F">
        <w:rPr>
          <w:i/>
          <w:iCs/>
        </w:rPr>
        <w:t>Kraft Foods/Cadbury</w:t>
      </w:r>
      <w:r>
        <w:rPr>
          <w:i/>
          <w:iCs/>
        </w:rPr>
        <w:t>.</w:t>
      </w:r>
    </w:p>
  </w:footnote>
  <w:footnote w:id="14">
    <w:p w14:paraId="7A8AD765" w14:textId="4CCA1714" w:rsidR="004D546B" w:rsidRDefault="004D546B" w:rsidP="004D546B">
      <w:pPr>
        <w:pStyle w:val="FootnoteText"/>
      </w:pPr>
      <w:r>
        <w:rPr>
          <w:rStyle w:val="FootnoteReference"/>
        </w:rPr>
        <w:footnoteRef/>
      </w:r>
      <w:r>
        <w:tab/>
      </w:r>
      <w:r w:rsidR="008B0CCA" w:rsidRPr="008B0CCA">
        <w:rPr>
          <w:i/>
          <w:iCs/>
        </w:rPr>
        <w:t>Telefónica</w:t>
      </w:r>
      <w:r w:rsidR="008B0CCA">
        <w:rPr>
          <w:i/>
          <w:iCs/>
        </w:rPr>
        <w:t xml:space="preserve"> </w:t>
      </w:r>
      <w:r w:rsidR="0033173F" w:rsidRPr="00B847B6">
        <w:rPr>
          <w:i/>
        </w:rPr>
        <w:t>Deutschland/E-Plus</w:t>
      </w:r>
      <w:r w:rsidR="0033173F">
        <w:t xml:space="preserve">, </w:t>
      </w:r>
      <w:r w:rsidR="0033173F" w:rsidRPr="00B847B6">
        <w:rPr>
          <w:i/>
        </w:rPr>
        <w:t>Orange/</w:t>
      </w:r>
      <w:proofErr w:type="spellStart"/>
      <w:r w:rsidR="0033173F" w:rsidRPr="00B847B6">
        <w:rPr>
          <w:i/>
        </w:rPr>
        <w:t>Jazztel</w:t>
      </w:r>
      <w:proofErr w:type="spellEnd"/>
      <w:r w:rsidR="0033173F">
        <w:t xml:space="preserve">, </w:t>
      </w:r>
      <w:r w:rsidR="0033173F" w:rsidRPr="00B847B6">
        <w:rPr>
          <w:i/>
        </w:rPr>
        <w:t>Hutchison 3G UK/</w:t>
      </w:r>
      <w:r w:rsidR="008B0CCA" w:rsidRPr="008B0CCA">
        <w:rPr>
          <w:i/>
          <w:iCs/>
        </w:rPr>
        <w:t xml:space="preserve">Telefónica </w:t>
      </w:r>
      <w:r w:rsidR="0033173F" w:rsidRPr="00B847B6">
        <w:rPr>
          <w:i/>
        </w:rPr>
        <w:t>UK</w:t>
      </w:r>
      <w:r w:rsidR="0033173F">
        <w:t xml:space="preserve">, </w:t>
      </w:r>
      <w:r w:rsidR="008B0CCA" w:rsidRPr="00B847B6">
        <w:rPr>
          <w:i/>
        </w:rPr>
        <w:t>Hutchison 3G Italy/Wind JV</w:t>
      </w:r>
      <w:r w:rsidR="008B0CCA">
        <w:t xml:space="preserve"> and </w:t>
      </w:r>
      <w:r w:rsidR="008B0CCA" w:rsidRPr="00B847B6">
        <w:rPr>
          <w:i/>
        </w:rPr>
        <w:t>T-Mobile NL/Tele2 NL</w:t>
      </w:r>
      <w:r w:rsidR="008B0CCA">
        <w:t xml:space="preserve"> (two simulations).</w:t>
      </w:r>
    </w:p>
  </w:footnote>
  <w:footnote w:id="15">
    <w:p w14:paraId="3094E644" w14:textId="0FF3D140" w:rsidR="00D156A0" w:rsidRDefault="00D156A0" w:rsidP="00D156A0">
      <w:pPr>
        <w:pStyle w:val="FootnoteText"/>
      </w:pPr>
      <w:r>
        <w:rPr>
          <w:rStyle w:val="FootnoteReference"/>
        </w:rPr>
        <w:footnoteRef/>
      </w:r>
      <w:r>
        <w:tab/>
        <w:t xml:space="preserve">In </w:t>
      </w:r>
      <w:r w:rsidRPr="002375C9">
        <w:rPr>
          <w:i/>
          <w:iCs/>
        </w:rPr>
        <w:t>Oracle/PeopleSoft</w:t>
      </w:r>
      <w:r>
        <w:t xml:space="preserve">, </w:t>
      </w:r>
      <w:r w:rsidR="007F47FC">
        <w:t xml:space="preserve">a merger assessed in the US as well as Europe, </w:t>
      </w:r>
      <w:r>
        <w:t>the Commission</w:t>
      </w:r>
      <w:r w:rsidRPr="00921663">
        <w:t xml:space="preserve"> </w:t>
      </w:r>
      <w:r>
        <w:t>and DOJ both submitted simulations in their respective merger reviews, based on an auction structure to the market. However, the auction structures they used were different: the DOJ’s model was an ‘English’ auction where competitors bid in turn in an ascending manner, whereas the Commission</w:t>
      </w:r>
      <w:r w:rsidRPr="00921663">
        <w:t xml:space="preserve">’s </w:t>
      </w:r>
      <w:r>
        <w:t xml:space="preserve">model was ‘first price sealed bid’. </w:t>
      </w:r>
    </w:p>
  </w:footnote>
  <w:footnote w:id="16">
    <w:p w14:paraId="635987F4" w14:textId="7180F477" w:rsidR="00D156A0" w:rsidRDefault="00D156A0" w:rsidP="00D156A0">
      <w:pPr>
        <w:pStyle w:val="FootnoteText"/>
      </w:pPr>
      <w:r>
        <w:rPr>
          <w:rStyle w:val="FootnoteReference"/>
        </w:rPr>
        <w:footnoteRef/>
      </w:r>
      <w:r>
        <w:tab/>
        <w:t xml:space="preserve">In </w:t>
      </w:r>
      <w:r w:rsidRPr="002375C9">
        <w:rPr>
          <w:i/>
          <w:iCs/>
        </w:rPr>
        <w:t>Outokumpu/</w:t>
      </w:r>
      <w:r w:rsidR="00B25757">
        <w:rPr>
          <w:i/>
          <w:iCs/>
        </w:rPr>
        <w:t>INOXUM</w:t>
      </w:r>
      <w:r>
        <w:t xml:space="preserve">, the Commission acknowledged that its chosen Bertrand-Edgeworth model could not account for customer switching costs, customer multi-sourcing, and the costs to customers from changing their product mix, and hence that the simulation predicted more competition pre-merger than </w:t>
      </w:r>
      <w:r w:rsidR="008349C7">
        <w:t xml:space="preserve">in </w:t>
      </w:r>
      <w:r>
        <w:t xml:space="preserve">reality, meaning that the simulation would predict relatively more of a fall in competition post-merger and larger rise in prices. </w:t>
      </w:r>
      <w:r w:rsidRPr="00D3521C">
        <w:t xml:space="preserve">As the </w:t>
      </w:r>
      <w:r>
        <w:t>simulation</w:t>
      </w:r>
      <w:r w:rsidRPr="00D3521C">
        <w:t xml:space="preserve"> applied in </w:t>
      </w:r>
      <w:r>
        <w:rPr>
          <w:i/>
          <w:iCs/>
        </w:rPr>
        <w:t>INEOS</w:t>
      </w:r>
      <w:r w:rsidRPr="002375C9">
        <w:rPr>
          <w:i/>
          <w:iCs/>
        </w:rPr>
        <w:t>/Solvay JV</w:t>
      </w:r>
      <w:r w:rsidRPr="00D3521C">
        <w:t xml:space="preserve"> was largely the same, the same issues applied there as well.</w:t>
      </w:r>
    </w:p>
  </w:footnote>
  <w:footnote w:id="17">
    <w:p w14:paraId="0F81007C" w14:textId="167D659A" w:rsidR="00784411" w:rsidRPr="00784411" w:rsidRDefault="00784411" w:rsidP="00784411">
      <w:pPr>
        <w:pStyle w:val="FootnoteText"/>
        <w:rPr>
          <w:lang w:val="es-ES"/>
        </w:rPr>
      </w:pPr>
      <w:r>
        <w:rPr>
          <w:rStyle w:val="FootnoteReference"/>
        </w:rPr>
        <w:footnoteRef/>
      </w:r>
      <w:r w:rsidRPr="00784411">
        <w:rPr>
          <w:lang w:val="es-ES"/>
        </w:rPr>
        <w:tab/>
      </w:r>
      <w:r w:rsidRPr="00784411" w:rsidDel="00D97A97">
        <w:rPr>
          <w:i/>
          <w:lang w:val="es-ES"/>
        </w:rPr>
        <w:t>Hutchison 3G UK/Telefónica Ireland</w:t>
      </w:r>
      <w:r w:rsidRPr="00784411">
        <w:rPr>
          <w:i/>
          <w:lang w:val="es-ES"/>
        </w:rPr>
        <w:t>.</w:t>
      </w:r>
    </w:p>
  </w:footnote>
  <w:footnote w:id="18">
    <w:p w14:paraId="1E9525B2" w14:textId="14C82F63" w:rsidR="008E4E97" w:rsidRPr="00C53EAB" w:rsidRDefault="008E4E97" w:rsidP="008E4E97">
      <w:pPr>
        <w:pStyle w:val="FootnoteText"/>
        <w:rPr>
          <w:lang w:val="es-ES"/>
        </w:rPr>
      </w:pPr>
      <w:r>
        <w:rPr>
          <w:rStyle w:val="FootnoteReference"/>
        </w:rPr>
        <w:footnoteRef/>
      </w:r>
      <w:r w:rsidRPr="00C53EAB">
        <w:rPr>
          <w:lang w:val="es-ES"/>
        </w:rPr>
        <w:tab/>
      </w:r>
      <w:r w:rsidRPr="00C53EAB" w:rsidDel="00D97A97">
        <w:rPr>
          <w:i/>
          <w:iCs/>
          <w:lang w:val="es-ES"/>
        </w:rPr>
        <w:t>Lagardère/</w:t>
      </w:r>
      <w:proofErr w:type="spellStart"/>
      <w:r w:rsidRPr="00C53EAB" w:rsidDel="00D97A97">
        <w:rPr>
          <w:i/>
          <w:iCs/>
          <w:lang w:val="es-ES"/>
        </w:rPr>
        <w:t>Natexis</w:t>
      </w:r>
      <w:proofErr w:type="spellEnd"/>
      <w:r w:rsidR="00AD6FBC" w:rsidRPr="00C53EAB">
        <w:rPr>
          <w:i/>
          <w:iCs/>
          <w:lang w:val="es-ES"/>
        </w:rPr>
        <w:t>.</w:t>
      </w:r>
    </w:p>
  </w:footnote>
  <w:footnote w:id="19">
    <w:p w14:paraId="54F128F1" w14:textId="2D2F9086" w:rsidR="00AD6FBC" w:rsidRPr="00C53EAB" w:rsidRDefault="00AD6FBC" w:rsidP="00AD6FBC">
      <w:pPr>
        <w:pStyle w:val="FootnoteText"/>
        <w:rPr>
          <w:lang w:val="es-ES"/>
        </w:rPr>
      </w:pPr>
      <w:r>
        <w:rPr>
          <w:rStyle w:val="FootnoteReference"/>
        </w:rPr>
        <w:footnoteRef/>
      </w:r>
      <w:r w:rsidRPr="00C53EAB">
        <w:rPr>
          <w:lang w:val="es-ES"/>
        </w:rPr>
        <w:tab/>
      </w:r>
      <w:r w:rsidRPr="00875B4D">
        <w:rPr>
          <w:i/>
          <w:iCs/>
          <w:lang w:val="es-ES"/>
        </w:rPr>
        <w:t>Oracle/PeopleSoft</w:t>
      </w:r>
      <w:r w:rsidRPr="00C53EAB">
        <w:rPr>
          <w:lang w:val="es-ES"/>
        </w:rPr>
        <w:t>.</w:t>
      </w:r>
    </w:p>
  </w:footnote>
  <w:footnote w:id="20">
    <w:p w14:paraId="410F0B83" w14:textId="5EFC3A2F" w:rsidR="00C53EAB" w:rsidRPr="00C53EAB" w:rsidRDefault="00C53EAB" w:rsidP="00C53EAB">
      <w:pPr>
        <w:pStyle w:val="FootnoteText"/>
        <w:rPr>
          <w:lang w:val="es-ES"/>
        </w:rPr>
      </w:pPr>
      <w:r>
        <w:rPr>
          <w:rStyle w:val="FootnoteReference"/>
        </w:rPr>
        <w:footnoteRef/>
      </w:r>
      <w:r w:rsidRPr="00C53EAB">
        <w:rPr>
          <w:lang w:val="es-ES"/>
        </w:rPr>
        <w:tab/>
      </w:r>
      <w:proofErr w:type="spellStart"/>
      <w:r w:rsidRPr="00C53EAB">
        <w:rPr>
          <w:i/>
          <w:lang w:val="es-ES"/>
        </w:rPr>
        <w:t>Outokumpu</w:t>
      </w:r>
      <w:proofErr w:type="spellEnd"/>
      <w:r w:rsidRPr="00C53EAB">
        <w:rPr>
          <w:i/>
          <w:lang w:val="es-ES"/>
        </w:rPr>
        <w:t>/</w:t>
      </w:r>
      <w:r w:rsidR="00B25757">
        <w:rPr>
          <w:i/>
          <w:lang w:val="es-ES"/>
        </w:rPr>
        <w:t>INOXUM</w:t>
      </w:r>
      <w:r w:rsidRPr="00C53EAB">
        <w:rPr>
          <w:lang w:val="es-ES"/>
        </w:rPr>
        <w:t xml:space="preserve"> and </w:t>
      </w:r>
      <w:r w:rsidRPr="00C53EAB">
        <w:rPr>
          <w:i/>
          <w:lang w:val="es-ES"/>
        </w:rPr>
        <w:t>INEOS/Solvay JV</w:t>
      </w:r>
      <w:r w:rsidRPr="00C53EAB">
        <w:rPr>
          <w:lang w:val="es-ES"/>
        </w:rPr>
        <w:t>.</w:t>
      </w:r>
    </w:p>
  </w:footnote>
  <w:footnote w:id="21">
    <w:p w14:paraId="3AAD0C48" w14:textId="77777777" w:rsidR="00C53EAB" w:rsidRPr="00C53EAB" w:rsidRDefault="00C53EAB" w:rsidP="00C53EAB">
      <w:pPr>
        <w:pStyle w:val="FootnoteText"/>
        <w:rPr>
          <w:lang w:val="pt-BR"/>
        </w:rPr>
      </w:pPr>
      <w:r>
        <w:rPr>
          <w:rStyle w:val="FootnoteReference"/>
        </w:rPr>
        <w:footnoteRef/>
      </w:r>
      <w:r w:rsidRPr="00C53EAB">
        <w:rPr>
          <w:lang w:val="pt-BR"/>
        </w:rPr>
        <w:tab/>
      </w:r>
      <w:r w:rsidRPr="00C53EAB">
        <w:rPr>
          <w:i/>
          <w:lang w:val="pt-BR"/>
        </w:rPr>
        <w:t>Volvo/Scania</w:t>
      </w:r>
      <w:r w:rsidRPr="00C53EAB">
        <w:rPr>
          <w:lang w:val="pt-BR"/>
        </w:rPr>
        <w:t xml:space="preserve"> </w:t>
      </w:r>
      <w:proofErr w:type="spellStart"/>
      <w:r w:rsidRPr="00C53EAB">
        <w:rPr>
          <w:lang w:val="pt-BR"/>
        </w:rPr>
        <w:t>and</w:t>
      </w:r>
      <w:proofErr w:type="spellEnd"/>
      <w:r w:rsidRPr="00C53EAB">
        <w:rPr>
          <w:lang w:val="pt-BR"/>
        </w:rPr>
        <w:t xml:space="preserve"> </w:t>
      </w:r>
      <w:r w:rsidRPr="00C53EAB">
        <w:rPr>
          <w:i/>
          <w:lang w:val="pt-BR"/>
        </w:rPr>
        <w:t>Unilever/Sara Lee</w:t>
      </w:r>
      <w:r w:rsidRPr="00C53EAB">
        <w:rPr>
          <w:lang w:val="pt-BR"/>
        </w:rPr>
        <w:t>.</w:t>
      </w:r>
    </w:p>
  </w:footnote>
  <w:footnote w:id="22">
    <w:p w14:paraId="6DF8BDEB" w14:textId="32AF230D" w:rsidR="00712660" w:rsidRDefault="00712660" w:rsidP="00712660">
      <w:pPr>
        <w:pStyle w:val="FootnoteText"/>
      </w:pPr>
      <w:r>
        <w:rPr>
          <w:rStyle w:val="FootnoteReference"/>
        </w:rPr>
        <w:footnoteRef/>
      </w:r>
      <w:r>
        <w:tab/>
      </w:r>
      <w:r w:rsidDel="00D97A97">
        <w:t xml:space="preserve">In </w:t>
      </w:r>
      <w:r w:rsidRPr="00D128C1" w:rsidDel="00D97A97">
        <w:rPr>
          <w:i/>
        </w:rPr>
        <w:t>Unilever/Sara Lee</w:t>
      </w:r>
      <w:r w:rsidDel="00D97A97">
        <w:t xml:space="preserve">, which concerned the market for deodorants, there was a debate as to how realistic the </w:t>
      </w:r>
      <w:r>
        <w:t>Commission</w:t>
      </w:r>
      <w:r w:rsidDel="00D97A97">
        <w:t xml:space="preserve">’s simulation was given that it </w:t>
      </w:r>
      <w:r>
        <w:t>was</w:t>
      </w:r>
      <w:r w:rsidDel="00D97A97">
        <w:t xml:space="preserve"> ‘static’, whereas it was pointed out that deodorants were storable and thus </w:t>
      </w:r>
      <w:r>
        <w:t>would be purchased more and stockpiled in periods of price promotions</w:t>
      </w:r>
      <w:r w:rsidR="003C6499">
        <w:t xml:space="preserve"> (implying the model should be ‘dynamic’)</w:t>
      </w:r>
      <w:r>
        <w:t>.</w:t>
      </w:r>
      <w:r w:rsidDel="00D97A97">
        <w:t xml:space="preserve"> The problem was not dealt with explicitly in the model, but instead the </w:t>
      </w:r>
      <w:r>
        <w:t xml:space="preserve">Commission </w:t>
      </w:r>
      <w:r w:rsidDel="00D97A97">
        <w:t>pointed towards academic literature that showed that static models with storable products would underestimate merger price effects.</w:t>
      </w:r>
    </w:p>
  </w:footnote>
  <w:footnote w:id="23">
    <w:p w14:paraId="3692D8EA" w14:textId="0D51132A" w:rsidR="00E52024" w:rsidRDefault="00E52024" w:rsidP="00E52024">
      <w:pPr>
        <w:pStyle w:val="FootnoteText"/>
      </w:pPr>
      <w:r>
        <w:rPr>
          <w:rStyle w:val="FootnoteReference"/>
        </w:rPr>
        <w:footnoteRef/>
      </w:r>
      <w:r>
        <w:tab/>
        <w:t xml:space="preserve">In </w:t>
      </w:r>
      <w:r w:rsidRPr="00B847B6">
        <w:rPr>
          <w:i/>
        </w:rPr>
        <w:t>Telefónica Deutschland/E-Plus</w:t>
      </w:r>
      <w:r>
        <w:t xml:space="preserve">, the </w:t>
      </w:r>
      <w:r w:rsidR="00F07C36">
        <w:t xml:space="preserve">Commission </w:t>
      </w:r>
      <w:r>
        <w:t xml:space="preserve">presented arguments as to why product repositioning due to the merger was unlikely, citing an academic study where the conditions for it to occur were not present in the telecoms industry in Germany. Similar arguments were also made as regards the </w:t>
      </w:r>
      <w:r w:rsidR="002C17D4">
        <w:t xml:space="preserve">Commission’s </w:t>
      </w:r>
      <w:r>
        <w:t xml:space="preserve">simulation in </w:t>
      </w:r>
      <w:r w:rsidRPr="00B847B6">
        <w:rPr>
          <w:i/>
        </w:rPr>
        <w:t>Hutchison 3G UK/Telefónica UK</w:t>
      </w:r>
      <w:r>
        <w:t>.</w:t>
      </w:r>
    </w:p>
  </w:footnote>
  <w:footnote w:id="24">
    <w:p w14:paraId="3A9868B1" w14:textId="76CD9932" w:rsidR="00E52024" w:rsidRDefault="00E52024" w:rsidP="00E52024">
      <w:pPr>
        <w:pStyle w:val="FootnoteText"/>
      </w:pPr>
      <w:r>
        <w:rPr>
          <w:rStyle w:val="FootnoteReference"/>
        </w:rPr>
        <w:footnoteRef/>
      </w:r>
      <w:r>
        <w:tab/>
      </w:r>
      <w:r w:rsidRPr="005B20B2">
        <w:rPr>
          <w:i/>
        </w:rPr>
        <w:t>Unilever/Sara Lee</w:t>
      </w:r>
      <w:r>
        <w:t xml:space="preserve">, </w:t>
      </w:r>
      <w:r w:rsidRPr="005B20B2">
        <w:rPr>
          <w:i/>
        </w:rPr>
        <w:t>Hutchison 3G UK/</w:t>
      </w:r>
      <w:r w:rsidRPr="008D7BA4">
        <w:rPr>
          <w:i/>
          <w:iCs/>
        </w:rPr>
        <w:t xml:space="preserve">Telefónica </w:t>
      </w:r>
      <w:r w:rsidRPr="005B20B2">
        <w:rPr>
          <w:i/>
        </w:rPr>
        <w:t>Ireland</w:t>
      </w:r>
      <w:r>
        <w:t xml:space="preserve">, </w:t>
      </w:r>
      <w:r w:rsidRPr="005B20B2">
        <w:rPr>
          <w:i/>
        </w:rPr>
        <w:t>Orange/</w:t>
      </w:r>
      <w:proofErr w:type="spellStart"/>
      <w:r w:rsidRPr="005B20B2">
        <w:rPr>
          <w:i/>
        </w:rPr>
        <w:t>Jazztel</w:t>
      </w:r>
      <w:proofErr w:type="spellEnd"/>
      <w:r>
        <w:t xml:space="preserve">, </w:t>
      </w:r>
      <w:r w:rsidRPr="005B20B2">
        <w:rPr>
          <w:i/>
        </w:rPr>
        <w:t>Hutchison 3G Italy/Wind JV</w:t>
      </w:r>
      <w:r>
        <w:t xml:space="preserve"> and </w:t>
      </w:r>
      <w:r w:rsidRPr="005B20B2">
        <w:rPr>
          <w:i/>
        </w:rPr>
        <w:t>Fortum/Uniper</w:t>
      </w:r>
      <w:r>
        <w:t xml:space="preserve">. Not accounting for countervailing factors was criticised in </w:t>
      </w:r>
      <w:r w:rsidRPr="002375C9">
        <w:rPr>
          <w:i/>
          <w:iCs/>
        </w:rPr>
        <w:t>Volvo/Scania</w:t>
      </w:r>
      <w:r>
        <w:t xml:space="preserve">, </w:t>
      </w:r>
      <w:r w:rsidRPr="002375C9">
        <w:rPr>
          <w:i/>
          <w:iCs/>
        </w:rPr>
        <w:t>Lagardère/</w:t>
      </w:r>
      <w:proofErr w:type="spellStart"/>
      <w:r w:rsidRPr="002375C9">
        <w:rPr>
          <w:i/>
          <w:iCs/>
        </w:rPr>
        <w:t>Natexis</w:t>
      </w:r>
      <w:proofErr w:type="spellEnd"/>
      <w:r>
        <w:t xml:space="preserve">, </w:t>
      </w:r>
      <w:r w:rsidRPr="002375C9">
        <w:rPr>
          <w:i/>
          <w:iCs/>
        </w:rPr>
        <w:t>Oracle/PeopleSoft</w:t>
      </w:r>
      <w:r>
        <w:t xml:space="preserve">, </w:t>
      </w:r>
      <w:r w:rsidRPr="002375C9">
        <w:rPr>
          <w:i/>
          <w:iCs/>
        </w:rPr>
        <w:t>Unilever/Sara Lee</w:t>
      </w:r>
      <w:r>
        <w:t xml:space="preserve">, </w:t>
      </w:r>
      <w:r w:rsidRPr="002375C9">
        <w:rPr>
          <w:i/>
          <w:iCs/>
        </w:rPr>
        <w:t>Outokumpu/</w:t>
      </w:r>
      <w:r w:rsidR="00B25757">
        <w:rPr>
          <w:i/>
          <w:iCs/>
        </w:rPr>
        <w:t>INOXUM</w:t>
      </w:r>
      <w:r>
        <w:t xml:space="preserve"> and </w:t>
      </w:r>
      <w:r w:rsidRPr="002375C9">
        <w:rPr>
          <w:i/>
          <w:iCs/>
        </w:rPr>
        <w:t>INEOS/Solvay JV</w:t>
      </w:r>
      <w:r>
        <w:t>.</w:t>
      </w:r>
    </w:p>
  </w:footnote>
  <w:footnote w:id="25">
    <w:p w14:paraId="03F5266C" w14:textId="77777777" w:rsidR="00E52024" w:rsidRPr="0050721A" w:rsidRDefault="00E52024" w:rsidP="00E52024">
      <w:pPr>
        <w:pStyle w:val="FootnoteText"/>
        <w:rPr>
          <w:i/>
          <w:iCs/>
          <w:lang w:val="es-ES"/>
        </w:rPr>
      </w:pPr>
      <w:r>
        <w:rPr>
          <w:rStyle w:val="FootnoteReference"/>
        </w:rPr>
        <w:footnoteRef/>
      </w:r>
      <w:r w:rsidRPr="0050721A">
        <w:rPr>
          <w:lang w:val="es-ES"/>
        </w:rPr>
        <w:tab/>
      </w:r>
      <w:r w:rsidRPr="0050721A">
        <w:rPr>
          <w:i/>
          <w:iCs/>
          <w:lang w:val="es-ES"/>
        </w:rPr>
        <w:t>Unilever/Sara Lee.</w:t>
      </w:r>
    </w:p>
  </w:footnote>
  <w:footnote w:id="26">
    <w:p w14:paraId="6ECFA1B9" w14:textId="77777777" w:rsidR="00E52024" w:rsidRPr="0050721A" w:rsidRDefault="00E52024" w:rsidP="00E52024">
      <w:pPr>
        <w:pStyle w:val="FootnoteText"/>
        <w:rPr>
          <w:lang w:val="es-ES"/>
        </w:rPr>
      </w:pPr>
      <w:r>
        <w:rPr>
          <w:rStyle w:val="FootnoteReference"/>
        </w:rPr>
        <w:footnoteRef/>
      </w:r>
      <w:r w:rsidRPr="0050721A">
        <w:rPr>
          <w:lang w:val="es-ES"/>
        </w:rPr>
        <w:tab/>
      </w:r>
      <w:r w:rsidRPr="0050721A">
        <w:rPr>
          <w:i/>
          <w:lang w:val="es-ES"/>
        </w:rPr>
        <w:t>Hutchison 3G UK/</w:t>
      </w:r>
      <w:r w:rsidRPr="0050721A">
        <w:rPr>
          <w:i/>
          <w:iCs/>
          <w:lang w:val="es-ES"/>
        </w:rPr>
        <w:t xml:space="preserve">Telefónica </w:t>
      </w:r>
      <w:r w:rsidRPr="0050721A">
        <w:rPr>
          <w:i/>
          <w:lang w:val="es-ES"/>
        </w:rPr>
        <w:t>Ireland</w:t>
      </w:r>
      <w:r>
        <w:rPr>
          <w:i/>
          <w:lang w:val="es-ES"/>
        </w:rPr>
        <w:t>.</w:t>
      </w:r>
    </w:p>
  </w:footnote>
  <w:footnote w:id="27">
    <w:p w14:paraId="16B48DEF" w14:textId="400C209D" w:rsidR="00670833" w:rsidRDefault="00670833">
      <w:pPr>
        <w:pStyle w:val="FootnoteText"/>
      </w:pPr>
      <w:r>
        <w:rPr>
          <w:rStyle w:val="FootnoteReference"/>
        </w:rPr>
        <w:footnoteRef/>
      </w:r>
      <w:r>
        <w:t xml:space="preserve"> </w:t>
      </w:r>
      <w:r>
        <w:tab/>
        <w:t xml:space="preserve">Known as the ‘red bus/blue </w:t>
      </w:r>
      <w:proofErr w:type="spellStart"/>
      <w:r>
        <w:t>bus’</w:t>
      </w:r>
      <w:proofErr w:type="spellEnd"/>
      <w:r>
        <w:t xml:space="preserve"> problem. </w:t>
      </w:r>
      <w:r w:rsidRPr="00670833">
        <w:t xml:space="preserve">Imagine a commuter chooses between a car (50%) and a blue bus (50%). If a red bus is </w:t>
      </w:r>
      <w:r>
        <w:t>introduced</w:t>
      </w:r>
      <w:r w:rsidRPr="00670833">
        <w:t>, IIA suggests the new shares will be: car (33%), blue bus (33%), red bus (33%). However, intuitively, the new bus should only steal share from the existing bus, resulting in 50% car</w:t>
      </w:r>
      <w:r>
        <w:t xml:space="preserve"> and (for example)</w:t>
      </w:r>
      <w:r w:rsidRPr="00670833">
        <w:t xml:space="preserve"> 25% blue bus, and 25% red bus.</w:t>
      </w:r>
    </w:p>
  </w:footnote>
  <w:footnote w:id="28">
    <w:p w14:paraId="184DA38E" w14:textId="34B40E1F" w:rsidR="00AC4977" w:rsidRDefault="00AC4977" w:rsidP="00AC4977">
      <w:pPr>
        <w:pStyle w:val="FootnoteText"/>
      </w:pPr>
      <w:r>
        <w:rPr>
          <w:rStyle w:val="FootnoteReference"/>
        </w:rPr>
        <w:footnoteRef/>
      </w:r>
      <w:r>
        <w:tab/>
        <w:t xml:space="preserve">In </w:t>
      </w:r>
      <w:r w:rsidRPr="00EB5F0B">
        <w:rPr>
          <w:i/>
        </w:rPr>
        <w:t>Volvo/Scania</w:t>
      </w:r>
      <w:r>
        <w:t xml:space="preserve">, the Commission’s one-level nested logit model was criticised by the merging parties for not overcoming the IIA problem, whereas in </w:t>
      </w:r>
      <w:r w:rsidRPr="00EB5F0B">
        <w:rPr>
          <w:i/>
        </w:rPr>
        <w:t>Kraft Foods/Cadbury</w:t>
      </w:r>
      <w:r>
        <w:t xml:space="preserve"> the Commission</w:t>
      </w:r>
      <w:r w:rsidDel="00EE5E33">
        <w:t xml:space="preserve"> </w:t>
      </w:r>
      <w:r>
        <w:t xml:space="preserve">was receptive to the merging </w:t>
      </w:r>
      <w:r w:rsidR="0028423F">
        <w:t xml:space="preserve">parties’ </w:t>
      </w:r>
      <w:r>
        <w:t xml:space="preserve">one-level model, arguing that it attenuated the IIA problem and furthermore relied on fewer parameters needing to be estimated compared to alternative demand models such as the AIDS model. In </w:t>
      </w:r>
      <w:r w:rsidRPr="00EB5F0B">
        <w:rPr>
          <w:i/>
        </w:rPr>
        <w:t>Unilever/Sara Lee</w:t>
      </w:r>
      <w:r>
        <w:t>, the</w:t>
      </w:r>
      <w:r w:rsidDel="00F07C36">
        <w:t xml:space="preserve"> </w:t>
      </w:r>
      <w:r w:rsidR="00F07C36">
        <w:t xml:space="preserve">Commission </w:t>
      </w:r>
      <w:r>
        <w:t>argued that its two-level nested model provided a good trade-off between the ‘simple’ logit model on one hand, that is computationally simple but suffers from the IIA issue, and the full BLP model (Berry, et al</w:t>
      </w:r>
      <w:r w:rsidR="008A2114">
        <w:t>.</w:t>
      </w:r>
      <w:r>
        <w:t xml:space="preserve">, 1995) on the other, which overcomes the IIA property but comes at the price of increased computational complexity and in the Commission’s view less stable results. Moreover, it showed that the results were robust to different alternatives. Finally, in </w:t>
      </w:r>
      <w:r w:rsidRPr="00EB5F0B">
        <w:rPr>
          <w:i/>
          <w:iCs/>
        </w:rPr>
        <w:t>D</w:t>
      </w:r>
      <w:r>
        <w:rPr>
          <w:i/>
          <w:iCs/>
        </w:rPr>
        <w:t>EMB</w:t>
      </w:r>
      <w:r w:rsidRPr="00EB5F0B">
        <w:rPr>
          <w:i/>
        </w:rPr>
        <w:t>/Mondelez</w:t>
      </w:r>
      <w:r>
        <w:t xml:space="preserve"> the</w:t>
      </w:r>
      <w:r w:rsidDel="00F07C36">
        <w:t xml:space="preserve"> </w:t>
      </w:r>
      <w:r w:rsidR="00F07C36">
        <w:t xml:space="preserve">Commission </w:t>
      </w:r>
      <w:r>
        <w:t xml:space="preserve">argued that the merging </w:t>
      </w:r>
      <w:r w:rsidR="0028423F">
        <w:t xml:space="preserve">parties’ </w:t>
      </w:r>
      <w:r>
        <w:t>use of nested logit was inappropriate – specifically having two coffee types as different ‘nests’. The</w:t>
      </w:r>
      <w:r w:rsidDel="00EE3E39">
        <w:t xml:space="preserve"> </w:t>
      </w:r>
      <w:r>
        <w:t>Commission judged the market to be narrower (implying that it instead should have run separate simulations for each coffee type).</w:t>
      </w:r>
    </w:p>
  </w:footnote>
  <w:footnote w:id="29">
    <w:p w14:paraId="564389CF" w14:textId="77777777" w:rsidR="00A41AD7" w:rsidRDefault="00A41AD7" w:rsidP="00A41AD7">
      <w:pPr>
        <w:pStyle w:val="FootnoteText"/>
      </w:pPr>
      <w:r>
        <w:rPr>
          <w:rStyle w:val="FootnoteReference"/>
        </w:rPr>
        <w:footnoteRef/>
      </w:r>
      <w:r>
        <w:tab/>
      </w:r>
      <w:r w:rsidRPr="002375C9">
        <w:rPr>
          <w:i/>
          <w:iCs/>
        </w:rPr>
        <w:t>Orange/</w:t>
      </w:r>
      <w:proofErr w:type="spellStart"/>
      <w:r w:rsidRPr="002375C9">
        <w:rPr>
          <w:i/>
          <w:iCs/>
        </w:rPr>
        <w:t>Jazztel</w:t>
      </w:r>
      <w:proofErr w:type="spellEnd"/>
      <w:r>
        <w:t xml:space="preserve"> and </w:t>
      </w:r>
      <w:r w:rsidRPr="002375C9">
        <w:rPr>
          <w:i/>
          <w:iCs/>
        </w:rPr>
        <w:t>Hutchison 3G Italy/Wind JV</w:t>
      </w:r>
      <w:r>
        <w:t>.</w:t>
      </w:r>
    </w:p>
  </w:footnote>
  <w:footnote w:id="30">
    <w:p w14:paraId="2567B851" w14:textId="7ABDB7FB" w:rsidR="00325F97" w:rsidRDefault="00325F97" w:rsidP="00325F97">
      <w:pPr>
        <w:pStyle w:val="FootnoteText"/>
      </w:pPr>
      <w:r>
        <w:rPr>
          <w:rStyle w:val="FootnoteReference"/>
        </w:rPr>
        <w:footnoteRef/>
      </w:r>
      <w:r>
        <w:tab/>
        <w:t xml:space="preserve">The Commission’s model in </w:t>
      </w:r>
      <w:r w:rsidR="00775BA2" w:rsidRPr="005B20B2">
        <w:rPr>
          <w:i/>
        </w:rPr>
        <w:t>T-Mobile NL/Tele2 NL</w:t>
      </w:r>
      <w:r w:rsidR="00775BA2">
        <w:t>.</w:t>
      </w:r>
    </w:p>
  </w:footnote>
  <w:footnote w:id="31">
    <w:p w14:paraId="34D1810D" w14:textId="7A8E82E4" w:rsidR="00D552E7" w:rsidRDefault="00D552E7" w:rsidP="00D552E7">
      <w:pPr>
        <w:pStyle w:val="FootnoteText"/>
      </w:pPr>
      <w:r>
        <w:rPr>
          <w:rStyle w:val="FootnoteReference"/>
        </w:rPr>
        <w:footnoteRef/>
      </w:r>
      <w:r>
        <w:tab/>
      </w:r>
      <w:r w:rsidRPr="006B3F45" w:rsidDel="00D97A97">
        <w:rPr>
          <w:i/>
        </w:rPr>
        <w:t>Hutchison 3G Italy/Wind JV</w:t>
      </w:r>
      <w:r w:rsidDel="00D97A97">
        <w:t xml:space="preserve"> and </w:t>
      </w:r>
      <w:r w:rsidRPr="006B3F45" w:rsidDel="00D97A97">
        <w:rPr>
          <w:i/>
        </w:rPr>
        <w:t>T-Mobile NL/Tele2 NL</w:t>
      </w:r>
      <w:r w:rsidR="005824BA">
        <w:t xml:space="preserve">, where merging </w:t>
      </w:r>
      <w:r w:rsidR="00997D36">
        <w:t xml:space="preserve">parties </w:t>
      </w:r>
      <w:r w:rsidR="005824BA">
        <w:t xml:space="preserve">relied on </w:t>
      </w:r>
      <w:r w:rsidDel="00D97A97">
        <w:t>novel models</w:t>
      </w:r>
      <w:r w:rsidR="005824BA">
        <w:t xml:space="preserve">, and </w:t>
      </w:r>
      <w:r w:rsidDel="00D97A97">
        <w:t>used online surveys to estimate consumers’ willingness to pay for certain mobile tariff characteristics (e.g., data allowance,</w:t>
      </w:r>
      <w:r w:rsidR="0051757F">
        <w:t xml:space="preserve"> network</w:t>
      </w:r>
      <w:r w:rsidDel="00D97A97">
        <w:t xml:space="preserve"> speed), and then used these valuations to predict the consumer surplus effects of the mergers (on top of any increase in price pressure brought about by the concentration</w:t>
      </w:r>
      <w:r>
        <w:t>).</w:t>
      </w:r>
    </w:p>
  </w:footnote>
  <w:footnote w:id="32">
    <w:p w14:paraId="1DF374B3" w14:textId="1A7333B6" w:rsidR="00DF4C7B" w:rsidRDefault="00DF4C7B" w:rsidP="00DF4C7B">
      <w:pPr>
        <w:pStyle w:val="FootnoteText"/>
      </w:pPr>
      <w:r>
        <w:rPr>
          <w:rStyle w:val="FootnoteReference"/>
        </w:rPr>
        <w:footnoteRef/>
      </w:r>
      <w:r>
        <w:tab/>
      </w:r>
      <w:r w:rsidRPr="00DF4C7B">
        <w:t>For example</w:t>
      </w:r>
      <w:r w:rsidR="0051757F">
        <w:t xml:space="preserve">, </w:t>
      </w:r>
      <w:r w:rsidRPr="00DF4C7B">
        <w:t xml:space="preserve">the Commission’s simulation in </w:t>
      </w:r>
      <w:r w:rsidRPr="00875B4D">
        <w:rPr>
          <w:i/>
          <w:iCs/>
        </w:rPr>
        <w:t>Hutchison 3G UK/Telefónica Ireland</w:t>
      </w:r>
      <w:r w:rsidRPr="00DF4C7B">
        <w:t xml:space="preserve"> for focusing on price rather than quality competition and not accounting for possible quality increases.</w:t>
      </w:r>
    </w:p>
  </w:footnote>
  <w:footnote w:id="33">
    <w:p w14:paraId="7DFBE85E" w14:textId="481B33EA" w:rsidR="00D429FE" w:rsidRPr="001D20FD" w:rsidRDefault="00D429FE" w:rsidP="00D429FE">
      <w:pPr>
        <w:pStyle w:val="FootnoteText"/>
      </w:pPr>
      <w:r>
        <w:rPr>
          <w:rStyle w:val="FootnoteReference"/>
        </w:rPr>
        <w:footnoteRef/>
      </w:r>
      <w:r w:rsidRPr="001D20FD">
        <w:tab/>
      </w:r>
      <w:r w:rsidRPr="001D20FD">
        <w:rPr>
          <w:i/>
        </w:rPr>
        <w:t>Lagardère/</w:t>
      </w:r>
      <w:proofErr w:type="spellStart"/>
      <w:r w:rsidRPr="001D20FD">
        <w:rPr>
          <w:i/>
        </w:rPr>
        <w:t>Natexis</w:t>
      </w:r>
      <w:proofErr w:type="spellEnd"/>
      <w:r w:rsidR="008946DF" w:rsidRPr="001D20FD">
        <w:t xml:space="preserve"> and</w:t>
      </w:r>
      <w:r w:rsidRPr="001D20FD">
        <w:t xml:space="preserve"> </w:t>
      </w:r>
      <w:r w:rsidRPr="001D20FD">
        <w:rPr>
          <w:i/>
        </w:rPr>
        <w:t>Volvo/Scania.</w:t>
      </w:r>
    </w:p>
  </w:footnote>
  <w:footnote w:id="34">
    <w:p w14:paraId="3D3EF616" w14:textId="5536FBD1" w:rsidR="003E148F" w:rsidRDefault="003E148F" w:rsidP="003E148F">
      <w:pPr>
        <w:pStyle w:val="FootnoteText"/>
      </w:pPr>
      <w:r>
        <w:rPr>
          <w:rStyle w:val="FootnoteReference"/>
        </w:rPr>
        <w:footnoteRef/>
      </w:r>
      <w:r>
        <w:tab/>
      </w:r>
      <w:r w:rsidRPr="003E148F">
        <w:t xml:space="preserve">In </w:t>
      </w:r>
      <w:r w:rsidRPr="003E148F">
        <w:rPr>
          <w:i/>
          <w:iCs/>
        </w:rPr>
        <w:t>DEMB/Mondelez</w:t>
      </w:r>
      <w:r w:rsidRPr="003E148F">
        <w:t xml:space="preserve"> the merging </w:t>
      </w:r>
      <w:r w:rsidR="00997D36">
        <w:t>partie</w:t>
      </w:r>
      <w:r w:rsidR="00997D36" w:rsidRPr="003E148F">
        <w:t xml:space="preserve">s </w:t>
      </w:r>
      <w:r w:rsidRPr="003E148F">
        <w:t xml:space="preserve">submitted a separate demand estimation study, arguing that two coffee types that the parties’ sold belonged in the same product market. The Commission dismissed this model, finding instead that the products were in separate markets, and that the merging </w:t>
      </w:r>
      <w:r w:rsidR="00997D36">
        <w:t>partie</w:t>
      </w:r>
      <w:r w:rsidR="00997D36" w:rsidRPr="003E148F">
        <w:t xml:space="preserve">s’ </w:t>
      </w:r>
      <w:r w:rsidRPr="003E148F">
        <w:t>simulation should not have included both segments as separate nests in a single model, but instead had two separate models.</w:t>
      </w:r>
    </w:p>
  </w:footnote>
  <w:footnote w:id="35">
    <w:p w14:paraId="5FEBF4A0" w14:textId="14C2393E" w:rsidR="00A33979" w:rsidRPr="00F42B37" w:rsidRDefault="00A33979" w:rsidP="00A33979">
      <w:pPr>
        <w:pStyle w:val="FootnoteText"/>
      </w:pPr>
      <w:r>
        <w:rPr>
          <w:rStyle w:val="FootnoteReference"/>
        </w:rPr>
        <w:footnoteRef/>
      </w:r>
      <w:r w:rsidRPr="00F42B37">
        <w:tab/>
      </w:r>
      <w:r w:rsidR="00F42B37">
        <w:t>The</w:t>
      </w:r>
      <w:r w:rsidR="00F42B37" w:rsidDel="001478D8">
        <w:t xml:space="preserve"> </w:t>
      </w:r>
      <w:r w:rsidR="00F42B37">
        <w:t xml:space="preserve">Commission and </w:t>
      </w:r>
      <w:r w:rsidR="0020563A">
        <w:t xml:space="preserve">the </w:t>
      </w:r>
      <w:r w:rsidR="00F42B37">
        <w:t xml:space="preserve">merging </w:t>
      </w:r>
      <w:r w:rsidR="00997D36">
        <w:t xml:space="preserve">parties </w:t>
      </w:r>
      <w:r w:rsidR="00F42B37">
        <w:t xml:space="preserve">agreed on how the </w:t>
      </w:r>
      <w:r w:rsidR="00F42B37" w:rsidRPr="009D72FF">
        <w:rPr>
          <w:bCs/>
        </w:rPr>
        <w:t>outside good</w:t>
      </w:r>
      <w:r w:rsidR="00F42B37">
        <w:t xml:space="preserve"> should be factored into the simulation (how to model the choice of not buying the product in question at all) in </w:t>
      </w:r>
      <w:r w:rsidRPr="00F42B37">
        <w:rPr>
          <w:i/>
          <w:iCs/>
        </w:rPr>
        <w:t>Hutchison 3G UK/</w:t>
      </w:r>
      <w:r w:rsidR="00B86F17" w:rsidRPr="00F42B37">
        <w:rPr>
          <w:i/>
          <w:iCs/>
        </w:rPr>
        <w:t>Telefónica</w:t>
      </w:r>
      <w:r w:rsidR="00B86F17" w:rsidRPr="00F42B37" w:rsidDel="00B86F17">
        <w:rPr>
          <w:i/>
          <w:iCs/>
        </w:rPr>
        <w:t xml:space="preserve"> </w:t>
      </w:r>
      <w:r w:rsidRPr="00F42B37">
        <w:rPr>
          <w:i/>
          <w:iCs/>
        </w:rPr>
        <w:t>Ireland</w:t>
      </w:r>
      <w:r w:rsidRPr="00F42B37">
        <w:t xml:space="preserve"> and </w:t>
      </w:r>
      <w:r w:rsidR="00B86F17" w:rsidRPr="00F42B37">
        <w:rPr>
          <w:i/>
          <w:iCs/>
        </w:rPr>
        <w:t>Telefónica</w:t>
      </w:r>
      <w:r w:rsidR="00B86F17" w:rsidRPr="00F42B37" w:rsidDel="00B86F17">
        <w:rPr>
          <w:i/>
          <w:iCs/>
        </w:rPr>
        <w:t xml:space="preserve"> </w:t>
      </w:r>
      <w:r w:rsidRPr="00F42B37">
        <w:rPr>
          <w:i/>
          <w:iCs/>
        </w:rPr>
        <w:t>Deutschland/E-Plus</w:t>
      </w:r>
      <w:r w:rsidRPr="00F42B37">
        <w:t>.</w:t>
      </w:r>
    </w:p>
  </w:footnote>
  <w:footnote w:id="36">
    <w:p w14:paraId="5A3CBC99" w14:textId="77777777" w:rsidR="00250D10" w:rsidRPr="00D128C1" w:rsidRDefault="00250D10" w:rsidP="00250D10">
      <w:pPr>
        <w:pStyle w:val="FootnoteText"/>
        <w:rPr>
          <w:lang w:val="es-ES"/>
        </w:rPr>
      </w:pPr>
      <w:r>
        <w:rPr>
          <w:rStyle w:val="FootnoteReference"/>
        </w:rPr>
        <w:footnoteRef/>
      </w:r>
      <w:r w:rsidRPr="00635F5F">
        <w:rPr>
          <w:lang w:val="es-ES"/>
        </w:rPr>
        <w:tab/>
      </w:r>
      <w:r w:rsidRPr="00D128C1">
        <w:rPr>
          <w:i/>
          <w:lang w:val="es-ES"/>
        </w:rPr>
        <w:t>Volvo/Scania</w:t>
      </w:r>
      <w:r w:rsidRPr="00D128C1">
        <w:rPr>
          <w:lang w:val="es-ES"/>
        </w:rPr>
        <w:t xml:space="preserve"> and </w:t>
      </w:r>
      <w:r w:rsidRPr="00D128C1">
        <w:rPr>
          <w:i/>
          <w:lang w:val="es-ES"/>
        </w:rPr>
        <w:t>Hutchison 3G UK/Telefónica UK</w:t>
      </w:r>
      <w:r w:rsidRPr="00D128C1">
        <w:rPr>
          <w:lang w:val="es-ES"/>
        </w:rPr>
        <w:t>.</w:t>
      </w:r>
    </w:p>
  </w:footnote>
  <w:footnote w:id="37">
    <w:p w14:paraId="671C1E35" w14:textId="77777777" w:rsidR="00250D10" w:rsidRPr="00925C90" w:rsidRDefault="00250D10" w:rsidP="00250D10">
      <w:pPr>
        <w:pStyle w:val="FootnoteText"/>
        <w:rPr>
          <w:lang w:val="es-ES"/>
        </w:rPr>
      </w:pPr>
      <w:r>
        <w:rPr>
          <w:rStyle w:val="FootnoteReference"/>
        </w:rPr>
        <w:footnoteRef/>
      </w:r>
      <w:r w:rsidRPr="00925C90">
        <w:rPr>
          <w:lang w:val="es-ES"/>
        </w:rPr>
        <w:tab/>
      </w:r>
      <w:r w:rsidRPr="00925C90">
        <w:rPr>
          <w:i/>
          <w:lang w:val="es-ES"/>
        </w:rPr>
        <w:t>DEMB/Mondelez</w:t>
      </w:r>
      <w:r w:rsidRPr="00925C90">
        <w:rPr>
          <w:lang w:val="es-ES"/>
        </w:rPr>
        <w:t>.</w:t>
      </w:r>
    </w:p>
  </w:footnote>
  <w:footnote w:id="38">
    <w:p w14:paraId="3CBFD549" w14:textId="77777777" w:rsidR="00250D10" w:rsidRPr="00925C90" w:rsidRDefault="00250D10" w:rsidP="00250D10">
      <w:pPr>
        <w:pStyle w:val="FootnoteText"/>
        <w:rPr>
          <w:lang w:val="es-ES"/>
        </w:rPr>
      </w:pPr>
      <w:r>
        <w:rPr>
          <w:rStyle w:val="FootnoteReference"/>
        </w:rPr>
        <w:footnoteRef/>
      </w:r>
      <w:r w:rsidRPr="00925C90">
        <w:rPr>
          <w:lang w:val="es-ES"/>
        </w:rPr>
        <w:tab/>
      </w:r>
      <w:r w:rsidRPr="00925C90">
        <w:rPr>
          <w:i/>
          <w:lang w:val="es-ES"/>
        </w:rPr>
        <w:t>T-Mobile NL/Tele2 NL</w:t>
      </w:r>
      <w:r w:rsidRPr="00925C90">
        <w:rPr>
          <w:lang w:val="es-ES"/>
        </w:rPr>
        <w:t>.</w:t>
      </w:r>
    </w:p>
  </w:footnote>
  <w:footnote w:id="39">
    <w:p w14:paraId="0426C961" w14:textId="5F0F2F26" w:rsidR="00DB1441" w:rsidRPr="00160847" w:rsidRDefault="00DB1441" w:rsidP="00DB1441">
      <w:pPr>
        <w:pStyle w:val="FootnoteText"/>
        <w:rPr>
          <w:lang w:val="es-ES"/>
        </w:rPr>
      </w:pPr>
      <w:r>
        <w:rPr>
          <w:rStyle w:val="FootnoteReference"/>
        </w:rPr>
        <w:footnoteRef/>
      </w:r>
      <w:r w:rsidRPr="00160847">
        <w:rPr>
          <w:lang w:val="es-ES"/>
        </w:rPr>
        <w:tab/>
      </w:r>
      <w:r w:rsidRPr="00160847">
        <w:rPr>
          <w:i/>
          <w:iCs/>
          <w:lang w:val="es-ES"/>
        </w:rPr>
        <w:t>Orange/Jazztel</w:t>
      </w:r>
      <w:r w:rsidR="005B431D" w:rsidRPr="00160847">
        <w:rPr>
          <w:lang w:val="es-ES"/>
        </w:rPr>
        <w:t>.</w:t>
      </w:r>
    </w:p>
  </w:footnote>
  <w:footnote w:id="40">
    <w:p w14:paraId="713B2803" w14:textId="0B994205" w:rsidR="000C489B" w:rsidRPr="00160847" w:rsidRDefault="000C489B" w:rsidP="000C489B">
      <w:pPr>
        <w:pStyle w:val="FootnoteText"/>
        <w:rPr>
          <w:lang w:val="es-ES"/>
        </w:rPr>
      </w:pPr>
      <w:r>
        <w:rPr>
          <w:rStyle w:val="FootnoteReference"/>
        </w:rPr>
        <w:footnoteRef/>
      </w:r>
      <w:r w:rsidRPr="00160847">
        <w:rPr>
          <w:lang w:val="es-ES"/>
        </w:rPr>
        <w:tab/>
      </w:r>
      <w:r w:rsidR="005639EA" w:rsidRPr="00160847">
        <w:rPr>
          <w:i/>
          <w:iCs/>
          <w:lang w:val="es-ES"/>
        </w:rPr>
        <w:t>Orange/Jazztel</w:t>
      </w:r>
      <w:r w:rsidR="005639EA" w:rsidRPr="00160847">
        <w:rPr>
          <w:lang w:val="es-ES"/>
        </w:rPr>
        <w:t>.</w:t>
      </w:r>
    </w:p>
  </w:footnote>
  <w:footnote w:id="41">
    <w:p w14:paraId="30ECE31C" w14:textId="07EA55FF" w:rsidR="0024294B" w:rsidRPr="00925C90" w:rsidRDefault="0024294B" w:rsidP="0024294B">
      <w:pPr>
        <w:pStyle w:val="FootnoteText"/>
        <w:rPr>
          <w:lang w:val="es-ES"/>
        </w:rPr>
      </w:pPr>
      <w:r>
        <w:rPr>
          <w:rStyle w:val="FootnoteReference"/>
        </w:rPr>
        <w:footnoteRef/>
      </w:r>
      <w:r w:rsidRPr="00925C90">
        <w:rPr>
          <w:lang w:val="es-ES"/>
        </w:rPr>
        <w:tab/>
      </w:r>
      <w:r w:rsidR="00835F39" w:rsidRPr="00925C90">
        <w:rPr>
          <w:i/>
          <w:lang w:val="es-ES"/>
        </w:rPr>
        <w:t>Hutchison 3G UK/Telefónica UK</w:t>
      </w:r>
      <w:r w:rsidR="00835F39" w:rsidRPr="00925C90">
        <w:rPr>
          <w:lang w:val="es-ES"/>
        </w:rPr>
        <w:t>.</w:t>
      </w:r>
    </w:p>
  </w:footnote>
  <w:footnote w:id="42">
    <w:p w14:paraId="01B5B545" w14:textId="4A2E9A55" w:rsidR="00A33979" w:rsidRPr="00160847" w:rsidRDefault="00A33979" w:rsidP="00A33979">
      <w:pPr>
        <w:pStyle w:val="FootnoteText"/>
      </w:pPr>
      <w:r>
        <w:rPr>
          <w:rStyle w:val="FootnoteReference"/>
        </w:rPr>
        <w:footnoteRef/>
      </w:r>
      <w:r w:rsidRPr="00160847">
        <w:tab/>
      </w:r>
      <w:r w:rsidR="003C3D6E" w:rsidRPr="00160847">
        <w:t xml:space="preserve">The  </w:t>
      </w:r>
      <w:r w:rsidR="000233D8" w:rsidRPr="00160847">
        <w:t xml:space="preserve">merging </w:t>
      </w:r>
      <w:r w:rsidR="00997D36">
        <w:t>partie</w:t>
      </w:r>
      <w:r w:rsidR="00997D36" w:rsidRPr="00160847">
        <w:t xml:space="preserve">s’ </w:t>
      </w:r>
      <w:r w:rsidR="000233D8" w:rsidRPr="00160847">
        <w:t xml:space="preserve">simulation in </w:t>
      </w:r>
      <w:r w:rsidR="000233D8" w:rsidRPr="00160847">
        <w:rPr>
          <w:i/>
        </w:rPr>
        <w:t>Hutchison 3G UK/Telefónica Ireland</w:t>
      </w:r>
      <w:r w:rsidR="000233D8" w:rsidRPr="00160847">
        <w:t>.</w:t>
      </w:r>
      <w:r w:rsidR="003C3D6E" w:rsidRPr="00160847">
        <w:t xml:space="preserve"> </w:t>
      </w:r>
    </w:p>
  </w:footnote>
  <w:footnote w:id="43">
    <w:p w14:paraId="32F7BD0B" w14:textId="78E37A8E" w:rsidR="00A33979" w:rsidRDefault="00A33979" w:rsidP="00A33979">
      <w:pPr>
        <w:pStyle w:val="FootnoteText"/>
      </w:pPr>
      <w:r>
        <w:rPr>
          <w:rStyle w:val="FootnoteReference"/>
        </w:rPr>
        <w:footnoteRef/>
      </w:r>
      <w:r>
        <w:tab/>
      </w:r>
      <w:r w:rsidR="005E77C1">
        <w:t>T</w:t>
      </w:r>
      <w:r w:rsidR="005E77C1" w:rsidRPr="005E77C1">
        <w:t xml:space="preserve">he </w:t>
      </w:r>
      <w:r w:rsidR="005E77C1">
        <w:t>Commission</w:t>
      </w:r>
      <w:r w:rsidR="005E77C1" w:rsidRPr="005E77C1">
        <w:t xml:space="preserve">’s econometric BLP-based </w:t>
      </w:r>
      <w:r w:rsidR="003A706F">
        <w:t xml:space="preserve">simulation </w:t>
      </w:r>
      <w:r w:rsidR="005E77C1" w:rsidRPr="005E77C1">
        <w:t xml:space="preserve">in </w:t>
      </w:r>
      <w:r w:rsidR="005E77C1" w:rsidRPr="00D128C1">
        <w:rPr>
          <w:i/>
        </w:rPr>
        <w:t>Hutchison 3G UK/Telefónica Ireland</w:t>
      </w:r>
      <w:r w:rsidR="005E77C1" w:rsidRPr="005E77C1">
        <w:t xml:space="preserve"> and the merging </w:t>
      </w:r>
      <w:r w:rsidR="00997D36">
        <w:t>partie</w:t>
      </w:r>
      <w:r w:rsidR="00997D36" w:rsidRPr="005E77C1">
        <w:t xml:space="preserve">s’ </w:t>
      </w:r>
      <w:r w:rsidR="003A706F">
        <w:t xml:space="preserve">simulation </w:t>
      </w:r>
      <w:r w:rsidR="005E77C1" w:rsidRPr="005E77C1">
        <w:t xml:space="preserve">in </w:t>
      </w:r>
      <w:r w:rsidR="005E77C1" w:rsidRPr="00D128C1">
        <w:rPr>
          <w:i/>
        </w:rPr>
        <w:t>DEMB/Mondelez</w:t>
      </w:r>
      <w:r w:rsidR="003A706F">
        <w:t>.</w:t>
      </w:r>
    </w:p>
  </w:footnote>
  <w:footnote w:id="44">
    <w:p w14:paraId="40CA0891" w14:textId="40C72E4A" w:rsidR="00A158D0" w:rsidRPr="00EB39E0" w:rsidRDefault="00A158D0" w:rsidP="00A158D0">
      <w:pPr>
        <w:pStyle w:val="FootnoteText"/>
      </w:pPr>
      <w:r>
        <w:rPr>
          <w:rStyle w:val="FootnoteReference"/>
        </w:rPr>
        <w:footnoteRef/>
      </w:r>
      <w:r>
        <w:tab/>
      </w:r>
      <w:r w:rsidR="00EB39E0">
        <w:t>See</w:t>
      </w:r>
      <w:r w:rsidR="00C15F67">
        <w:t>,</w:t>
      </w:r>
      <w:r w:rsidR="00EB39E0">
        <w:t xml:space="preserve"> for example</w:t>
      </w:r>
      <w:r w:rsidR="00C15F67">
        <w:t>,</w:t>
      </w:r>
      <w:r w:rsidR="00EB39E0">
        <w:t xml:space="preserve"> </w:t>
      </w:r>
      <w:r w:rsidRPr="00146F77" w:rsidDel="00D97A97">
        <w:rPr>
          <w:i/>
          <w:iCs/>
        </w:rPr>
        <w:t>Kraft Foods/Cadbury</w:t>
      </w:r>
      <w:r w:rsidR="006C729F">
        <w:rPr>
          <w:i/>
          <w:iCs/>
        </w:rPr>
        <w:t xml:space="preserve"> </w:t>
      </w:r>
      <w:r w:rsidR="006C729F" w:rsidRPr="00825348">
        <w:t>and</w:t>
      </w:r>
      <w:r w:rsidR="00EB39E0" w:rsidDel="00D97A97">
        <w:t xml:space="preserve"> </w:t>
      </w:r>
      <w:r w:rsidR="00EB39E0" w:rsidRPr="00635F5F" w:rsidDel="00D97A97">
        <w:rPr>
          <w:i/>
          <w:iCs/>
        </w:rPr>
        <w:t>Unilever/Sara Lee</w:t>
      </w:r>
      <w:r w:rsidR="00EB39E0" w:rsidDel="00D97A97">
        <w:t>.</w:t>
      </w:r>
    </w:p>
  </w:footnote>
  <w:footnote w:id="45">
    <w:p w14:paraId="5EB9C2DE" w14:textId="2648B617" w:rsidR="00BD666F" w:rsidRDefault="00BD666F" w:rsidP="00BD666F">
      <w:pPr>
        <w:pStyle w:val="FootnoteText"/>
      </w:pPr>
      <w:r>
        <w:rPr>
          <w:rStyle w:val="FootnoteReference"/>
        </w:rPr>
        <w:footnoteRef/>
      </w:r>
      <w:r>
        <w:tab/>
      </w:r>
      <w:r w:rsidRPr="00146F77" w:rsidDel="00D97A97">
        <w:rPr>
          <w:i/>
          <w:iCs/>
        </w:rPr>
        <w:t>D</w:t>
      </w:r>
      <w:r w:rsidRPr="00146F77">
        <w:rPr>
          <w:i/>
          <w:iCs/>
        </w:rPr>
        <w:t>EMB</w:t>
      </w:r>
      <w:r w:rsidRPr="00146F77" w:rsidDel="00D97A97">
        <w:rPr>
          <w:i/>
          <w:iCs/>
        </w:rPr>
        <w:t>/Mondelez</w:t>
      </w:r>
      <w:r>
        <w:rPr>
          <w:i/>
          <w:iCs/>
        </w:rPr>
        <w:t>.</w:t>
      </w:r>
    </w:p>
  </w:footnote>
  <w:footnote w:id="46">
    <w:p w14:paraId="22237110" w14:textId="0C956A4A" w:rsidR="00AC4B44" w:rsidRDefault="00AC4B44" w:rsidP="00AC4B44">
      <w:pPr>
        <w:pStyle w:val="FootnoteText"/>
      </w:pPr>
      <w:r>
        <w:rPr>
          <w:rStyle w:val="FootnoteReference"/>
        </w:rPr>
        <w:footnoteRef/>
      </w:r>
      <w:r>
        <w:tab/>
      </w:r>
      <w:r w:rsidRPr="00A433C9">
        <w:rPr>
          <w:iCs/>
        </w:rPr>
        <w:t>In</w:t>
      </w:r>
      <w:r w:rsidRPr="005429EE">
        <w:rPr>
          <w:i/>
        </w:rPr>
        <w:t xml:space="preserve"> Hutchison 3G UK/Telefónica Ireland</w:t>
      </w:r>
      <w:r>
        <w:t xml:space="preserve">, the merging </w:t>
      </w:r>
      <w:r w:rsidR="00997D36">
        <w:t xml:space="preserve">parties </w:t>
      </w:r>
      <w:r>
        <w:t>argued that the Commission’s BLP model was “</w:t>
      </w:r>
      <w:r w:rsidRPr="005429EE">
        <w:rPr>
          <w:i/>
        </w:rPr>
        <w:t>overly sensitive to the underlying method</w:t>
      </w:r>
      <w:r>
        <w:t xml:space="preserve">” – the Commission ultimately placed no evidentiary weight on its own model. In </w:t>
      </w:r>
      <w:r w:rsidRPr="005429EE">
        <w:rPr>
          <w:i/>
        </w:rPr>
        <w:t>Telefónica Deutschland/E-Plus</w:t>
      </w:r>
      <w:r>
        <w:t xml:space="preserve">, the merging </w:t>
      </w:r>
      <w:r w:rsidR="00997D36">
        <w:t xml:space="preserve">parties </w:t>
      </w:r>
      <w:r>
        <w:t>argued that the Commission’s BLP model – due to its increased complexity relative to simpler logit models – was “</w:t>
      </w:r>
      <w:r w:rsidRPr="005429EE">
        <w:rPr>
          <w:i/>
        </w:rPr>
        <w:t>highly unreliable</w:t>
      </w:r>
      <w:r>
        <w:t>” and that its other nested logit model deployed in the case “</w:t>
      </w:r>
      <w:r w:rsidRPr="005429EE">
        <w:rPr>
          <w:i/>
        </w:rPr>
        <w:t>better fits the data</w:t>
      </w:r>
      <w:r>
        <w:t xml:space="preserve">”. In </w:t>
      </w:r>
      <w:r w:rsidRPr="005429EE">
        <w:rPr>
          <w:i/>
        </w:rPr>
        <w:t>T-Mobile NL/Tele2 NL</w:t>
      </w:r>
      <w:r>
        <w:t xml:space="preserve">, the Commission argued that the merging </w:t>
      </w:r>
      <w:r w:rsidR="00997D36">
        <w:t xml:space="preserve">parties’ </w:t>
      </w:r>
      <w:r>
        <w:t>RCs model was computationally intensive and produced “</w:t>
      </w:r>
      <w:r w:rsidRPr="005429EE">
        <w:rPr>
          <w:i/>
        </w:rPr>
        <w:t>unstable</w:t>
      </w:r>
      <w:r>
        <w:t>” results.</w:t>
      </w:r>
    </w:p>
  </w:footnote>
  <w:footnote w:id="47">
    <w:p w14:paraId="4C847093" w14:textId="60F518F9" w:rsidR="007A615E" w:rsidRDefault="007A615E" w:rsidP="007A615E">
      <w:pPr>
        <w:pStyle w:val="FootnoteText"/>
      </w:pPr>
      <w:r>
        <w:rPr>
          <w:rStyle w:val="FootnoteReference"/>
        </w:rPr>
        <w:footnoteRef/>
      </w:r>
      <w:r>
        <w:tab/>
      </w:r>
      <w:r w:rsidRPr="00A71B3F">
        <w:rPr>
          <w:i/>
        </w:rPr>
        <w:t>Unilever/Sara Lee</w:t>
      </w:r>
      <w:r>
        <w:rPr>
          <w:i/>
        </w:rPr>
        <w:t>.</w:t>
      </w:r>
    </w:p>
  </w:footnote>
  <w:footnote w:id="48">
    <w:p w14:paraId="55538725" w14:textId="39D9EFA4" w:rsidR="003639BA" w:rsidRDefault="003639BA" w:rsidP="003639BA">
      <w:pPr>
        <w:pStyle w:val="FootnoteText"/>
      </w:pPr>
      <w:r>
        <w:rPr>
          <w:rStyle w:val="FootnoteReference"/>
        </w:rPr>
        <w:footnoteRef/>
      </w:r>
      <w:r>
        <w:tab/>
      </w:r>
      <w:r w:rsidRPr="003639BA">
        <w:t xml:space="preserve">Although in this section we analyse the same set of cases as in Section </w:t>
      </w:r>
      <w:r w:rsidR="005E3798">
        <w:t>4</w:t>
      </w:r>
      <w:r w:rsidRPr="003639BA">
        <w:t>, it is not possible to link the two analyses, as the sample size is not large enough to incorporate in an econometric analysis each of the modelling issues discussed.</w:t>
      </w:r>
    </w:p>
  </w:footnote>
  <w:footnote w:id="49">
    <w:p w14:paraId="26D18A9F" w14:textId="77777777" w:rsidR="00F61808" w:rsidRDefault="00F61808" w:rsidP="00F61808">
      <w:pPr>
        <w:pStyle w:val="FootnoteText"/>
      </w:pPr>
      <w:r>
        <w:rPr>
          <w:rStyle w:val="FootnoteReference"/>
        </w:rPr>
        <w:footnoteRef/>
      </w:r>
      <w:r>
        <w:tab/>
        <w:t>See Annex A, para. 244 of the Decision.</w:t>
      </w:r>
    </w:p>
  </w:footnote>
  <w:footnote w:id="50">
    <w:p w14:paraId="38CDCD31" w14:textId="068AE1E8" w:rsidR="007449E5" w:rsidRDefault="007449E5" w:rsidP="007449E5">
      <w:pPr>
        <w:pStyle w:val="FootnoteText"/>
      </w:pPr>
      <w:r>
        <w:rPr>
          <w:rStyle w:val="FootnoteReference"/>
        </w:rPr>
        <w:footnoteRef/>
      </w:r>
      <w:r>
        <w:tab/>
        <w:t xml:space="preserve">See </w:t>
      </w:r>
      <w:r w:rsidR="003E0F32">
        <w:t xml:space="preserve">also </w:t>
      </w:r>
      <w:r w:rsidRPr="00550AD8">
        <w:t>Buettner</w:t>
      </w:r>
      <w:r>
        <w:t xml:space="preserve"> et al. (</w:t>
      </w:r>
      <w:r w:rsidRPr="00550AD8">
        <w:t>2016)</w:t>
      </w:r>
      <w:r>
        <w:t>.</w:t>
      </w:r>
    </w:p>
  </w:footnote>
  <w:footnote w:id="51">
    <w:p w14:paraId="4F083F81" w14:textId="052F92E4" w:rsidR="003E3708" w:rsidRDefault="003E3708" w:rsidP="003E3708">
      <w:pPr>
        <w:pStyle w:val="FootnoteText"/>
      </w:pPr>
      <w:r>
        <w:rPr>
          <w:rStyle w:val="FootnoteReference"/>
        </w:rPr>
        <w:footnoteRef/>
      </w:r>
      <w:r>
        <w:tab/>
        <w:t xml:space="preserve">See, for example, </w:t>
      </w:r>
      <w:r w:rsidR="00EC157C" w:rsidRPr="00EC157C">
        <w:t>Tommaso Valletti</w:t>
      </w:r>
      <w:r w:rsidR="00954F8E">
        <w:t xml:space="preserve"> (2024) </w:t>
      </w:r>
      <w:r w:rsidR="00EC157C" w:rsidRPr="00EC157C">
        <w:t>What Have The Consultants Ever Done For Us?</w:t>
      </w:r>
      <w:r w:rsidR="00954F8E">
        <w:t xml:space="preserve">, </w:t>
      </w:r>
      <w:hyperlink r:id="rId1" w:history="1">
        <w:r w:rsidR="00954F8E" w:rsidRPr="00F6576F">
          <w:rPr>
            <w:rStyle w:val="Hyperlink"/>
          </w:rPr>
          <w:t>https://www.promarket.org/2024/02/28/what-have-the-consultants-ever-done-for-us</w:t>
        </w:r>
      </w:hyperlink>
      <w:r w:rsidR="00A433C9">
        <w:t>.</w:t>
      </w:r>
      <w:r w:rsidR="00954F8E">
        <w:t xml:space="preserve"> </w:t>
      </w:r>
    </w:p>
  </w:footnote>
  <w:footnote w:id="52">
    <w:p w14:paraId="17C74B17" w14:textId="29E2C36C" w:rsidR="00AB0A10" w:rsidRDefault="00AB0A10" w:rsidP="00AB0A10">
      <w:pPr>
        <w:pStyle w:val="FootnoteText"/>
      </w:pPr>
      <w:r>
        <w:rPr>
          <w:rStyle w:val="FootnoteReference"/>
        </w:rPr>
        <w:footnoteRef/>
      </w:r>
      <w:r>
        <w:tab/>
        <w:t xml:space="preserve">See, </w:t>
      </w:r>
      <w:r w:rsidR="00884DCB">
        <w:t xml:space="preserve">for example, </w:t>
      </w:r>
      <w:r w:rsidR="00C12F5B">
        <w:t xml:space="preserve">Thilo Klein, </w:t>
      </w:r>
      <w:r w:rsidR="00B5430D" w:rsidRPr="00B5430D">
        <w:t>The General Court's CK Telecoms Ruling: Towards a Re-assessment of Unilateral-Effects in Merger Review</w:t>
      </w:r>
      <w:r w:rsidR="00B5430D">
        <w:t>: “</w:t>
      </w:r>
      <w:r w:rsidR="00DB14EC" w:rsidRPr="00B23668">
        <w:rPr>
          <w:i/>
        </w:rPr>
        <w:t>The Commission’s model is driven largely by two variables: the diversion ratios between the parties, which will tend to be high in a concentrated industry like mobile telecoms, and the parties’ gross margins, which will be high because most of the costs of network operators are fixed. In combination, these two factors drive high price forecasts.</w:t>
      </w:r>
      <w:r w:rsidR="00B5430D">
        <w:t>”</w:t>
      </w:r>
    </w:p>
  </w:footnote>
  <w:footnote w:id="53">
    <w:p w14:paraId="780F5758" w14:textId="5C0ADAE8" w:rsidR="001F3C1E" w:rsidRDefault="001F3C1E" w:rsidP="001F3C1E">
      <w:pPr>
        <w:pStyle w:val="FootnoteText"/>
      </w:pPr>
      <w:r>
        <w:rPr>
          <w:rStyle w:val="FootnoteReference"/>
        </w:rPr>
        <w:footnoteRef/>
      </w:r>
      <w:r>
        <w:tab/>
        <w:t>See, for example, Katar</w:t>
      </w:r>
      <w:r w:rsidR="00766DA8">
        <w:t xml:space="preserve">zyna Czapracka, </w:t>
      </w:r>
      <w:r w:rsidR="00766DA8" w:rsidRPr="00766DA8">
        <w:t>“No Magic Number” Means “No Magic Number”: Will the EU Court Turn the Tide on 4-to-3 Mobile Mergers in Europe?</w:t>
      </w:r>
    </w:p>
  </w:footnote>
  <w:footnote w:id="54">
    <w:p w14:paraId="7C6FCCDA" w14:textId="722A5092" w:rsidR="00580B96" w:rsidRDefault="00580B96" w:rsidP="00580B96">
      <w:pPr>
        <w:pStyle w:val="FootnoteText"/>
      </w:pPr>
      <w:r>
        <w:rPr>
          <w:rStyle w:val="FootnoteReference"/>
        </w:rPr>
        <w:footnoteRef/>
      </w:r>
      <w:r>
        <w:tab/>
      </w:r>
      <w:r w:rsidR="007354C1">
        <w:t>See</w:t>
      </w:r>
      <w:r w:rsidRPr="00BF4DB3">
        <w:t xml:space="preserve"> Annex A, para. 244</w:t>
      </w:r>
      <w:r w:rsidR="004D1F3C">
        <w:t xml:space="preserve"> of the Decision</w:t>
      </w:r>
      <w:r w:rsidRPr="00BF4DB3">
        <w:t>.</w:t>
      </w:r>
      <w:r>
        <w:t xml:space="preserve"> Although they explicitly refer to the UPP model in the quote, it applies equally to the merger simulation used.</w:t>
      </w:r>
    </w:p>
  </w:footnote>
  <w:footnote w:id="55">
    <w:p w14:paraId="7B28D6DA" w14:textId="77777777" w:rsidR="007231C4" w:rsidRDefault="007231C4" w:rsidP="007231C4">
      <w:pPr>
        <w:pStyle w:val="FootnoteText"/>
      </w:pPr>
      <w:r>
        <w:rPr>
          <w:rStyle w:val="FootnoteReference"/>
        </w:rPr>
        <w:footnoteRef/>
      </w:r>
      <w:r>
        <w:tab/>
        <w:t>Coded as 4% in the quantitative assessment.</w:t>
      </w:r>
    </w:p>
  </w:footnote>
  <w:footnote w:id="56">
    <w:p w14:paraId="68C7620D" w14:textId="5A8AED4D" w:rsidR="007231C4" w:rsidRDefault="007231C4" w:rsidP="007231C4">
      <w:pPr>
        <w:pStyle w:val="FootnoteText"/>
      </w:pPr>
      <w:r>
        <w:rPr>
          <w:rStyle w:val="FootnoteReference"/>
        </w:rPr>
        <w:footnoteRef/>
      </w:r>
      <w:r>
        <w:tab/>
        <w:t xml:space="preserve">Coded as 0% for the merging </w:t>
      </w:r>
      <w:r w:rsidR="00997D36">
        <w:t>partie</w:t>
      </w:r>
      <w:r>
        <w:t>s/merged entity in the quantitative assessment.</w:t>
      </w:r>
    </w:p>
  </w:footnote>
  <w:footnote w:id="57">
    <w:p w14:paraId="5FC78D2D" w14:textId="142A0DEF" w:rsidR="006B3814" w:rsidRDefault="006B3814" w:rsidP="006B3814">
      <w:pPr>
        <w:pStyle w:val="FootnoteText"/>
      </w:pPr>
      <w:r>
        <w:rPr>
          <w:rStyle w:val="FootnoteReference"/>
        </w:rPr>
        <w:footnoteRef/>
      </w:r>
      <w:r>
        <w:tab/>
      </w:r>
      <w:r w:rsidRPr="006B3814">
        <w:t>To make the price</w:t>
      </w:r>
      <w:r w:rsidR="00517637">
        <w:t xml:space="preserve"> </w:t>
      </w:r>
      <w:r w:rsidRPr="006B3814">
        <w:t>change predictions comparable across simulations, where an assessment presents price</w:t>
      </w:r>
      <w:r w:rsidR="00517637">
        <w:t xml:space="preserve"> </w:t>
      </w:r>
      <w:r w:rsidRPr="006B3814">
        <w:t xml:space="preserve">change estimates separately for each merging </w:t>
      </w:r>
      <w:r w:rsidR="00442295">
        <w:t>party</w:t>
      </w:r>
      <w:r w:rsidRPr="006B3814">
        <w:t xml:space="preserve">, these are combined together and a simple merger-level average price </w:t>
      </w:r>
      <w:r w:rsidR="00772986">
        <w:t>change</w:t>
      </w:r>
      <w:r w:rsidRPr="006B3814">
        <w:t xml:space="preserve"> computed</w:t>
      </w:r>
      <w:r>
        <w:t xml:space="preserve">. </w:t>
      </w:r>
      <w:r w:rsidRPr="006B3814">
        <w:t>This is also more consistent with how we record market share data for the quantitative analysis, which is at the level of the merged entity – this is</w:t>
      </w:r>
      <w:r w:rsidR="00274A88">
        <w:t xml:space="preserve"> because the combined share is a proxy for the magnitude of the concentration and hence should be a predictor of the predicted price </w:t>
      </w:r>
      <w:r w:rsidR="00772986">
        <w:t>change</w:t>
      </w:r>
      <w:r w:rsidR="00274A88">
        <w:t xml:space="preserve"> in the associated merger simulation.</w:t>
      </w:r>
      <w:r>
        <w:t xml:space="preserve"> </w:t>
      </w:r>
      <w:r w:rsidRPr="006B3814">
        <w:t xml:space="preserve">In the </w:t>
      </w:r>
      <w:r w:rsidR="000F0763">
        <w:t>A</w:t>
      </w:r>
      <w:r w:rsidRPr="006B3814">
        <w:t xml:space="preserve">ppendix we show that our regression analysis is robust to instead calculating an average weighted by each merging </w:t>
      </w:r>
      <w:r w:rsidR="00442295">
        <w:t>party</w:t>
      </w:r>
      <w:r w:rsidRPr="006B3814">
        <w:t>’s individual market share.</w:t>
      </w:r>
    </w:p>
  </w:footnote>
  <w:footnote w:id="58">
    <w:p w14:paraId="5436A5C2" w14:textId="50621E05" w:rsidR="00FF44CE" w:rsidRDefault="00FF44CE" w:rsidP="00FF44CE">
      <w:pPr>
        <w:pStyle w:val="FootnoteText"/>
      </w:pPr>
      <w:r>
        <w:rPr>
          <w:rStyle w:val="FootnoteReference"/>
        </w:rPr>
        <w:footnoteRef/>
      </w:r>
      <w:r>
        <w:tab/>
        <w:t xml:space="preserve">We made some other restrictions to the data to prepare it for our analysis. First, for the models where predicted price </w:t>
      </w:r>
      <w:r w:rsidR="00772986">
        <w:t>changes</w:t>
      </w:r>
      <w:r>
        <w:t xml:space="preserve"> for the market are calculated and presented in addition to those of the merging parties/merged entity/competitors, these are removed to remove double counting. However, for the models where only predicted price </w:t>
      </w:r>
      <w:r w:rsidR="00772986">
        <w:t>changes</w:t>
      </w:r>
      <w:r>
        <w:t xml:space="preserve"> for the market as a whole are presented, these are retained, including a dummy to control for these observations in the regressions. Second, for a small number of price </w:t>
      </w:r>
      <w:r w:rsidR="00772986">
        <w:t>change</w:t>
      </w:r>
      <w:r>
        <w:t xml:space="preserve"> estimates, corresponding information on the combined share and increment is not available, usually because the market definition used for the model is not the same as the market definition established elsewhere in the decision and hence market shares are not calculated and presented – these are dropped from the sample.</w:t>
      </w:r>
    </w:p>
  </w:footnote>
  <w:footnote w:id="59">
    <w:p w14:paraId="641547CE" w14:textId="0E3E0E6B" w:rsidR="005E132D" w:rsidRPr="005A4BD2" w:rsidRDefault="005E132D" w:rsidP="005E132D">
      <w:pPr>
        <w:pStyle w:val="FootnoteText"/>
      </w:pPr>
      <w:r>
        <w:rPr>
          <w:rStyle w:val="FootnoteReference"/>
        </w:rPr>
        <w:footnoteRef/>
      </w:r>
      <w:r>
        <w:tab/>
      </w:r>
      <w:r w:rsidRPr="005A4BD2">
        <w:t xml:space="preserve">See </w:t>
      </w:r>
      <w:r w:rsidRPr="000F0B73">
        <w:t xml:space="preserve">Table </w:t>
      </w:r>
      <w:r w:rsidR="002C592C" w:rsidRPr="005A4BD2">
        <w:t>7</w:t>
      </w:r>
      <w:r w:rsidRPr="005A4BD2">
        <w:t xml:space="preserve"> in the Appendix for further detail.</w:t>
      </w:r>
    </w:p>
  </w:footnote>
  <w:footnote w:id="60">
    <w:p w14:paraId="7EE31E5E" w14:textId="7DBBE2D4" w:rsidR="002A1A30" w:rsidRPr="005A4BD2" w:rsidRDefault="002A1A30" w:rsidP="002A1A30">
      <w:pPr>
        <w:pStyle w:val="FootnoteText"/>
      </w:pPr>
      <w:r w:rsidRPr="005A4BD2">
        <w:rPr>
          <w:rStyle w:val="FootnoteReference"/>
        </w:rPr>
        <w:footnoteRef/>
      </w:r>
      <w:r w:rsidRPr="005A4BD2">
        <w:tab/>
        <w:t xml:space="preserve">See </w:t>
      </w:r>
      <w:r w:rsidRPr="000F0B73">
        <w:t xml:space="preserve">Table </w:t>
      </w:r>
      <w:r w:rsidR="002C592C" w:rsidRPr="005A4BD2">
        <w:t>8</w:t>
      </w:r>
      <w:r w:rsidRPr="005A4BD2">
        <w:t xml:space="preserve"> in the Appendix for further detail.</w:t>
      </w:r>
    </w:p>
  </w:footnote>
  <w:footnote w:id="61">
    <w:p w14:paraId="6B97A2A1" w14:textId="2BF9D58E" w:rsidR="00C76BB4" w:rsidRPr="005A4BD2" w:rsidRDefault="00C76BB4" w:rsidP="00C76BB4">
      <w:pPr>
        <w:pStyle w:val="FootnoteText"/>
      </w:pPr>
      <w:r w:rsidRPr="005A4BD2">
        <w:rPr>
          <w:rStyle w:val="FootnoteReference"/>
        </w:rPr>
        <w:footnoteRef/>
      </w:r>
      <w:r w:rsidRPr="005A4BD2">
        <w:tab/>
        <w:t xml:space="preserve">See </w:t>
      </w:r>
      <w:r w:rsidRPr="000F0B73">
        <w:t xml:space="preserve">Table </w:t>
      </w:r>
      <w:r w:rsidR="002C592C" w:rsidRPr="005A4BD2">
        <w:t>9</w:t>
      </w:r>
      <w:r w:rsidRPr="005A4BD2">
        <w:t xml:space="preserve"> in the Appendix for further detail.</w:t>
      </w:r>
    </w:p>
  </w:footnote>
  <w:footnote w:id="62">
    <w:p w14:paraId="767526B1" w14:textId="26F8855E" w:rsidR="004E3DFB" w:rsidRDefault="004E3DFB" w:rsidP="004E3DFB">
      <w:pPr>
        <w:pStyle w:val="FootnoteText"/>
      </w:pPr>
      <w:r w:rsidRPr="005A4BD2">
        <w:rPr>
          <w:rStyle w:val="FootnoteReference"/>
        </w:rPr>
        <w:footnoteRef/>
      </w:r>
      <w:r w:rsidRPr="005A4BD2">
        <w:tab/>
        <w:t xml:space="preserve">See Table </w:t>
      </w:r>
      <w:r w:rsidR="002C592C" w:rsidRPr="005A4BD2">
        <w:t>10</w:t>
      </w:r>
      <w:r>
        <w:t xml:space="preserve"> in the Appendix for further detail.</w:t>
      </w:r>
    </w:p>
  </w:footnote>
  <w:footnote w:id="63">
    <w:p w14:paraId="4E05C1EA" w14:textId="4D18B9C1" w:rsidR="00AC3F5E" w:rsidRDefault="00AC3F5E" w:rsidP="00AC3F5E">
      <w:pPr>
        <w:pStyle w:val="FootnoteText"/>
      </w:pPr>
      <w:r>
        <w:rPr>
          <w:rStyle w:val="FootnoteReference"/>
        </w:rPr>
        <w:footnoteRef/>
      </w:r>
      <w:r>
        <w:tab/>
        <w:t xml:space="preserve">For example, in </w:t>
      </w:r>
      <w:r w:rsidRPr="000F0B73">
        <w:rPr>
          <w:i/>
          <w:iCs/>
        </w:rPr>
        <w:t>Volvo/Scania</w:t>
      </w:r>
      <w:r w:rsidR="00986A70">
        <w:t>,</w:t>
      </w:r>
      <w:r>
        <w:t xml:space="preserve"> the merger simulation was applied to </w:t>
      </w:r>
      <w:r w:rsidR="004E3DFB">
        <w:t>16 national markets, whereas in the telecoms cases there was only one geographic market in each.</w:t>
      </w:r>
    </w:p>
  </w:footnote>
  <w:footnote w:id="64">
    <w:p w14:paraId="1B898860" w14:textId="4AC55048" w:rsidR="00986A70" w:rsidRDefault="00986A70">
      <w:pPr>
        <w:pStyle w:val="FootnoteText"/>
      </w:pPr>
      <w:r>
        <w:rPr>
          <w:rStyle w:val="FootnoteReference"/>
        </w:rPr>
        <w:footnoteRef/>
      </w:r>
      <w:r>
        <w:t xml:space="preserve"> </w:t>
      </w:r>
      <w:r>
        <w:tab/>
        <w:t>See, for example, Jan Peter van der Veer, Unilever/Sara Lee – The return of merger simulation</w:t>
      </w:r>
      <w:r w:rsidRPr="00766DA8">
        <w:t>?</w:t>
      </w:r>
    </w:p>
  </w:footnote>
  <w:footnote w:id="65">
    <w:p w14:paraId="08AD8D4B" w14:textId="3010FD2D" w:rsidR="001F2B04" w:rsidRDefault="001F2B04" w:rsidP="001F2B04">
      <w:pPr>
        <w:pStyle w:val="FootnoteText"/>
      </w:pPr>
      <w:r>
        <w:rPr>
          <w:rStyle w:val="FootnoteReference"/>
        </w:rPr>
        <w:footnoteRef/>
      </w:r>
      <w:r>
        <w:tab/>
        <w:t xml:space="preserve">The same </w:t>
      </w:r>
      <w:r w:rsidR="00E120A3">
        <w:t xml:space="preserve">conclusions arise </w:t>
      </w:r>
      <w:r>
        <w:t xml:space="preserve">when considering only the merged entity observations (n=114) which would not suffer from mix effects from the inclusion of price </w:t>
      </w:r>
      <w:r w:rsidR="004C388B">
        <w:t>change</w:t>
      </w:r>
      <w:r>
        <w:t xml:space="preserve"> estimates for competitors and/or the market as a whole, which we can control for in a regression but not when considering simple averages as in this table. S</w:t>
      </w:r>
      <w:r w:rsidRPr="003B2E73">
        <w:t xml:space="preserve">ee </w:t>
      </w:r>
      <w:r w:rsidRPr="005A4BD2">
        <w:t>Table 11</w:t>
      </w:r>
      <w:r w:rsidRPr="003B2E73">
        <w:t xml:space="preserve"> in the Appendix</w:t>
      </w:r>
      <w:r>
        <w:t>.</w:t>
      </w:r>
    </w:p>
  </w:footnote>
  <w:footnote w:id="66">
    <w:p w14:paraId="10C02FA1" w14:textId="0819C5D7" w:rsidR="00101286" w:rsidRDefault="00101286" w:rsidP="00101286">
      <w:pPr>
        <w:pStyle w:val="FootnoteText"/>
      </w:pPr>
      <w:r>
        <w:rPr>
          <w:rStyle w:val="FootnoteReference"/>
        </w:rPr>
        <w:footnoteRef/>
      </w:r>
      <w:r>
        <w:tab/>
        <w:t>T</w:t>
      </w:r>
      <w:r w:rsidRPr="00101286">
        <w:t xml:space="preserve">hough this is based on a relatively small sample size, and driven by the random-coefficients econometric models put forward by the merging parties in </w:t>
      </w:r>
      <w:r w:rsidRPr="002215BF">
        <w:rPr>
          <w:i/>
        </w:rPr>
        <w:t>Hutchison 3G Italy/Wind JV</w:t>
      </w:r>
      <w:r w:rsidRPr="00101286">
        <w:t>, where the models predicted large nominal price increases but which they argued would be offset by even larger increases in quality</w:t>
      </w:r>
      <w:r>
        <w:t>.</w:t>
      </w:r>
    </w:p>
  </w:footnote>
  <w:footnote w:id="67">
    <w:p w14:paraId="77AA421D" w14:textId="370B5BED" w:rsidR="00BD7E1C" w:rsidRDefault="00BD7E1C" w:rsidP="00BD7E1C">
      <w:pPr>
        <w:pStyle w:val="FootnoteText"/>
      </w:pPr>
      <w:r>
        <w:rPr>
          <w:rStyle w:val="FootnoteReference"/>
        </w:rPr>
        <w:footnoteRef/>
      </w:r>
      <w:r>
        <w:tab/>
        <w:t xml:space="preserve">These conclusions are largely the same when only considering the predicted price changes of the merged entity, a sub-sample which does not suffer from mix effects (see </w:t>
      </w:r>
      <w:r w:rsidRPr="008A6BFF">
        <w:t xml:space="preserve">Table </w:t>
      </w:r>
      <w:r w:rsidR="008A6BFF" w:rsidRPr="008A6BFF">
        <w:t>13</w:t>
      </w:r>
      <w:r>
        <w:t xml:space="preserve"> in the Appendix).</w:t>
      </w:r>
    </w:p>
  </w:footnote>
  <w:footnote w:id="68">
    <w:p w14:paraId="17923681" w14:textId="196284AC" w:rsidR="00D32F2C" w:rsidRDefault="00D32F2C" w:rsidP="00D32F2C">
      <w:pPr>
        <w:pStyle w:val="FootnoteText"/>
      </w:pPr>
      <w:r>
        <w:rPr>
          <w:rStyle w:val="FootnoteReference"/>
        </w:rPr>
        <w:footnoteRef/>
      </w:r>
      <w:r>
        <w:tab/>
      </w:r>
      <w:r w:rsidRPr="004A6632">
        <w:t xml:space="preserve">These results confirm some </w:t>
      </w:r>
      <w:r>
        <w:t xml:space="preserve">of the </w:t>
      </w:r>
      <w:r w:rsidRPr="004A6632">
        <w:t>conventional wisdom</w:t>
      </w:r>
      <w:r>
        <w:t xml:space="preserve"> of merger analysis</w:t>
      </w:r>
      <w:r w:rsidRPr="004A6632">
        <w:t xml:space="preserve">: </w:t>
      </w:r>
      <w:r>
        <w:t xml:space="preserve">the </w:t>
      </w:r>
      <w:r w:rsidRPr="004A6632">
        <w:t xml:space="preserve">price increase prediction is larger if the change in market concentration (post-merger combined share) is larger, and/or where the increment in market concentration is larger. Similarly intuitively, the price increase </w:t>
      </w:r>
      <w:r>
        <w:t>estimates are</w:t>
      </w:r>
      <w:r w:rsidRPr="004A6632">
        <w:t xml:space="preserve"> larger in simulations produced in </w:t>
      </w:r>
      <w:r w:rsidR="00A33707">
        <w:t>p</w:t>
      </w:r>
      <w:r w:rsidRPr="004A6632">
        <w:t>hase 2 or in blocked mergers in most of the specifications</w:t>
      </w:r>
      <w:r>
        <w:t xml:space="preserve">, and they are lower </w:t>
      </w:r>
      <w:r w:rsidRPr="004A6632">
        <w:t>when synergies are factored into the model.</w:t>
      </w:r>
    </w:p>
  </w:footnote>
  <w:footnote w:id="69">
    <w:p w14:paraId="1D79EBE0" w14:textId="7C693B8A" w:rsidR="007E3F0C" w:rsidRDefault="007E3F0C" w:rsidP="007E3F0C">
      <w:pPr>
        <w:pStyle w:val="FootnoteText"/>
      </w:pPr>
      <w:r>
        <w:rPr>
          <w:rStyle w:val="FootnoteReference"/>
        </w:rPr>
        <w:footnoteRef/>
      </w:r>
      <w:r>
        <w:tab/>
      </w:r>
      <w:r w:rsidR="00FA74EE">
        <w:t>This implies that, f</w:t>
      </w:r>
      <w:r w:rsidR="00D66586">
        <w:t>or the cases that featured more than one simulation model</w:t>
      </w:r>
      <w:r w:rsidR="00FA74EE">
        <w:t xml:space="preserve">, the standard errors are still clustered </w:t>
      </w:r>
      <w:r w:rsidR="00DC1D1A">
        <w:t>at the model level, not the case level.</w:t>
      </w:r>
      <w:r w:rsidR="00FA74EE">
        <w:t xml:space="preserve"> </w:t>
      </w:r>
      <w:r w:rsidR="00DC1D1A">
        <w:t>However, i</w:t>
      </w:r>
      <w:r w:rsidR="00424E2F">
        <w:t xml:space="preserve">n the </w:t>
      </w:r>
      <w:r w:rsidR="000F0763">
        <w:t>A</w:t>
      </w:r>
      <w:r w:rsidR="00424E2F">
        <w:t>ppendix</w:t>
      </w:r>
      <w:r w:rsidR="00DC1D1A">
        <w:t>,</w:t>
      </w:r>
      <w:r w:rsidR="00424E2F">
        <w:t xml:space="preserve"> we </w:t>
      </w:r>
      <w:r w:rsidR="004B12E2">
        <w:t xml:space="preserve">show the results clustering </w:t>
      </w:r>
      <w:r w:rsidR="0045782B">
        <w:t xml:space="preserve">standard errors </w:t>
      </w:r>
      <w:r w:rsidR="004B12E2">
        <w:t>by case.</w:t>
      </w:r>
    </w:p>
  </w:footnote>
  <w:footnote w:id="70">
    <w:p w14:paraId="1C55722F" w14:textId="7C6F6341" w:rsidR="004279BE" w:rsidRDefault="004279BE" w:rsidP="004279BE">
      <w:pPr>
        <w:pStyle w:val="FootnoteText"/>
      </w:pPr>
      <w:r>
        <w:rPr>
          <w:rStyle w:val="FootnoteReference"/>
        </w:rPr>
        <w:footnoteRef/>
      </w:r>
      <w:r>
        <w:tab/>
        <w:t>S</w:t>
      </w:r>
      <w:r w:rsidRPr="004279BE">
        <w:t xml:space="preserve">upporting the specific point made by the merging </w:t>
      </w:r>
      <w:r w:rsidR="00442295">
        <w:t>partie</w:t>
      </w:r>
      <w:r w:rsidR="00442295" w:rsidRPr="004279BE">
        <w:t xml:space="preserve">s </w:t>
      </w:r>
      <w:r w:rsidRPr="004279BE">
        <w:t xml:space="preserve">in </w:t>
      </w:r>
      <w:r w:rsidRPr="00635F5F">
        <w:rPr>
          <w:i/>
          <w:iCs/>
        </w:rPr>
        <w:t>Hutchison 3G UK/Telefónica UK</w:t>
      </w:r>
      <w:r w:rsidRPr="004279BE">
        <w:t xml:space="preserve">, that when the Commission </w:t>
      </w:r>
      <w:r w:rsidR="00FE431E">
        <w:t>presented</w:t>
      </w:r>
      <w:r w:rsidRPr="004279BE">
        <w:t xml:space="preserve"> both calibrated and econometric models side-by-side, the latter produced lower price increase estimates – see Section 4.</w:t>
      </w:r>
      <w:r w:rsidR="006720CC">
        <w:t>1</w:t>
      </w:r>
      <w:r w:rsidR="00472BAC">
        <w:t>.</w:t>
      </w:r>
      <w:r w:rsidR="005E1648">
        <w:t xml:space="preserve"> Outside of our data set of merger simulations used in EU merger control, there is further anecdotal evidence to support this point, in that the CMA, in its review of the </w:t>
      </w:r>
      <w:r w:rsidR="005E1648" w:rsidRPr="0041556A">
        <w:rPr>
          <w:i/>
          <w:iCs/>
        </w:rPr>
        <w:t>Vodafone/Three</w:t>
      </w:r>
      <w:r w:rsidR="005E1648">
        <w:t xml:space="preserve"> </w:t>
      </w:r>
      <w:r w:rsidR="005E1648" w:rsidRPr="0041556A">
        <w:rPr>
          <w:i/>
        </w:rPr>
        <w:t>JV</w:t>
      </w:r>
      <w:r w:rsidR="005E1648">
        <w:t xml:space="preserve"> in the UK in 2024, used a merger simulation model based on econometrically estimated demand as its baseline, “</w:t>
      </w:r>
      <w:r w:rsidR="005E1648" w:rsidRPr="008618F0">
        <w:rPr>
          <w:i/>
          <w:iCs/>
        </w:rPr>
        <w:t>conservative</w:t>
      </w:r>
      <w:r w:rsidR="005E1648">
        <w:t>”, model that predicted that consumers would be £</w:t>
      </w:r>
      <w:r w:rsidR="005E1648" w:rsidRPr="004F1C76">
        <w:t>216</w:t>
      </w:r>
      <w:r w:rsidR="005E1648">
        <w:t xml:space="preserve"> million worse off every year post-merger. It then performed a number of sensitivity analyses where the main change to the baseline was that the demand parameters were </w:t>
      </w:r>
      <w:r w:rsidR="00A12126">
        <w:t xml:space="preserve">calibrated </w:t>
      </w:r>
      <w:r w:rsidR="005E1648">
        <w:t>instead</w:t>
      </w:r>
      <w:r w:rsidR="00A12126">
        <w:t xml:space="preserve"> </w:t>
      </w:r>
      <w:r w:rsidR="005E1648">
        <w:t xml:space="preserve">– each of these sensitivities produced higher price </w:t>
      </w:r>
      <w:r w:rsidR="004C388B">
        <w:t>changes</w:t>
      </w:r>
      <w:r w:rsidR="005E1648">
        <w:t>, the largest of which predicted that consumers would be up to £</w:t>
      </w:r>
      <w:r w:rsidR="005E1648" w:rsidRPr="00D85257">
        <w:t>900</w:t>
      </w:r>
      <w:r w:rsidR="005E1648">
        <w:t xml:space="preserve"> million worse off each year. See CMA final report in </w:t>
      </w:r>
      <w:r w:rsidR="005E1648" w:rsidRPr="0041556A">
        <w:rPr>
          <w:i/>
          <w:iCs/>
        </w:rPr>
        <w:t>Vodafone/Three</w:t>
      </w:r>
      <w:r w:rsidR="005E1648">
        <w:rPr>
          <w:i/>
          <w:iCs/>
        </w:rPr>
        <w:t xml:space="preserve"> JV</w:t>
      </w:r>
      <w:r w:rsidR="005E1648">
        <w:t>, paras. 42-43 and Table D.10.</w:t>
      </w:r>
    </w:p>
  </w:footnote>
  <w:footnote w:id="71">
    <w:p w14:paraId="4E817D5C" w14:textId="387104A0" w:rsidR="001B2DD5" w:rsidRDefault="001B2DD5" w:rsidP="001B2DD5">
      <w:pPr>
        <w:pStyle w:val="FootnoteText"/>
      </w:pPr>
      <w:r>
        <w:rPr>
          <w:rStyle w:val="FootnoteReference"/>
        </w:rPr>
        <w:footnoteRef/>
      </w:r>
      <w:r>
        <w:tab/>
        <w:t>T</w:t>
      </w:r>
      <w:r w:rsidRPr="001B2DD5">
        <w:t xml:space="preserve">hough these </w:t>
      </w:r>
      <w:r>
        <w:t xml:space="preserve">results </w:t>
      </w:r>
      <w:r w:rsidRPr="001B2DD5">
        <w:t>are based on limited samples, i.e.</w:t>
      </w:r>
      <w:r w:rsidR="0006653C">
        <w:t>,</w:t>
      </w:r>
      <w:r w:rsidRPr="001B2DD5">
        <w:t xml:space="preserve"> equivalent to comparing </w:t>
      </w:r>
      <w:r w:rsidR="00B059CD">
        <w:t>five models</w:t>
      </w:r>
      <w:r w:rsidRPr="001B2DD5">
        <w:t xml:space="preserve">. In telecoms, this is a comparison of the random coefficients econometric model used in </w:t>
      </w:r>
      <w:r w:rsidRPr="002215BF">
        <w:rPr>
          <w:i/>
        </w:rPr>
        <w:t>Hutchison 3G Italy/Wind JV</w:t>
      </w:r>
      <w:r w:rsidRPr="001B2DD5">
        <w:t xml:space="preserve"> (where the merging parties acknowledged its model’s high predicted price </w:t>
      </w:r>
      <w:r w:rsidR="004C388B">
        <w:t>changes</w:t>
      </w:r>
      <w:r w:rsidRPr="001B2DD5">
        <w:t xml:space="preserve">, but argued that overall consumer surplus would be higher due to quality improvements brought about by the merger) and the nested logit calibrated model used in </w:t>
      </w:r>
      <w:r w:rsidRPr="002215BF">
        <w:rPr>
          <w:i/>
        </w:rPr>
        <w:t>Hutchison 3G UK/Telefónica Ireland</w:t>
      </w:r>
      <w:r w:rsidRPr="001B2DD5">
        <w:t>, which produced “</w:t>
      </w:r>
      <w:r w:rsidRPr="008618F0">
        <w:rPr>
          <w:i/>
          <w:iCs/>
        </w:rPr>
        <w:t>negligible</w:t>
      </w:r>
      <w:r w:rsidRPr="001B2DD5">
        <w:t>” price increases</w:t>
      </w:r>
      <w:r w:rsidR="0098278F">
        <w:t xml:space="preserve">. In other industries, our results are equivalent to a comparison of the econometric nested logit models in </w:t>
      </w:r>
      <w:r w:rsidR="0098278F" w:rsidRPr="001C2329">
        <w:rPr>
          <w:i/>
          <w:iCs/>
        </w:rPr>
        <w:t>Philip Morris/</w:t>
      </w:r>
      <w:proofErr w:type="spellStart"/>
      <w:r w:rsidR="0098278F" w:rsidRPr="001C2329">
        <w:rPr>
          <w:i/>
          <w:iCs/>
        </w:rPr>
        <w:t>Papastratos</w:t>
      </w:r>
      <w:proofErr w:type="spellEnd"/>
      <w:r w:rsidR="0098278F">
        <w:t xml:space="preserve"> and </w:t>
      </w:r>
      <w:r w:rsidR="0098278F" w:rsidRPr="001C2329">
        <w:rPr>
          <w:i/>
          <w:iCs/>
        </w:rPr>
        <w:t>Kraft Foods/Cadbury</w:t>
      </w:r>
      <w:r w:rsidR="0098278F">
        <w:t xml:space="preserve"> with the calibrated nested logit model in </w:t>
      </w:r>
      <w:r w:rsidR="0098278F" w:rsidRPr="001C2329">
        <w:rPr>
          <w:i/>
          <w:iCs/>
        </w:rPr>
        <w:t>DEMB/Mondelez</w:t>
      </w:r>
      <w:r w:rsidR="0098278F">
        <w:t>.</w:t>
      </w:r>
    </w:p>
  </w:footnote>
  <w:footnote w:id="72">
    <w:p w14:paraId="6DA75021" w14:textId="0C22108D" w:rsidR="00F9382B" w:rsidRDefault="00F9382B" w:rsidP="00F9382B">
      <w:pPr>
        <w:pStyle w:val="FootnoteText"/>
      </w:pPr>
      <w:r>
        <w:rPr>
          <w:rStyle w:val="FootnoteReference"/>
        </w:rPr>
        <w:footnoteRef/>
      </w:r>
      <w:r>
        <w:tab/>
      </w:r>
      <w:r w:rsidRPr="00F9382B">
        <w:t xml:space="preserve">CMA </w:t>
      </w:r>
      <w:r w:rsidR="00DF22FB">
        <w:t>final report</w:t>
      </w:r>
      <w:r w:rsidR="00DF22FB" w:rsidRPr="00F9382B">
        <w:t xml:space="preserve"> </w:t>
      </w:r>
      <w:r w:rsidRPr="00F9382B">
        <w:t xml:space="preserve">in </w:t>
      </w:r>
      <w:r w:rsidRPr="00DD0BEE">
        <w:rPr>
          <w:i/>
        </w:rPr>
        <w:t>Vodafone/</w:t>
      </w:r>
      <w:r w:rsidR="00DF22FB">
        <w:rPr>
          <w:i/>
          <w:iCs/>
        </w:rPr>
        <w:t>Three</w:t>
      </w:r>
      <w:r w:rsidR="000B1BAC">
        <w:rPr>
          <w:i/>
          <w:iCs/>
        </w:rPr>
        <w:t xml:space="preserve"> JV</w:t>
      </w:r>
      <w:r w:rsidRPr="00F9382B">
        <w:t>, Appendix D, para. 108</w:t>
      </w:r>
      <w:r>
        <w:t>.</w:t>
      </w:r>
    </w:p>
  </w:footnote>
  <w:footnote w:id="73">
    <w:p w14:paraId="6F27DA8F" w14:textId="56138F43" w:rsidR="00BD2A85" w:rsidRDefault="00BD2A85" w:rsidP="00BD2A85">
      <w:pPr>
        <w:pStyle w:val="FootnoteText"/>
      </w:pPr>
      <w:r>
        <w:rPr>
          <w:rStyle w:val="FootnoteReference"/>
        </w:rPr>
        <w:footnoteRef/>
      </w:r>
      <w:r>
        <w:tab/>
        <w:t>We reviewed this model in detail, but did not include its predictions in the quantitative analysis as the focus is on European merger review.</w:t>
      </w:r>
    </w:p>
  </w:footnote>
  <w:footnote w:id="74">
    <w:p w14:paraId="6519CB36" w14:textId="1AAE0AC4" w:rsidR="00F7285C" w:rsidRDefault="00F7285C">
      <w:pPr>
        <w:pStyle w:val="FootnoteText"/>
      </w:pPr>
      <w:r>
        <w:rPr>
          <w:rStyle w:val="FootnoteReference"/>
        </w:rPr>
        <w:footnoteRef/>
      </w:r>
      <w:r>
        <w:t xml:space="preserve"> </w:t>
      </w:r>
      <w:r>
        <w:tab/>
        <w:t>As noted above, the DOJ’s model is excluded from the regression data set.</w:t>
      </w:r>
    </w:p>
  </w:footnote>
  <w:footnote w:id="75">
    <w:p w14:paraId="4D154542" w14:textId="73054E7E" w:rsidR="00C16E9F" w:rsidRDefault="00C16E9F" w:rsidP="00C16E9F">
      <w:pPr>
        <w:pStyle w:val="FootnoteText"/>
      </w:pPr>
      <w:r>
        <w:rPr>
          <w:rStyle w:val="FootnoteReference"/>
        </w:rPr>
        <w:footnoteRef/>
      </w:r>
      <w:r>
        <w:tab/>
      </w:r>
      <w:proofErr w:type="spellStart"/>
      <w:r w:rsidRPr="00C16E9F">
        <w:t>Panhans</w:t>
      </w:r>
      <w:proofErr w:type="spellEnd"/>
      <w:r w:rsidRPr="00C16E9F">
        <w:t xml:space="preserve"> et al. (2023) look at the impact of a potentially mis-specified demand model can have on the merger simulation predictions.</w:t>
      </w:r>
    </w:p>
  </w:footnote>
  <w:footnote w:id="76">
    <w:p w14:paraId="37CE8DA3" w14:textId="70BBC944" w:rsidR="0021746F" w:rsidRDefault="0021746F" w:rsidP="0021746F">
      <w:pPr>
        <w:pStyle w:val="FootnoteText"/>
      </w:pPr>
      <w:r>
        <w:rPr>
          <w:rStyle w:val="FootnoteReference"/>
        </w:rPr>
        <w:footnoteRef/>
      </w:r>
      <w:r>
        <w:tab/>
      </w:r>
      <w:proofErr w:type="spellStart"/>
      <w:r w:rsidR="00492AD3">
        <w:t>Froeb</w:t>
      </w:r>
      <w:proofErr w:type="spellEnd"/>
      <w:r w:rsidR="006B429C">
        <w:t xml:space="preserve"> et al</w:t>
      </w:r>
      <w:r w:rsidR="008A2114">
        <w:t>.</w:t>
      </w:r>
      <w:r w:rsidR="006B429C">
        <w:t xml:space="preserve"> (2003) and </w:t>
      </w:r>
      <w:r>
        <w:t>Walker (2005).</w:t>
      </w:r>
    </w:p>
  </w:footnote>
  <w:footnote w:id="77">
    <w:p w14:paraId="7FA63F27" w14:textId="47D49A96" w:rsidR="009A44F9" w:rsidRDefault="009A44F9" w:rsidP="009A44F9">
      <w:pPr>
        <w:pStyle w:val="FootnoteText"/>
      </w:pPr>
      <w:r>
        <w:rPr>
          <w:rStyle w:val="FootnoteReference"/>
        </w:rPr>
        <w:footnoteRef/>
      </w:r>
      <w:r>
        <w:tab/>
        <w:t xml:space="preserve">We did not include the predicted price </w:t>
      </w:r>
      <w:r w:rsidR="004C388B">
        <w:t>changes</w:t>
      </w:r>
      <w:r>
        <w:t xml:space="preserve"> of competitors and the market as a whole in this graphical analysis, to avoid mix effects.</w:t>
      </w:r>
      <w:r w:rsidR="005D5D4C">
        <w:t xml:space="preserve"> Includes baseline price change estimates only.</w:t>
      </w:r>
    </w:p>
  </w:footnote>
  <w:footnote w:id="78">
    <w:p w14:paraId="2CED0EC8" w14:textId="7CC560D1" w:rsidR="00794D66" w:rsidRDefault="00794D66" w:rsidP="00794D66">
      <w:pPr>
        <w:pStyle w:val="FootnoteText"/>
      </w:pPr>
      <w:r>
        <w:rPr>
          <w:rStyle w:val="FootnoteReference"/>
        </w:rPr>
        <w:footnoteRef/>
      </w:r>
      <w:r>
        <w:tab/>
        <w:t xml:space="preserve">The pattern is largely the same when including sensitivity price </w:t>
      </w:r>
      <w:r w:rsidR="004C388B">
        <w:t>change</w:t>
      </w:r>
      <w:r>
        <w:t xml:space="preserve"> estimates, the only change being that the average price </w:t>
      </w:r>
      <w:r w:rsidR="004C388B">
        <w:t>change</w:t>
      </w:r>
      <w:r>
        <w:t xml:space="preserve"> for Commission simulations under the last three Chief Economists is slightly higher (see </w:t>
      </w:r>
      <w:r w:rsidRPr="00220BD4">
        <w:t xml:space="preserve">Figure </w:t>
      </w:r>
      <w:r w:rsidR="00220BD4" w:rsidRPr="00220BD4">
        <w:t>5</w:t>
      </w:r>
      <w:r>
        <w:t xml:space="preserve"> in the Appendix). </w:t>
      </w:r>
    </w:p>
  </w:footnote>
  <w:footnote w:id="79">
    <w:p w14:paraId="7E59F739" w14:textId="18C690A2" w:rsidR="006703B3" w:rsidRDefault="006703B3">
      <w:pPr>
        <w:pStyle w:val="FootnoteText"/>
      </w:pPr>
      <w:r>
        <w:rPr>
          <w:rStyle w:val="FootnoteReference"/>
        </w:rPr>
        <w:footnoteRef/>
      </w:r>
      <w:r>
        <w:t xml:space="preserve"> </w:t>
      </w:r>
      <w:r>
        <w:tab/>
        <w:t>See, for example</w:t>
      </w:r>
      <w:r w:rsidR="004A43AA">
        <w:t>,</w:t>
      </w:r>
      <w:r w:rsidR="004A43AA" w:rsidRPr="004A43AA">
        <w:t xml:space="preserve"> </w:t>
      </w:r>
      <w:proofErr w:type="spellStart"/>
      <w:r w:rsidR="004A43AA" w:rsidRPr="004A43AA">
        <w:t>Filistrucchi</w:t>
      </w:r>
      <w:proofErr w:type="spellEnd"/>
      <w:r w:rsidR="004A43AA" w:rsidRPr="004A43AA">
        <w:t xml:space="preserve"> et al</w:t>
      </w:r>
      <w:r w:rsidR="008A2114">
        <w:t>.</w:t>
      </w:r>
      <w:r w:rsidR="004A43AA" w:rsidRPr="004A43AA">
        <w:t xml:space="preserve"> (2012) and </w:t>
      </w:r>
      <w:proofErr w:type="spellStart"/>
      <w:r w:rsidR="004A43AA" w:rsidRPr="004A43AA">
        <w:t>Cayseele</w:t>
      </w:r>
      <w:proofErr w:type="spellEnd"/>
      <w:r w:rsidR="004A43AA" w:rsidRPr="004A43AA">
        <w:t xml:space="preserve"> &amp; </w:t>
      </w:r>
      <w:proofErr w:type="spellStart"/>
      <w:r w:rsidR="004A43AA" w:rsidRPr="004A43AA">
        <w:t>Vanormelingen</w:t>
      </w:r>
      <w:proofErr w:type="spellEnd"/>
      <w:r w:rsidR="004A43AA" w:rsidRPr="004A43AA">
        <w:t xml:space="preserve"> (2019).</w:t>
      </w:r>
    </w:p>
  </w:footnote>
  <w:footnote w:id="80">
    <w:p w14:paraId="59F9BF80" w14:textId="1FBBC2D4" w:rsidR="00E84A7D" w:rsidRDefault="00E84A7D" w:rsidP="00E84A7D">
      <w:pPr>
        <w:pStyle w:val="FootnoteText"/>
      </w:pPr>
      <w:r>
        <w:rPr>
          <w:rStyle w:val="FootnoteReference"/>
        </w:rPr>
        <w:footnoteRef/>
      </w:r>
      <w:r>
        <w:t xml:space="preserve"> </w:t>
      </w:r>
      <w:r>
        <w:tab/>
      </w:r>
      <w:r w:rsidR="006A6046">
        <w:t>N</w:t>
      </w:r>
      <w:r>
        <w:t xml:space="preserve">oted </w:t>
      </w:r>
      <w:r w:rsidR="006A6046">
        <w:t xml:space="preserve">explicitly </w:t>
      </w:r>
      <w:r>
        <w:t xml:space="preserve">in its review of </w:t>
      </w:r>
      <w:r w:rsidRPr="0061433F">
        <w:rPr>
          <w:i/>
          <w:iCs/>
        </w:rPr>
        <w:t>Vodafone/Three</w:t>
      </w:r>
      <w:r w:rsidR="004A43AA">
        <w:rPr>
          <w:i/>
          <w:iCs/>
        </w:rPr>
        <w:t xml:space="preserve"> JV</w:t>
      </w:r>
      <w:r>
        <w:t>.</w:t>
      </w:r>
    </w:p>
  </w:footnote>
  <w:footnote w:id="81">
    <w:p w14:paraId="67E0FB80" w14:textId="5F5B30BC" w:rsidR="004E7C60" w:rsidRDefault="004E7C60" w:rsidP="004E7C60">
      <w:pPr>
        <w:pStyle w:val="FootnoteText"/>
      </w:pPr>
      <w:r>
        <w:rPr>
          <w:rStyle w:val="FootnoteReference"/>
        </w:rPr>
        <w:footnoteRef/>
      </w:r>
      <w:r>
        <w:tab/>
      </w:r>
      <w:r w:rsidRPr="004E7C60">
        <w:t xml:space="preserve">For example, in </w:t>
      </w:r>
      <w:r w:rsidRPr="00635F5F">
        <w:rPr>
          <w:i/>
          <w:iCs/>
        </w:rPr>
        <w:t>Unilever/Sara Lee</w:t>
      </w:r>
      <w:r w:rsidRPr="004E7C60">
        <w:t xml:space="preserve">, the </w:t>
      </w:r>
      <w:r w:rsidR="00F07C36">
        <w:t>Commission</w:t>
      </w:r>
      <w:r w:rsidR="00F07C36" w:rsidRPr="004E7C60">
        <w:t xml:space="preserve"> </w:t>
      </w:r>
      <w:r w:rsidRPr="004E7C60">
        <w:t>argued that time was the main factor constraining it from introducing entry, repositioning or retailer buyer power into its model</w:t>
      </w:r>
      <w:r>
        <w:t>.</w:t>
      </w:r>
      <w:r w:rsidR="00B9561F">
        <w:t xml:space="preserve"> Similarly, in the telecoms cases, the </w:t>
      </w:r>
      <w:r w:rsidR="00C636AE">
        <w:t xml:space="preserve">Commission </w:t>
      </w:r>
      <w:r w:rsidR="00B9561F">
        <w:t xml:space="preserve">seemingly moved away from relatively more sophisticated models based on econometrically estimated demand due to </w:t>
      </w:r>
      <w:r w:rsidR="006A6046">
        <w:t>its</w:t>
      </w:r>
      <w:r w:rsidR="00B9561F">
        <w:t xml:space="preserve"> increased complexity compared to calibrated demand models.</w:t>
      </w:r>
    </w:p>
  </w:footnote>
  <w:footnote w:id="82">
    <w:p w14:paraId="40CE0A54" w14:textId="3FF4E55F" w:rsidR="007C4039" w:rsidRDefault="007C4039" w:rsidP="007C4039">
      <w:pPr>
        <w:pStyle w:val="FootnoteText"/>
      </w:pPr>
      <w:r>
        <w:rPr>
          <w:rStyle w:val="FootnoteReference"/>
        </w:rPr>
        <w:footnoteRef/>
      </w:r>
      <w:r>
        <w:tab/>
      </w:r>
      <w:proofErr w:type="spellStart"/>
      <w:r w:rsidR="00724ED8" w:rsidRPr="00533763">
        <w:t>Döpper</w:t>
      </w:r>
      <w:proofErr w:type="spellEnd"/>
      <w:r w:rsidR="00724ED8" w:rsidRPr="00533763">
        <w:t xml:space="preserve"> et al. (2024).</w:t>
      </w:r>
    </w:p>
  </w:footnote>
  <w:footnote w:id="83">
    <w:p w14:paraId="6FBF9350" w14:textId="32149530" w:rsidR="009D76F2" w:rsidRDefault="009D76F2" w:rsidP="009D76F2">
      <w:pPr>
        <w:pStyle w:val="FootnoteText"/>
      </w:pPr>
      <w:r>
        <w:rPr>
          <w:rStyle w:val="FootnoteReference"/>
        </w:rPr>
        <w:footnoteRef/>
      </w:r>
      <w:r>
        <w:tab/>
        <w:t xml:space="preserve">A result which is driven by </w:t>
      </w:r>
      <w:r w:rsidR="000F39BE" w:rsidRPr="000F39BE">
        <w:t xml:space="preserve">the </w:t>
      </w:r>
      <w:r w:rsidR="000F39BE">
        <w:t>Commission’s</w:t>
      </w:r>
      <w:r w:rsidR="000F39BE" w:rsidRPr="000F39BE">
        <w:t xml:space="preserve"> simulation model in </w:t>
      </w:r>
      <w:r w:rsidR="000F39BE" w:rsidRPr="002215BF">
        <w:rPr>
          <w:i/>
        </w:rPr>
        <w:t>Oracle/People</w:t>
      </w:r>
      <w:r w:rsidR="000279B4" w:rsidRPr="002215BF">
        <w:rPr>
          <w:i/>
        </w:rPr>
        <w:t>S</w:t>
      </w:r>
      <w:r w:rsidR="000F39BE" w:rsidRPr="002215BF">
        <w:rPr>
          <w:i/>
        </w:rPr>
        <w:t>oft</w:t>
      </w:r>
      <w:r w:rsidR="000F39BE" w:rsidRPr="000F39BE">
        <w:t xml:space="preserve">, where </w:t>
      </w:r>
      <w:r w:rsidR="000F39BE">
        <w:t xml:space="preserve">in the sensitivities it </w:t>
      </w:r>
      <w:r w:rsidR="000F39BE" w:rsidRPr="000F39BE">
        <w:t>iterate</w:t>
      </w:r>
      <w:r w:rsidR="000F39BE">
        <w:t>s</w:t>
      </w:r>
      <w:r w:rsidR="000F39BE" w:rsidRPr="000F39BE">
        <w:t xml:space="preserve"> over a ‘quality’ parameter, which has a large impact on the predicted price </w:t>
      </w:r>
      <w:r w:rsidR="00833969">
        <w:t>changes</w:t>
      </w:r>
      <w:r w:rsidR="000F39BE">
        <w:t xml:space="preserve"> (as large as </w:t>
      </w:r>
      <w:r w:rsidR="00B3791A">
        <w:t>49%</w:t>
      </w:r>
      <w:r w:rsidR="000279B4">
        <w:t>)</w:t>
      </w:r>
      <w:r w:rsidR="000F39BE" w:rsidRPr="000F39BE">
        <w:t>.</w:t>
      </w:r>
    </w:p>
  </w:footnote>
  <w:footnote w:id="84">
    <w:p w14:paraId="386A30BA" w14:textId="317C379C" w:rsidR="0006653C" w:rsidRDefault="0006653C">
      <w:pPr>
        <w:pStyle w:val="FootnoteText"/>
      </w:pPr>
      <w:r>
        <w:rPr>
          <w:rStyle w:val="FootnoteReference"/>
        </w:rPr>
        <w:footnoteRef/>
      </w:r>
      <w:r>
        <w:t xml:space="preserve"> For this table and the following equivalent tables, please refer to the table notes under Table 6. </w:t>
      </w:r>
    </w:p>
  </w:footnote>
  <w:footnote w:id="85">
    <w:p w14:paraId="25AA219B" w14:textId="588E3A41" w:rsidR="00885E94" w:rsidRDefault="00885E94" w:rsidP="00885E94">
      <w:pPr>
        <w:pStyle w:val="FootnoteText"/>
      </w:pPr>
      <w:r>
        <w:rPr>
          <w:rStyle w:val="FootnoteReference"/>
        </w:rPr>
        <w:footnoteRef/>
      </w:r>
      <w:r>
        <w:tab/>
        <w:t xml:space="preserve">In </w:t>
      </w:r>
      <w:r w:rsidR="009C6C4D" w:rsidRPr="002215BF">
        <w:rPr>
          <w:i/>
        </w:rPr>
        <w:t>Oracle/PeopleSoft</w:t>
      </w:r>
      <w:r w:rsidR="009C6C4D">
        <w:t xml:space="preserve">, the </w:t>
      </w:r>
      <w:r w:rsidR="00A41678">
        <w:t>Commission’s model</w:t>
      </w:r>
      <w:r w:rsidR="001F1393">
        <w:t xml:space="preserve"> had two ‘scenarios’: </w:t>
      </w:r>
      <w:r w:rsidR="00A41678">
        <w:t xml:space="preserve">pessimistic; and optimistic, where quality improvements and synergies due to the merger are </w:t>
      </w:r>
      <w:r w:rsidR="007E1DF3">
        <w:t xml:space="preserve">assumed to take place. In practical terms for this sensitivity, we replace the (higher) predicted price </w:t>
      </w:r>
      <w:r w:rsidR="001A3C04">
        <w:t>changes</w:t>
      </w:r>
      <w:r w:rsidR="007E1DF3">
        <w:t xml:space="preserve"> in the optimistic</w:t>
      </w:r>
      <w:r w:rsidR="00A41678">
        <w:t xml:space="preserve"> </w:t>
      </w:r>
      <w:r w:rsidR="007E1DF3">
        <w:t xml:space="preserve">scenario with the (lower) predicted price </w:t>
      </w:r>
      <w:r w:rsidR="001A3C04">
        <w:t xml:space="preserve">changes </w:t>
      </w:r>
      <w:r w:rsidR="007E1DF3">
        <w:t>from the pessimistic scenario. In</w:t>
      </w:r>
      <w:r w:rsidR="002F721C">
        <w:t xml:space="preserve"> the merging parties’ model</w:t>
      </w:r>
      <w:r w:rsidR="007E1DF3">
        <w:t xml:space="preserve"> </w:t>
      </w:r>
      <w:r w:rsidR="002F721C">
        <w:t xml:space="preserve">in </w:t>
      </w:r>
      <w:r w:rsidR="00890884" w:rsidRPr="002215BF">
        <w:rPr>
          <w:i/>
        </w:rPr>
        <w:t>Hutchison 3G Italy/Wind JV</w:t>
      </w:r>
      <w:r w:rsidR="00890884">
        <w:t xml:space="preserve">, predicted price </w:t>
      </w:r>
      <w:r w:rsidR="001A3C04">
        <w:t xml:space="preserve">changes </w:t>
      </w:r>
      <w:r w:rsidR="00490E6E">
        <w:t xml:space="preserve">in the scenario where quality is assumed to increase due to the merger </w:t>
      </w:r>
      <w:r w:rsidR="00890884">
        <w:t xml:space="preserve">are </w:t>
      </w:r>
      <w:r w:rsidR="00490E6E">
        <w:t xml:space="preserve">set </w:t>
      </w:r>
      <w:r w:rsidR="00890884">
        <w:t xml:space="preserve">to zero, to reflect the model’s predictions that </w:t>
      </w:r>
      <w:r w:rsidR="00F03D5D">
        <w:t xml:space="preserve">consumer welfare would overall increase. </w:t>
      </w:r>
      <w:r w:rsidR="002F721C">
        <w:t xml:space="preserve">The same is done for the merging parties’ model in </w:t>
      </w:r>
      <w:r w:rsidR="002F721C" w:rsidRPr="002215BF">
        <w:rPr>
          <w:i/>
        </w:rPr>
        <w:t>T-Mobile NL/Tele2 NL</w:t>
      </w:r>
      <w:r w:rsidR="002F721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0C6"/>
    <w:multiLevelType w:val="hybridMultilevel"/>
    <w:tmpl w:val="DEA4C59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582EB2"/>
    <w:multiLevelType w:val="hybridMultilevel"/>
    <w:tmpl w:val="476E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B23F2"/>
    <w:multiLevelType w:val="hybridMultilevel"/>
    <w:tmpl w:val="8834B13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17A1874"/>
    <w:multiLevelType w:val="hybridMultilevel"/>
    <w:tmpl w:val="7DEC2AE0"/>
    <w:lvl w:ilvl="0" w:tplc="AEC2FA4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E5475"/>
    <w:multiLevelType w:val="hybridMultilevel"/>
    <w:tmpl w:val="B8264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F620E"/>
    <w:multiLevelType w:val="hybridMultilevel"/>
    <w:tmpl w:val="0E9C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E3225"/>
    <w:multiLevelType w:val="hybridMultilevel"/>
    <w:tmpl w:val="E71CB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D1E0D"/>
    <w:multiLevelType w:val="multilevel"/>
    <w:tmpl w:val="29C019A2"/>
    <w:styleLink w:val="ListHeadings"/>
    <w:lvl w:ilvl="0">
      <w:start w:val="1"/>
      <w:numFmt w:val="decimal"/>
      <w:lvlRestart w:val="0"/>
      <w:lvlText w:val="%1"/>
      <w:lvlJc w:val="left"/>
      <w:pPr>
        <w:ind w:left="0" w:hanging="964"/>
      </w:pPr>
      <w:rPr>
        <w:rFonts w:hint="default"/>
      </w:rPr>
    </w:lvl>
    <w:lvl w:ilvl="1">
      <w:start w:val="1"/>
      <w:numFmt w:val="decimal"/>
      <w:lvlText w:val="%1.%2"/>
      <w:lvlJc w:val="left"/>
      <w:pPr>
        <w:ind w:left="0" w:hanging="964"/>
      </w:pPr>
      <w:rPr>
        <w:rFonts w:hint="default"/>
      </w:rPr>
    </w:lvl>
    <w:lvl w:ilvl="2">
      <w:start w:val="1"/>
      <w:numFmt w:val="lowerLetter"/>
      <w:lvlText w:val="%3."/>
      <w:lvlJc w:val="left"/>
      <w:pPr>
        <w:ind w:left="283" w:hanging="283"/>
      </w:pPr>
      <w:rPr>
        <w:rFonts w:hint="default"/>
      </w:rPr>
    </w:lvl>
    <w:lvl w:ilvl="3">
      <w:start w:val="1"/>
      <w:numFmt w:val="lowerRoman"/>
      <w:lvlText w:val="%4."/>
      <w:lvlJc w:val="left"/>
      <w:pPr>
        <w:ind w:left="680" w:hanging="397"/>
      </w:pPr>
      <w:rPr>
        <w:rFonts w:hint="default"/>
      </w:rPr>
    </w:lvl>
    <w:lvl w:ilvl="4">
      <w:start w:val="1"/>
      <w:numFmt w:val="bullet"/>
      <w:lvlText w:val="–"/>
      <w:lvlJc w:val="left"/>
      <w:pPr>
        <w:ind w:left="1020" w:hanging="340"/>
      </w:pPr>
      <w:rPr>
        <w:rFonts w:hint="default"/>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45A3F0C"/>
    <w:multiLevelType w:val="hybridMultilevel"/>
    <w:tmpl w:val="BBCE5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2A6503"/>
    <w:multiLevelType w:val="hybridMultilevel"/>
    <w:tmpl w:val="05B64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F1284"/>
    <w:multiLevelType w:val="hybridMultilevel"/>
    <w:tmpl w:val="C9704D84"/>
    <w:lvl w:ilvl="0" w:tplc="0C82590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84B99"/>
    <w:multiLevelType w:val="hybridMultilevel"/>
    <w:tmpl w:val="EDCE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A4733"/>
    <w:multiLevelType w:val="hybridMultilevel"/>
    <w:tmpl w:val="6FA6AD2C"/>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653912"/>
    <w:multiLevelType w:val="hybridMultilevel"/>
    <w:tmpl w:val="71F06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B3EA0"/>
    <w:multiLevelType w:val="hybridMultilevel"/>
    <w:tmpl w:val="DEA4C5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B416929"/>
    <w:multiLevelType w:val="hybridMultilevel"/>
    <w:tmpl w:val="9132A102"/>
    <w:lvl w:ilvl="0" w:tplc="33D49AE4">
      <w:start w:val="2"/>
      <w:numFmt w:val="bullet"/>
      <w:lvlText w:val=""/>
      <w:lvlJc w:val="left"/>
      <w:pPr>
        <w:ind w:left="720" w:hanging="360"/>
      </w:pPr>
      <w:rPr>
        <w:rFonts w:ascii="Symbol" w:eastAsia="Times New Roman" w:hAnsi="Symbol" w:cstheme="minorHAns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3E3002"/>
    <w:multiLevelType w:val="hybridMultilevel"/>
    <w:tmpl w:val="047C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365DF"/>
    <w:multiLevelType w:val="hybridMultilevel"/>
    <w:tmpl w:val="B5DC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0B6548"/>
    <w:multiLevelType w:val="hybridMultilevel"/>
    <w:tmpl w:val="A1303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649BB"/>
    <w:multiLevelType w:val="multilevel"/>
    <w:tmpl w:val="08090025"/>
    <w:name w:val="~SectionList"/>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DF57664"/>
    <w:multiLevelType w:val="multilevel"/>
    <w:tmpl w:val="832CAA2E"/>
    <w:styleLink w:val="ListBullets"/>
    <w:lvl w:ilvl="0">
      <w:start w:val="1"/>
      <w:numFmt w:val="bullet"/>
      <w:lvlRestart w:val="0"/>
      <w:pStyle w:val="ListBullet"/>
      <w:lvlText w:val=""/>
      <w:lvlJc w:val="left"/>
      <w:pPr>
        <w:ind w:left="283" w:hanging="283"/>
      </w:pPr>
      <w:rPr>
        <w:rFonts w:ascii="Wingdings 2" w:hAnsi="Wingdings 2" w:hint="default"/>
        <w:color w:val="auto"/>
      </w:rPr>
    </w:lvl>
    <w:lvl w:ilvl="1">
      <w:start w:val="1"/>
      <w:numFmt w:val="bullet"/>
      <w:lvlText w:val="–"/>
      <w:lvlJc w:val="left"/>
      <w:pPr>
        <w:ind w:left="567" w:hanging="284"/>
      </w:pPr>
      <w:rPr>
        <w:rFonts w:ascii="Arial" w:hAnsi="Arial" w:hint="default"/>
        <w:color w:val="auto"/>
      </w:rPr>
    </w:lvl>
    <w:lvl w:ilvl="2">
      <w:start w:val="1"/>
      <w:numFmt w:val="bullet"/>
      <w:lvlText w:val=""/>
      <w:lvlJc w:val="left"/>
      <w:pPr>
        <w:ind w:left="850" w:hanging="283"/>
      </w:pPr>
      <w:rPr>
        <w:rFonts w:ascii="Symbol" w:hAnsi="Symbol" w:hint="default"/>
        <w:color w:val="auto"/>
      </w:rPr>
    </w:lvl>
    <w:lvl w:ilvl="3">
      <w:start w:val="1"/>
      <w:numFmt w:val="none"/>
      <w:lvlText w:val=""/>
      <w:lvlJc w:val="left"/>
      <w:pPr>
        <w:ind w:left="1134" w:hanging="284"/>
      </w:pPr>
      <w:rPr>
        <w:rFonts w:hint="default"/>
      </w:rPr>
    </w:lvl>
    <w:lvl w:ilvl="4">
      <w:start w:val="1"/>
      <w:numFmt w:val="none"/>
      <w:lvlText w:val=""/>
      <w:lvlJc w:val="left"/>
      <w:pPr>
        <w:ind w:left="1417" w:hanging="283"/>
      </w:pPr>
      <w:rPr>
        <w:rFonts w:hint="default"/>
      </w:rPr>
    </w:lvl>
    <w:lvl w:ilvl="5">
      <w:start w:val="1"/>
      <w:numFmt w:val="none"/>
      <w:lvlText w:val=""/>
      <w:lvlJc w:val="left"/>
      <w:pPr>
        <w:ind w:left="1701" w:hanging="284"/>
      </w:pPr>
      <w:rPr>
        <w:rFonts w:hint="default"/>
      </w:rPr>
    </w:lvl>
    <w:lvl w:ilvl="6">
      <w:start w:val="1"/>
      <w:numFmt w:val="none"/>
      <w:lvlText w:val=""/>
      <w:lvlJc w:val="left"/>
      <w:pPr>
        <w:ind w:left="1984" w:hanging="283"/>
      </w:pPr>
      <w:rPr>
        <w:rFonts w:hint="default"/>
      </w:rPr>
    </w:lvl>
    <w:lvl w:ilvl="7">
      <w:start w:val="1"/>
      <w:numFmt w:val="none"/>
      <w:lvlText w:val=""/>
      <w:lvlJc w:val="left"/>
      <w:pPr>
        <w:ind w:left="2268" w:hanging="284"/>
      </w:pPr>
      <w:rPr>
        <w:rFonts w:hint="default"/>
      </w:rPr>
    </w:lvl>
    <w:lvl w:ilvl="8">
      <w:start w:val="1"/>
      <w:numFmt w:val="none"/>
      <w:lvlText w:val=""/>
      <w:lvlJc w:val="left"/>
      <w:pPr>
        <w:ind w:left="2551" w:hanging="283"/>
      </w:pPr>
      <w:rPr>
        <w:rFonts w:hint="default"/>
      </w:rPr>
    </w:lvl>
  </w:abstractNum>
  <w:abstractNum w:abstractNumId="21" w15:restartNumberingAfterBreak="0">
    <w:nsid w:val="5C2422DB"/>
    <w:multiLevelType w:val="hybridMultilevel"/>
    <w:tmpl w:val="D4D21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C1F59"/>
    <w:multiLevelType w:val="hybridMultilevel"/>
    <w:tmpl w:val="7D9E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0207E6"/>
    <w:multiLevelType w:val="hybridMultilevel"/>
    <w:tmpl w:val="7306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0026E7"/>
    <w:multiLevelType w:val="hybridMultilevel"/>
    <w:tmpl w:val="2C66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30FC2"/>
    <w:multiLevelType w:val="hybridMultilevel"/>
    <w:tmpl w:val="5964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98323C"/>
    <w:multiLevelType w:val="hybridMultilevel"/>
    <w:tmpl w:val="C2C0E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5657608">
    <w:abstractNumId w:val="19"/>
  </w:num>
  <w:num w:numId="2" w16cid:durableId="1481649791">
    <w:abstractNumId w:val="25"/>
  </w:num>
  <w:num w:numId="3" w16cid:durableId="1016662276">
    <w:abstractNumId w:val="20"/>
  </w:num>
  <w:num w:numId="4" w16cid:durableId="918368242">
    <w:abstractNumId w:val="7"/>
  </w:num>
  <w:num w:numId="5" w16cid:durableId="111556754">
    <w:abstractNumId w:val="23"/>
  </w:num>
  <w:num w:numId="6" w16cid:durableId="517696108">
    <w:abstractNumId w:val="26"/>
  </w:num>
  <w:num w:numId="7" w16cid:durableId="1407914726">
    <w:abstractNumId w:val="13"/>
  </w:num>
  <w:num w:numId="8" w16cid:durableId="283849908">
    <w:abstractNumId w:val="5"/>
  </w:num>
  <w:num w:numId="9" w16cid:durableId="864486091">
    <w:abstractNumId w:val="21"/>
  </w:num>
  <w:num w:numId="10" w16cid:durableId="242185562">
    <w:abstractNumId w:val="22"/>
  </w:num>
  <w:num w:numId="11" w16cid:durableId="1427069018">
    <w:abstractNumId w:val="16"/>
  </w:num>
  <w:num w:numId="12" w16cid:durableId="1798067823">
    <w:abstractNumId w:val="11"/>
  </w:num>
  <w:num w:numId="13" w16cid:durableId="703481086">
    <w:abstractNumId w:val="24"/>
  </w:num>
  <w:num w:numId="14" w16cid:durableId="959146688">
    <w:abstractNumId w:val="6"/>
  </w:num>
  <w:num w:numId="15" w16cid:durableId="1462843771">
    <w:abstractNumId w:val="3"/>
  </w:num>
  <w:num w:numId="16" w16cid:durableId="1077560340">
    <w:abstractNumId w:val="0"/>
  </w:num>
  <w:num w:numId="17" w16cid:durableId="1816877315">
    <w:abstractNumId w:val="4"/>
  </w:num>
  <w:num w:numId="18" w16cid:durableId="774591016">
    <w:abstractNumId w:val="15"/>
  </w:num>
  <w:num w:numId="19" w16cid:durableId="62609908">
    <w:abstractNumId w:val="8"/>
  </w:num>
  <w:num w:numId="20" w16cid:durableId="669412676">
    <w:abstractNumId w:val="10"/>
  </w:num>
  <w:num w:numId="21" w16cid:durableId="1187520428">
    <w:abstractNumId w:val="14"/>
  </w:num>
  <w:num w:numId="22" w16cid:durableId="784466504">
    <w:abstractNumId w:val="2"/>
  </w:num>
  <w:num w:numId="23" w16cid:durableId="1632133644">
    <w:abstractNumId w:val="12"/>
  </w:num>
  <w:num w:numId="24" w16cid:durableId="512645365">
    <w:abstractNumId w:val="1"/>
  </w:num>
  <w:num w:numId="25" w16cid:durableId="425417741">
    <w:abstractNumId w:val="9"/>
  </w:num>
  <w:num w:numId="26" w16cid:durableId="677191610">
    <w:abstractNumId w:val="18"/>
  </w:num>
  <w:num w:numId="27" w16cid:durableId="5363561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1D5"/>
    <w:rsid w:val="00000A1E"/>
    <w:rsid w:val="00000C01"/>
    <w:rsid w:val="00000DEA"/>
    <w:rsid w:val="000011EB"/>
    <w:rsid w:val="0000220C"/>
    <w:rsid w:val="000027E6"/>
    <w:rsid w:val="000029B0"/>
    <w:rsid w:val="00002E10"/>
    <w:rsid w:val="0000332E"/>
    <w:rsid w:val="000034C3"/>
    <w:rsid w:val="000036BC"/>
    <w:rsid w:val="0000435F"/>
    <w:rsid w:val="000069A9"/>
    <w:rsid w:val="0000712B"/>
    <w:rsid w:val="00007196"/>
    <w:rsid w:val="0001016B"/>
    <w:rsid w:val="000107A8"/>
    <w:rsid w:val="000109E0"/>
    <w:rsid w:val="00010D8E"/>
    <w:rsid w:val="0001101B"/>
    <w:rsid w:val="00011540"/>
    <w:rsid w:val="00011F3C"/>
    <w:rsid w:val="00012830"/>
    <w:rsid w:val="00012A0C"/>
    <w:rsid w:val="00012BED"/>
    <w:rsid w:val="000136DA"/>
    <w:rsid w:val="0001381B"/>
    <w:rsid w:val="000138C9"/>
    <w:rsid w:val="00014B32"/>
    <w:rsid w:val="00014CAA"/>
    <w:rsid w:val="00014CAC"/>
    <w:rsid w:val="00014D68"/>
    <w:rsid w:val="000157AE"/>
    <w:rsid w:val="00015882"/>
    <w:rsid w:val="00015904"/>
    <w:rsid w:val="00016A24"/>
    <w:rsid w:val="00016C3D"/>
    <w:rsid w:val="0001731B"/>
    <w:rsid w:val="000176EE"/>
    <w:rsid w:val="00017BDC"/>
    <w:rsid w:val="000200F3"/>
    <w:rsid w:val="0002100C"/>
    <w:rsid w:val="0002150C"/>
    <w:rsid w:val="000215BE"/>
    <w:rsid w:val="00021BA2"/>
    <w:rsid w:val="00022EC3"/>
    <w:rsid w:val="00022ED5"/>
    <w:rsid w:val="000231FB"/>
    <w:rsid w:val="00023371"/>
    <w:rsid w:val="000233D8"/>
    <w:rsid w:val="00023FED"/>
    <w:rsid w:val="00024546"/>
    <w:rsid w:val="000248EF"/>
    <w:rsid w:val="00024C67"/>
    <w:rsid w:val="00024D92"/>
    <w:rsid w:val="00026423"/>
    <w:rsid w:val="00026ECE"/>
    <w:rsid w:val="000279B4"/>
    <w:rsid w:val="00027BD7"/>
    <w:rsid w:val="00027F21"/>
    <w:rsid w:val="00030191"/>
    <w:rsid w:val="000307F5"/>
    <w:rsid w:val="00030906"/>
    <w:rsid w:val="00030AA7"/>
    <w:rsid w:val="000310EC"/>
    <w:rsid w:val="000315E7"/>
    <w:rsid w:val="0003273A"/>
    <w:rsid w:val="0003295A"/>
    <w:rsid w:val="000347A9"/>
    <w:rsid w:val="00034A95"/>
    <w:rsid w:val="00034ADC"/>
    <w:rsid w:val="00034C2F"/>
    <w:rsid w:val="00034CF6"/>
    <w:rsid w:val="0003520F"/>
    <w:rsid w:val="000352AE"/>
    <w:rsid w:val="000359EB"/>
    <w:rsid w:val="00035F3D"/>
    <w:rsid w:val="00036511"/>
    <w:rsid w:val="000366B9"/>
    <w:rsid w:val="00036B14"/>
    <w:rsid w:val="0003740A"/>
    <w:rsid w:val="00037B2D"/>
    <w:rsid w:val="00037E73"/>
    <w:rsid w:val="000401DD"/>
    <w:rsid w:val="000405C5"/>
    <w:rsid w:val="000409A4"/>
    <w:rsid w:val="00041B76"/>
    <w:rsid w:val="00042499"/>
    <w:rsid w:val="000429B3"/>
    <w:rsid w:val="00044698"/>
    <w:rsid w:val="000446C9"/>
    <w:rsid w:val="00044760"/>
    <w:rsid w:val="00044A84"/>
    <w:rsid w:val="00044C64"/>
    <w:rsid w:val="00044D6A"/>
    <w:rsid w:val="0004564B"/>
    <w:rsid w:val="00045883"/>
    <w:rsid w:val="00045E22"/>
    <w:rsid w:val="00050961"/>
    <w:rsid w:val="00050976"/>
    <w:rsid w:val="00050E19"/>
    <w:rsid w:val="000512D9"/>
    <w:rsid w:val="00051A43"/>
    <w:rsid w:val="0005255A"/>
    <w:rsid w:val="0005271E"/>
    <w:rsid w:val="0005277A"/>
    <w:rsid w:val="00052B85"/>
    <w:rsid w:val="000537AE"/>
    <w:rsid w:val="00053BCF"/>
    <w:rsid w:val="00054039"/>
    <w:rsid w:val="000544AB"/>
    <w:rsid w:val="000544D3"/>
    <w:rsid w:val="00054851"/>
    <w:rsid w:val="000549CF"/>
    <w:rsid w:val="00054D9C"/>
    <w:rsid w:val="00055616"/>
    <w:rsid w:val="00055F99"/>
    <w:rsid w:val="000564C5"/>
    <w:rsid w:val="000565FB"/>
    <w:rsid w:val="00056619"/>
    <w:rsid w:val="00057419"/>
    <w:rsid w:val="0006035D"/>
    <w:rsid w:val="00060A00"/>
    <w:rsid w:val="00060B74"/>
    <w:rsid w:val="0006148A"/>
    <w:rsid w:val="00061EB6"/>
    <w:rsid w:val="00062028"/>
    <w:rsid w:val="000629FB"/>
    <w:rsid w:val="00063B63"/>
    <w:rsid w:val="00064736"/>
    <w:rsid w:val="00064A21"/>
    <w:rsid w:val="00064F15"/>
    <w:rsid w:val="00064F43"/>
    <w:rsid w:val="00065186"/>
    <w:rsid w:val="00065263"/>
    <w:rsid w:val="0006551E"/>
    <w:rsid w:val="000656E6"/>
    <w:rsid w:val="000658A7"/>
    <w:rsid w:val="00065AB6"/>
    <w:rsid w:val="00065B38"/>
    <w:rsid w:val="00065CAF"/>
    <w:rsid w:val="00066499"/>
    <w:rsid w:val="0006653C"/>
    <w:rsid w:val="00066562"/>
    <w:rsid w:val="00066B5D"/>
    <w:rsid w:val="00067544"/>
    <w:rsid w:val="00067E61"/>
    <w:rsid w:val="00067F2F"/>
    <w:rsid w:val="00070187"/>
    <w:rsid w:val="000702F0"/>
    <w:rsid w:val="00070D42"/>
    <w:rsid w:val="00070EFF"/>
    <w:rsid w:val="00070F97"/>
    <w:rsid w:val="000712B3"/>
    <w:rsid w:val="00071463"/>
    <w:rsid w:val="00071A49"/>
    <w:rsid w:val="000722DA"/>
    <w:rsid w:val="00072519"/>
    <w:rsid w:val="0007277E"/>
    <w:rsid w:val="00072A2B"/>
    <w:rsid w:val="0007324E"/>
    <w:rsid w:val="00073563"/>
    <w:rsid w:val="000736B5"/>
    <w:rsid w:val="00073AE5"/>
    <w:rsid w:val="00074529"/>
    <w:rsid w:val="00074B35"/>
    <w:rsid w:val="0007735C"/>
    <w:rsid w:val="00077452"/>
    <w:rsid w:val="00077E1A"/>
    <w:rsid w:val="00077E4B"/>
    <w:rsid w:val="0008064B"/>
    <w:rsid w:val="00080DD1"/>
    <w:rsid w:val="000811F3"/>
    <w:rsid w:val="00081441"/>
    <w:rsid w:val="0008164D"/>
    <w:rsid w:val="00081D04"/>
    <w:rsid w:val="00081D22"/>
    <w:rsid w:val="000828F1"/>
    <w:rsid w:val="00082AD1"/>
    <w:rsid w:val="00082F71"/>
    <w:rsid w:val="000835F6"/>
    <w:rsid w:val="00083656"/>
    <w:rsid w:val="00083716"/>
    <w:rsid w:val="00083CF3"/>
    <w:rsid w:val="0008447E"/>
    <w:rsid w:val="000844B0"/>
    <w:rsid w:val="00084E23"/>
    <w:rsid w:val="0008503E"/>
    <w:rsid w:val="000857E1"/>
    <w:rsid w:val="000862A5"/>
    <w:rsid w:val="00086336"/>
    <w:rsid w:val="00086EFF"/>
    <w:rsid w:val="00086FDF"/>
    <w:rsid w:val="00087A76"/>
    <w:rsid w:val="00087BFE"/>
    <w:rsid w:val="00090124"/>
    <w:rsid w:val="00090B95"/>
    <w:rsid w:val="00090C00"/>
    <w:rsid w:val="00090D19"/>
    <w:rsid w:val="00091AFB"/>
    <w:rsid w:val="00091E25"/>
    <w:rsid w:val="00092746"/>
    <w:rsid w:val="00092906"/>
    <w:rsid w:val="00092E3B"/>
    <w:rsid w:val="00092F23"/>
    <w:rsid w:val="000934BC"/>
    <w:rsid w:val="000936B2"/>
    <w:rsid w:val="00093CE7"/>
    <w:rsid w:val="000941FB"/>
    <w:rsid w:val="00094586"/>
    <w:rsid w:val="000945B7"/>
    <w:rsid w:val="0009595B"/>
    <w:rsid w:val="000959EF"/>
    <w:rsid w:val="00095DDF"/>
    <w:rsid w:val="000960CA"/>
    <w:rsid w:val="0009795B"/>
    <w:rsid w:val="000A038B"/>
    <w:rsid w:val="000A17D1"/>
    <w:rsid w:val="000A24BC"/>
    <w:rsid w:val="000A259E"/>
    <w:rsid w:val="000A26B2"/>
    <w:rsid w:val="000A2AB8"/>
    <w:rsid w:val="000A3459"/>
    <w:rsid w:val="000A42AA"/>
    <w:rsid w:val="000A4E4C"/>
    <w:rsid w:val="000A505D"/>
    <w:rsid w:val="000A5619"/>
    <w:rsid w:val="000A6AEB"/>
    <w:rsid w:val="000A6BA2"/>
    <w:rsid w:val="000A711D"/>
    <w:rsid w:val="000A7492"/>
    <w:rsid w:val="000A7D76"/>
    <w:rsid w:val="000B02E6"/>
    <w:rsid w:val="000B04F6"/>
    <w:rsid w:val="000B0526"/>
    <w:rsid w:val="000B0B69"/>
    <w:rsid w:val="000B0D9A"/>
    <w:rsid w:val="000B1BAC"/>
    <w:rsid w:val="000B1F12"/>
    <w:rsid w:val="000B26BB"/>
    <w:rsid w:val="000B2A56"/>
    <w:rsid w:val="000B2B5B"/>
    <w:rsid w:val="000B2D71"/>
    <w:rsid w:val="000B30FF"/>
    <w:rsid w:val="000B33A9"/>
    <w:rsid w:val="000B3556"/>
    <w:rsid w:val="000B3643"/>
    <w:rsid w:val="000B3AE1"/>
    <w:rsid w:val="000B45FE"/>
    <w:rsid w:val="000B47B1"/>
    <w:rsid w:val="000B480F"/>
    <w:rsid w:val="000B5787"/>
    <w:rsid w:val="000B61BC"/>
    <w:rsid w:val="000B630B"/>
    <w:rsid w:val="000B67F3"/>
    <w:rsid w:val="000B774A"/>
    <w:rsid w:val="000B7DDA"/>
    <w:rsid w:val="000C099A"/>
    <w:rsid w:val="000C0BC4"/>
    <w:rsid w:val="000C1261"/>
    <w:rsid w:val="000C1D04"/>
    <w:rsid w:val="000C2211"/>
    <w:rsid w:val="000C2455"/>
    <w:rsid w:val="000C2476"/>
    <w:rsid w:val="000C26DB"/>
    <w:rsid w:val="000C3BD2"/>
    <w:rsid w:val="000C4580"/>
    <w:rsid w:val="000C4648"/>
    <w:rsid w:val="000C489B"/>
    <w:rsid w:val="000C4C07"/>
    <w:rsid w:val="000C5ADF"/>
    <w:rsid w:val="000C6F7C"/>
    <w:rsid w:val="000C7271"/>
    <w:rsid w:val="000C7B5B"/>
    <w:rsid w:val="000C7D52"/>
    <w:rsid w:val="000D067E"/>
    <w:rsid w:val="000D08BF"/>
    <w:rsid w:val="000D10E4"/>
    <w:rsid w:val="000D159A"/>
    <w:rsid w:val="000D15B8"/>
    <w:rsid w:val="000D1C72"/>
    <w:rsid w:val="000D228F"/>
    <w:rsid w:val="000D2874"/>
    <w:rsid w:val="000D2C42"/>
    <w:rsid w:val="000D3120"/>
    <w:rsid w:val="000D3373"/>
    <w:rsid w:val="000D4C75"/>
    <w:rsid w:val="000D4DD2"/>
    <w:rsid w:val="000D547E"/>
    <w:rsid w:val="000D5522"/>
    <w:rsid w:val="000D62C1"/>
    <w:rsid w:val="000D633D"/>
    <w:rsid w:val="000D6CFD"/>
    <w:rsid w:val="000D6D57"/>
    <w:rsid w:val="000D6D81"/>
    <w:rsid w:val="000D7140"/>
    <w:rsid w:val="000D73E7"/>
    <w:rsid w:val="000D7E5E"/>
    <w:rsid w:val="000E0778"/>
    <w:rsid w:val="000E0E40"/>
    <w:rsid w:val="000E1BB0"/>
    <w:rsid w:val="000E1BB2"/>
    <w:rsid w:val="000E1DF1"/>
    <w:rsid w:val="000E279D"/>
    <w:rsid w:val="000E288B"/>
    <w:rsid w:val="000E3503"/>
    <w:rsid w:val="000E3695"/>
    <w:rsid w:val="000E413F"/>
    <w:rsid w:val="000E4812"/>
    <w:rsid w:val="000E48D5"/>
    <w:rsid w:val="000E50B0"/>
    <w:rsid w:val="000E53BD"/>
    <w:rsid w:val="000E5871"/>
    <w:rsid w:val="000E5F63"/>
    <w:rsid w:val="000E62DB"/>
    <w:rsid w:val="000E6759"/>
    <w:rsid w:val="000E6DDF"/>
    <w:rsid w:val="000F033D"/>
    <w:rsid w:val="000F03E2"/>
    <w:rsid w:val="000F0763"/>
    <w:rsid w:val="000F0B73"/>
    <w:rsid w:val="000F0D3C"/>
    <w:rsid w:val="000F1887"/>
    <w:rsid w:val="000F2678"/>
    <w:rsid w:val="000F2F78"/>
    <w:rsid w:val="000F34B3"/>
    <w:rsid w:val="000F3538"/>
    <w:rsid w:val="000F3797"/>
    <w:rsid w:val="000F39BE"/>
    <w:rsid w:val="000F3D7C"/>
    <w:rsid w:val="000F402E"/>
    <w:rsid w:val="000F419F"/>
    <w:rsid w:val="000F445D"/>
    <w:rsid w:val="000F486A"/>
    <w:rsid w:val="000F4BA9"/>
    <w:rsid w:val="000F4C1D"/>
    <w:rsid w:val="000F52F6"/>
    <w:rsid w:val="000F57DD"/>
    <w:rsid w:val="000F67B3"/>
    <w:rsid w:val="000F6EE8"/>
    <w:rsid w:val="000F7277"/>
    <w:rsid w:val="000F76FD"/>
    <w:rsid w:val="000F7F3A"/>
    <w:rsid w:val="001006AE"/>
    <w:rsid w:val="00101286"/>
    <w:rsid w:val="00101383"/>
    <w:rsid w:val="00101EAE"/>
    <w:rsid w:val="00102003"/>
    <w:rsid w:val="00102BAF"/>
    <w:rsid w:val="00103E10"/>
    <w:rsid w:val="00103E73"/>
    <w:rsid w:val="00104E8D"/>
    <w:rsid w:val="00104F75"/>
    <w:rsid w:val="00105531"/>
    <w:rsid w:val="00105586"/>
    <w:rsid w:val="001057C9"/>
    <w:rsid w:val="001059DA"/>
    <w:rsid w:val="001063A1"/>
    <w:rsid w:val="00106F65"/>
    <w:rsid w:val="00107763"/>
    <w:rsid w:val="00110011"/>
    <w:rsid w:val="00110703"/>
    <w:rsid w:val="001109DD"/>
    <w:rsid w:val="00110B6B"/>
    <w:rsid w:val="00110C8C"/>
    <w:rsid w:val="001111C0"/>
    <w:rsid w:val="001113A5"/>
    <w:rsid w:val="00111937"/>
    <w:rsid w:val="00111ED0"/>
    <w:rsid w:val="00112AD6"/>
    <w:rsid w:val="00112BA9"/>
    <w:rsid w:val="00112BAC"/>
    <w:rsid w:val="00112EB8"/>
    <w:rsid w:val="0011313A"/>
    <w:rsid w:val="001132E5"/>
    <w:rsid w:val="00113DE5"/>
    <w:rsid w:val="00113FA4"/>
    <w:rsid w:val="001146B3"/>
    <w:rsid w:val="0011563C"/>
    <w:rsid w:val="00116118"/>
    <w:rsid w:val="00116738"/>
    <w:rsid w:val="001169F7"/>
    <w:rsid w:val="00117C10"/>
    <w:rsid w:val="00117E69"/>
    <w:rsid w:val="001204EB"/>
    <w:rsid w:val="001205D3"/>
    <w:rsid w:val="00120CFA"/>
    <w:rsid w:val="00120FA2"/>
    <w:rsid w:val="00121083"/>
    <w:rsid w:val="00123348"/>
    <w:rsid w:val="00123DCF"/>
    <w:rsid w:val="00124147"/>
    <w:rsid w:val="001243F3"/>
    <w:rsid w:val="0012566B"/>
    <w:rsid w:val="00125D01"/>
    <w:rsid w:val="00126636"/>
    <w:rsid w:val="0012698E"/>
    <w:rsid w:val="00127170"/>
    <w:rsid w:val="001303F8"/>
    <w:rsid w:val="001304E9"/>
    <w:rsid w:val="0013062A"/>
    <w:rsid w:val="00130A4B"/>
    <w:rsid w:val="00131B92"/>
    <w:rsid w:val="00131BE7"/>
    <w:rsid w:val="001320DF"/>
    <w:rsid w:val="001323DF"/>
    <w:rsid w:val="0013243C"/>
    <w:rsid w:val="00132A57"/>
    <w:rsid w:val="00133042"/>
    <w:rsid w:val="00133A83"/>
    <w:rsid w:val="0013447D"/>
    <w:rsid w:val="001344EE"/>
    <w:rsid w:val="001345BB"/>
    <w:rsid w:val="00134708"/>
    <w:rsid w:val="00134B37"/>
    <w:rsid w:val="00135558"/>
    <w:rsid w:val="00135E68"/>
    <w:rsid w:val="00136459"/>
    <w:rsid w:val="001365D1"/>
    <w:rsid w:val="00137198"/>
    <w:rsid w:val="001371E4"/>
    <w:rsid w:val="001375E0"/>
    <w:rsid w:val="00137783"/>
    <w:rsid w:val="00137854"/>
    <w:rsid w:val="00137A99"/>
    <w:rsid w:val="00137E29"/>
    <w:rsid w:val="0014049B"/>
    <w:rsid w:val="00140A02"/>
    <w:rsid w:val="001410E8"/>
    <w:rsid w:val="001411B0"/>
    <w:rsid w:val="00141B61"/>
    <w:rsid w:val="00141C95"/>
    <w:rsid w:val="00141F41"/>
    <w:rsid w:val="001428B8"/>
    <w:rsid w:val="001429F6"/>
    <w:rsid w:val="00143CA7"/>
    <w:rsid w:val="0014416D"/>
    <w:rsid w:val="00144AA3"/>
    <w:rsid w:val="001459B8"/>
    <w:rsid w:val="00145BBB"/>
    <w:rsid w:val="001478D8"/>
    <w:rsid w:val="00147F79"/>
    <w:rsid w:val="0015074C"/>
    <w:rsid w:val="00150860"/>
    <w:rsid w:val="00150A66"/>
    <w:rsid w:val="00151794"/>
    <w:rsid w:val="00151BA7"/>
    <w:rsid w:val="00151D5D"/>
    <w:rsid w:val="00152A48"/>
    <w:rsid w:val="00153575"/>
    <w:rsid w:val="00153718"/>
    <w:rsid w:val="00153E71"/>
    <w:rsid w:val="00154E56"/>
    <w:rsid w:val="00155174"/>
    <w:rsid w:val="00155233"/>
    <w:rsid w:val="00155931"/>
    <w:rsid w:val="00155B74"/>
    <w:rsid w:val="00155B7B"/>
    <w:rsid w:val="00155BE4"/>
    <w:rsid w:val="0015652E"/>
    <w:rsid w:val="001567BE"/>
    <w:rsid w:val="00156956"/>
    <w:rsid w:val="001575E2"/>
    <w:rsid w:val="0015779A"/>
    <w:rsid w:val="00157D9C"/>
    <w:rsid w:val="00160847"/>
    <w:rsid w:val="00160909"/>
    <w:rsid w:val="00160DC9"/>
    <w:rsid w:val="001612AB"/>
    <w:rsid w:val="00162306"/>
    <w:rsid w:val="001627A0"/>
    <w:rsid w:val="00162E90"/>
    <w:rsid w:val="0016312F"/>
    <w:rsid w:val="001631B4"/>
    <w:rsid w:val="0016368E"/>
    <w:rsid w:val="0016397F"/>
    <w:rsid w:val="00163B2A"/>
    <w:rsid w:val="00163CD1"/>
    <w:rsid w:val="00163D82"/>
    <w:rsid w:val="00163D9C"/>
    <w:rsid w:val="00164B49"/>
    <w:rsid w:val="00164DDD"/>
    <w:rsid w:val="00165E3D"/>
    <w:rsid w:val="00166586"/>
    <w:rsid w:val="00167103"/>
    <w:rsid w:val="001671D5"/>
    <w:rsid w:val="001674E3"/>
    <w:rsid w:val="00170351"/>
    <w:rsid w:val="00170F98"/>
    <w:rsid w:val="001712D5"/>
    <w:rsid w:val="001716FB"/>
    <w:rsid w:val="0017223D"/>
    <w:rsid w:val="00172308"/>
    <w:rsid w:val="00172711"/>
    <w:rsid w:val="0017279E"/>
    <w:rsid w:val="00172823"/>
    <w:rsid w:val="00172F29"/>
    <w:rsid w:val="00173571"/>
    <w:rsid w:val="0017358E"/>
    <w:rsid w:val="001739E1"/>
    <w:rsid w:val="00173E10"/>
    <w:rsid w:val="00174E87"/>
    <w:rsid w:val="001755CD"/>
    <w:rsid w:val="00175803"/>
    <w:rsid w:val="00175E22"/>
    <w:rsid w:val="00175E3C"/>
    <w:rsid w:val="00175FC6"/>
    <w:rsid w:val="001767F5"/>
    <w:rsid w:val="00176E38"/>
    <w:rsid w:val="00177052"/>
    <w:rsid w:val="0017706B"/>
    <w:rsid w:val="00177317"/>
    <w:rsid w:val="001776F3"/>
    <w:rsid w:val="0017778C"/>
    <w:rsid w:val="00177FC2"/>
    <w:rsid w:val="00180B74"/>
    <w:rsid w:val="001813AF"/>
    <w:rsid w:val="00181483"/>
    <w:rsid w:val="00181F80"/>
    <w:rsid w:val="0018201A"/>
    <w:rsid w:val="0018253C"/>
    <w:rsid w:val="00183E01"/>
    <w:rsid w:val="001849F5"/>
    <w:rsid w:val="00184BE4"/>
    <w:rsid w:val="00184CBB"/>
    <w:rsid w:val="00184D55"/>
    <w:rsid w:val="00184D81"/>
    <w:rsid w:val="0018524C"/>
    <w:rsid w:val="00185B4C"/>
    <w:rsid w:val="00187971"/>
    <w:rsid w:val="001906A6"/>
    <w:rsid w:val="00190BCB"/>
    <w:rsid w:val="00190D0F"/>
    <w:rsid w:val="00190DFD"/>
    <w:rsid w:val="001914A7"/>
    <w:rsid w:val="001918BE"/>
    <w:rsid w:val="00191C08"/>
    <w:rsid w:val="00191E8E"/>
    <w:rsid w:val="00192200"/>
    <w:rsid w:val="00192348"/>
    <w:rsid w:val="0019260B"/>
    <w:rsid w:val="00192AAB"/>
    <w:rsid w:val="00194A3C"/>
    <w:rsid w:val="00194A5D"/>
    <w:rsid w:val="001950C9"/>
    <w:rsid w:val="00195480"/>
    <w:rsid w:val="00197104"/>
    <w:rsid w:val="0019759C"/>
    <w:rsid w:val="00197A77"/>
    <w:rsid w:val="00197D69"/>
    <w:rsid w:val="00197F26"/>
    <w:rsid w:val="001A08B3"/>
    <w:rsid w:val="001A0B0F"/>
    <w:rsid w:val="001A0B4F"/>
    <w:rsid w:val="001A1C1B"/>
    <w:rsid w:val="001A217E"/>
    <w:rsid w:val="001A3C04"/>
    <w:rsid w:val="001A3EEA"/>
    <w:rsid w:val="001A4100"/>
    <w:rsid w:val="001A419E"/>
    <w:rsid w:val="001A456B"/>
    <w:rsid w:val="001A46C6"/>
    <w:rsid w:val="001A476C"/>
    <w:rsid w:val="001A47B5"/>
    <w:rsid w:val="001A48FC"/>
    <w:rsid w:val="001A5518"/>
    <w:rsid w:val="001A5A24"/>
    <w:rsid w:val="001A5BB1"/>
    <w:rsid w:val="001A5FAF"/>
    <w:rsid w:val="001A6020"/>
    <w:rsid w:val="001A61B1"/>
    <w:rsid w:val="001A6A6F"/>
    <w:rsid w:val="001A6AED"/>
    <w:rsid w:val="001A6F4C"/>
    <w:rsid w:val="001A7300"/>
    <w:rsid w:val="001A7F22"/>
    <w:rsid w:val="001B0D02"/>
    <w:rsid w:val="001B0FF8"/>
    <w:rsid w:val="001B16E9"/>
    <w:rsid w:val="001B255C"/>
    <w:rsid w:val="001B2998"/>
    <w:rsid w:val="001B29AA"/>
    <w:rsid w:val="001B2C2E"/>
    <w:rsid w:val="001B2DA5"/>
    <w:rsid w:val="001B2DD5"/>
    <w:rsid w:val="001B3597"/>
    <w:rsid w:val="001B4395"/>
    <w:rsid w:val="001B43A1"/>
    <w:rsid w:val="001B49DF"/>
    <w:rsid w:val="001B4C76"/>
    <w:rsid w:val="001B6553"/>
    <w:rsid w:val="001B6A34"/>
    <w:rsid w:val="001B76BA"/>
    <w:rsid w:val="001B7CE6"/>
    <w:rsid w:val="001C06D6"/>
    <w:rsid w:val="001C0A7D"/>
    <w:rsid w:val="001C0E1B"/>
    <w:rsid w:val="001C1F43"/>
    <w:rsid w:val="001C2329"/>
    <w:rsid w:val="001C2888"/>
    <w:rsid w:val="001C3FAE"/>
    <w:rsid w:val="001C44D6"/>
    <w:rsid w:val="001C4960"/>
    <w:rsid w:val="001C539C"/>
    <w:rsid w:val="001C543C"/>
    <w:rsid w:val="001C5B21"/>
    <w:rsid w:val="001C5D25"/>
    <w:rsid w:val="001C5DDC"/>
    <w:rsid w:val="001C6CF7"/>
    <w:rsid w:val="001C748B"/>
    <w:rsid w:val="001D0872"/>
    <w:rsid w:val="001D1097"/>
    <w:rsid w:val="001D133C"/>
    <w:rsid w:val="001D15C4"/>
    <w:rsid w:val="001D178A"/>
    <w:rsid w:val="001D1D4E"/>
    <w:rsid w:val="001D1DF9"/>
    <w:rsid w:val="001D1E07"/>
    <w:rsid w:val="001D20FD"/>
    <w:rsid w:val="001D3A16"/>
    <w:rsid w:val="001D48E9"/>
    <w:rsid w:val="001D59E3"/>
    <w:rsid w:val="001D5D1C"/>
    <w:rsid w:val="001D5D2B"/>
    <w:rsid w:val="001D6A4A"/>
    <w:rsid w:val="001D777B"/>
    <w:rsid w:val="001D7B07"/>
    <w:rsid w:val="001D7BBC"/>
    <w:rsid w:val="001D7FF7"/>
    <w:rsid w:val="001E0246"/>
    <w:rsid w:val="001E04E2"/>
    <w:rsid w:val="001E078B"/>
    <w:rsid w:val="001E0AB1"/>
    <w:rsid w:val="001E0CFE"/>
    <w:rsid w:val="001E1042"/>
    <w:rsid w:val="001E186B"/>
    <w:rsid w:val="001E2032"/>
    <w:rsid w:val="001E2609"/>
    <w:rsid w:val="001E2974"/>
    <w:rsid w:val="001E35D0"/>
    <w:rsid w:val="001E374C"/>
    <w:rsid w:val="001E3798"/>
    <w:rsid w:val="001E3AF9"/>
    <w:rsid w:val="001E3EF3"/>
    <w:rsid w:val="001E410F"/>
    <w:rsid w:val="001E457C"/>
    <w:rsid w:val="001E4D97"/>
    <w:rsid w:val="001E579D"/>
    <w:rsid w:val="001E587E"/>
    <w:rsid w:val="001E5E4D"/>
    <w:rsid w:val="001E6350"/>
    <w:rsid w:val="001E6FF2"/>
    <w:rsid w:val="001E7763"/>
    <w:rsid w:val="001E77B5"/>
    <w:rsid w:val="001E797D"/>
    <w:rsid w:val="001E79E6"/>
    <w:rsid w:val="001F08A5"/>
    <w:rsid w:val="001F1393"/>
    <w:rsid w:val="001F1449"/>
    <w:rsid w:val="001F1C6F"/>
    <w:rsid w:val="001F1DF8"/>
    <w:rsid w:val="001F2B04"/>
    <w:rsid w:val="001F2CCE"/>
    <w:rsid w:val="001F2E66"/>
    <w:rsid w:val="001F2FB8"/>
    <w:rsid w:val="001F3C1E"/>
    <w:rsid w:val="001F3FC9"/>
    <w:rsid w:val="001F4D12"/>
    <w:rsid w:val="001F5476"/>
    <w:rsid w:val="001F58C7"/>
    <w:rsid w:val="001F6189"/>
    <w:rsid w:val="001F647C"/>
    <w:rsid w:val="001F64C6"/>
    <w:rsid w:val="001F6905"/>
    <w:rsid w:val="001F736A"/>
    <w:rsid w:val="00200D40"/>
    <w:rsid w:val="00201A88"/>
    <w:rsid w:val="00201B69"/>
    <w:rsid w:val="00201FFB"/>
    <w:rsid w:val="002023BE"/>
    <w:rsid w:val="00203209"/>
    <w:rsid w:val="002033CB"/>
    <w:rsid w:val="002035D3"/>
    <w:rsid w:val="00203640"/>
    <w:rsid w:val="002038B0"/>
    <w:rsid w:val="00203CEF"/>
    <w:rsid w:val="0020412E"/>
    <w:rsid w:val="00204200"/>
    <w:rsid w:val="0020420E"/>
    <w:rsid w:val="00204768"/>
    <w:rsid w:val="00204887"/>
    <w:rsid w:val="0020554E"/>
    <w:rsid w:val="0020563A"/>
    <w:rsid w:val="00205AC4"/>
    <w:rsid w:val="0020611D"/>
    <w:rsid w:val="002067D3"/>
    <w:rsid w:val="00206835"/>
    <w:rsid w:val="0021027C"/>
    <w:rsid w:val="00210C17"/>
    <w:rsid w:val="00210FF1"/>
    <w:rsid w:val="0021124B"/>
    <w:rsid w:val="00211287"/>
    <w:rsid w:val="002113F3"/>
    <w:rsid w:val="00211890"/>
    <w:rsid w:val="00211D2B"/>
    <w:rsid w:val="002121DA"/>
    <w:rsid w:val="00212590"/>
    <w:rsid w:val="00212938"/>
    <w:rsid w:val="00213354"/>
    <w:rsid w:val="002134BD"/>
    <w:rsid w:val="0021395F"/>
    <w:rsid w:val="00213E86"/>
    <w:rsid w:val="002147A2"/>
    <w:rsid w:val="00214921"/>
    <w:rsid w:val="00214BF6"/>
    <w:rsid w:val="00215175"/>
    <w:rsid w:val="00215451"/>
    <w:rsid w:val="00215968"/>
    <w:rsid w:val="00215D8A"/>
    <w:rsid w:val="00215E61"/>
    <w:rsid w:val="002160F4"/>
    <w:rsid w:val="00216971"/>
    <w:rsid w:val="00216D4B"/>
    <w:rsid w:val="00216D55"/>
    <w:rsid w:val="00216FC6"/>
    <w:rsid w:val="0021746F"/>
    <w:rsid w:val="00217EB3"/>
    <w:rsid w:val="0022039A"/>
    <w:rsid w:val="002205E2"/>
    <w:rsid w:val="00220819"/>
    <w:rsid w:val="0022089E"/>
    <w:rsid w:val="00220BD4"/>
    <w:rsid w:val="00220BDB"/>
    <w:rsid w:val="00220CBA"/>
    <w:rsid w:val="0022158D"/>
    <w:rsid w:val="002215BF"/>
    <w:rsid w:val="00221914"/>
    <w:rsid w:val="002221AB"/>
    <w:rsid w:val="00223852"/>
    <w:rsid w:val="00223F19"/>
    <w:rsid w:val="002243D3"/>
    <w:rsid w:val="002248ED"/>
    <w:rsid w:val="00224FE8"/>
    <w:rsid w:val="0022741C"/>
    <w:rsid w:val="00227E07"/>
    <w:rsid w:val="00230A0E"/>
    <w:rsid w:val="00230BCF"/>
    <w:rsid w:val="002314B9"/>
    <w:rsid w:val="0023164A"/>
    <w:rsid w:val="00231817"/>
    <w:rsid w:val="00231B57"/>
    <w:rsid w:val="00231C42"/>
    <w:rsid w:val="002327AD"/>
    <w:rsid w:val="00232EDC"/>
    <w:rsid w:val="00233150"/>
    <w:rsid w:val="00233154"/>
    <w:rsid w:val="00234AE8"/>
    <w:rsid w:val="0023512E"/>
    <w:rsid w:val="00235947"/>
    <w:rsid w:val="00235CCB"/>
    <w:rsid w:val="00236086"/>
    <w:rsid w:val="00236E7F"/>
    <w:rsid w:val="00236EEC"/>
    <w:rsid w:val="002372D2"/>
    <w:rsid w:val="002375A7"/>
    <w:rsid w:val="00237715"/>
    <w:rsid w:val="00240DAD"/>
    <w:rsid w:val="00242037"/>
    <w:rsid w:val="00242147"/>
    <w:rsid w:val="00242336"/>
    <w:rsid w:val="00242376"/>
    <w:rsid w:val="0024294B"/>
    <w:rsid w:val="0024341E"/>
    <w:rsid w:val="002434B9"/>
    <w:rsid w:val="00243D09"/>
    <w:rsid w:val="002440EA"/>
    <w:rsid w:val="00246AB0"/>
    <w:rsid w:val="00246DE2"/>
    <w:rsid w:val="00247197"/>
    <w:rsid w:val="0024754D"/>
    <w:rsid w:val="00247EC0"/>
    <w:rsid w:val="00247FE3"/>
    <w:rsid w:val="00250204"/>
    <w:rsid w:val="00250D10"/>
    <w:rsid w:val="00250D8D"/>
    <w:rsid w:val="00250DA0"/>
    <w:rsid w:val="00251198"/>
    <w:rsid w:val="00251627"/>
    <w:rsid w:val="00252407"/>
    <w:rsid w:val="0025257B"/>
    <w:rsid w:val="002525F9"/>
    <w:rsid w:val="0025365C"/>
    <w:rsid w:val="00254040"/>
    <w:rsid w:val="00254860"/>
    <w:rsid w:val="00254938"/>
    <w:rsid w:val="00254EE6"/>
    <w:rsid w:val="00254F61"/>
    <w:rsid w:val="00257AC1"/>
    <w:rsid w:val="00257C9A"/>
    <w:rsid w:val="00260E5D"/>
    <w:rsid w:val="0026112F"/>
    <w:rsid w:val="00261786"/>
    <w:rsid w:val="0026230B"/>
    <w:rsid w:val="00262D51"/>
    <w:rsid w:val="00262F29"/>
    <w:rsid w:val="00263864"/>
    <w:rsid w:val="00263968"/>
    <w:rsid w:val="00264161"/>
    <w:rsid w:val="002646FD"/>
    <w:rsid w:val="00264EAB"/>
    <w:rsid w:val="00265AA7"/>
    <w:rsid w:val="002661A5"/>
    <w:rsid w:val="002672C7"/>
    <w:rsid w:val="00267474"/>
    <w:rsid w:val="0026773F"/>
    <w:rsid w:val="00267864"/>
    <w:rsid w:val="00267D70"/>
    <w:rsid w:val="00270B74"/>
    <w:rsid w:val="00270E6F"/>
    <w:rsid w:val="00271088"/>
    <w:rsid w:val="002715CF"/>
    <w:rsid w:val="00271A56"/>
    <w:rsid w:val="00272AB3"/>
    <w:rsid w:val="00272BAE"/>
    <w:rsid w:val="00272D32"/>
    <w:rsid w:val="002736C3"/>
    <w:rsid w:val="002742E0"/>
    <w:rsid w:val="00274688"/>
    <w:rsid w:val="00274A4C"/>
    <w:rsid w:val="00274A88"/>
    <w:rsid w:val="00274C74"/>
    <w:rsid w:val="00274FEF"/>
    <w:rsid w:val="0027504F"/>
    <w:rsid w:val="002751BC"/>
    <w:rsid w:val="0027528B"/>
    <w:rsid w:val="0027587A"/>
    <w:rsid w:val="00276D3E"/>
    <w:rsid w:val="0028070F"/>
    <w:rsid w:val="00280A3D"/>
    <w:rsid w:val="00281412"/>
    <w:rsid w:val="00281D21"/>
    <w:rsid w:val="00282FA7"/>
    <w:rsid w:val="0028321A"/>
    <w:rsid w:val="002838BA"/>
    <w:rsid w:val="00283C18"/>
    <w:rsid w:val="0028423F"/>
    <w:rsid w:val="00284747"/>
    <w:rsid w:val="002848F8"/>
    <w:rsid w:val="00284BD0"/>
    <w:rsid w:val="00284E08"/>
    <w:rsid w:val="00285349"/>
    <w:rsid w:val="00285952"/>
    <w:rsid w:val="00285AF6"/>
    <w:rsid w:val="0028604B"/>
    <w:rsid w:val="00286793"/>
    <w:rsid w:val="00286926"/>
    <w:rsid w:val="00286F05"/>
    <w:rsid w:val="0028704A"/>
    <w:rsid w:val="0028741A"/>
    <w:rsid w:val="0028780F"/>
    <w:rsid w:val="00287ADD"/>
    <w:rsid w:val="002900F1"/>
    <w:rsid w:val="002901CC"/>
    <w:rsid w:val="002905E5"/>
    <w:rsid w:val="00290C6E"/>
    <w:rsid w:val="00291021"/>
    <w:rsid w:val="002911AE"/>
    <w:rsid w:val="002911B2"/>
    <w:rsid w:val="00291CED"/>
    <w:rsid w:val="00292150"/>
    <w:rsid w:val="00292BF7"/>
    <w:rsid w:val="002937B6"/>
    <w:rsid w:val="00293C37"/>
    <w:rsid w:val="00293CBC"/>
    <w:rsid w:val="00293D5E"/>
    <w:rsid w:val="00294B7B"/>
    <w:rsid w:val="00294F70"/>
    <w:rsid w:val="0029531F"/>
    <w:rsid w:val="002967AD"/>
    <w:rsid w:val="002967EC"/>
    <w:rsid w:val="002968AD"/>
    <w:rsid w:val="00297053"/>
    <w:rsid w:val="00297506"/>
    <w:rsid w:val="002979DF"/>
    <w:rsid w:val="00297DA6"/>
    <w:rsid w:val="00297F9E"/>
    <w:rsid w:val="002A00EC"/>
    <w:rsid w:val="002A0C05"/>
    <w:rsid w:val="002A1103"/>
    <w:rsid w:val="002A11A3"/>
    <w:rsid w:val="002A1802"/>
    <w:rsid w:val="002A1A30"/>
    <w:rsid w:val="002A1B97"/>
    <w:rsid w:val="002A27D2"/>
    <w:rsid w:val="002A304E"/>
    <w:rsid w:val="002A34C4"/>
    <w:rsid w:val="002A383D"/>
    <w:rsid w:val="002A3C02"/>
    <w:rsid w:val="002A4127"/>
    <w:rsid w:val="002A4718"/>
    <w:rsid w:val="002A4880"/>
    <w:rsid w:val="002A48C4"/>
    <w:rsid w:val="002A506B"/>
    <w:rsid w:val="002A700D"/>
    <w:rsid w:val="002A71CD"/>
    <w:rsid w:val="002B13BE"/>
    <w:rsid w:val="002B162C"/>
    <w:rsid w:val="002B1B4E"/>
    <w:rsid w:val="002B1F38"/>
    <w:rsid w:val="002B23A1"/>
    <w:rsid w:val="002B2B2A"/>
    <w:rsid w:val="002B30DE"/>
    <w:rsid w:val="002B330B"/>
    <w:rsid w:val="002B33EC"/>
    <w:rsid w:val="002B3CC9"/>
    <w:rsid w:val="002B3FE8"/>
    <w:rsid w:val="002B407B"/>
    <w:rsid w:val="002B610E"/>
    <w:rsid w:val="002B6298"/>
    <w:rsid w:val="002B708F"/>
    <w:rsid w:val="002B74B1"/>
    <w:rsid w:val="002C0130"/>
    <w:rsid w:val="002C0332"/>
    <w:rsid w:val="002C0DEE"/>
    <w:rsid w:val="002C1405"/>
    <w:rsid w:val="002C17D4"/>
    <w:rsid w:val="002C198F"/>
    <w:rsid w:val="002C19A5"/>
    <w:rsid w:val="002C1C60"/>
    <w:rsid w:val="002C2EAD"/>
    <w:rsid w:val="002C3BEB"/>
    <w:rsid w:val="002C3ED8"/>
    <w:rsid w:val="002C44E1"/>
    <w:rsid w:val="002C4670"/>
    <w:rsid w:val="002C4BAF"/>
    <w:rsid w:val="002C4E12"/>
    <w:rsid w:val="002C592C"/>
    <w:rsid w:val="002C61AE"/>
    <w:rsid w:val="002C652E"/>
    <w:rsid w:val="002C6CE8"/>
    <w:rsid w:val="002C71F4"/>
    <w:rsid w:val="002C772C"/>
    <w:rsid w:val="002C7B26"/>
    <w:rsid w:val="002C7C4A"/>
    <w:rsid w:val="002C7E4F"/>
    <w:rsid w:val="002C7E67"/>
    <w:rsid w:val="002D0049"/>
    <w:rsid w:val="002D0492"/>
    <w:rsid w:val="002D0533"/>
    <w:rsid w:val="002D07E6"/>
    <w:rsid w:val="002D0F70"/>
    <w:rsid w:val="002D1367"/>
    <w:rsid w:val="002D1AD6"/>
    <w:rsid w:val="002D2B2E"/>
    <w:rsid w:val="002D2D1F"/>
    <w:rsid w:val="002D2D20"/>
    <w:rsid w:val="002D378C"/>
    <w:rsid w:val="002D38B3"/>
    <w:rsid w:val="002D4273"/>
    <w:rsid w:val="002D42D0"/>
    <w:rsid w:val="002D4337"/>
    <w:rsid w:val="002D43C6"/>
    <w:rsid w:val="002D43CB"/>
    <w:rsid w:val="002D461E"/>
    <w:rsid w:val="002D49BD"/>
    <w:rsid w:val="002D4D83"/>
    <w:rsid w:val="002D5309"/>
    <w:rsid w:val="002D530B"/>
    <w:rsid w:val="002D6388"/>
    <w:rsid w:val="002D66F9"/>
    <w:rsid w:val="002D6863"/>
    <w:rsid w:val="002D6A3B"/>
    <w:rsid w:val="002D7562"/>
    <w:rsid w:val="002E1706"/>
    <w:rsid w:val="002E1BBB"/>
    <w:rsid w:val="002E1CE0"/>
    <w:rsid w:val="002E1E52"/>
    <w:rsid w:val="002E26E0"/>
    <w:rsid w:val="002E31D7"/>
    <w:rsid w:val="002E376E"/>
    <w:rsid w:val="002E459A"/>
    <w:rsid w:val="002E4B19"/>
    <w:rsid w:val="002E525A"/>
    <w:rsid w:val="002E58EE"/>
    <w:rsid w:val="002E5BE3"/>
    <w:rsid w:val="002E6E6B"/>
    <w:rsid w:val="002E6E9F"/>
    <w:rsid w:val="002E75BA"/>
    <w:rsid w:val="002E78BC"/>
    <w:rsid w:val="002E7C6E"/>
    <w:rsid w:val="002F0441"/>
    <w:rsid w:val="002F0C9B"/>
    <w:rsid w:val="002F0DBD"/>
    <w:rsid w:val="002F100E"/>
    <w:rsid w:val="002F1D54"/>
    <w:rsid w:val="002F1E53"/>
    <w:rsid w:val="002F220A"/>
    <w:rsid w:val="002F225F"/>
    <w:rsid w:val="002F2456"/>
    <w:rsid w:val="002F2493"/>
    <w:rsid w:val="002F29DB"/>
    <w:rsid w:val="002F3C3E"/>
    <w:rsid w:val="002F4669"/>
    <w:rsid w:val="002F5B5B"/>
    <w:rsid w:val="002F6468"/>
    <w:rsid w:val="002F6A1E"/>
    <w:rsid w:val="002F721C"/>
    <w:rsid w:val="002F7629"/>
    <w:rsid w:val="002F76D3"/>
    <w:rsid w:val="0030043A"/>
    <w:rsid w:val="00301CB8"/>
    <w:rsid w:val="003028D3"/>
    <w:rsid w:val="00302D5B"/>
    <w:rsid w:val="00302DE8"/>
    <w:rsid w:val="00303034"/>
    <w:rsid w:val="00303876"/>
    <w:rsid w:val="00303C69"/>
    <w:rsid w:val="0030417F"/>
    <w:rsid w:val="00306215"/>
    <w:rsid w:val="00306760"/>
    <w:rsid w:val="003069C0"/>
    <w:rsid w:val="003071A0"/>
    <w:rsid w:val="00310D3B"/>
    <w:rsid w:val="00312869"/>
    <w:rsid w:val="003132AD"/>
    <w:rsid w:val="00313515"/>
    <w:rsid w:val="00314068"/>
    <w:rsid w:val="0031444F"/>
    <w:rsid w:val="00315098"/>
    <w:rsid w:val="00315855"/>
    <w:rsid w:val="0031655F"/>
    <w:rsid w:val="003167C6"/>
    <w:rsid w:val="0031705C"/>
    <w:rsid w:val="0031762B"/>
    <w:rsid w:val="003179F3"/>
    <w:rsid w:val="00317DF8"/>
    <w:rsid w:val="003205F9"/>
    <w:rsid w:val="00321001"/>
    <w:rsid w:val="0032283E"/>
    <w:rsid w:val="00323450"/>
    <w:rsid w:val="00324236"/>
    <w:rsid w:val="003250E4"/>
    <w:rsid w:val="0032519C"/>
    <w:rsid w:val="003256F6"/>
    <w:rsid w:val="00325F97"/>
    <w:rsid w:val="00326E47"/>
    <w:rsid w:val="003272AD"/>
    <w:rsid w:val="003309D8"/>
    <w:rsid w:val="00330AFB"/>
    <w:rsid w:val="00330DC1"/>
    <w:rsid w:val="00330DE9"/>
    <w:rsid w:val="00331381"/>
    <w:rsid w:val="003313C6"/>
    <w:rsid w:val="0033173F"/>
    <w:rsid w:val="00331763"/>
    <w:rsid w:val="003318F7"/>
    <w:rsid w:val="0033195E"/>
    <w:rsid w:val="00332443"/>
    <w:rsid w:val="003324A2"/>
    <w:rsid w:val="00332B25"/>
    <w:rsid w:val="00332C01"/>
    <w:rsid w:val="00332F9F"/>
    <w:rsid w:val="00333BEC"/>
    <w:rsid w:val="00333FA7"/>
    <w:rsid w:val="003341F5"/>
    <w:rsid w:val="00334295"/>
    <w:rsid w:val="0033481E"/>
    <w:rsid w:val="00335D43"/>
    <w:rsid w:val="00336464"/>
    <w:rsid w:val="003364B9"/>
    <w:rsid w:val="003367C3"/>
    <w:rsid w:val="003367EC"/>
    <w:rsid w:val="00337308"/>
    <w:rsid w:val="0033747D"/>
    <w:rsid w:val="003406E8"/>
    <w:rsid w:val="0034075F"/>
    <w:rsid w:val="00340786"/>
    <w:rsid w:val="0034099F"/>
    <w:rsid w:val="00341333"/>
    <w:rsid w:val="003413B8"/>
    <w:rsid w:val="00341C3A"/>
    <w:rsid w:val="00341E99"/>
    <w:rsid w:val="00341F1D"/>
    <w:rsid w:val="0034282E"/>
    <w:rsid w:val="00342968"/>
    <w:rsid w:val="003431C7"/>
    <w:rsid w:val="003444F9"/>
    <w:rsid w:val="00344856"/>
    <w:rsid w:val="00344A20"/>
    <w:rsid w:val="00345430"/>
    <w:rsid w:val="00346DB5"/>
    <w:rsid w:val="0034776A"/>
    <w:rsid w:val="0034789A"/>
    <w:rsid w:val="00347A52"/>
    <w:rsid w:val="00350F3E"/>
    <w:rsid w:val="00351BF3"/>
    <w:rsid w:val="00351C7C"/>
    <w:rsid w:val="00351CAE"/>
    <w:rsid w:val="00352F9E"/>
    <w:rsid w:val="003530C6"/>
    <w:rsid w:val="00353A18"/>
    <w:rsid w:val="00353D2D"/>
    <w:rsid w:val="00354105"/>
    <w:rsid w:val="0035434C"/>
    <w:rsid w:val="003547FB"/>
    <w:rsid w:val="0035547E"/>
    <w:rsid w:val="003559C9"/>
    <w:rsid w:val="00356C3D"/>
    <w:rsid w:val="00357007"/>
    <w:rsid w:val="0035740C"/>
    <w:rsid w:val="0035774D"/>
    <w:rsid w:val="003578AC"/>
    <w:rsid w:val="00357A0A"/>
    <w:rsid w:val="00357A8D"/>
    <w:rsid w:val="00357E5C"/>
    <w:rsid w:val="00357ED4"/>
    <w:rsid w:val="00360983"/>
    <w:rsid w:val="00360CEF"/>
    <w:rsid w:val="00360D03"/>
    <w:rsid w:val="003618B1"/>
    <w:rsid w:val="00361B96"/>
    <w:rsid w:val="003625BD"/>
    <w:rsid w:val="00362727"/>
    <w:rsid w:val="00362ACA"/>
    <w:rsid w:val="00363153"/>
    <w:rsid w:val="003633A6"/>
    <w:rsid w:val="003638D8"/>
    <w:rsid w:val="003639BA"/>
    <w:rsid w:val="0036410D"/>
    <w:rsid w:val="00364B3F"/>
    <w:rsid w:val="00365143"/>
    <w:rsid w:val="0036538D"/>
    <w:rsid w:val="0036745C"/>
    <w:rsid w:val="0036775D"/>
    <w:rsid w:val="003678AC"/>
    <w:rsid w:val="00367B3E"/>
    <w:rsid w:val="003707E5"/>
    <w:rsid w:val="00370AEC"/>
    <w:rsid w:val="00370C18"/>
    <w:rsid w:val="00371145"/>
    <w:rsid w:val="0037124E"/>
    <w:rsid w:val="003716FF"/>
    <w:rsid w:val="003718A8"/>
    <w:rsid w:val="00371A16"/>
    <w:rsid w:val="00372109"/>
    <w:rsid w:val="003724F1"/>
    <w:rsid w:val="0037298C"/>
    <w:rsid w:val="00373557"/>
    <w:rsid w:val="003735B4"/>
    <w:rsid w:val="00373A0D"/>
    <w:rsid w:val="00373D63"/>
    <w:rsid w:val="00374080"/>
    <w:rsid w:val="00374601"/>
    <w:rsid w:val="003758D6"/>
    <w:rsid w:val="00375CC1"/>
    <w:rsid w:val="003763BA"/>
    <w:rsid w:val="003766C6"/>
    <w:rsid w:val="00377B8B"/>
    <w:rsid w:val="00377C57"/>
    <w:rsid w:val="00377E1F"/>
    <w:rsid w:val="00380427"/>
    <w:rsid w:val="00381529"/>
    <w:rsid w:val="00381970"/>
    <w:rsid w:val="00382630"/>
    <w:rsid w:val="00383608"/>
    <w:rsid w:val="00383917"/>
    <w:rsid w:val="00383B76"/>
    <w:rsid w:val="00383F39"/>
    <w:rsid w:val="00383F55"/>
    <w:rsid w:val="00384388"/>
    <w:rsid w:val="00384ACD"/>
    <w:rsid w:val="003866D8"/>
    <w:rsid w:val="00386788"/>
    <w:rsid w:val="003867AA"/>
    <w:rsid w:val="00386B9F"/>
    <w:rsid w:val="00386DAA"/>
    <w:rsid w:val="00386E0B"/>
    <w:rsid w:val="00390426"/>
    <w:rsid w:val="00390476"/>
    <w:rsid w:val="00391D1C"/>
    <w:rsid w:val="00392953"/>
    <w:rsid w:val="00392EA2"/>
    <w:rsid w:val="003938D7"/>
    <w:rsid w:val="00393AB0"/>
    <w:rsid w:val="00394057"/>
    <w:rsid w:val="0039449B"/>
    <w:rsid w:val="00394575"/>
    <w:rsid w:val="00394972"/>
    <w:rsid w:val="003965D1"/>
    <w:rsid w:val="00396872"/>
    <w:rsid w:val="0039734E"/>
    <w:rsid w:val="0039742E"/>
    <w:rsid w:val="00397D09"/>
    <w:rsid w:val="003A0158"/>
    <w:rsid w:val="003A0180"/>
    <w:rsid w:val="003A03B1"/>
    <w:rsid w:val="003A0447"/>
    <w:rsid w:val="003A0635"/>
    <w:rsid w:val="003A0E39"/>
    <w:rsid w:val="003A1A33"/>
    <w:rsid w:val="003A1E27"/>
    <w:rsid w:val="003A1FD6"/>
    <w:rsid w:val="003A261E"/>
    <w:rsid w:val="003A286A"/>
    <w:rsid w:val="003A3B4E"/>
    <w:rsid w:val="003A3EE3"/>
    <w:rsid w:val="003A418B"/>
    <w:rsid w:val="003A43F2"/>
    <w:rsid w:val="003A446C"/>
    <w:rsid w:val="003A4BB1"/>
    <w:rsid w:val="003A5412"/>
    <w:rsid w:val="003A57B2"/>
    <w:rsid w:val="003A60B0"/>
    <w:rsid w:val="003A706F"/>
    <w:rsid w:val="003A7D02"/>
    <w:rsid w:val="003A7F90"/>
    <w:rsid w:val="003B03CF"/>
    <w:rsid w:val="003B0863"/>
    <w:rsid w:val="003B09B2"/>
    <w:rsid w:val="003B1852"/>
    <w:rsid w:val="003B1E6F"/>
    <w:rsid w:val="003B2296"/>
    <w:rsid w:val="003B2306"/>
    <w:rsid w:val="003B248A"/>
    <w:rsid w:val="003B288A"/>
    <w:rsid w:val="003B2E73"/>
    <w:rsid w:val="003B3116"/>
    <w:rsid w:val="003B3D6F"/>
    <w:rsid w:val="003B5088"/>
    <w:rsid w:val="003B5202"/>
    <w:rsid w:val="003B5823"/>
    <w:rsid w:val="003B5835"/>
    <w:rsid w:val="003B6049"/>
    <w:rsid w:val="003B69F7"/>
    <w:rsid w:val="003B77D1"/>
    <w:rsid w:val="003B79B0"/>
    <w:rsid w:val="003B7A9A"/>
    <w:rsid w:val="003B7D05"/>
    <w:rsid w:val="003B7DD1"/>
    <w:rsid w:val="003B7EEA"/>
    <w:rsid w:val="003C00CA"/>
    <w:rsid w:val="003C076B"/>
    <w:rsid w:val="003C0892"/>
    <w:rsid w:val="003C0B80"/>
    <w:rsid w:val="003C111B"/>
    <w:rsid w:val="003C1890"/>
    <w:rsid w:val="003C27CD"/>
    <w:rsid w:val="003C2F60"/>
    <w:rsid w:val="003C3A58"/>
    <w:rsid w:val="003C3D6E"/>
    <w:rsid w:val="003C4284"/>
    <w:rsid w:val="003C46D6"/>
    <w:rsid w:val="003C48E5"/>
    <w:rsid w:val="003C4EF4"/>
    <w:rsid w:val="003C54FE"/>
    <w:rsid w:val="003C571A"/>
    <w:rsid w:val="003C58D1"/>
    <w:rsid w:val="003C5E77"/>
    <w:rsid w:val="003C6499"/>
    <w:rsid w:val="003C64BC"/>
    <w:rsid w:val="003C677B"/>
    <w:rsid w:val="003C7BC9"/>
    <w:rsid w:val="003D0C23"/>
    <w:rsid w:val="003D0E64"/>
    <w:rsid w:val="003D0EEB"/>
    <w:rsid w:val="003D10A3"/>
    <w:rsid w:val="003D1554"/>
    <w:rsid w:val="003D1A53"/>
    <w:rsid w:val="003D2542"/>
    <w:rsid w:val="003D25AD"/>
    <w:rsid w:val="003D2800"/>
    <w:rsid w:val="003D2A84"/>
    <w:rsid w:val="003D2EC2"/>
    <w:rsid w:val="003D3ADA"/>
    <w:rsid w:val="003D3FBB"/>
    <w:rsid w:val="003D5053"/>
    <w:rsid w:val="003D547D"/>
    <w:rsid w:val="003D58C6"/>
    <w:rsid w:val="003D6000"/>
    <w:rsid w:val="003D799D"/>
    <w:rsid w:val="003D7B36"/>
    <w:rsid w:val="003E0050"/>
    <w:rsid w:val="003E0F32"/>
    <w:rsid w:val="003E122A"/>
    <w:rsid w:val="003E132A"/>
    <w:rsid w:val="003E148F"/>
    <w:rsid w:val="003E19F2"/>
    <w:rsid w:val="003E283D"/>
    <w:rsid w:val="003E2C9B"/>
    <w:rsid w:val="003E35B3"/>
    <w:rsid w:val="003E367B"/>
    <w:rsid w:val="003E3708"/>
    <w:rsid w:val="003E37BA"/>
    <w:rsid w:val="003E4540"/>
    <w:rsid w:val="003E49EB"/>
    <w:rsid w:val="003E4A30"/>
    <w:rsid w:val="003E4ABB"/>
    <w:rsid w:val="003E5357"/>
    <w:rsid w:val="003E5481"/>
    <w:rsid w:val="003E54D2"/>
    <w:rsid w:val="003E563E"/>
    <w:rsid w:val="003E5A5E"/>
    <w:rsid w:val="003E5AD3"/>
    <w:rsid w:val="003E5C28"/>
    <w:rsid w:val="003E5F7A"/>
    <w:rsid w:val="003E6175"/>
    <w:rsid w:val="003E63A6"/>
    <w:rsid w:val="003E6849"/>
    <w:rsid w:val="003E693E"/>
    <w:rsid w:val="003E6980"/>
    <w:rsid w:val="003E69B1"/>
    <w:rsid w:val="003E76F7"/>
    <w:rsid w:val="003E7A12"/>
    <w:rsid w:val="003E7FF1"/>
    <w:rsid w:val="003F0209"/>
    <w:rsid w:val="003F171A"/>
    <w:rsid w:val="003F26A4"/>
    <w:rsid w:val="003F285A"/>
    <w:rsid w:val="003F3168"/>
    <w:rsid w:val="003F38F4"/>
    <w:rsid w:val="003F3B11"/>
    <w:rsid w:val="003F3BD4"/>
    <w:rsid w:val="003F406E"/>
    <w:rsid w:val="003F456B"/>
    <w:rsid w:val="003F46B1"/>
    <w:rsid w:val="003F5637"/>
    <w:rsid w:val="003F65F2"/>
    <w:rsid w:val="003F684D"/>
    <w:rsid w:val="003F68F4"/>
    <w:rsid w:val="003F6AB3"/>
    <w:rsid w:val="003F708D"/>
    <w:rsid w:val="003F7499"/>
    <w:rsid w:val="003F7A9F"/>
    <w:rsid w:val="003F7DB9"/>
    <w:rsid w:val="00400307"/>
    <w:rsid w:val="00401178"/>
    <w:rsid w:val="00401281"/>
    <w:rsid w:val="004013CC"/>
    <w:rsid w:val="0040147D"/>
    <w:rsid w:val="00402019"/>
    <w:rsid w:val="004020C5"/>
    <w:rsid w:val="004029F7"/>
    <w:rsid w:val="00402A5F"/>
    <w:rsid w:val="00402D5A"/>
    <w:rsid w:val="00403773"/>
    <w:rsid w:val="00403AA3"/>
    <w:rsid w:val="00403B2B"/>
    <w:rsid w:val="004060BA"/>
    <w:rsid w:val="004061D0"/>
    <w:rsid w:val="00406828"/>
    <w:rsid w:val="00406997"/>
    <w:rsid w:val="00406C99"/>
    <w:rsid w:val="004075A1"/>
    <w:rsid w:val="004077DC"/>
    <w:rsid w:val="0041064C"/>
    <w:rsid w:val="00410FD5"/>
    <w:rsid w:val="0041188C"/>
    <w:rsid w:val="00411EBE"/>
    <w:rsid w:val="004126E8"/>
    <w:rsid w:val="00412708"/>
    <w:rsid w:val="00412C2C"/>
    <w:rsid w:val="00412E04"/>
    <w:rsid w:val="004137D4"/>
    <w:rsid w:val="004138F1"/>
    <w:rsid w:val="00413C59"/>
    <w:rsid w:val="00413DC6"/>
    <w:rsid w:val="00413E1D"/>
    <w:rsid w:val="004141E8"/>
    <w:rsid w:val="004146F9"/>
    <w:rsid w:val="004148C2"/>
    <w:rsid w:val="0041556A"/>
    <w:rsid w:val="00415A52"/>
    <w:rsid w:val="0041621B"/>
    <w:rsid w:val="0041700D"/>
    <w:rsid w:val="00417692"/>
    <w:rsid w:val="00417AE3"/>
    <w:rsid w:val="00417EE1"/>
    <w:rsid w:val="004202C7"/>
    <w:rsid w:val="00420FC4"/>
    <w:rsid w:val="0042147B"/>
    <w:rsid w:val="00422397"/>
    <w:rsid w:val="0042256E"/>
    <w:rsid w:val="004225EE"/>
    <w:rsid w:val="00422B8B"/>
    <w:rsid w:val="0042300F"/>
    <w:rsid w:val="004235A3"/>
    <w:rsid w:val="00423851"/>
    <w:rsid w:val="00424BF4"/>
    <w:rsid w:val="00424E2F"/>
    <w:rsid w:val="00424E95"/>
    <w:rsid w:val="004252F7"/>
    <w:rsid w:val="00427134"/>
    <w:rsid w:val="0042742B"/>
    <w:rsid w:val="00427975"/>
    <w:rsid w:val="004279BE"/>
    <w:rsid w:val="0043028E"/>
    <w:rsid w:val="00430A3D"/>
    <w:rsid w:val="00430AFF"/>
    <w:rsid w:val="004316F9"/>
    <w:rsid w:val="00432599"/>
    <w:rsid w:val="004329BD"/>
    <w:rsid w:val="00432BFF"/>
    <w:rsid w:val="004335F7"/>
    <w:rsid w:val="004339B8"/>
    <w:rsid w:val="00434012"/>
    <w:rsid w:val="004340B1"/>
    <w:rsid w:val="00434BEE"/>
    <w:rsid w:val="00434E32"/>
    <w:rsid w:val="00435689"/>
    <w:rsid w:val="00435C03"/>
    <w:rsid w:val="00435F07"/>
    <w:rsid w:val="00436206"/>
    <w:rsid w:val="00436338"/>
    <w:rsid w:val="004369D6"/>
    <w:rsid w:val="00437367"/>
    <w:rsid w:val="0043793E"/>
    <w:rsid w:val="00440377"/>
    <w:rsid w:val="00440664"/>
    <w:rsid w:val="0044073A"/>
    <w:rsid w:val="0044125C"/>
    <w:rsid w:val="00441898"/>
    <w:rsid w:val="00441A7A"/>
    <w:rsid w:val="00441DCF"/>
    <w:rsid w:val="00442295"/>
    <w:rsid w:val="004426B8"/>
    <w:rsid w:val="00442A6D"/>
    <w:rsid w:val="00443909"/>
    <w:rsid w:val="00443F9E"/>
    <w:rsid w:val="00444838"/>
    <w:rsid w:val="00444889"/>
    <w:rsid w:val="00444AAD"/>
    <w:rsid w:val="00445AF4"/>
    <w:rsid w:val="00445C45"/>
    <w:rsid w:val="00445ED7"/>
    <w:rsid w:val="004463F6"/>
    <w:rsid w:val="0044659A"/>
    <w:rsid w:val="00446978"/>
    <w:rsid w:val="00446C00"/>
    <w:rsid w:val="00447BF9"/>
    <w:rsid w:val="00447DDF"/>
    <w:rsid w:val="004501AE"/>
    <w:rsid w:val="004503EB"/>
    <w:rsid w:val="00450729"/>
    <w:rsid w:val="00450B64"/>
    <w:rsid w:val="004516D6"/>
    <w:rsid w:val="0045206F"/>
    <w:rsid w:val="00452443"/>
    <w:rsid w:val="00453634"/>
    <w:rsid w:val="00453FB3"/>
    <w:rsid w:val="004546C0"/>
    <w:rsid w:val="004553A6"/>
    <w:rsid w:val="004555BC"/>
    <w:rsid w:val="004558F8"/>
    <w:rsid w:val="00455A9E"/>
    <w:rsid w:val="00455B56"/>
    <w:rsid w:val="00456C51"/>
    <w:rsid w:val="00457253"/>
    <w:rsid w:val="0045782B"/>
    <w:rsid w:val="00457FDA"/>
    <w:rsid w:val="004606F0"/>
    <w:rsid w:val="004608E2"/>
    <w:rsid w:val="00460CA7"/>
    <w:rsid w:val="00462185"/>
    <w:rsid w:val="004624F9"/>
    <w:rsid w:val="004636B7"/>
    <w:rsid w:val="004636E6"/>
    <w:rsid w:val="0046411C"/>
    <w:rsid w:val="00464805"/>
    <w:rsid w:val="004649B1"/>
    <w:rsid w:val="00464ACE"/>
    <w:rsid w:val="00464E5F"/>
    <w:rsid w:val="00464FD3"/>
    <w:rsid w:val="00464FF0"/>
    <w:rsid w:val="004652EB"/>
    <w:rsid w:val="00465574"/>
    <w:rsid w:val="004656A1"/>
    <w:rsid w:val="0046588E"/>
    <w:rsid w:val="00465AAF"/>
    <w:rsid w:val="00465C6B"/>
    <w:rsid w:val="00466380"/>
    <w:rsid w:val="004666F1"/>
    <w:rsid w:val="0046680A"/>
    <w:rsid w:val="00466F94"/>
    <w:rsid w:val="00467195"/>
    <w:rsid w:val="004672CD"/>
    <w:rsid w:val="004679F1"/>
    <w:rsid w:val="0047019C"/>
    <w:rsid w:val="00470E32"/>
    <w:rsid w:val="00471325"/>
    <w:rsid w:val="004719DB"/>
    <w:rsid w:val="004723C4"/>
    <w:rsid w:val="004723EC"/>
    <w:rsid w:val="00472BAC"/>
    <w:rsid w:val="00473212"/>
    <w:rsid w:val="004740D6"/>
    <w:rsid w:val="00474A00"/>
    <w:rsid w:val="00474C62"/>
    <w:rsid w:val="00474CEE"/>
    <w:rsid w:val="00474D61"/>
    <w:rsid w:val="0047501B"/>
    <w:rsid w:val="004755EC"/>
    <w:rsid w:val="00475A78"/>
    <w:rsid w:val="004762E1"/>
    <w:rsid w:val="00476479"/>
    <w:rsid w:val="00476511"/>
    <w:rsid w:val="0047678A"/>
    <w:rsid w:val="00476956"/>
    <w:rsid w:val="00476E3F"/>
    <w:rsid w:val="00477635"/>
    <w:rsid w:val="00477801"/>
    <w:rsid w:val="00477C25"/>
    <w:rsid w:val="004800F9"/>
    <w:rsid w:val="00480227"/>
    <w:rsid w:val="004802F7"/>
    <w:rsid w:val="00480701"/>
    <w:rsid w:val="004809A7"/>
    <w:rsid w:val="00481021"/>
    <w:rsid w:val="004816C9"/>
    <w:rsid w:val="00481803"/>
    <w:rsid w:val="0048269D"/>
    <w:rsid w:val="004834B4"/>
    <w:rsid w:val="004836B8"/>
    <w:rsid w:val="004836D9"/>
    <w:rsid w:val="00483960"/>
    <w:rsid w:val="00483ACE"/>
    <w:rsid w:val="00483D6C"/>
    <w:rsid w:val="00483E73"/>
    <w:rsid w:val="00483FE5"/>
    <w:rsid w:val="0048434D"/>
    <w:rsid w:val="00484A42"/>
    <w:rsid w:val="00484ACD"/>
    <w:rsid w:val="00484EBD"/>
    <w:rsid w:val="00485239"/>
    <w:rsid w:val="004854A3"/>
    <w:rsid w:val="004858CE"/>
    <w:rsid w:val="00485E14"/>
    <w:rsid w:val="004869C9"/>
    <w:rsid w:val="00486B73"/>
    <w:rsid w:val="00486D30"/>
    <w:rsid w:val="004871C7"/>
    <w:rsid w:val="004874A9"/>
    <w:rsid w:val="004877B0"/>
    <w:rsid w:val="004878B7"/>
    <w:rsid w:val="00487DE7"/>
    <w:rsid w:val="00487EBA"/>
    <w:rsid w:val="004907C0"/>
    <w:rsid w:val="00490B1C"/>
    <w:rsid w:val="00490E6E"/>
    <w:rsid w:val="00491F86"/>
    <w:rsid w:val="004922C6"/>
    <w:rsid w:val="00492524"/>
    <w:rsid w:val="00492AD3"/>
    <w:rsid w:val="00492BBF"/>
    <w:rsid w:val="00492F0F"/>
    <w:rsid w:val="00493885"/>
    <w:rsid w:val="00493BBA"/>
    <w:rsid w:val="00494A7A"/>
    <w:rsid w:val="00494C7D"/>
    <w:rsid w:val="00495292"/>
    <w:rsid w:val="004954EF"/>
    <w:rsid w:val="00496896"/>
    <w:rsid w:val="004968CE"/>
    <w:rsid w:val="00496E96"/>
    <w:rsid w:val="00497370"/>
    <w:rsid w:val="0049740F"/>
    <w:rsid w:val="00497A5A"/>
    <w:rsid w:val="004A0423"/>
    <w:rsid w:val="004A09A3"/>
    <w:rsid w:val="004A1445"/>
    <w:rsid w:val="004A1806"/>
    <w:rsid w:val="004A1857"/>
    <w:rsid w:val="004A2FBC"/>
    <w:rsid w:val="004A367D"/>
    <w:rsid w:val="004A43AA"/>
    <w:rsid w:val="004A4AF3"/>
    <w:rsid w:val="004A5A85"/>
    <w:rsid w:val="004A60D9"/>
    <w:rsid w:val="004A6632"/>
    <w:rsid w:val="004A6767"/>
    <w:rsid w:val="004A6DB5"/>
    <w:rsid w:val="004A7193"/>
    <w:rsid w:val="004B0022"/>
    <w:rsid w:val="004B12E2"/>
    <w:rsid w:val="004B14E9"/>
    <w:rsid w:val="004B1529"/>
    <w:rsid w:val="004B2061"/>
    <w:rsid w:val="004B213C"/>
    <w:rsid w:val="004B29D6"/>
    <w:rsid w:val="004B2C22"/>
    <w:rsid w:val="004B2E6B"/>
    <w:rsid w:val="004B2FD2"/>
    <w:rsid w:val="004B323A"/>
    <w:rsid w:val="004B379B"/>
    <w:rsid w:val="004B392F"/>
    <w:rsid w:val="004B3ADB"/>
    <w:rsid w:val="004B3BDC"/>
    <w:rsid w:val="004B3D0A"/>
    <w:rsid w:val="004B4081"/>
    <w:rsid w:val="004B4BD7"/>
    <w:rsid w:val="004B4C66"/>
    <w:rsid w:val="004B5721"/>
    <w:rsid w:val="004B5A66"/>
    <w:rsid w:val="004B5AE0"/>
    <w:rsid w:val="004B5B0E"/>
    <w:rsid w:val="004B5E4C"/>
    <w:rsid w:val="004B60A0"/>
    <w:rsid w:val="004B62E3"/>
    <w:rsid w:val="004B631C"/>
    <w:rsid w:val="004B66E1"/>
    <w:rsid w:val="004B671D"/>
    <w:rsid w:val="004B687F"/>
    <w:rsid w:val="004B6F70"/>
    <w:rsid w:val="004C0FC4"/>
    <w:rsid w:val="004C337F"/>
    <w:rsid w:val="004C357E"/>
    <w:rsid w:val="004C36D3"/>
    <w:rsid w:val="004C388B"/>
    <w:rsid w:val="004C44D5"/>
    <w:rsid w:val="004C454E"/>
    <w:rsid w:val="004C49FF"/>
    <w:rsid w:val="004C4BED"/>
    <w:rsid w:val="004C4BFF"/>
    <w:rsid w:val="004C4E6E"/>
    <w:rsid w:val="004C542A"/>
    <w:rsid w:val="004C585D"/>
    <w:rsid w:val="004C6738"/>
    <w:rsid w:val="004C67AB"/>
    <w:rsid w:val="004C6A1D"/>
    <w:rsid w:val="004C6B8C"/>
    <w:rsid w:val="004C6E16"/>
    <w:rsid w:val="004C76D7"/>
    <w:rsid w:val="004D040C"/>
    <w:rsid w:val="004D0BA9"/>
    <w:rsid w:val="004D0E4E"/>
    <w:rsid w:val="004D1062"/>
    <w:rsid w:val="004D1B54"/>
    <w:rsid w:val="004D1F3C"/>
    <w:rsid w:val="004D1F51"/>
    <w:rsid w:val="004D23EC"/>
    <w:rsid w:val="004D25E8"/>
    <w:rsid w:val="004D2638"/>
    <w:rsid w:val="004D29EA"/>
    <w:rsid w:val="004D3392"/>
    <w:rsid w:val="004D3B38"/>
    <w:rsid w:val="004D3BD1"/>
    <w:rsid w:val="004D3C33"/>
    <w:rsid w:val="004D3DE3"/>
    <w:rsid w:val="004D4940"/>
    <w:rsid w:val="004D4B09"/>
    <w:rsid w:val="004D4CCD"/>
    <w:rsid w:val="004D531A"/>
    <w:rsid w:val="004D543E"/>
    <w:rsid w:val="004D546B"/>
    <w:rsid w:val="004D580C"/>
    <w:rsid w:val="004D5CE1"/>
    <w:rsid w:val="004D5FA6"/>
    <w:rsid w:val="004D6300"/>
    <w:rsid w:val="004D764B"/>
    <w:rsid w:val="004D770F"/>
    <w:rsid w:val="004D7832"/>
    <w:rsid w:val="004E02FC"/>
    <w:rsid w:val="004E137E"/>
    <w:rsid w:val="004E173F"/>
    <w:rsid w:val="004E1B01"/>
    <w:rsid w:val="004E2227"/>
    <w:rsid w:val="004E2421"/>
    <w:rsid w:val="004E246F"/>
    <w:rsid w:val="004E2720"/>
    <w:rsid w:val="004E27F5"/>
    <w:rsid w:val="004E28F3"/>
    <w:rsid w:val="004E2AC5"/>
    <w:rsid w:val="004E3428"/>
    <w:rsid w:val="004E36CA"/>
    <w:rsid w:val="004E3DFB"/>
    <w:rsid w:val="004E439D"/>
    <w:rsid w:val="004E43A6"/>
    <w:rsid w:val="004E52EF"/>
    <w:rsid w:val="004E5822"/>
    <w:rsid w:val="004E5C69"/>
    <w:rsid w:val="004E60EC"/>
    <w:rsid w:val="004E6DA3"/>
    <w:rsid w:val="004E6F11"/>
    <w:rsid w:val="004E7351"/>
    <w:rsid w:val="004E7C60"/>
    <w:rsid w:val="004F0B9B"/>
    <w:rsid w:val="004F0BFE"/>
    <w:rsid w:val="004F1C76"/>
    <w:rsid w:val="004F2C8F"/>
    <w:rsid w:val="004F3562"/>
    <w:rsid w:val="004F36A6"/>
    <w:rsid w:val="004F36F2"/>
    <w:rsid w:val="004F3F5C"/>
    <w:rsid w:val="004F4937"/>
    <w:rsid w:val="004F4B24"/>
    <w:rsid w:val="004F53C7"/>
    <w:rsid w:val="004F5CB2"/>
    <w:rsid w:val="004F67C5"/>
    <w:rsid w:val="004F7923"/>
    <w:rsid w:val="005003D6"/>
    <w:rsid w:val="00500470"/>
    <w:rsid w:val="00500AD1"/>
    <w:rsid w:val="00500CF0"/>
    <w:rsid w:val="00500DCE"/>
    <w:rsid w:val="00500EF0"/>
    <w:rsid w:val="00501489"/>
    <w:rsid w:val="005019F9"/>
    <w:rsid w:val="00501A2C"/>
    <w:rsid w:val="00502EE9"/>
    <w:rsid w:val="005035CF"/>
    <w:rsid w:val="0050367D"/>
    <w:rsid w:val="00503854"/>
    <w:rsid w:val="00503948"/>
    <w:rsid w:val="005041C5"/>
    <w:rsid w:val="00504A0F"/>
    <w:rsid w:val="00504E3B"/>
    <w:rsid w:val="005050A5"/>
    <w:rsid w:val="0050520E"/>
    <w:rsid w:val="005054E2"/>
    <w:rsid w:val="00505577"/>
    <w:rsid w:val="00505792"/>
    <w:rsid w:val="00505EAE"/>
    <w:rsid w:val="00506080"/>
    <w:rsid w:val="005061E9"/>
    <w:rsid w:val="00506421"/>
    <w:rsid w:val="00506CFF"/>
    <w:rsid w:val="0050721A"/>
    <w:rsid w:val="0050739B"/>
    <w:rsid w:val="0050749D"/>
    <w:rsid w:val="005077EC"/>
    <w:rsid w:val="00507AC7"/>
    <w:rsid w:val="00507BB3"/>
    <w:rsid w:val="005111C5"/>
    <w:rsid w:val="0051131A"/>
    <w:rsid w:val="0051159D"/>
    <w:rsid w:val="0051190E"/>
    <w:rsid w:val="00511ADC"/>
    <w:rsid w:val="00511FE8"/>
    <w:rsid w:val="00512342"/>
    <w:rsid w:val="00512A04"/>
    <w:rsid w:val="00512BE7"/>
    <w:rsid w:val="0051316E"/>
    <w:rsid w:val="00513922"/>
    <w:rsid w:val="00514048"/>
    <w:rsid w:val="00514291"/>
    <w:rsid w:val="005142C2"/>
    <w:rsid w:val="005142F9"/>
    <w:rsid w:val="0051442D"/>
    <w:rsid w:val="0051476B"/>
    <w:rsid w:val="00514B0D"/>
    <w:rsid w:val="00514CD5"/>
    <w:rsid w:val="00514D11"/>
    <w:rsid w:val="00515C8B"/>
    <w:rsid w:val="00515F61"/>
    <w:rsid w:val="00516024"/>
    <w:rsid w:val="00516152"/>
    <w:rsid w:val="00516813"/>
    <w:rsid w:val="00516BBA"/>
    <w:rsid w:val="00516BFF"/>
    <w:rsid w:val="00516D8C"/>
    <w:rsid w:val="0051757F"/>
    <w:rsid w:val="00517637"/>
    <w:rsid w:val="005177EB"/>
    <w:rsid w:val="00517C51"/>
    <w:rsid w:val="0052018F"/>
    <w:rsid w:val="00520413"/>
    <w:rsid w:val="00520440"/>
    <w:rsid w:val="0052082D"/>
    <w:rsid w:val="00520FEE"/>
    <w:rsid w:val="005212F2"/>
    <w:rsid w:val="00521DF6"/>
    <w:rsid w:val="00522129"/>
    <w:rsid w:val="0052258C"/>
    <w:rsid w:val="005228E3"/>
    <w:rsid w:val="0052347B"/>
    <w:rsid w:val="00523EFA"/>
    <w:rsid w:val="005240F6"/>
    <w:rsid w:val="005245F5"/>
    <w:rsid w:val="0052466E"/>
    <w:rsid w:val="005253C5"/>
    <w:rsid w:val="0052580A"/>
    <w:rsid w:val="005259B0"/>
    <w:rsid w:val="0052643C"/>
    <w:rsid w:val="00526D00"/>
    <w:rsid w:val="00527440"/>
    <w:rsid w:val="00527899"/>
    <w:rsid w:val="00527957"/>
    <w:rsid w:val="00527CF3"/>
    <w:rsid w:val="00530C8B"/>
    <w:rsid w:val="00531241"/>
    <w:rsid w:val="005312FC"/>
    <w:rsid w:val="0053136C"/>
    <w:rsid w:val="0053144D"/>
    <w:rsid w:val="0053159D"/>
    <w:rsid w:val="005317BB"/>
    <w:rsid w:val="00531D8A"/>
    <w:rsid w:val="005326E7"/>
    <w:rsid w:val="00532920"/>
    <w:rsid w:val="00533391"/>
    <w:rsid w:val="00533763"/>
    <w:rsid w:val="0053380F"/>
    <w:rsid w:val="00533D63"/>
    <w:rsid w:val="00533EEA"/>
    <w:rsid w:val="00533F3C"/>
    <w:rsid w:val="00534125"/>
    <w:rsid w:val="00534771"/>
    <w:rsid w:val="00534797"/>
    <w:rsid w:val="00534AA5"/>
    <w:rsid w:val="00536BF9"/>
    <w:rsid w:val="00537276"/>
    <w:rsid w:val="005372CF"/>
    <w:rsid w:val="00537741"/>
    <w:rsid w:val="00540B47"/>
    <w:rsid w:val="00540E06"/>
    <w:rsid w:val="005417E4"/>
    <w:rsid w:val="00541984"/>
    <w:rsid w:val="00541F7F"/>
    <w:rsid w:val="0054255C"/>
    <w:rsid w:val="00542646"/>
    <w:rsid w:val="005429EE"/>
    <w:rsid w:val="00542C16"/>
    <w:rsid w:val="00543233"/>
    <w:rsid w:val="00543A59"/>
    <w:rsid w:val="00544254"/>
    <w:rsid w:val="0054488E"/>
    <w:rsid w:val="00544B22"/>
    <w:rsid w:val="00544E5D"/>
    <w:rsid w:val="0054534D"/>
    <w:rsid w:val="00545351"/>
    <w:rsid w:val="0054562E"/>
    <w:rsid w:val="00545713"/>
    <w:rsid w:val="00545B0B"/>
    <w:rsid w:val="0054652E"/>
    <w:rsid w:val="005466F2"/>
    <w:rsid w:val="00546AF9"/>
    <w:rsid w:val="00546B51"/>
    <w:rsid w:val="0054796C"/>
    <w:rsid w:val="005479E1"/>
    <w:rsid w:val="00547D3A"/>
    <w:rsid w:val="00547FF1"/>
    <w:rsid w:val="005505A3"/>
    <w:rsid w:val="00550738"/>
    <w:rsid w:val="00550AD8"/>
    <w:rsid w:val="005510A1"/>
    <w:rsid w:val="005510E8"/>
    <w:rsid w:val="00551128"/>
    <w:rsid w:val="00551431"/>
    <w:rsid w:val="00551C19"/>
    <w:rsid w:val="00553296"/>
    <w:rsid w:val="0055334D"/>
    <w:rsid w:val="00553D41"/>
    <w:rsid w:val="00553E50"/>
    <w:rsid w:val="00554107"/>
    <w:rsid w:val="0055480B"/>
    <w:rsid w:val="00554C20"/>
    <w:rsid w:val="00554D45"/>
    <w:rsid w:val="00554D5F"/>
    <w:rsid w:val="00554F68"/>
    <w:rsid w:val="00555FDC"/>
    <w:rsid w:val="00556543"/>
    <w:rsid w:val="00556565"/>
    <w:rsid w:val="005566C8"/>
    <w:rsid w:val="00557E87"/>
    <w:rsid w:val="00557EF5"/>
    <w:rsid w:val="0056092D"/>
    <w:rsid w:val="00560A57"/>
    <w:rsid w:val="00560E21"/>
    <w:rsid w:val="00560EED"/>
    <w:rsid w:val="0056146E"/>
    <w:rsid w:val="005619E5"/>
    <w:rsid w:val="00562940"/>
    <w:rsid w:val="00562BF3"/>
    <w:rsid w:val="00562FF9"/>
    <w:rsid w:val="005637EE"/>
    <w:rsid w:val="005639EA"/>
    <w:rsid w:val="00563C7A"/>
    <w:rsid w:val="00563E6B"/>
    <w:rsid w:val="005646E3"/>
    <w:rsid w:val="00564BB5"/>
    <w:rsid w:val="005655E9"/>
    <w:rsid w:val="00566BA1"/>
    <w:rsid w:val="00566C03"/>
    <w:rsid w:val="00567132"/>
    <w:rsid w:val="0056771B"/>
    <w:rsid w:val="00567A9C"/>
    <w:rsid w:val="00567E8E"/>
    <w:rsid w:val="00567F95"/>
    <w:rsid w:val="00570956"/>
    <w:rsid w:val="00570F48"/>
    <w:rsid w:val="00572379"/>
    <w:rsid w:val="005724BE"/>
    <w:rsid w:val="00572C78"/>
    <w:rsid w:val="00572FF8"/>
    <w:rsid w:val="005734E2"/>
    <w:rsid w:val="00574CBC"/>
    <w:rsid w:val="00574F93"/>
    <w:rsid w:val="0057533F"/>
    <w:rsid w:val="00575938"/>
    <w:rsid w:val="00575E09"/>
    <w:rsid w:val="0057639A"/>
    <w:rsid w:val="0057639C"/>
    <w:rsid w:val="00576B97"/>
    <w:rsid w:val="00577704"/>
    <w:rsid w:val="0057784F"/>
    <w:rsid w:val="00577962"/>
    <w:rsid w:val="00577AAF"/>
    <w:rsid w:val="00577BD0"/>
    <w:rsid w:val="00577C4D"/>
    <w:rsid w:val="00577C84"/>
    <w:rsid w:val="005803CA"/>
    <w:rsid w:val="0058082D"/>
    <w:rsid w:val="00580ACD"/>
    <w:rsid w:val="00580B96"/>
    <w:rsid w:val="005812BC"/>
    <w:rsid w:val="0058133C"/>
    <w:rsid w:val="00581599"/>
    <w:rsid w:val="0058197A"/>
    <w:rsid w:val="005824BA"/>
    <w:rsid w:val="005827D5"/>
    <w:rsid w:val="00582BCF"/>
    <w:rsid w:val="00582E3A"/>
    <w:rsid w:val="00583BF8"/>
    <w:rsid w:val="00584782"/>
    <w:rsid w:val="005847D5"/>
    <w:rsid w:val="0058495D"/>
    <w:rsid w:val="005849F6"/>
    <w:rsid w:val="00585125"/>
    <w:rsid w:val="00586558"/>
    <w:rsid w:val="00586BF9"/>
    <w:rsid w:val="005876C2"/>
    <w:rsid w:val="005876DB"/>
    <w:rsid w:val="00587892"/>
    <w:rsid w:val="00587DF6"/>
    <w:rsid w:val="005900E4"/>
    <w:rsid w:val="00590906"/>
    <w:rsid w:val="005910B9"/>
    <w:rsid w:val="00591BDC"/>
    <w:rsid w:val="005928CC"/>
    <w:rsid w:val="005949C9"/>
    <w:rsid w:val="005959C4"/>
    <w:rsid w:val="00595D7E"/>
    <w:rsid w:val="00596DFC"/>
    <w:rsid w:val="00597D40"/>
    <w:rsid w:val="005A0F28"/>
    <w:rsid w:val="005A1A13"/>
    <w:rsid w:val="005A211B"/>
    <w:rsid w:val="005A23BF"/>
    <w:rsid w:val="005A23C6"/>
    <w:rsid w:val="005A23C7"/>
    <w:rsid w:val="005A2583"/>
    <w:rsid w:val="005A2D8F"/>
    <w:rsid w:val="005A2ED7"/>
    <w:rsid w:val="005A39BB"/>
    <w:rsid w:val="005A3A2C"/>
    <w:rsid w:val="005A3C3A"/>
    <w:rsid w:val="005A454F"/>
    <w:rsid w:val="005A4BD2"/>
    <w:rsid w:val="005A59DD"/>
    <w:rsid w:val="005A5AF6"/>
    <w:rsid w:val="005A5F2C"/>
    <w:rsid w:val="005A60F9"/>
    <w:rsid w:val="005A6499"/>
    <w:rsid w:val="005A64A7"/>
    <w:rsid w:val="005A65B6"/>
    <w:rsid w:val="005A669B"/>
    <w:rsid w:val="005A6D19"/>
    <w:rsid w:val="005A716F"/>
    <w:rsid w:val="005A755E"/>
    <w:rsid w:val="005B01D7"/>
    <w:rsid w:val="005B029E"/>
    <w:rsid w:val="005B060A"/>
    <w:rsid w:val="005B0650"/>
    <w:rsid w:val="005B06D5"/>
    <w:rsid w:val="005B0801"/>
    <w:rsid w:val="005B1408"/>
    <w:rsid w:val="005B1906"/>
    <w:rsid w:val="005B1A63"/>
    <w:rsid w:val="005B1DB1"/>
    <w:rsid w:val="005B1DBE"/>
    <w:rsid w:val="005B20B2"/>
    <w:rsid w:val="005B21F1"/>
    <w:rsid w:val="005B280F"/>
    <w:rsid w:val="005B29D7"/>
    <w:rsid w:val="005B2EEB"/>
    <w:rsid w:val="005B3586"/>
    <w:rsid w:val="005B431D"/>
    <w:rsid w:val="005B4A50"/>
    <w:rsid w:val="005B4AFA"/>
    <w:rsid w:val="005B4B31"/>
    <w:rsid w:val="005B5784"/>
    <w:rsid w:val="005B58AC"/>
    <w:rsid w:val="005B65E1"/>
    <w:rsid w:val="005B668B"/>
    <w:rsid w:val="005B672C"/>
    <w:rsid w:val="005B69DA"/>
    <w:rsid w:val="005B6A2C"/>
    <w:rsid w:val="005B6A30"/>
    <w:rsid w:val="005B6D6A"/>
    <w:rsid w:val="005B7F4D"/>
    <w:rsid w:val="005C03B2"/>
    <w:rsid w:val="005C05F4"/>
    <w:rsid w:val="005C078B"/>
    <w:rsid w:val="005C092A"/>
    <w:rsid w:val="005C0BC8"/>
    <w:rsid w:val="005C0DC2"/>
    <w:rsid w:val="005C111D"/>
    <w:rsid w:val="005C136A"/>
    <w:rsid w:val="005C1578"/>
    <w:rsid w:val="005C26D9"/>
    <w:rsid w:val="005C27FA"/>
    <w:rsid w:val="005C3A2A"/>
    <w:rsid w:val="005C3FF9"/>
    <w:rsid w:val="005C43DF"/>
    <w:rsid w:val="005C4539"/>
    <w:rsid w:val="005C4AF4"/>
    <w:rsid w:val="005C4E69"/>
    <w:rsid w:val="005C4F57"/>
    <w:rsid w:val="005C587C"/>
    <w:rsid w:val="005C5DB3"/>
    <w:rsid w:val="005C6650"/>
    <w:rsid w:val="005C6BD6"/>
    <w:rsid w:val="005C6C79"/>
    <w:rsid w:val="005C6CF0"/>
    <w:rsid w:val="005C6D2A"/>
    <w:rsid w:val="005C70C4"/>
    <w:rsid w:val="005C728A"/>
    <w:rsid w:val="005C7604"/>
    <w:rsid w:val="005C7D0C"/>
    <w:rsid w:val="005C7E45"/>
    <w:rsid w:val="005D01D0"/>
    <w:rsid w:val="005D03F1"/>
    <w:rsid w:val="005D05E8"/>
    <w:rsid w:val="005D0694"/>
    <w:rsid w:val="005D08D6"/>
    <w:rsid w:val="005D0B96"/>
    <w:rsid w:val="005D1E2B"/>
    <w:rsid w:val="005D1EA0"/>
    <w:rsid w:val="005D23C6"/>
    <w:rsid w:val="005D25DC"/>
    <w:rsid w:val="005D28DE"/>
    <w:rsid w:val="005D2AE2"/>
    <w:rsid w:val="005D2C36"/>
    <w:rsid w:val="005D341E"/>
    <w:rsid w:val="005D375F"/>
    <w:rsid w:val="005D3986"/>
    <w:rsid w:val="005D3AA7"/>
    <w:rsid w:val="005D3F13"/>
    <w:rsid w:val="005D3F3C"/>
    <w:rsid w:val="005D4266"/>
    <w:rsid w:val="005D4322"/>
    <w:rsid w:val="005D4324"/>
    <w:rsid w:val="005D4662"/>
    <w:rsid w:val="005D493E"/>
    <w:rsid w:val="005D530B"/>
    <w:rsid w:val="005D5446"/>
    <w:rsid w:val="005D57A6"/>
    <w:rsid w:val="005D5D4C"/>
    <w:rsid w:val="005D619B"/>
    <w:rsid w:val="005D68A4"/>
    <w:rsid w:val="005D725D"/>
    <w:rsid w:val="005D7CBC"/>
    <w:rsid w:val="005E008E"/>
    <w:rsid w:val="005E0E0D"/>
    <w:rsid w:val="005E132D"/>
    <w:rsid w:val="005E1648"/>
    <w:rsid w:val="005E1732"/>
    <w:rsid w:val="005E1B32"/>
    <w:rsid w:val="005E236F"/>
    <w:rsid w:val="005E2A2C"/>
    <w:rsid w:val="005E2B95"/>
    <w:rsid w:val="005E2E5E"/>
    <w:rsid w:val="005E305A"/>
    <w:rsid w:val="005E34B8"/>
    <w:rsid w:val="005E375B"/>
    <w:rsid w:val="005E3798"/>
    <w:rsid w:val="005E4160"/>
    <w:rsid w:val="005E49FE"/>
    <w:rsid w:val="005E4BAF"/>
    <w:rsid w:val="005E5CFF"/>
    <w:rsid w:val="005E5F10"/>
    <w:rsid w:val="005E5FA2"/>
    <w:rsid w:val="005E62CE"/>
    <w:rsid w:val="005E6C1F"/>
    <w:rsid w:val="005E6EF0"/>
    <w:rsid w:val="005E77C1"/>
    <w:rsid w:val="005E78A0"/>
    <w:rsid w:val="005E7A05"/>
    <w:rsid w:val="005E7CFE"/>
    <w:rsid w:val="005E7ED9"/>
    <w:rsid w:val="005E7F44"/>
    <w:rsid w:val="005E7FC3"/>
    <w:rsid w:val="005F0434"/>
    <w:rsid w:val="005F0727"/>
    <w:rsid w:val="005F0BFD"/>
    <w:rsid w:val="005F108C"/>
    <w:rsid w:val="005F1B8F"/>
    <w:rsid w:val="005F30F4"/>
    <w:rsid w:val="005F3325"/>
    <w:rsid w:val="005F3361"/>
    <w:rsid w:val="005F34CF"/>
    <w:rsid w:val="005F36F9"/>
    <w:rsid w:val="005F3784"/>
    <w:rsid w:val="005F3CB0"/>
    <w:rsid w:val="005F4C43"/>
    <w:rsid w:val="005F5043"/>
    <w:rsid w:val="005F5A17"/>
    <w:rsid w:val="005F5A23"/>
    <w:rsid w:val="005F62A0"/>
    <w:rsid w:val="005F6371"/>
    <w:rsid w:val="005F68B9"/>
    <w:rsid w:val="005F6CA4"/>
    <w:rsid w:val="005F6D46"/>
    <w:rsid w:val="005F7AE8"/>
    <w:rsid w:val="005F7B7E"/>
    <w:rsid w:val="00600039"/>
    <w:rsid w:val="006002FB"/>
    <w:rsid w:val="00600377"/>
    <w:rsid w:val="00600550"/>
    <w:rsid w:val="0060063D"/>
    <w:rsid w:val="006016BB"/>
    <w:rsid w:val="006022DA"/>
    <w:rsid w:val="006024D5"/>
    <w:rsid w:val="0060274B"/>
    <w:rsid w:val="0060289C"/>
    <w:rsid w:val="00602C61"/>
    <w:rsid w:val="00602FAC"/>
    <w:rsid w:val="00602FE9"/>
    <w:rsid w:val="00603F9D"/>
    <w:rsid w:val="0060409D"/>
    <w:rsid w:val="006041A0"/>
    <w:rsid w:val="00604465"/>
    <w:rsid w:val="00605FB9"/>
    <w:rsid w:val="006061D5"/>
    <w:rsid w:val="00606377"/>
    <w:rsid w:val="00606A92"/>
    <w:rsid w:val="00606BBA"/>
    <w:rsid w:val="00606FBD"/>
    <w:rsid w:val="006072A5"/>
    <w:rsid w:val="00607D64"/>
    <w:rsid w:val="00607F02"/>
    <w:rsid w:val="00607F17"/>
    <w:rsid w:val="00607F2C"/>
    <w:rsid w:val="00607F2D"/>
    <w:rsid w:val="00610794"/>
    <w:rsid w:val="00611083"/>
    <w:rsid w:val="006111D0"/>
    <w:rsid w:val="006112F7"/>
    <w:rsid w:val="006113F4"/>
    <w:rsid w:val="00611575"/>
    <w:rsid w:val="00612139"/>
    <w:rsid w:val="006123FC"/>
    <w:rsid w:val="0061350C"/>
    <w:rsid w:val="00613605"/>
    <w:rsid w:val="006137B2"/>
    <w:rsid w:val="006143BE"/>
    <w:rsid w:val="0061561B"/>
    <w:rsid w:val="00616476"/>
    <w:rsid w:val="00616B0E"/>
    <w:rsid w:val="00617574"/>
    <w:rsid w:val="00617EB0"/>
    <w:rsid w:val="006200E6"/>
    <w:rsid w:val="006204C4"/>
    <w:rsid w:val="00620BB4"/>
    <w:rsid w:val="00621B20"/>
    <w:rsid w:val="00622630"/>
    <w:rsid w:val="00623241"/>
    <w:rsid w:val="006235A7"/>
    <w:rsid w:val="0062370A"/>
    <w:rsid w:val="00623B22"/>
    <w:rsid w:val="00623B59"/>
    <w:rsid w:val="0062463E"/>
    <w:rsid w:val="00624B35"/>
    <w:rsid w:val="00625704"/>
    <w:rsid w:val="00625CA6"/>
    <w:rsid w:val="00625F3E"/>
    <w:rsid w:val="00626019"/>
    <w:rsid w:val="0062681C"/>
    <w:rsid w:val="006272DD"/>
    <w:rsid w:val="0062789B"/>
    <w:rsid w:val="00627B78"/>
    <w:rsid w:val="00627C19"/>
    <w:rsid w:val="00630201"/>
    <w:rsid w:val="00630408"/>
    <w:rsid w:val="0063052C"/>
    <w:rsid w:val="0063085C"/>
    <w:rsid w:val="00630DD3"/>
    <w:rsid w:val="006310FC"/>
    <w:rsid w:val="00631182"/>
    <w:rsid w:val="00632269"/>
    <w:rsid w:val="00632AD3"/>
    <w:rsid w:val="0063316C"/>
    <w:rsid w:val="00633836"/>
    <w:rsid w:val="00634E1A"/>
    <w:rsid w:val="00635023"/>
    <w:rsid w:val="006350B3"/>
    <w:rsid w:val="00635366"/>
    <w:rsid w:val="00635999"/>
    <w:rsid w:val="00635C55"/>
    <w:rsid w:val="00635F1A"/>
    <w:rsid w:val="00635F5F"/>
    <w:rsid w:val="00636123"/>
    <w:rsid w:val="00636E7E"/>
    <w:rsid w:val="00636F9C"/>
    <w:rsid w:val="00637538"/>
    <w:rsid w:val="00637860"/>
    <w:rsid w:val="00637DFC"/>
    <w:rsid w:val="0064024A"/>
    <w:rsid w:val="00640E2C"/>
    <w:rsid w:val="00640EAD"/>
    <w:rsid w:val="00640FE3"/>
    <w:rsid w:val="00641199"/>
    <w:rsid w:val="006412BE"/>
    <w:rsid w:val="00641318"/>
    <w:rsid w:val="006421ED"/>
    <w:rsid w:val="00642A21"/>
    <w:rsid w:val="006430D3"/>
    <w:rsid w:val="006435D1"/>
    <w:rsid w:val="0064424F"/>
    <w:rsid w:val="0064470B"/>
    <w:rsid w:val="006458FB"/>
    <w:rsid w:val="006462BF"/>
    <w:rsid w:val="006466B9"/>
    <w:rsid w:val="00647167"/>
    <w:rsid w:val="0064762C"/>
    <w:rsid w:val="00647688"/>
    <w:rsid w:val="00647BAA"/>
    <w:rsid w:val="00647FEA"/>
    <w:rsid w:val="006501ED"/>
    <w:rsid w:val="006512F0"/>
    <w:rsid w:val="006514F5"/>
    <w:rsid w:val="00651720"/>
    <w:rsid w:val="0065181F"/>
    <w:rsid w:val="00651BDA"/>
    <w:rsid w:val="00651D2F"/>
    <w:rsid w:val="00651DB1"/>
    <w:rsid w:val="006522DD"/>
    <w:rsid w:val="00652E7C"/>
    <w:rsid w:val="00652EAF"/>
    <w:rsid w:val="00653717"/>
    <w:rsid w:val="00653D79"/>
    <w:rsid w:val="00654407"/>
    <w:rsid w:val="00654C3F"/>
    <w:rsid w:val="006559E5"/>
    <w:rsid w:val="00656146"/>
    <w:rsid w:val="00656281"/>
    <w:rsid w:val="006562BE"/>
    <w:rsid w:val="00656309"/>
    <w:rsid w:val="0065684A"/>
    <w:rsid w:val="00656C0D"/>
    <w:rsid w:val="00656F92"/>
    <w:rsid w:val="0065711D"/>
    <w:rsid w:val="00657786"/>
    <w:rsid w:val="00657ADD"/>
    <w:rsid w:val="00657AFF"/>
    <w:rsid w:val="00657C33"/>
    <w:rsid w:val="006603D9"/>
    <w:rsid w:val="00660912"/>
    <w:rsid w:val="006609EC"/>
    <w:rsid w:val="00660D3E"/>
    <w:rsid w:val="006618B0"/>
    <w:rsid w:val="00661E69"/>
    <w:rsid w:val="006620AB"/>
    <w:rsid w:val="0066219F"/>
    <w:rsid w:val="00663B16"/>
    <w:rsid w:val="0066422C"/>
    <w:rsid w:val="0066569B"/>
    <w:rsid w:val="006657FE"/>
    <w:rsid w:val="00665887"/>
    <w:rsid w:val="00665A2D"/>
    <w:rsid w:val="00665CB1"/>
    <w:rsid w:val="00666C1B"/>
    <w:rsid w:val="00666E21"/>
    <w:rsid w:val="00667150"/>
    <w:rsid w:val="006672B4"/>
    <w:rsid w:val="006674E8"/>
    <w:rsid w:val="00667E43"/>
    <w:rsid w:val="00670368"/>
    <w:rsid w:val="006703B3"/>
    <w:rsid w:val="00670833"/>
    <w:rsid w:val="00670E9A"/>
    <w:rsid w:val="00670F8A"/>
    <w:rsid w:val="006713D2"/>
    <w:rsid w:val="0067178D"/>
    <w:rsid w:val="00671E50"/>
    <w:rsid w:val="006720CC"/>
    <w:rsid w:val="00672580"/>
    <w:rsid w:val="006726C5"/>
    <w:rsid w:val="00672CA2"/>
    <w:rsid w:val="00673089"/>
    <w:rsid w:val="00673241"/>
    <w:rsid w:val="006732A6"/>
    <w:rsid w:val="006735C8"/>
    <w:rsid w:val="00673A6D"/>
    <w:rsid w:val="0067406F"/>
    <w:rsid w:val="006745E7"/>
    <w:rsid w:val="006749B5"/>
    <w:rsid w:val="0067566B"/>
    <w:rsid w:val="00676032"/>
    <w:rsid w:val="00676799"/>
    <w:rsid w:val="0067724F"/>
    <w:rsid w:val="0068093B"/>
    <w:rsid w:val="00680E35"/>
    <w:rsid w:val="0068139B"/>
    <w:rsid w:val="00681526"/>
    <w:rsid w:val="00681DC6"/>
    <w:rsid w:val="006825BB"/>
    <w:rsid w:val="00682A95"/>
    <w:rsid w:val="006830A8"/>
    <w:rsid w:val="0068311B"/>
    <w:rsid w:val="00683B36"/>
    <w:rsid w:val="00684D99"/>
    <w:rsid w:val="00685E1F"/>
    <w:rsid w:val="006866AE"/>
    <w:rsid w:val="00687575"/>
    <w:rsid w:val="00687600"/>
    <w:rsid w:val="006877DB"/>
    <w:rsid w:val="006907C8"/>
    <w:rsid w:val="006907F1"/>
    <w:rsid w:val="00690B77"/>
    <w:rsid w:val="00691056"/>
    <w:rsid w:val="0069262E"/>
    <w:rsid w:val="00693023"/>
    <w:rsid w:val="006933A5"/>
    <w:rsid w:val="00694048"/>
    <w:rsid w:val="0069455E"/>
    <w:rsid w:val="006950D4"/>
    <w:rsid w:val="006955AC"/>
    <w:rsid w:val="00695E6E"/>
    <w:rsid w:val="0069640C"/>
    <w:rsid w:val="006968F3"/>
    <w:rsid w:val="00696C03"/>
    <w:rsid w:val="00696C89"/>
    <w:rsid w:val="00696DF0"/>
    <w:rsid w:val="00697636"/>
    <w:rsid w:val="006976B0"/>
    <w:rsid w:val="006979BC"/>
    <w:rsid w:val="00697C20"/>
    <w:rsid w:val="00697F13"/>
    <w:rsid w:val="006A0C72"/>
    <w:rsid w:val="006A0EE9"/>
    <w:rsid w:val="006A211F"/>
    <w:rsid w:val="006A223A"/>
    <w:rsid w:val="006A2A61"/>
    <w:rsid w:val="006A2AF4"/>
    <w:rsid w:val="006A3274"/>
    <w:rsid w:val="006A352E"/>
    <w:rsid w:val="006A36E9"/>
    <w:rsid w:val="006A395C"/>
    <w:rsid w:val="006A3D1E"/>
    <w:rsid w:val="006A3E95"/>
    <w:rsid w:val="006A3EE9"/>
    <w:rsid w:val="006A400C"/>
    <w:rsid w:val="006A4609"/>
    <w:rsid w:val="006A4AC9"/>
    <w:rsid w:val="006A555E"/>
    <w:rsid w:val="006A5666"/>
    <w:rsid w:val="006A5E10"/>
    <w:rsid w:val="006A5FE3"/>
    <w:rsid w:val="006A6046"/>
    <w:rsid w:val="006A62F0"/>
    <w:rsid w:val="006A7070"/>
    <w:rsid w:val="006A7DE6"/>
    <w:rsid w:val="006B1933"/>
    <w:rsid w:val="006B1B41"/>
    <w:rsid w:val="006B1CA0"/>
    <w:rsid w:val="006B215A"/>
    <w:rsid w:val="006B2475"/>
    <w:rsid w:val="006B24D4"/>
    <w:rsid w:val="006B2D1A"/>
    <w:rsid w:val="006B3519"/>
    <w:rsid w:val="006B3566"/>
    <w:rsid w:val="006B3814"/>
    <w:rsid w:val="006B3A35"/>
    <w:rsid w:val="006B3F45"/>
    <w:rsid w:val="006B41DE"/>
    <w:rsid w:val="006B4292"/>
    <w:rsid w:val="006B429C"/>
    <w:rsid w:val="006B475C"/>
    <w:rsid w:val="006B495F"/>
    <w:rsid w:val="006B4DF0"/>
    <w:rsid w:val="006B5110"/>
    <w:rsid w:val="006B53AC"/>
    <w:rsid w:val="006B5559"/>
    <w:rsid w:val="006B605A"/>
    <w:rsid w:val="006B6AB6"/>
    <w:rsid w:val="006B6C36"/>
    <w:rsid w:val="006B79BB"/>
    <w:rsid w:val="006B7E32"/>
    <w:rsid w:val="006C051C"/>
    <w:rsid w:val="006C08D8"/>
    <w:rsid w:val="006C0FFE"/>
    <w:rsid w:val="006C134B"/>
    <w:rsid w:val="006C2144"/>
    <w:rsid w:val="006C2303"/>
    <w:rsid w:val="006C23D2"/>
    <w:rsid w:val="006C2864"/>
    <w:rsid w:val="006C356B"/>
    <w:rsid w:val="006C3865"/>
    <w:rsid w:val="006C3886"/>
    <w:rsid w:val="006C3926"/>
    <w:rsid w:val="006C410C"/>
    <w:rsid w:val="006C4216"/>
    <w:rsid w:val="006C4301"/>
    <w:rsid w:val="006C49FB"/>
    <w:rsid w:val="006C507D"/>
    <w:rsid w:val="006C52E1"/>
    <w:rsid w:val="006C549D"/>
    <w:rsid w:val="006C574D"/>
    <w:rsid w:val="006C5C89"/>
    <w:rsid w:val="006C5CB8"/>
    <w:rsid w:val="006C5DD5"/>
    <w:rsid w:val="006C606E"/>
    <w:rsid w:val="006C62BD"/>
    <w:rsid w:val="006C6692"/>
    <w:rsid w:val="006C66A8"/>
    <w:rsid w:val="006C6780"/>
    <w:rsid w:val="006C6B26"/>
    <w:rsid w:val="006C6BB4"/>
    <w:rsid w:val="006C70C6"/>
    <w:rsid w:val="006C712A"/>
    <w:rsid w:val="006C7203"/>
    <w:rsid w:val="006C729F"/>
    <w:rsid w:val="006C75D6"/>
    <w:rsid w:val="006D0564"/>
    <w:rsid w:val="006D0B16"/>
    <w:rsid w:val="006D0B48"/>
    <w:rsid w:val="006D0EB5"/>
    <w:rsid w:val="006D0FD7"/>
    <w:rsid w:val="006D1639"/>
    <w:rsid w:val="006D17A5"/>
    <w:rsid w:val="006D1E84"/>
    <w:rsid w:val="006D2660"/>
    <w:rsid w:val="006D29AB"/>
    <w:rsid w:val="006D2B2C"/>
    <w:rsid w:val="006D2D7C"/>
    <w:rsid w:val="006D4D4A"/>
    <w:rsid w:val="006D4FC0"/>
    <w:rsid w:val="006D5DD0"/>
    <w:rsid w:val="006D5DE4"/>
    <w:rsid w:val="006D6F8E"/>
    <w:rsid w:val="006D788D"/>
    <w:rsid w:val="006E00E3"/>
    <w:rsid w:val="006E03BE"/>
    <w:rsid w:val="006E099C"/>
    <w:rsid w:val="006E1291"/>
    <w:rsid w:val="006E18C4"/>
    <w:rsid w:val="006E1A1F"/>
    <w:rsid w:val="006E23E3"/>
    <w:rsid w:val="006E272C"/>
    <w:rsid w:val="006E2A64"/>
    <w:rsid w:val="006E3367"/>
    <w:rsid w:val="006E342D"/>
    <w:rsid w:val="006E35CC"/>
    <w:rsid w:val="006E366A"/>
    <w:rsid w:val="006E3844"/>
    <w:rsid w:val="006E43EE"/>
    <w:rsid w:val="006E5C1D"/>
    <w:rsid w:val="006E657E"/>
    <w:rsid w:val="006E7AC5"/>
    <w:rsid w:val="006E7BD3"/>
    <w:rsid w:val="006F0130"/>
    <w:rsid w:val="006F09DF"/>
    <w:rsid w:val="006F1759"/>
    <w:rsid w:val="006F1772"/>
    <w:rsid w:val="006F1810"/>
    <w:rsid w:val="006F23C3"/>
    <w:rsid w:val="006F247B"/>
    <w:rsid w:val="006F2708"/>
    <w:rsid w:val="006F27D5"/>
    <w:rsid w:val="006F2976"/>
    <w:rsid w:val="006F33A9"/>
    <w:rsid w:val="006F3464"/>
    <w:rsid w:val="006F364A"/>
    <w:rsid w:val="006F395E"/>
    <w:rsid w:val="006F3E55"/>
    <w:rsid w:val="006F440B"/>
    <w:rsid w:val="006F4F21"/>
    <w:rsid w:val="006F5162"/>
    <w:rsid w:val="006F526D"/>
    <w:rsid w:val="006F5821"/>
    <w:rsid w:val="006F5881"/>
    <w:rsid w:val="006F61F1"/>
    <w:rsid w:val="006F6455"/>
    <w:rsid w:val="006F6530"/>
    <w:rsid w:val="006F6655"/>
    <w:rsid w:val="006F6A90"/>
    <w:rsid w:val="006F6D09"/>
    <w:rsid w:val="006F6FE6"/>
    <w:rsid w:val="006F7477"/>
    <w:rsid w:val="006F7F74"/>
    <w:rsid w:val="00701316"/>
    <w:rsid w:val="00701976"/>
    <w:rsid w:val="00701C19"/>
    <w:rsid w:val="00702708"/>
    <w:rsid w:val="007027FF"/>
    <w:rsid w:val="0070323F"/>
    <w:rsid w:val="007035A4"/>
    <w:rsid w:val="00704D51"/>
    <w:rsid w:val="00705656"/>
    <w:rsid w:val="00705B68"/>
    <w:rsid w:val="00705C51"/>
    <w:rsid w:val="00705EC7"/>
    <w:rsid w:val="007061A3"/>
    <w:rsid w:val="007062C2"/>
    <w:rsid w:val="00706422"/>
    <w:rsid w:val="00706830"/>
    <w:rsid w:val="007076B9"/>
    <w:rsid w:val="00710FA4"/>
    <w:rsid w:val="00711698"/>
    <w:rsid w:val="00711ADE"/>
    <w:rsid w:val="00712660"/>
    <w:rsid w:val="00712A74"/>
    <w:rsid w:val="00712B3D"/>
    <w:rsid w:val="007131B1"/>
    <w:rsid w:val="007143C4"/>
    <w:rsid w:val="0071487D"/>
    <w:rsid w:val="00714C7B"/>
    <w:rsid w:val="00714E0F"/>
    <w:rsid w:val="00714ED0"/>
    <w:rsid w:val="0071587F"/>
    <w:rsid w:val="007158D9"/>
    <w:rsid w:val="00715C6E"/>
    <w:rsid w:val="0071664B"/>
    <w:rsid w:val="00716FBD"/>
    <w:rsid w:val="00717115"/>
    <w:rsid w:val="007175DE"/>
    <w:rsid w:val="00717613"/>
    <w:rsid w:val="007176C7"/>
    <w:rsid w:val="007178C2"/>
    <w:rsid w:val="00720330"/>
    <w:rsid w:val="00720A02"/>
    <w:rsid w:val="00720BDE"/>
    <w:rsid w:val="0072136D"/>
    <w:rsid w:val="007219D7"/>
    <w:rsid w:val="00721AA1"/>
    <w:rsid w:val="00722717"/>
    <w:rsid w:val="007229E5"/>
    <w:rsid w:val="007231C4"/>
    <w:rsid w:val="00723F1E"/>
    <w:rsid w:val="007247BE"/>
    <w:rsid w:val="00724ED8"/>
    <w:rsid w:val="00725C45"/>
    <w:rsid w:val="007275DE"/>
    <w:rsid w:val="00727655"/>
    <w:rsid w:val="00727830"/>
    <w:rsid w:val="00730363"/>
    <w:rsid w:val="00730791"/>
    <w:rsid w:val="007322B6"/>
    <w:rsid w:val="00733156"/>
    <w:rsid w:val="00733EAA"/>
    <w:rsid w:val="0073401D"/>
    <w:rsid w:val="007354C1"/>
    <w:rsid w:val="00735643"/>
    <w:rsid w:val="00735842"/>
    <w:rsid w:val="00735BB6"/>
    <w:rsid w:val="007360D0"/>
    <w:rsid w:val="00736511"/>
    <w:rsid w:val="00736833"/>
    <w:rsid w:val="007375D4"/>
    <w:rsid w:val="0073795A"/>
    <w:rsid w:val="00737BD5"/>
    <w:rsid w:val="007401F3"/>
    <w:rsid w:val="00740542"/>
    <w:rsid w:val="007415B0"/>
    <w:rsid w:val="00741B8A"/>
    <w:rsid w:val="00742015"/>
    <w:rsid w:val="007426FF"/>
    <w:rsid w:val="00742706"/>
    <w:rsid w:val="0074290F"/>
    <w:rsid w:val="00742A90"/>
    <w:rsid w:val="00742D40"/>
    <w:rsid w:val="007432FB"/>
    <w:rsid w:val="00743667"/>
    <w:rsid w:val="00743905"/>
    <w:rsid w:val="00743C0B"/>
    <w:rsid w:val="00743D96"/>
    <w:rsid w:val="00744248"/>
    <w:rsid w:val="007449E5"/>
    <w:rsid w:val="00746615"/>
    <w:rsid w:val="007469CF"/>
    <w:rsid w:val="00746C22"/>
    <w:rsid w:val="00746CAE"/>
    <w:rsid w:val="00746D18"/>
    <w:rsid w:val="00746FA5"/>
    <w:rsid w:val="007470F2"/>
    <w:rsid w:val="007476A3"/>
    <w:rsid w:val="00747F58"/>
    <w:rsid w:val="0075041B"/>
    <w:rsid w:val="00751153"/>
    <w:rsid w:val="0075174D"/>
    <w:rsid w:val="00752461"/>
    <w:rsid w:val="00752EAC"/>
    <w:rsid w:val="00753001"/>
    <w:rsid w:val="00753153"/>
    <w:rsid w:val="007532C2"/>
    <w:rsid w:val="0075366F"/>
    <w:rsid w:val="00753F68"/>
    <w:rsid w:val="00754AE6"/>
    <w:rsid w:val="00754BDC"/>
    <w:rsid w:val="00754CA7"/>
    <w:rsid w:val="007551AD"/>
    <w:rsid w:val="007555B8"/>
    <w:rsid w:val="00757A89"/>
    <w:rsid w:val="00757BC6"/>
    <w:rsid w:val="00760515"/>
    <w:rsid w:val="00760D8A"/>
    <w:rsid w:val="00760DE5"/>
    <w:rsid w:val="00760EFB"/>
    <w:rsid w:val="0076113E"/>
    <w:rsid w:val="007618EE"/>
    <w:rsid w:val="00761BD9"/>
    <w:rsid w:val="00762AD2"/>
    <w:rsid w:val="00763108"/>
    <w:rsid w:val="00763402"/>
    <w:rsid w:val="007639ED"/>
    <w:rsid w:val="007644D1"/>
    <w:rsid w:val="0076451E"/>
    <w:rsid w:val="00764939"/>
    <w:rsid w:val="00764A3C"/>
    <w:rsid w:val="007654A7"/>
    <w:rsid w:val="00765ACC"/>
    <w:rsid w:val="00766DA8"/>
    <w:rsid w:val="00770198"/>
    <w:rsid w:val="0077035A"/>
    <w:rsid w:val="00770816"/>
    <w:rsid w:val="007709B0"/>
    <w:rsid w:val="00771053"/>
    <w:rsid w:val="00771122"/>
    <w:rsid w:val="00771845"/>
    <w:rsid w:val="0077190B"/>
    <w:rsid w:val="00771B76"/>
    <w:rsid w:val="00772986"/>
    <w:rsid w:val="00772A93"/>
    <w:rsid w:val="00773D3D"/>
    <w:rsid w:val="00774287"/>
    <w:rsid w:val="007748E5"/>
    <w:rsid w:val="00774B69"/>
    <w:rsid w:val="00774D25"/>
    <w:rsid w:val="00774FC5"/>
    <w:rsid w:val="007753C2"/>
    <w:rsid w:val="007755AC"/>
    <w:rsid w:val="00775646"/>
    <w:rsid w:val="00775932"/>
    <w:rsid w:val="0077595B"/>
    <w:rsid w:val="007759F8"/>
    <w:rsid w:val="00775BA2"/>
    <w:rsid w:val="00776A95"/>
    <w:rsid w:val="00776B7C"/>
    <w:rsid w:val="00776BBD"/>
    <w:rsid w:val="00776CDE"/>
    <w:rsid w:val="00777179"/>
    <w:rsid w:val="00777820"/>
    <w:rsid w:val="0078188D"/>
    <w:rsid w:val="00781BAA"/>
    <w:rsid w:val="00781F29"/>
    <w:rsid w:val="0078230B"/>
    <w:rsid w:val="00782CBF"/>
    <w:rsid w:val="0078309C"/>
    <w:rsid w:val="007830FD"/>
    <w:rsid w:val="007834AD"/>
    <w:rsid w:val="00783AF1"/>
    <w:rsid w:val="00783D48"/>
    <w:rsid w:val="00784036"/>
    <w:rsid w:val="00784411"/>
    <w:rsid w:val="0078445C"/>
    <w:rsid w:val="007847DD"/>
    <w:rsid w:val="007847F4"/>
    <w:rsid w:val="007849C4"/>
    <w:rsid w:val="00784C45"/>
    <w:rsid w:val="007850F1"/>
    <w:rsid w:val="007856AF"/>
    <w:rsid w:val="00785C4B"/>
    <w:rsid w:val="0078664D"/>
    <w:rsid w:val="0078686B"/>
    <w:rsid w:val="007869DA"/>
    <w:rsid w:val="00786F12"/>
    <w:rsid w:val="00787032"/>
    <w:rsid w:val="0078710B"/>
    <w:rsid w:val="0078738F"/>
    <w:rsid w:val="00787D3E"/>
    <w:rsid w:val="0079029C"/>
    <w:rsid w:val="007902A5"/>
    <w:rsid w:val="00790477"/>
    <w:rsid w:val="0079096A"/>
    <w:rsid w:val="007909E9"/>
    <w:rsid w:val="007913D7"/>
    <w:rsid w:val="007915FD"/>
    <w:rsid w:val="00791676"/>
    <w:rsid w:val="00791AAC"/>
    <w:rsid w:val="007922DF"/>
    <w:rsid w:val="007922EE"/>
    <w:rsid w:val="0079338C"/>
    <w:rsid w:val="0079369A"/>
    <w:rsid w:val="0079378E"/>
    <w:rsid w:val="00793EE2"/>
    <w:rsid w:val="007942F4"/>
    <w:rsid w:val="0079440F"/>
    <w:rsid w:val="00794694"/>
    <w:rsid w:val="007949AC"/>
    <w:rsid w:val="00794D66"/>
    <w:rsid w:val="00795A5D"/>
    <w:rsid w:val="0079659F"/>
    <w:rsid w:val="00796866"/>
    <w:rsid w:val="00796A1E"/>
    <w:rsid w:val="00796B9D"/>
    <w:rsid w:val="00796BBD"/>
    <w:rsid w:val="00796ED4"/>
    <w:rsid w:val="00796F92"/>
    <w:rsid w:val="0079713C"/>
    <w:rsid w:val="0079714C"/>
    <w:rsid w:val="00797F74"/>
    <w:rsid w:val="007A0C3E"/>
    <w:rsid w:val="007A12D3"/>
    <w:rsid w:val="007A2805"/>
    <w:rsid w:val="007A28F1"/>
    <w:rsid w:val="007A2B3B"/>
    <w:rsid w:val="007A31BE"/>
    <w:rsid w:val="007A352B"/>
    <w:rsid w:val="007A36EA"/>
    <w:rsid w:val="007A3BD8"/>
    <w:rsid w:val="007A3F43"/>
    <w:rsid w:val="007A3F9C"/>
    <w:rsid w:val="007A4AE2"/>
    <w:rsid w:val="007A4F8E"/>
    <w:rsid w:val="007A5244"/>
    <w:rsid w:val="007A55F4"/>
    <w:rsid w:val="007A5727"/>
    <w:rsid w:val="007A5BDD"/>
    <w:rsid w:val="007A5DC0"/>
    <w:rsid w:val="007A615E"/>
    <w:rsid w:val="007A68F5"/>
    <w:rsid w:val="007A6B1B"/>
    <w:rsid w:val="007A716D"/>
    <w:rsid w:val="007B003F"/>
    <w:rsid w:val="007B02A0"/>
    <w:rsid w:val="007B16FC"/>
    <w:rsid w:val="007B1808"/>
    <w:rsid w:val="007B194A"/>
    <w:rsid w:val="007B27E6"/>
    <w:rsid w:val="007B28DA"/>
    <w:rsid w:val="007B301D"/>
    <w:rsid w:val="007B3FF7"/>
    <w:rsid w:val="007B4363"/>
    <w:rsid w:val="007B4B84"/>
    <w:rsid w:val="007B547B"/>
    <w:rsid w:val="007B5A72"/>
    <w:rsid w:val="007B6496"/>
    <w:rsid w:val="007B649F"/>
    <w:rsid w:val="007B65F1"/>
    <w:rsid w:val="007B66D5"/>
    <w:rsid w:val="007B690F"/>
    <w:rsid w:val="007B7485"/>
    <w:rsid w:val="007B7722"/>
    <w:rsid w:val="007B777F"/>
    <w:rsid w:val="007B7E35"/>
    <w:rsid w:val="007C1271"/>
    <w:rsid w:val="007C1882"/>
    <w:rsid w:val="007C1F8F"/>
    <w:rsid w:val="007C2219"/>
    <w:rsid w:val="007C2812"/>
    <w:rsid w:val="007C3F31"/>
    <w:rsid w:val="007C4039"/>
    <w:rsid w:val="007C4888"/>
    <w:rsid w:val="007C5472"/>
    <w:rsid w:val="007C57AD"/>
    <w:rsid w:val="007C619D"/>
    <w:rsid w:val="007C6392"/>
    <w:rsid w:val="007C6687"/>
    <w:rsid w:val="007C7221"/>
    <w:rsid w:val="007C76A8"/>
    <w:rsid w:val="007C782C"/>
    <w:rsid w:val="007C7C43"/>
    <w:rsid w:val="007D022C"/>
    <w:rsid w:val="007D1121"/>
    <w:rsid w:val="007D1D9D"/>
    <w:rsid w:val="007D27FD"/>
    <w:rsid w:val="007D2BD8"/>
    <w:rsid w:val="007D30F1"/>
    <w:rsid w:val="007D3442"/>
    <w:rsid w:val="007D40CF"/>
    <w:rsid w:val="007D4207"/>
    <w:rsid w:val="007D4E1B"/>
    <w:rsid w:val="007D5198"/>
    <w:rsid w:val="007D68BD"/>
    <w:rsid w:val="007D6C7F"/>
    <w:rsid w:val="007E0018"/>
    <w:rsid w:val="007E0760"/>
    <w:rsid w:val="007E0BF6"/>
    <w:rsid w:val="007E14B0"/>
    <w:rsid w:val="007E1AF5"/>
    <w:rsid w:val="007E1C31"/>
    <w:rsid w:val="007E1DF3"/>
    <w:rsid w:val="007E2F63"/>
    <w:rsid w:val="007E307C"/>
    <w:rsid w:val="007E3F0C"/>
    <w:rsid w:val="007E4D49"/>
    <w:rsid w:val="007E4F28"/>
    <w:rsid w:val="007E54EB"/>
    <w:rsid w:val="007E58A8"/>
    <w:rsid w:val="007E649C"/>
    <w:rsid w:val="007E66B0"/>
    <w:rsid w:val="007E6717"/>
    <w:rsid w:val="007E675A"/>
    <w:rsid w:val="007E7028"/>
    <w:rsid w:val="007E738C"/>
    <w:rsid w:val="007E7605"/>
    <w:rsid w:val="007E777A"/>
    <w:rsid w:val="007E78B2"/>
    <w:rsid w:val="007F0162"/>
    <w:rsid w:val="007F0528"/>
    <w:rsid w:val="007F14D3"/>
    <w:rsid w:val="007F1664"/>
    <w:rsid w:val="007F1D61"/>
    <w:rsid w:val="007F250E"/>
    <w:rsid w:val="007F337C"/>
    <w:rsid w:val="007F36D8"/>
    <w:rsid w:val="007F37B9"/>
    <w:rsid w:val="007F3A0C"/>
    <w:rsid w:val="007F3D38"/>
    <w:rsid w:val="007F3FC0"/>
    <w:rsid w:val="007F400C"/>
    <w:rsid w:val="007F43B5"/>
    <w:rsid w:val="007F47FC"/>
    <w:rsid w:val="007F4CBD"/>
    <w:rsid w:val="007F532D"/>
    <w:rsid w:val="007F5370"/>
    <w:rsid w:val="007F56B5"/>
    <w:rsid w:val="007F5736"/>
    <w:rsid w:val="007F59DA"/>
    <w:rsid w:val="007F6D21"/>
    <w:rsid w:val="007F7C08"/>
    <w:rsid w:val="007F7D36"/>
    <w:rsid w:val="008002E5"/>
    <w:rsid w:val="008015EC"/>
    <w:rsid w:val="00801B35"/>
    <w:rsid w:val="00802060"/>
    <w:rsid w:val="00802C13"/>
    <w:rsid w:val="00804369"/>
    <w:rsid w:val="00804B59"/>
    <w:rsid w:val="00804B97"/>
    <w:rsid w:val="00804CC7"/>
    <w:rsid w:val="00804D10"/>
    <w:rsid w:val="00804F6C"/>
    <w:rsid w:val="00805942"/>
    <w:rsid w:val="00805B71"/>
    <w:rsid w:val="00805D1F"/>
    <w:rsid w:val="00806E99"/>
    <w:rsid w:val="0080723B"/>
    <w:rsid w:val="008076BC"/>
    <w:rsid w:val="00807EF5"/>
    <w:rsid w:val="008101F5"/>
    <w:rsid w:val="00810200"/>
    <w:rsid w:val="008102C3"/>
    <w:rsid w:val="00810483"/>
    <w:rsid w:val="0081076A"/>
    <w:rsid w:val="00810802"/>
    <w:rsid w:val="00810E1C"/>
    <w:rsid w:val="0081170E"/>
    <w:rsid w:val="0081236B"/>
    <w:rsid w:val="00812F9A"/>
    <w:rsid w:val="0081324F"/>
    <w:rsid w:val="00813C39"/>
    <w:rsid w:val="00813E17"/>
    <w:rsid w:val="00813EDB"/>
    <w:rsid w:val="008147DB"/>
    <w:rsid w:val="00814DA5"/>
    <w:rsid w:val="00815342"/>
    <w:rsid w:val="00815A0B"/>
    <w:rsid w:val="008161EB"/>
    <w:rsid w:val="00816A11"/>
    <w:rsid w:val="00817660"/>
    <w:rsid w:val="00817BD7"/>
    <w:rsid w:val="00817D9A"/>
    <w:rsid w:val="00817E3D"/>
    <w:rsid w:val="00820212"/>
    <w:rsid w:val="00820272"/>
    <w:rsid w:val="008202E3"/>
    <w:rsid w:val="008206A9"/>
    <w:rsid w:val="00820A44"/>
    <w:rsid w:val="00820E9C"/>
    <w:rsid w:val="00821A91"/>
    <w:rsid w:val="0082275D"/>
    <w:rsid w:val="00822C62"/>
    <w:rsid w:val="00822CB5"/>
    <w:rsid w:val="008230A1"/>
    <w:rsid w:val="00823E33"/>
    <w:rsid w:val="008246BC"/>
    <w:rsid w:val="00824F0C"/>
    <w:rsid w:val="00824FAE"/>
    <w:rsid w:val="00825348"/>
    <w:rsid w:val="008253B0"/>
    <w:rsid w:val="00825541"/>
    <w:rsid w:val="0082558F"/>
    <w:rsid w:val="00825BC4"/>
    <w:rsid w:val="00825E5B"/>
    <w:rsid w:val="008264EE"/>
    <w:rsid w:val="00826DBC"/>
    <w:rsid w:val="00826E3A"/>
    <w:rsid w:val="00830264"/>
    <w:rsid w:val="00830C1F"/>
    <w:rsid w:val="00830DC6"/>
    <w:rsid w:val="008312CF"/>
    <w:rsid w:val="00831EBB"/>
    <w:rsid w:val="00831F57"/>
    <w:rsid w:val="0083283B"/>
    <w:rsid w:val="0083316A"/>
    <w:rsid w:val="00833349"/>
    <w:rsid w:val="00833456"/>
    <w:rsid w:val="00833538"/>
    <w:rsid w:val="00833969"/>
    <w:rsid w:val="00833EB7"/>
    <w:rsid w:val="00834207"/>
    <w:rsid w:val="00834213"/>
    <w:rsid w:val="008347C6"/>
    <w:rsid w:val="008349C7"/>
    <w:rsid w:val="00834FAD"/>
    <w:rsid w:val="0083528B"/>
    <w:rsid w:val="008352B4"/>
    <w:rsid w:val="008352C2"/>
    <w:rsid w:val="00835434"/>
    <w:rsid w:val="008354EC"/>
    <w:rsid w:val="00835BF5"/>
    <w:rsid w:val="00835E0C"/>
    <w:rsid w:val="00835EB2"/>
    <w:rsid w:val="00835F39"/>
    <w:rsid w:val="00837C75"/>
    <w:rsid w:val="00837D65"/>
    <w:rsid w:val="008402A0"/>
    <w:rsid w:val="0084031C"/>
    <w:rsid w:val="0084040E"/>
    <w:rsid w:val="00840A5D"/>
    <w:rsid w:val="00840EDA"/>
    <w:rsid w:val="008411C0"/>
    <w:rsid w:val="008412BC"/>
    <w:rsid w:val="00841D3D"/>
    <w:rsid w:val="00842152"/>
    <w:rsid w:val="00842329"/>
    <w:rsid w:val="00842588"/>
    <w:rsid w:val="008429D0"/>
    <w:rsid w:val="00843D2C"/>
    <w:rsid w:val="008446B7"/>
    <w:rsid w:val="008447A8"/>
    <w:rsid w:val="00846C88"/>
    <w:rsid w:val="008475DC"/>
    <w:rsid w:val="008478E3"/>
    <w:rsid w:val="00847FA7"/>
    <w:rsid w:val="00850267"/>
    <w:rsid w:val="0085046E"/>
    <w:rsid w:val="00850BD7"/>
    <w:rsid w:val="008510CA"/>
    <w:rsid w:val="00851322"/>
    <w:rsid w:val="00851902"/>
    <w:rsid w:val="00851C59"/>
    <w:rsid w:val="008520F7"/>
    <w:rsid w:val="00852230"/>
    <w:rsid w:val="008525E4"/>
    <w:rsid w:val="00853A1D"/>
    <w:rsid w:val="00853F6B"/>
    <w:rsid w:val="00854F41"/>
    <w:rsid w:val="008551F1"/>
    <w:rsid w:val="00855239"/>
    <w:rsid w:val="00856FA7"/>
    <w:rsid w:val="0085719C"/>
    <w:rsid w:val="00857CD0"/>
    <w:rsid w:val="00860B09"/>
    <w:rsid w:val="008618F0"/>
    <w:rsid w:val="00862DB1"/>
    <w:rsid w:val="00863321"/>
    <w:rsid w:val="00863609"/>
    <w:rsid w:val="00863EA7"/>
    <w:rsid w:val="008642E4"/>
    <w:rsid w:val="0086485D"/>
    <w:rsid w:val="00865247"/>
    <w:rsid w:val="008654BF"/>
    <w:rsid w:val="00866153"/>
    <w:rsid w:val="00866A48"/>
    <w:rsid w:val="00866F65"/>
    <w:rsid w:val="008677EB"/>
    <w:rsid w:val="008678E7"/>
    <w:rsid w:val="00867A99"/>
    <w:rsid w:val="00867CBB"/>
    <w:rsid w:val="00870776"/>
    <w:rsid w:val="00870932"/>
    <w:rsid w:val="008716BB"/>
    <w:rsid w:val="00872615"/>
    <w:rsid w:val="00872A41"/>
    <w:rsid w:val="00872DEE"/>
    <w:rsid w:val="008731F8"/>
    <w:rsid w:val="00873645"/>
    <w:rsid w:val="00873C06"/>
    <w:rsid w:val="00874173"/>
    <w:rsid w:val="00874618"/>
    <w:rsid w:val="00874727"/>
    <w:rsid w:val="008747E0"/>
    <w:rsid w:val="00874F4D"/>
    <w:rsid w:val="008752C5"/>
    <w:rsid w:val="00875B4D"/>
    <w:rsid w:val="00875F48"/>
    <w:rsid w:val="0087661F"/>
    <w:rsid w:val="00876B3D"/>
    <w:rsid w:val="008771D5"/>
    <w:rsid w:val="00877236"/>
    <w:rsid w:val="0087752A"/>
    <w:rsid w:val="00880AB3"/>
    <w:rsid w:val="00881008"/>
    <w:rsid w:val="008816CF"/>
    <w:rsid w:val="008818CA"/>
    <w:rsid w:val="008819B5"/>
    <w:rsid w:val="00881B3A"/>
    <w:rsid w:val="00881EF5"/>
    <w:rsid w:val="0088249D"/>
    <w:rsid w:val="00883F04"/>
    <w:rsid w:val="00884037"/>
    <w:rsid w:val="0088414F"/>
    <w:rsid w:val="008842C5"/>
    <w:rsid w:val="00884DCB"/>
    <w:rsid w:val="0088517F"/>
    <w:rsid w:val="008858B3"/>
    <w:rsid w:val="008858F3"/>
    <w:rsid w:val="00885C17"/>
    <w:rsid w:val="00885C46"/>
    <w:rsid w:val="00885E15"/>
    <w:rsid w:val="00885E94"/>
    <w:rsid w:val="00886626"/>
    <w:rsid w:val="00886A1E"/>
    <w:rsid w:val="00886D87"/>
    <w:rsid w:val="00887318"/>
    <w:rsid w:val="00887642"/>
    <w:rsid w:val="00887B0A"/>
    <w:rsid w:val="00887DF4"/>
    <w:rsid w:val="00890884"/>
    <w:rsid w:val="00890FD6"/>
    <w:rsid w:val="0089161D"/>
    <w:rsid w:val="00891783"/>
    <w:rsid w:val="008917F7"/>
    <w:rsid w:val="00892233"/>
    <w:rsid w:val="00892431"/>
    <w:rsid w:val="00893025"/>
    <w:rsid w:val="0089317B"/>
    <w:rsid w:val="0089368F"/>
    <w:rsid w:val="00893818"/>
    <w:rsid w:val="008939C6"/>
    <w:rsid w:val="00894246"/>
    <w:rsid w:val="008946DF"/>
    <w:rsid w:val="00894E99"/>
    <w:rsid w:val="00895229"/>
    <w:rsid w:val="00895A4B"/>
    <w:rsid w:val="00895B28"/>
    <w:rsid w:val="008963D3"/>
    <w:rsid w:val="008963F6"/>
    <w:rsid w:val="0089698D"/>
    <w:rsid w:val="00896D9D"/>
    <w:rsid w:val="008A00C6"/>
    <w:rsid w:val="008A09C9"/>
    <w:rsid w:val="008A115D"/>
    <w:rsid w:val="008A1448"/>
    <w:rsid w:val="008A1539"/>
    <w:rsid w:val="008A1604"/>
    <w:rsid w:val="008A1AAA"/>
    <w:rsid w:val="008A1B09"/>
    <w:rsid w:val="008A2114"/>
    <w:rsid w:val="008A2677"/>
    <w:rsid w:val="008A3BD7"/>
    <w:rsid w:val="008A3D03"/>
    <w:rsid w:val="008A3DD6"/>
    <w:rsid w:val="008A4417"/>
    <w:rsid w:val="008A4E73"/>
    <w:rsid w:val="008A53AE"/>
    <w:rsid w:val="008A575A"/>
    <w:rsid w:val="008A57FF"/>
    <w:rsid w:val="008A6955"/>
    <w:rsid w:val="008A6BFF"/>
    <w:rsid w:val="008A707F"/>
    <w:rsid w:val="008B03A3"/>
    <w:rsid w:val="008B0CCA"/>
    <w:rsid w:val="008B0F03"/>
    <w:rsid w:val="008B118F"/>
    <w:rsid w:val="008B12A3"/>
    <w:rsid w:val="008B17EF"/>
    <w:rsid w:val="008B1ADA"/>
    <w:rsid w:val="008B1DEC"/>
    <w:rsid w:val="008B2B55"/>
    <w:rsid w:val="008B2DE4"/>
    <w:rsid w:val="008B30DF"/>
    <w:rsid w:val="008B344C"/>
    <w:rsid w:val="008B3749"/>
    <w:rsid w:val="008B39A5"/>
    <w:rsid w:val="008B3C75"/>
    <w:rsid w:val="008B476E"/>
    <w:rsid w:val="008B49BE"/>
    <w:rsid w:val="008B4D44"/>
    <w:rsid w:val="008B538D"/>
    <w:rsid w:val="008B54DE"/>
    <w:rsid w:val="008B59DC"/>
    <w:rsid w:val="008B61EF"/>
    <w:rsid w:val="008B62F8"/>
    <w:rsid w:val="008B63A1"/>
    <w:rsid w:val="008B66AA"/>
    <w:rsid w:val="008B7C42"/>
    <w:rsid w:val="008C020D"/>
    <w:rsid w:val="008C06FC"/>
    <w:rsid w:val="008C0D07"/>
    <w:rsid w:val="008C10C5"/>
    <w:rsid w:val="008C11BC"/>
    <w:rsid w:val="008C1A39"/>
    <w:rsid w:val="008C2BAD"/>
    <w:rsid w:val="008C304B"/>
    <w:rsid w:val="008C3197"/>
    <w:rsid w:val="008C3334"/>
    <w:rsid w:val="008C34A7"/>
    <w:rsid w:val="008C354A"/>
    <w:rsid w:val="008C381C"/>
    <w:rsid w:val="008C3ED6"/>
    <w:rsid w:val="008C4195"/>
    <w:rsid w:val="008C47AC"/>
    <w:rsid w:val="008C4A39"/>
    <w:rsid w:val="008C4A40"/>
    <w:rsid w:val="008C552B"/>
    <w:rsid w:val="008C6414"/>
    <w:rsid w:val="008C6A78"/>
    <w:rsid w:val="008C70FB"/>
    <w:rsid w:val="008C7710"/>
    <w:rsid w:val="008D004A"/>
    <w:rsid w:val="008D06C5"/>
    <w:rsid w:val="008D0A43"/>
    <w:rsid w:val="008D0DEB"/>
    <w:rsid w:val="008D1502"/>
    <w:rsid w:val="008D1BEB"/>
    <w:rsid w:val="008D2097"/>
    <w:rsid w:val="008D2284"/>
    <w:rsid w:val="008D23A0"/>
    <w:rsid w:val="008D23B6"/>
    <w:rsid w:val="008D3A53"/>
    <w:rsid w:val="008D3D8E"/>
    <w:rsid w:val="008D4898"/>
    <w:rsid w:val="008D4BF3"/>
    <w:rsid w:val="008D4F2A"/>
    <w:rsid w:val="008D5476"/>
    <w:rsid w:val="008D6241"/>
    <w:rsid w:val="008D64DE"/>
    <w:rsid w:val="008D6645"/>
    <w:rsid w:val="008D727B"/>
    <w:rsid w:val="008D72CE"/>
    <w:rsid w:val="008D74FB"/>
    <w:rsid w:val="008D77F7"/>
    <w:rsid w:val="008D7AA6"/>
    <w:rsid w:val="008D7BA4"/>
    <w:rsid w:val="008E03CE"/>
    <w:rsid w:val="008E06A4"/>
    <w:rsid w:val="008E0714"/>
    <w:rsid w:val="008E0D1E"/>
    <w:rsid w:val="008E119B"/>
    <w:rsid w:val="008E237E"/>
    <w:rsid w:val="008E259D"/>
    <w:rsid w:val="008E3088"/>
    <w:rsid w:val="008E3C68"/>
    <w:rsid w:val="008E3E2E"/>
    <w:rsid w:val="008E467A"/>
    <w:rsid w:val="008E4E97"/>
    <w:rsid w:val="008E5358"/>
    <w:rsid w:val="008E5499"/>
    <w:rsid w:val="008E6B83"/>
    <w:rsid w:val="008E713E"/>
    <w:rsid w:val="008E7C2B"/>
    <w:rsid w:val="008E7CB1"/>
    <w:rsid w:val="008E7E66"/>
    <w:rsid w:val="008F0055"/>
    <w:rsid w:val="008F1075"/>
    <w:rsid w:val="008F1AF9"/>
    <w:rsid w:val="008F20CE"/>
    <w:rsid w:val="008F21E0"/>
    <w:rsid w:val="008F237E"/>
    <w:rsid w:val="008F28A7"/>
    <w:rsid w:val="008F28CA"/>
    <w:rsid w:val="008F3060"/>
    <w:rsid w:val="008F3E51"/>
    <w:rsid w:val="008F4750"/>
    <w:rsid w:val="008F498B"/>
    <w:rsid w:val="008F4B27"/>
    <w:rsid w:val="008F4DA1"/>
    <w:rsid w:val="008F4F8E"/>
    <w:rsid w:val="008F5558"/>
    <w:rsid w:val="008F5EC1"/>
    <w:rsid w:val="008F697F"/>
    <w:rsid w:val="008F737F"/>
    <w:rsid w:val="008F78BC"/>
    <w:rsid w:val="0090052E"/>
    <w:rsid w:val="00901E29"/>
    <w:rsid w:val="009023A3"/>
    <w:rsid w:val="00902813"/>
    <w:rsid w:val="00902836"/>
    <w:rsid w:val="0090288F"/>
    <w:rsid w:val="00902EA9"/>
    <w:rsid w:val="009041D3"/>
    <w:rsid w:val="009045D1"/>
    <w:rsid w:val="009047BD"/>
    <w:rsid w:val="009048DC"/>
    <w:rsid w:val="00904BF2"/>
    <w:rsid w:val="00904EF9"/>
    <w:rsid w:val="009052B7"/>
    <w:rsid w:val="009055AE"/>
    <w:rsid w:val="00905998"/>
    <w:rsid w:val="00905F2B"/>
    <w:rsid w:val="00906012"/>
    <w:rsid w:val="00906371"/>
    <w:rsid w:val="0090693B"/>
    <w:rsid w:val="00907666"/>
    <w:rsid w:val="00907865"/>
    <w:rsid w:val="00907C6B"/>
    <w:rsid w:val="00907E0F"/>
    <w:rsid w:val="00910027"/>
    <w:rsid w:val="0091053E"/>
    <w:rsid w:val="009105B6"/>
    <w:rsid w:val="00910ECB"/>
    <w:rsid w:val="00911886"/>
    <w:rsid w:val="0091255B"/>
    <w:rsid w:val="009127C8"/>
    <w:rsid w:val="00912ACD"/>
    <w:rsid w:val="00912FEB"/>
    <w:rsid w:val="00914818"/>
    <w:rsid w:val="00914891"/>
    <w:rsid w:val="0091587B"/>
    <w:rsid w:val="009158CF"/>
    <w:rsid w:val="00916845"/>
    <w:rsid w:val="00916B6D"/>
    <w:rsid w:val="009175B0"/>
    <w:rsid w:val="009176C5"/>
    <w:rsid w:val="00917740"/>
    <w:rsid w:val="00917762"/>
    <w:rsid w:val="009177EA"/>
    <w:rsid w:val="009207C9"/>
    <w:rsid w:val="0092091D"/>
    <w:rsid w:val="00921473"/>
    <w:rsid w:val="00921663"/>
    <w:rsid w:val="00921CC2"/>
    <w:rsid w:val="00922027"/>
    <w:rsid w:val="009222B2"/>
    <w:rsid w:val="009224F6"/>
    <w:rsid w:val="009238A4"/>
    <w:rsid w:val="00923D6A"/>
    <w:rsid w:val="00923F31"/>
    <w:rsid w:val="009242C2"/>
    <w:rsid w:val="00924542"/>
    <w:rsid w:val="00924E13"/>
    <w:rsid w:val="009255DE"/>
    <w:rsid w:val="00925A82"/>
    <w:rsid w:val="00925C90"/>
    <w:rsid w:val="009265E2"/>
    <w:rsid w:val="00926A6F"/>
    <w:rsid w:val="009273A9"/>
    <w:rsid w:val="009275CB"/>
    <w:rsid w:val="00927932"/>
    <w:rsid w:val="00927EB6"/>
    <w:rsid w:val="00930340"/>
    <w:rsid w:val="009303B1"/>
    <w:rsid w:val="00930DD9"/>
    <w:rsid w:val="00930F39"/>
    <w:rsid w:val="00930F6F"/>
    <w:rsid w:val="0093101D"/>
    <w:rsid w:val="0093113A"/>
    <w:rsid w:val="00931210"/>
    <w:rsid w:val="00931497"/>
    <w:rsid w:val="00931736"/>
    <w:rsid w:val="00931987"/>
    <w:rsid w:val="009319A4"/>
    <w:rsid w:val="00931E02"/>
    <w:rsid w:val="00931FE0"/>
    <w:rsid w:val="00932536"/>
    <w:rsid w:val="00933757"/>
    <w:rsid w:val="00933FC0"/>
    <w:rsid w:val="0093432C"/>
    <w:rsid w:val="009348E9"/>
    <w:rsid w:val="00934DE9"/>
    <w:rsid w:val="00934EE9"/>
    <w:rsid w:val="0093612A"/>
    <w:rsid w:val="009368AC"/>
    <w:rsid w:val="0093721D"/>
    <w:rsid w:val="0093727A"/>
    <w:rsid w:val="0094003E"/>
    <w:rsid w:val="00941150"/>
    <w:rsid w:val="00941276"/>
    <w:rsid w:val="00941C48"/>
    <w:rsid w:val="00941F4E"/>
    <w:rsid w:val="0094290B"/>
    <w:rsid w:val="00942CB3"/>
    <w:rsid w:val="00943988"/>
    <w:rsid w:val="00943D75"/>
    <w:rsid w:val="00944625"/>
    <w:rsid w:val="0094506A"/>
    <w:rsid w:val="009450B8"/>
    <w:rsid w:val="00946610"/>
    <w:rsid w:val="009467F0"/>
    <w:rsid w:val="00947179"/>
    <w:rsid w:val="00947871"/>
    <w:rsid w:val="009500BC"/>
    <w:rsid w:val="0095021E"/>
    <w:rsid w:val="00950374"/>
    <w:rsid w:val="0095096D"/>
    <w:rsid w:val="00950B83"/>
    <w:rsid w:val="009512F3"/>
    <w:rsid w:val="00952469"/>
    <w:rsid w:val="00952A42"/>
    <w:rsid w:val="00952B93"/>
    <w:rsid w:val="00952F55"/>
    <w:rsid w:val="009535A9"/>
    <w:rsid w:val="00953848"/>
    <w:rsid w:val="0095387F"/>
    <w:rsid w:val="00953DDF"/>
    <w:rsid w:val="00953E0F"/>
    <w:rsid w:val="00954CFF"/>
    <w:rsid w:val="00954F8E"/>
    <w:rsid w:val="00956CA4"/>
    <w:rsid w:val="00957419"/>
    <w:rsid w:val="00957C7C"/>
    <w:rsid w:val="00961108"/>
    <w:rsid w:val="0096138E"/>
    <w:rsid w:val="009636F4"/>
    <w:rsid w:val="00964659"/>
    <w:rsid w:val="00964A8A"/>
    <w:rsid w:val="00964C66"/>
    <w:rsid w:val="00964FA5"/>
    <w:rsid w:val="00965DF6"/>
    <w:rsid w:val="00965E5E"/>
    <w:rsid w:val="00966E3A"/>
    <w:rsid w:val="009679A5"/>
    <w:rsid w:val="00967CF2"/>
    <w:rsid w:val="009704AB"/>
    <w:rsid w:val="00970908"/>
    <w:rsid w:val="009712DC"/>
    <w:rsid w:val="0097139F"/>
    <w:rsid w:val="00971DA1"/>
    <w:rsid w:val="009724BE"/>
    <w:rsid w:val="0097266E"/>
    <w:rsid w:val="009726AF"/>
    <w:rsid w:val="00972908"/>
    <w:rsid w:val="00972FD2"/>
    <w:rsid w:val="00973A47"/>
    <w:rsid w:val="00973B23"/>
    <w:rsid w:val="00973CAE"/>
    <w:rsid w:val="009744B4"/>
    <w:rsid w:val="009747B6"/>
    <w:rsid w:val="00974C72"/>
    <w:rsid w:val="0097631D"/>
    <w:rsid w:val="0097673E"/>
    <w:rsid w:val="009768D3"/>
    <w:rsid w:val="00976A9D"/>
    <w:rsid w:val="009776A9"/>
    <w:rsid w:val="00977995"/>
    <w:rsid w:val="00977CA4"/>
    <w:rsid w:val="00977D04"/>
    <w:rsid w:val="00980616"/>
    <w:rsid w:val="0098079C"/>
    <w:rsid w:val="00980A4B"/>
    <w:rsid w:val="00981646"/>
    <w:rsid w:val="00981840"/>
    <w:rsid w:val="00981AB3"/>
    <w:rsid w:val="0098259C"/>
    <w:rsid w:val="0098278F"/>
    <w:rsid w:val="0098404C"/>
    <w:rsid w:val="00985479"/>
    <w:rsid w:val="00985AE7"/>
    <w:rsid w:val="00986102"/>
    <w:rsid w:val="00986A70"/>
    <w:rsid w:val="00986C06"/>
    <w:rsid w:val="00986F72"/>
    <w:rsid w:val="0098730D"/>
    <w:rsid w:val="0099008D"/>
    <w:rsid w:val="009902D7"/>
    <w:rsid w:val="00990540"/>
    <w:rsid w:val="00990C5E"/>
    <w:rsid w:val="00990EAB"/>
    <w:rsid w:val="00990EE3"/>
    <w:rsid w:val="0099152E"/>
    <w:rsid w:val="00991669"/>
    <w:rsid w:val="00991D6D"/>
    <w:rsid w:val="00991DCD"/>
    <w:rsid w:val="00991EB3"/>
    <w:rsid w:val="00993A11"/>
    <w:rsid w:val="00993C98"/>
    <w:rsid w:val="00994457"/>
    <w:rsid w:val="00994485"/>
    <w:rsid w:val="0099487F"/>
    <w:rsid w:val="00994C1F"/>
    <w:rsid w:val="0099552C"/>
    <w:rsid w:val="00995594"/>
    <w:rsid w:val="009956E5"/>
    <w:rsid w:val="00995CF6"/>
    <w:rsid w:val="00995D26"/>
    <w:rsid w:val="00995D84"/>
    <w:rsid w:val="0099612F"/>
    <w:rsid w:val="00996180"/>
    <w:rsid w:val="00997D36"/>
    <w:rsid w:val="009A09E6"/>
    <w:rsid w:val="009A0CC1"/>
    <w:rsid w:val="009A0CE6"/>
    <w:rsid w:val="009A176D"/>
    <w:rsid w:val="009A1CA1"/>
    <w:rsid w:val="009A20C2"/>
    <w:rsid w:val="009A24EF"/>
    <w:rsid w:val="009A27B7"/>
    <w:rsid w:val="009A2EC3"/>
    <w:rsid w:val="009A3DBC"/>
    <w:rsid w:val="009A3F6F"/>
    <w:rsid w:val="009A44F9"/>
    <w:rsid w:val="009A517C"/>
    <w:rsid w:val="009A5856"/>
    <w:rsid w:val="009A6F77"/>
    <w:rsid w:val="009A739B"/>
    <w:rsid w:val="009A7779"/>
    <w:rsid w:val="009B019A"/>
    <w:rsid w:val="009B05A9"/>
    <w:rsid w:val="009B0B27"/>
    <w:rsid w:val="009B0EE1"/>
    <w:rsid w:val="009B0FBF"/>
    <w:rsid w:val="009B1242"/>
    <w:rsid w:val="009B2154"/>
    <w:rsid w:val="009B2389"/>
    <w:rsid w:val="009B2813"/>
    <w:rsid w:val="009B2830"/>
    <w:rsid w:val="009B28F5"/>
    <w:rsid w:val="009B2DFC"/>
    <w:rsid w:val="009B3105"/>
    <w:rsid w:val="009B3162"/>
    <w:rsid w:val="009B380B"/>
    <w:rsid w:val="009B3BC7"/>
    <w:rsid w:val="009B44F9"/>
    <w:rsid w:val="009B4598"/>
    <w:rsid w:val="009B4F39"/>
    <w:rsid w:val="009B56E6"/>
    <w:rsid w:val="009B5933"/>
    <w:rsid w:val="009B5B4C"/>
    <w:rsid w:val="009C00FC"/>
    <w:rsid w:val="009C04CB"/>
    <w:rsid w:val="009C092D"/>
    <w:rsid w:val="009C1544"/>
    <w:rsid w:val="009C1ED1"/>
    <w:rsid w:val="009C2E19"/>
    <w:rsid w:val="009C2E60"/>
    <w:rsid w:val="009C2F57"/>
    <w:rsid w:val="009C3066"/>
    <w:rsid w:val="009C3113"/>
    <w:rsid w:val="009C38C3"/>
    <w:rsid w:val="009C3A7B"/>
    <w:rsid w:val="009C4FFB"/>
    <w:rsid w:val="009C5293"/>
    <w:rsid w:val="009C5480"/>
    <w:rsid w:val="009C5B6B"/>
    <w:rsid w:val="009C69D0"/>
    <w:rsid w:val="009C6A33"/>
    <w:rsid w:val="009C6C4D"/>
    <w:rsid w:val="009D0222"/>
    <w:rsid w:val="009D0298"/>
    <w:rsid w:val="009D08C9"/>
    <w:rsid w:val="009D0CA6"/>
    <w:rsid w:val="009D10EA"/>
    <w:rsid w:val="009D20E7"/>
    <w:rsid w:val="009D238D"/>
    <w:rsid w:val="009D2612"/>
    <w:rsid w:val="009D2763"/>
    <w:rsid w:val="009D3253"/>
    <w:rsid w:val="009D35F7"/>
    <w:rsid w:val="009D4239"/>
    <w:rsid w:val="009D43E3"/>
    <w:rsid w:val="009D4C53"/>
    <w:rsid w:val="009D4E22"/>
    <w:rsid w:val="009D4EBA"/>
    <w:rsid w:val="009D5BF5"/>
    <w:rsid w:val="009D5FE3"/>
    <w:rsid w:val="009D60AB"/>
    <w:rsid w:val="009D6586"/>
    <w:rsid w:val="009D6BFA"/>
    <w:rsid w:val="009D6C7C"/>
    <w:rsid w:val="009D6D93"/>
    <w:rsid w:val="009D72FF"/>
    <w:rsid w:val="009D76F2"/>
    <w:rsid w:val="009E157B"/>
    <w:rsid w:val="009E1896"/>
    <w:rsid w:val="009E1BA1"/>
    <w:rsid w:val="009E1C6B"/>
    <w:rsid w:val="009E24AA"/>
    <w:rsid w:val="009E272D"/>
    <w:rsid w:val="009E2B64"/>
    <w:rsid w:val="009E3BBE"/>
    <w:rsid w:val="009E3F98"/>
    <w:rsid w:val="009E4409"/>
    <w:rsid w:val="009E4F72"/>
    <w:rsid w:val="009E5692"/>
    <w:rsid w:val="009E5D02"/>
    <w:rsid w:val="009E5FBC"/>
    <w:rsid w:val="009E61F9"/>
    <w:rsid w:val="009E62E5"/>
    <w:rsid w:val="009E6649"/>
    <w:rsid w:val="009E6A92"/>
    <w:rsid w:val="009E6B4C"/>
    <w:rsid w:val="009E6E8B"/>
    <w:rsid w:val="009E6FD2"/>
    <w:rsid w:val="009E6FEE"/>
    <w:rsid w:val="009E756F"/>
    <w:rsid w:val="009F02FF"/>
    <w:rsid w:val="009F1707"/>
    <w:rsid w:val="009F1749"/>
    <w:rsid w:val="009F1798"/>
    <w:rsid w:val="009F1C01"/>
    <w:rsid w:val="009F1DCA"/>
    <w:rsid w:val="009F1F00"/>
    <w:rsid w:val="009F1FBC"/>
    <w:rsid w:val="009F22FD"/>
    <w:rsid w:val="009F4BB0"/>
    <w:rsid w:val="009F5505"/>
    <w:rsid w:val="009F5980"/>
    <w:rsid w:val="009F6194"/>
    <w:rsid w:val="009F6759"/>
    <w:rsid w:val="009F6790"/>
    <w:rsid w:val="009F68DD"/>
    <w:rsid w:val="009F6CB0"/>
    <w:rsid w:val="009F7284"/>
    <w:rsid w:val="009F778E"/>
    <w:rsid w:val="00A00456"/>
    <w:rsid w:val="00A00663"/>
    <w:rsid w:val="00A00DBD"/>
    <w:rsid w:val="00A01B62"/>
    <w:rsid w:val="00A026E2"/>
    <w:rsid w:val="00A02903"/>
    <w:rsid w:val="00A02E3A"/>
    <w:rsid w:val="00A02EA6"/>
    <w:rsid w:val="00A03670"/>
    <w:rsid w:val="00A038AC"/>
    <w:rsid w:val="00A038B9"/>
    <w:rsid w:val="00A03A53"/>
    <w:rsid w:val="00A03A94"/>
    <w:rsid w:val="00A040EF"/>
    <w:rsid w:val="00A041FF"/>
    <w:rsid w:val="00A04BE1"/>
    <w:rsid w:val="00A05C0C"/>
    <w:rsid w:val="00A0631B"/>
    <w:rsid w:val="00A065CA"/>
    <w:rsid w:val="00A067A0"/>
    <w:rsid w:val="00A06ADB"/>
    <w:rsid w:val="00A06C6C"/>
    <w:rsid w:val="00A0748A"/>
    <w:rsid w:val="00A07AF5"/>
    <w:rsid w:val="00A07CD8"/>
    <w:rsid w:val="00A07F5B"/>
    <w:rsid w:val="00A10491"/>
    <w:rsid w:val="00A10710"/>
    <w:rsid w:val="00A114FD"/>
    <w:rsid w:val="00A12126"/>
    <w:rsid w:val="00A129F9"/>
    <w:rsid w:val="00A12BD0"/>
    <w:rsid w:val="00A12D3C"/>
    <w:rsid w:val="00A1366D"/>
    <w:rsid w:val="00A14E41"/>
    <w:rsid w:val="00A14FF7"/>
    <w:rsid w:val="00A1578D"/>
    <w:rsid w:val="00A158D0"/>
    <w:rsid w:val="00A159D3"/>
    <w:rsid w:val="00A16BB1"/>
    <w:rsid w:val="00A16BF5"/>
    <w:rsid w:val="00A17399"/>
    <w:rsid w:val="00A20CEE"/>
    <w:rsid w:val="00A21DD0"/>
    <w:rsid w:val="00A22B6F"/>
    <w:rsid w:val="00A23187"/>
    <w:rsid w:val="00A23E36"/>
    <w:rsid w:val="00A23FCF"/>
    <w:rsid w:val="00A25F85"/>
    <w:rsid w:val="00A27651"/>
    <w:rsid w:val="00A27B12"/>
    <w:rsid w:val="00A27D8C"/>
    <w:rsid w:val="00A27FCC"/>
    <w:rsid w:val="00A30011"/>
    <w:rsid w:val="00A30616"/>
    <w:rsid w:val="00A307FA"/>
    <w:rsid w:val="00A309B4"/>
    <w:rsid w:val="00A30E63"/>
    <w:rsid w:val="00A3122C"/>
    <w:rsid w:val="00A31B44"/>
    <w:rsid w:val="00A31DA2"/>
    <w:rsid w:val="00A3204F"/>
    <w:rsid w:val="00A3213F"/>
    <w:rsid w:val="00A32926"/>
    <w:rsid w:val="00A32BDF"/>
    <w:rsid w:val="00A32F5D"/>
    <w:rsid w:val="00A33100"/>
    <w:rsid w:val="00A33707"/>
    <w:rsid w:val="00A33979"/>
    <w:rsid w:val="00A34428"/>
    <w:rsid w:val="00A3529B"/>
    <w:rsid w:val="00A35C86"/>
    <w:rsid w:val="00A36182"/>
    <w:rsid w:val="00A37156"/>
    <w:rsid w:val="00A376DD"/>
    <w:rsid w:val="00A37914"/>
    <w:rsid w:val="00A41195"/>
    <w:rsid w:val="00A411DB"/>
    <w:rsid w:val="00A41678"/>
    <w:rsid w:val="00A41AD7"/>
    <w:rsid w:val="00A433C9"/>
    <w:rsid w:val="00A43A9B"/>
    <w:rsid w:val="00A43C5F"/>
    <w:rsid w:val="00A43DE0"/>
    <w:rsid w:val="00A44025"/>
    <w:rsid w:val="00A445BC"/>
    <w:rsid w:val="00A449CE"/>
    <w:rsid w:val="00A44CE6"/>
    <w:rsid w:val="00A4518F"/>
    <w:rsid w:val="00A45321"/>
    <w:rsid w:val="00A4624D"/>
    <w:rsid w:val="00A46D7D"/>
    <w:rsid w:val="00A478A5"/>
    <w:rsid w:val="00A50A06"/>
    <w:rsid w:val="00A518A7"/>
    <w:rsid w:val="00A520E0"/>
    <w:rsid w:val="00A52AAC"/>
    <w:rsid w:val="00A5301C"/>
    <w:rsid w:val="00A53DDC"/>
    <w:rsid w:val="00A5423F"/>
    <w:rsid w:val="00A5437E"/>
    <w:rsid w:val="00A544FF"/>
    <w:rsid w:val="00A5451C"/>
    <w:rsid w:val="00A54687"/>
    <w:rsid w:val="00A5497E"/>
    <w:rsid w:val="00A54C9F"/>
    <w:rsid w:val="00A54E0B"/>
    <w:rsid w:val="00A5540A"/>
    <w:rsid w:val="00A5554A"/>
    <w:rsid w:val="00A5563A"/>
    <w:rsid w:val="00A55944"/>
    <w:rsid w:val="00A5632A"/>
    <w:rsid w:val="00A567EA"/>
    <w:rsid w:val="00A569DB"/>
    <w:rsid w:val="00A57011"/>
    <w:rsid w:val="00A5735D"/>
    <w:rsid w:val="00A5762B"/>
    <w:rsid w:val="00A57B0B"/>
    <w:rsid w:val="00A602DC"/>
    <w:rsid w:val="00A60B4A"/>
    <w:rsid w:val="00A60E75"/>
    <w:rsid w:val="00A61DB3"/>
    <w:rsid w:val="00A627F0"/>
    <w:rsid w:val="00A62EE0"/>
    <w:rsid w:val="00A63022"/>
    <w:rsid w:val="00A63518"/>
    <w:rsid w:val="00A63633"/>
    <w:rsid w:val="00A6415C"/>
    <w:rsid w:val="00A64AF0"/>
    <w:rsid w:val="00A64BA5"/>
    <w:rsid w:val="00A6537B"/>
    <w:rsid w:val="00A65925"/>
    <w:rsid w:val="00A65936"/>
    <w:rsid w:val="00A66DBD"/>
    <w:rsid w:val="00A66F9F"/>
    <w:rsid w:val="00A67A95"/>
    <w:rsid w:val="00A67F28"/>
    <w:rsid w:val="00A7031A"/>
    <w:rsid w:val="00A70381"/>
    <w:rsid w:val="00A709E2"/>
    <w:rsid w:val="00A70F87"/>
    <w:rsid w:val="00A711C8"/>
    <w:rsid w:val="00A71289"/>
    <w:rsid w:val="00A71785"/>
    <w:rsid w:val="00A71A89"/>
    <w:rsid w:val="00A71B3F"/>
    <w:rsid w:val="00A7217C"/>
    <w:rsid w:val="00A72809"/>
    <w:rsid w:val="00A7297F"/>
    <w:rsid w:val="00A72EC3"/>
    <w:rsid w:val="00A73398"/>
    <w:rsid w:val="00A74794"/>
    <w:rsid w:val="00A74D5D"/>
    <w:rsid w:val="00A751E8"/>
    <w:rsid w:val="00A754E0"/>
    <w:rsid w:val="00A75A3A"/>
    <w:rsid w:val="00A75EA9"/>
    <w:rsid w:val="00A75F8E"/>
    <w:rsid w:val="00A7657F"/>
    <w:rsid w:val="00A765AC"/>
    <w:rsid w:val="00A76733"/>
    <w:rsid w:val="00A80CAC"/>
    <w:rsid w:val="00A8155A"/>
    <w:rsid w:val="00A82782"/>
    <w:rsid w:val="00A82B13"/>
    <w:rsid w:val="00A82EDF"/>
    <w:rsid w:val="00A83423"/>
    <w:rsid w:val="00A83466"/>
    <w:rsid w:val="00A83625"/>
    <w:rsid w:val="00A83BB6"/>
    <w:rsid w:val="00A85561"/>
    <w:rsid w:val="00A855AF"/>
    <w:rsid w:val="00A85784"/>
    <w:rsid w:val="00A85BCA"/>
    <w:rsid w:val="00A85E48"/>
    <w:rsid w:val="00A8623D"/>
    <w:rsid w:val="00A8648C"/>
    <w:rsid w:val="00A864B3"/>
    <w:rsid w:val="00A86561"/>
    <w:rsid w:val="00A868B3"/>
    <w:rsid w:val="00A86AF1"/>
    <w:rsid w:val="00A86B2F"/>
    <w:rsid w:val="00A86D6B"/>
    <w:rsid w:val="00A8782C"/>
    <w:rsid w:val="00A87897"/>
    <w:rsid w:val="00A87BF6"/>
    <w:rsid w:val="00A87CF0"/>
    <w:rsid w:val="00A90412"/>
    <w:rsid w:val="00A9068A"/>
    <w:rsid w:val="00A90846"/>
    <w:rsid w:val="00A90A48"/>
    <w:rsid w:val="00A91301"/>
    <w:rsid w:val="00A91DEF"/>
    <w:rsid w:val="00A91E09"/>
    <w:rsid w:val="00A92205"/>
    <w:rsid w:val="00A92C17"/>
    <w:rsid w:val="00A92E22"/>
    <w:rsid w:val="00A93B43"/>
    <w:rsid w:val="00A93E63"/>
    <w:rsid w:val="00A93EEE"/>
    <w:rsid w:val="00A9479F"/>
    <w:rsid w:val="00A95145"/>
    <w:rsid w:val="00A953D1"/>
    <w:rsid w:val="00A95AD6"/>
    <w:rsid w:val="00A95CED"/>
    <w:rsid w:val="00A95E43"/>
    <w:rsid w:val="00A97A12"/>
    <w:rsid w:val="00AA03AA"/>
    <w:rsid w:val="00AA07EC"/>
    <w:rsid w:val="00AA1304"/>
    <w:rsid w:val="00AA139D"/>
    <w:rsid w:val="00AA17EA"/>
    <w:rsid w:val="00AA1ACA"/>
    <w:rsid w:val="00AA2672"/>
    <w:rsid w:val="00AA2B98"/>
    <w:rsid w:val="00AA2F01"/>
    <w:rsid w:val="00AA356F"/>
    <w:rsid w:val="00AA3D25"/>
    <w:rsid w:val="00AA4172"/>
    <w:rsid w:val="00AA4181"/>
    <w:rsid w:val="00AA421C"/>
    <w:rsid w:val="00AA462A"/>
    <w:rsid w:val="00AA4DAB"/>
    <w:rsid w:val="00AA53E8"/>
    <w:rsid w:val="00AA5A7C"/>
    <w:rsid w:val="00AA5B90"/>
    <w:rsid w:val="00AA6395"/>
    <w:rsid w:val="00AA677A"/>
    <w:rsid w:val="00AA6DF1"/>
    <w:rsid w:val="00AA71E3"/>
    <w:rsid w:val="00AA7AD9"/>
    <w:rsid w:val="00AB0A0C"/>
    <w:rsid w:val="00AB0A10"/>
    <w:rsid w:val="00AB1149"/>
    <w:rsid w:val="00AB20B2"/>
    <w:rsid w:val="00AB2E65"/>
    <w:rsid w:val="00AB365F"/>
    <w:rsid w:val="00AB3E47"/>
    <w:rsid w:val="00AB512E"/>
    <w:rsid w:val="00AB57C3"/>
    <w:rsid w:val="00AB60A2"/>
    <w:rsid w:val="00AB61D9"/>
    <w:rsid w:val="00AB684D"/>
    <w:rsid w:val="00AB6A65"/>
    <w:rsid w:val="00AB73C2"/>
    <w:rsid w:val="00AB773A"/>
    <w:rsid w:val="00AB7777"/>
    <w:rsid w:val="00AB790B"/>
    <w:rsid w:val="00AB7A99"/>
    <w:rsid w:val="00AB7C89"/>
    <w:rsid w:val="00AC0357"/>
    <w:rsid w:val="00AC0B4F"/>
    <w:rsid w:val="00AC1846"/>
    <w:rsid w:val="00AC1FA4"/>
    <w:rsid w:val="00AC1FC8"/>
    <w:rsid w:val="00AC21BB"/>
    <w:rsid w:val="00AC264C"/>
    <w:rsid w:val="00AC2BBB"/>
    <w:rsid w:val="00AC3104"/>
    <w:rsid w:val="00AC3446"/>
    <w:rsid w:val="00AC38F9"/>
    <w:rsid w:val="00AC3F5E"/>
    <w:rsid w:val="00AC3F94"/>
    <w:rsid w:val="00AC44D2"/>
    <w:rsid w:val="00AC45ED"/>
    <w:rsid w:val="00AC4977"/>
    <w:rsid w:val="00AC4A39"/>
    <w:rsid w:val="00AC4B44"/>
    <w:rsid w:val="00AC4BB9"/>
    <w:rsid w:val="00AC536C"/>
    <w:rsid w:val="00AC575D"/>
    <w:rsid w:val="00AC59E2"/>
    <w:rsid w:val="00AC5B90"/>
    <w:rsid w:val="00AC63E9"/>
    <w:rsid w:val="00AC64CD"/>
    <w:rsid w:val="00AC66AC"/>
    <w:rsid w:val="00AC67D2"/>
    <w:rsid w:val="00AC68EB"/>
    <w:rsid w:val="00AC6B36"/>
    <w:rsid w:val="00AC6FC0"/>
    <w:rsid w:val="00AD03B1"/>
    <w:rsid w:val="00AD0498"/>
    <w:rsid w:val="00AD0833"/>
    <w:rsid w:val="00AD12F6"/>
    <w:rsid w:val="00AD202B"/>
    <w:rsid w:val="00AD24BD"/>
    <w:rsid w:val="00AD24C9"/>
    <w:rsid w:val="00AD2D76"/>
    <w:rsid w:val="00AD3320"/>
    <w:rsid w:val="00AD3393"/>
    <w:rsid w:val="00AD43CF"/>
    <w:rsid w:val="00AD485B"/>
    <w:rsid w:val="00AD4A6E"/>
    <w:rsid w:val="00AD4E10"/>
    <w:rsid w:val="00AD5700"/>
    <w:rsid w:val="00AD5881"/>
    <w:rsid w:val="00AD5D07"/>
    <w:rsid w:val="00AD6298"/>
    <w:rsid w:val="00AD66FD"/>
    <w:rsid w:val="00AD67EF"/>
    <w:rsid w:val="00AD6C32"/>
    <w:rsid w:val="00AD6C46"/>
    <w:rsid w:val="00AD6FBC"/>
    <w:rsid w:val="00AD6FEC"/>
    <w:rsid w:val="00AD7473"/>
    <w:rsid w:val="00AD7939"/>
    <w:rsid w:val="00AD7FCE"/>
    <w:rsid w:val="00AE03C2"/>
    <w:rsid w:val="00AE0912"/>
    <w:rsid w:val="00AE146A"/>
    <w:rsid w:val="00AE146B"/>
    <w:rsid w:val="00AE2236"/>
    <w:rsid w:val="00AE2923"/>
    <w:rsid w:val="00AE2A58"/>
    <w:rsid w:val="00AE2C46"/>
    <w:rsid w:val="00AE31A8"/>
    <w:rsid w:val="00AE34A1"/>
    <w:rsid w:val="00AE3872"/>
    <w:rsid w:val="00AE39BB"/>
    <w:rsid w:val="00AE3B38"/>
    <w:rsid w:val="00AE3BA5"/>
    <w:rsid w:val="00AE5CBE"/>
    <w:rsid w:val="00AE60C6"/>
    <w:rsid w:val="00AE6519"/>
    <w:rsid w:val="00AE693D"/>
    <w:rsid w:val="00AE6E07"/>
    <w:rsid w:val="00AE739C"/>
    <w:rsid w:val="00AF14EC"/>
    <w:rsid w:val="00AF1596"/>
    <w:rsid w:val="00AF1B94"/>
    <w:rsid w:val="00AF2000"/>
    <w:rsid w:val="00AF20CB"/>
    <w:rsid w:val="00AF29C9"/>
    <w:rsid w:val="00AF2D23"/>
    <w:rsid w:val="00AF4D59"/>
    <w:rsid w:val="00AF50E9"/>
    <w:rsid w:val="00AF515C"/>
    <w:rsid w:val="00AF633A"/>
    <w:rsid w:val="00AF6AEB"/>
    <w:rsid w:val="00B00BE3"/>
    <w:rsid w:val="00B00D0A"/>
    <w:rsid w:val="00B01293"/>
    <w:rsid w:val="00B0176A"/>
    <w:rsid w:val="00B01D78"/>
    <w:rsid w:val="00B01FD4"/>
    <w:rsid w:val="00B02639"/>
    <w:rsid w:val="00B027A4"/>
    <w:rsid w:val="00B03105"/>
    <w:rsid w:val="00B03157"/>
    <w:rsid w:val="00B03271"/>
    <w:rsid w:val="00B035DF"/>
    <w:rsid w:val="00B03C81"/>
    <w:rsid w:val="00B046FB"/>
    <w:rsid w:val="00B04C68"/>
    <w:rsid w:val="00B059CD"/>
    <w:rsid w:val="00B05CDD"/>
    <w:rsid w:val="00B06349"/>
    <w:rsid w:val="00B06BC0"/>
    <w:rsid w:val="00B06BD5"/>
    <w:rsid w:val="00B06E4E"/>
    <w:rsid w:val="00B06F13"/>
    <w:rsid w:val="00B0743D"/>
    <w:rsid w:val="00B07641"/>
    <w:rsid w:val="00B07EA8"/>
    <w:rsid w:val="00B106C3"/>
    <w:rsid w:val="00B10988"/>
    <w:rsid w:val="00B11490"/>
    <w:rsid w:val="00B119DE"/>
    <w:rsid w:val="00B11B77"/>
    <w:rsid w:val="00B11F29"/>
    <w:rsid w:val="00B12939"/>
    <w:rsid w:val="00B12A91"/>
    <w:rsid w:val="00B12CCC"/>
    <w:rsid w:val="00B13C31"/>
    <w:rsid w:val="00B14C9D"/>
    <w:rsid w:val="00B15195"/>
    <w:rsid w:val="00B15A4C"/>
    <w:rsid w:val="00B15ACE"/>
    <w:rsid w:val="00B16438"/>
    <w:rsid w:val="00B16792"/>
    <w:rsid w:val="00B1696E"/>
    <w:rsid w:val="00B16B71"/>
    <w:rsid w:val="00B178E7"/>
    <w:rsid w:val="00B17955"/>
    <w:rsid w:val="00B17C1D"/>
    <w:rsid w:val="00B17C82"/>
    <w:rsid w:val="00B17ECF"/>
    <w:rsid w:val="00B200FF"/>
    <w:rsid w:val="00B20ACB"/>
    <w:rsid w:val="00B21B1D"/>
    <w:rsid w:val="00B223D8"/>
    <w:rsid w:val="00B226B4"/>
    <w:rsid w:val="00B22CC0"/>
    <w:rsid w:val="00B22EA8"/>
    <w:rsid w:val="00B22FA4"/>
    <w:rsid w:val="00B2359C"/>
    <w:rsid w:val="00B23668"/>
    <w:rsid w:val="00B238D7"/>
    <w:rsid w:val="00B23AA3"/>
    <w:rsid w:val="00B2402A"/>
    <w:rsid w:val="00B2440A"/>
    <w:rsid w:val="00B2544A"/>
    <w:rsid w:val="00B25757"/>
    <w:rsid w:val="00B25AE2"/>
    <w:rsid w:val="00B25F0C"/>
    <w:rsid w:val="00B2627A"/>
    <w:rsid w:val="00B26836"/>
    <w:rsid w:val="00B26D85"/>
    <w:rsid w:val="00B26DB2"/>
    <w:rsid w:val="00B27756"/>
    <w:rsid w:val="00B319B4"/>
    <w:rsid w:val="00B31A3B"/>
    <w:rsid w:val="00B3289A"/>
    <w:rsid w:val="00B329EC"/>
    <w:rsid w:val="00B33514"/>
    <w:rsid w:val="00B346C6"/>
    <w:rsid w:val="00B347A5"/>
    <w:rsid w:val="00B34E9F"/>
    <w:rsid w:val="00B3502A"/>
    <w:rsid w:val="00B3524E"/>
    <w:rsid w:val="00B357A5"/>
    <w:rsid w:val="00B35AF4"/>
    <w:rsid w:val="00B35B72"/>
    <w:rsid w:val="00B36769"/>
    <w:rsid w:val="00B37860"/>
    <w:rsid w:val="00B3791A"/>
    <w:rsid w:val="00B40398"/>
    <w:rsid w:val="00B40E69"/>
    <w:rsid w:val="00B40FAA"/>
    <w:rsid w:val="00B411E1"/>
    <w:rsid w:val="00B416D8"/>
    <w:rsid w:val="00B42F66"/>
    <w:rsid w:val="00B43B62"/>
    <w:rsid w:val="00B443A0"/>
    <w:rsid w:val="00B444FB"/>
    <w:rsid w:val="00B44A72"/>
    <w:rsid w:val="00B44F69"/>
    <w:rsid w:val="00B4590E"/>
    <w:rsid w:val="00B45B57"/>
    <w:rsid w:val="00B45BE3"/>
    <w:rsid w:val="00B45F1C"/>
    <w:rsid w:val="00B46B39"/>
    <w:rsid w:val="00B4790B"/>
    <w:rsid w:val="00B4798C"/>
    <w:rsid w:val="00B47D33"/>
    <w:rsid w:val="00B47EB5"/>
    <w:rsid w:val="00B5058D"/>
    <w:rsid w:val="00B506CC"/>
    <w:rsid w:val="00B50A09"/>
    <w:rsid w:val="00B50F46"/>
    <w:rsid w:val="00B50FF1"/>
    <w:rsid w:val="00B51E34"/>
    <w:rsid w:val="00B52691"/>
    <w:rsid w:val="00B531CB"/>
    <w:rsid w:val="00B53459"/>
    <w:rsid w:val="00B53B6B"/>
    <w:rsid w:val="00B5430D"/>
    <w:rsid w:val="00B55B39"/>
    <w:rsid w:val="00B569D5"/>
    <w:rsid w:val="00B60E66"/>
    <w:rsid w:val="00B61862"/>
    <w:rsid w:val="00B61B62"/>
    <w:rsid w:val="00B61CF7"/>
    <w:rsid w:val="00B620EF"/>
    <w:rsid w:val="00B62130"/>
    <w:rsid w:val="00B625E5"/>
    <w:rsid w:val="00B62F83"/>
    <w:rsid w:val="00B63375"/>
    <w:rsid w:val="00B6392B"/>
    <w:rsid w:val="00B63991"/>
    <w:rsid w:val="00B63D49"/>
    <w:rsid w:val="00B64467"/>
    <w:rsid w:val="00B64E80"/>
    <w:rsid w:val="00B659E2"/>
    <w:rsid w:val="00B66248"/>
    <w:rsid w:val="00B66301"/>
    <w:rsid w:val="00B663B3"/>
    <w:rsid w:val="00B6659F"/>
    <w:rsid w:val="00B665B1"/>
    <w:rsid w:val="00B665C0"/>
    <w:rsid w:val="00B6756F"/>
    <w:rsid w:val="00B67E84"/>
    <w:rsid w:val="00B70781"/>
    <w:rsid w:val="00B72025"/>
    <w:rsid w:val="00B7207E"/>
    <w:rsid w:val="00B7210F"/>
    <w:rsid w:val="00B72A28"/>
    <w:rsid w:val="00B72BD4"/>
    <w:rsid w:val="00B72CAA"/>
    <w:rsid w:val="00B72E01"/>
    <w:rsid w:val="00B73327"/>
    <w:rsid w:val="00B7388C"/>
    <w:rsid w:val="00B73F2B"/>
    <w:rsid w:val="00B74072"/>
    <w:rsid w:val="00B74B56"/>
    <w:rsid w:val="00B74BCF"/>
    <w:rsid w:val="00B755AC"/>
    <w:rsid w:val="00B758D9"/>
    <w:rsid w:val="00B759B0"/>
    <w:rsid w:val="00B7647D"/>
    <w:rsid w:val="00B76669"/>
    <w:rsid w:val="00B766B2"/>
    <w:rsid w:val="00B774D2"/>
    <w:rsid w:val="00B77A62"/>
    <w:rsid w:val="00B80104"/>
    <w:rsid w:val="00B80656"/>
    <w:rsid w:val="00B80688"/>
    <w:rsid w:val="00B80C53"/>
    <w:rsid w:val="00B80FF8"/>
    <w:rsid w:val="00B81851"/>
    <w:rsid w:val="00B81DFD"/>
    <w:rsid w:val="00B820E1"/>
    <w:rsid w:val="00B82132"/>
    <w:rsid w:val="00B82412"/>
    <w:rsid w:val="00B82905"/>
    <w:rsid w:val="00B82995"/>
    <w:rsid w:val="00B833E6"/>
    <w:rsid w:val="00B8392C"/>
    <w:rsid w:val="00B8399D"/>
    <w:rsid w:val="00B83A53"/>
    <w:rsid w:val="00B83F05"/>
    <w:rsid w:val="00B84321"/>
    <w:rsid w:val="00B847B6"/>
    <w:rsid w:val="00B84C76"/>
    <w:rsid w:val="00B8550C"/>
    <w:rsid w:val="00B85E11"/>
    <w:rsid w:val="00B85E96"/>
    <w:rsid w:val="00B86059"/>
    <w:rsid w:val="00B86445"/>
    <w:rsid w:val="00B86885"/>
    <w:rsid w:val="00B86E8A"/>
    <w:rsid w:val="00B86F17"/>
    <w:rsid w:val="00B86F5B"/>
    <w:rsid w:val="00B908BD"/>
    <w:rsid w:val="00B90E42"/>
    <w:rsid w:val="00B91455"/>
    <w:rsid w:val="00B9150D"/>
    <w:rsid w:val="00B91921"/>
    <w:rsid w:val="00B9193F"/>
    <w:rsid w:val="00B9204E"/>
    <w:rsid w:val="00B926E8"/>
    <w:rsid w:val="00B92783"/>
    <w:rsid w:val="00B92A30"/>
    <w:rsid w:val="00B93114"/>
    <w:rsid w:val="00B93542"/>
    <w:rsid w:val="00B937A0"/>
    <w:rsid w:val="00B93C5F"/>
    <w:rsid w:val="00B9449E"/>
    <w:rsid w:val="00B9561F"/>
    <w:rsid w:val="00B95736"/>
    <w:rsid w:val="00B96C45"/>
    <w:rsid w:val="00B977D9"/>
    <w:rsid w:val="00BA00FA"/>
    <w:rsid w:val="00BA061F"/>
    <w:rsid w:val="00BA111E"/>
    <w:rsid w:val="00BA1B18"/>
    <w:rsid w:val="00BA37D4"/>
    <w:rsid w:val="00BA3943"/>
    <w:rsid w:val="00BA3DF0"/>
    <w:rsid w:val="00BA3F70"/>
    <w:rsid w:val="00BA466A"/>
    <w:rsid w:val="00BA4810"/>
    <w:rsid w:val="00BA4C05"/>
    <w:rsid w:val="00BA5399"/>
    <w:rsid w:val="00BA53E2"/>
    <w:rsid w:val="00BA591C"/>
    <w:rsid w:val="00BA627D"/>
    <w:rsid w:val="00BA697B"/>
    <w:rsid w:val="00BA7143"/>
    <w:rsid w:val="00BA76C0"/>
    <w:rsid w:val="00BA7865"/>
    <w:rsid w:val="00BA7945"/>
    <w:rsid w:val="00BA7D58"/>
    <w:rsid w:val="00BB03C8"/>
    <w:rsid w:val="00BB0611"/>
    <w:rsid w:val="00BB1DDB"/>
    <w:rsid w:val="00BB20A8"/>
    <w:rsid w:val="00BB2D5A"/>
    <w:rsid w:val="00BB3712"/>
    <w:rsid w:val="00BB3A9C"/>
    <w:rsid w:val="00BB3C89"/>
    <w:rsid w:val="00BB43D7"/>
    <w:rsid w:val="00BB4CA8"/>
    <w:rsid w:val="00BB5568"/>
    <w:rsid w:val="00BB5FDE"/>
    <w:rsid w:val="00BB6917"/>
    <w:rsid w:val="00BB6E3D"/>
    <w:rsid w:val="00BB6EAE"/>
    <w:rsid w:val="00BB75A1"/>
    <w:rsid w:val="00BB7A7D"/>
    <w:rsid w:val="00BB7B8F"/>
    <w:rsid w:val="00BC01DB"/>
    <w:rsid w:val="00BC02B6"/>
    <w:rsid w:val="00BC11D8"/>
    <w:rsid w:val="00BC1438"/>
    <w:rsid w:val="00BC1989"/>
    <w:rsid w:val="00BC2A35"/>
    <w:rsid w:val="00BC3809"/>
    <w:rsid w:val="00BC4AC2"/>
    <w:rsid w:val="00BC4C6A"/>
    <w:rsid w:val="00BC5386"/>
    <w:rsid w:val="00BC6181"/>
    <w:rsid w:val="00BC624C"/>
    <w:rsid w:val="00BC691D"/>
    <w:rsid w:val="00BC6FE6"/>
    <w:rsid w:val="00BC755B"/>
    <w:rsid w:val="00BC7A0B"/>
    <w:rsid w:val="00BD01B0"/>
    <w:rsid w:val="00BD0684"/>
    <w:rsid w:val="00BD0850"/>
    <w:rsid w:val="00BD13D0"/>
    <w:rsid w:val="00BD2A85"/>
    <w:rsid w:val="00BD340C"/>
    <w:rsid w:val="00BD436F"/>
    <w:rsid w:val="00BD4D6B"/>
    <w:rsid w:val="00BD5D0B"/>
    <w:rsid w:val="00BD6493"/>
    <w:rsid w:val="00BD666F"/>
    <w:rsid w:val="00BD6D1F"/>
    <w:rsid w:val="00BD6D68"/>
    <w:rsid w:val="00BD6DA0"/>
    <w:rsid w:val="00BD77AF"/>
    <w:rsid w:val="00BD7B34"/>
    <w:rsid w:val="00BD7E1C"/>
    <w:rsid w:val="00BE09DB"/>
    <w:rsid w:val="00BE1CB3"/>
    <w:rsid w:val="00BE20E4"/>
    <w:rsid w:val="00BE24E1"/>
    <w:rsid w:val="00BE31D4"/>
    <w:rsid w:val="00BE3576"/>
    <w:rsid w:val="00BE3906"/>
    <w:rsid w:val="00BE5202"/>
    <w:rsid w:val="00BE5E29"/>
    <w:rsid w:val="00BE6816"/>
    <w:rsid w:val="00BE6860"/>
    <w:rsid w:val="00BE6F01"/>
    <w:rsid w:val="00BE70D3"/>
    <w:rsid w:val="00BE717F"/>
    <w:rsid w:val="00BE7538"/>
    <w:rsid w:val="00BE7919"/>
    <w:rsid w:val="00BF0286"/>
    <w:rsid w:val="00BF03C5"/>
    <w:rsid w:val="00BF1DBD"/>
    <w:rsid w:val="00BF208E"/>
    <w:rsid w:val="00BF21F7"/>
    <w:rsid w:val="00BF2259"/>
    <w:rsid w:val="00BF29B4"/>
    <w:rsid w:val="00BF2D41"/>
    <w:rsid w:val="00BF2F5E"/>
    <w:rsid w:val="00BF3385"/>
    <w:rsid w:val="00BF3A58"/>
    <w:rsid w:val="00BF3D9A"/>
    <w:rsid w:val="00BF3F49"/>
    <w:rsid w:val="00BF42A8"/>
    <w:rsid w:val="00BF4BFE"/>
    <w:rsid w:val="00BF4DB3"/>
    <w:rsid w:val="00BF4E6E"/>
    <w:rsid w:val="00BF630F"/>
    <w:rsid w:val="00BF647F"/>
    <w:rsid w:val="00BF64F7"/>
    <w:rsid w:val="00BF650F"/>
    <w:rsid w:val="00BF6817"/>
    <w:rsid w:val="00BF7398"/>
    <w:rsid w:val="00BF763C"/>
    <w:rsid w:val="00BF778E"/>
    <w:rsid w:val="00BF7C1D"/>
    <w:rsid w:val="00BF7DBC"/>
    <w:rsid w:val="00C00439"/>
    <w:rsid w:val="00C017F4"/>
    <w:rsid w:val="00C01914"/>
    <w:rsid w:val="00C0196E"/>
    <w:rsid w:val="00C033BF"/>
    <w:rsid w:val="00C035BA"/>
    <w:rsid w:val="00C04DA9"/>
    <w:rsid w:val="00C059F0"/>
    <w:rsid w:val="00C05ECC"/>
    <w:rsid w:val="00C07CCE"/>
    <w:rsid w:val="00C103B6"/>
    <w:rsid w:val="00C10938"/>
    <w:rsid w:val="00C10FFB"/>
    <w:rsid w:val="00C11056"/>
    <w:rsid w:val="00C114FD"/>
    <w:rsid w:val="00C11885"/>
    <w:rsid w:val="00C1221B"/>
    <w:rsid w:val="00C12318"/>
    <w:rsid w:val="00C124FC"/>
    <w:rsid w:val="00C12C93"/>
    <w:rsid w:val="00C12DCF"/>
    <w:rsid w:val="00C12F5B"/>
    <w:rsid w:val="00C130BB"/>
    <w:rsid w:val="00C13B13"/>
    <w:rsid w:val="00C14CAE"/>
    <w:rsid w:val="00C15F67"/>
    <w:rsid w:val="00C16863"/>
    <w:rsid w:val="00C16AEA"/>
    <w:rsid w:val="00C16DB1"/>
    <w:rsid w:val="00C16E9F"/>
    <w:rsid w:val="00C17437"/>
    <w:rsid w:val="00C17D5E"/>
    <w:rsid w:val="00C20092"/>
    <w:rsid w:val="00C202F1"/>
    <w:rsid w:val="00C20A76"/>
    <w:rsid w:val="00C2116B"/>
    <w:rsid w:val="00C21322"/>
    <w:rsid w:val="00C21403"/>
    <w:rsid w:val="00C21F5C"/>
    <w:rsid w:val="00C226BF"/>
    <w:rsid w:val="00C226C5"/>
    <w:rsid w:val="00C22B6C"/>
    <w:rsid w:val="00C22DCD"/>
    <w:rsid w:val="00C238E2"/>
    <w:rsid w:val="00C23D67"/>
    <w:rsid w:val="00C23E42"/>
    <w:rsid w:val="00C24194"/>
    <w:rsid w:val="00C24564"/>
    <w:rsid w:val="00C24CC5"/>
    <w:rsid w:val="00C267B7"/>
    <w:rsid w:val="00C26A0D"/>
    <w:rsid w:val="00C27874"/>
    <w:rsid w:val="00C30403"/>
    <w:rsid w:val="00C30532"/>
    <w:rsid w:val="00C30B2A"/>
    <w:rsid w:val="00C30D89"/>
    <w:rsid w:val="00C30FB5"/>
    <w:rsid w:val="00C30FCA"/>
    <w:rsid w:val="00C3160A"/>
    <w:rsid w:val="00C31B18"/>
    <w:rsid w:val="00C32692"/>
    <w:rsid w:val="00C32C09"/>
    <w:rsid w:val="00C33A29"/>
    <w:rsid w:val="00C33B1F"/>
    <w:rsid w:val="00C34235"/>
    <w:rsid w:val="00C34B22"/>
    <w:rsid w:val="00C34ECD"/>
    <w:rsid w:val="00C3503B"/>
    <w:rsid w:val="00C35897"/>
    <w:rsid w:val="00C35FD8"/>
    <w:rsid w:val="00C3602B"/>
    <w:rsid w:val="00C368AC"/>
    <w:rsid w:val="00C36A0D"/>
    <w:rsid w:val="00C36AD5"/>
    <w:rsid w:val="00C3716F"/>
    <w:rsid w:val="00C3731F"/>
    <w:rsid w:val="00C37726"/>
    <w:rsid w:val="00C37864"/>
    <w:rsid w:val="00C37929"/>
    <w:rsid w:val="00C402D6"/>
    <w:rsid w:val="00C413FB"/>
    <w:rsid w:val="00C415D4"/>
    <w:rsid w:val="00C41776"/>
    <w:rsid w:val="00C42CC7"/>
    <w:rsid w:val="00C42D7F"/>
    <w:rsid w:val="00C43AED"/>
    <w:rsid w:val="00C445CF"/>
    <w:rsid w:val="00C450B6"/>
    <w:rsid w:val="00C45244"/>
    <w:rsid w:val="00C45AF9"/>
    <w:rsid w:val="00C45C49"/>
    <w:rsid w:val="00C45D16"/>
    <w:rsid w:val="00C45EFD"/>
    <w:rsid w:val="00C45F01"/>
    <w:rsid w:val="00C46DBF"/>
    <w:rsid w:val="00C4747C"/>
    <w:rsid w:val="00C47F22"/>
    <w:rsid w:val="00C500F5"/>
    <w:rsid w:val="00C50759"/>
    <w:rsid w:val="00C50889"/>
    <w:rsid w:val="00C50AA4"/>
    <w:rsid w:val="00C518EE"/>
    <w:rsid w:val="00C51936"/>
    <w:rsid w:val="00C52AB4"/>
    <w:rsid w:val="00C52F42"/>
    <w:rsid w:val="00C52FC8"/>
    <w:rsid w:val="00C53DB6"/>
    <w:rsid w:val="00C53EAB"/>
    <w:rsid w:val="00C53F3E"/>
    <w:rsid w:val="00C543C1"/>
    <w:rsid w:val="00C55F4A"/>
    <w:rsid w:val="00C562F2"/>
    <w:rsid w:val="00C56653"/>
    <w:rsid w:val="00C57088"/>
    <w:rsid w:val="00C57677"/>
    <w:rsid w:val="00C57D66"/>
    <w:rsid w:val="00C57E07"/>
    <w:rsid w:val="00C57EC6"/>
    <w:rsid w:val="00C602E7"/>
    <w:rsid w:val="00C60AB0"/>
    <w:rsid w:val="00C61A5E"/>
    <w:rsid w:val="00C6202D"/>
    <w:rsid w:val="00C622A8"/>
    <w:rsid w:val="00C6249F"/>
    <w:rsid w:val="00C634E1"/>
    <w:rsid w:val="00C636AE"/>
    <w:rsid w:val="00C63B5C"/>
    <w:rsid w:val="00C63FAB"/>
    <w:rsid w:val="00C6448E"/>
    <w:rsid w:val="00C6461F"/>
    <w:rsid w:val="00C64695"/>
    <w:rsid w:val="00C651EC"/>
    <w:rsid w:val="00C65F2F"/>
    <w:rsid w:val="00C669C5"/>
    <w:rsid w:val="00C66D38"/>
    <w:rsid w:val="00C67856"/>
    <w:rsid w:val="00C67988"/>
    <w:rsid w:val="00C67EA2"/>
    <w:rsid w:val="00C70163"/>
    <w:rsid w:val="00C70AC9"/>
    <w:rsid w:val="00C713CF"/>
    <w:rsid w:val="00C7212B"/>
    <w:rsid w:val="00C72531"/>
    <w:rsid w:val="00C726B9"/>
    <w:rsid w:val="00C73AD2"/>
    <w:rsid w:val="00C73E84"/>
    <w:rsid w:val="00C73FFB"/>
    <w:rsid w:val="00C74E0E"/>
    <w:rsid w:val="00C755D8"/>
    <w:rsid w:val="00C75690"/>
    <w:rsid w:val="00C756C1"/>
    <w:rsid w:val="00C75CC1"/>
    <w:rsid w:val="00C75DCA"/>
    <w:rsid w:val="00C76467"/>
    <w:rsid w:val="00C76A43"/>
    <w:rsid w:val="00C76AF6"/>
    <w:rsid w:val="00C76BB4"/>
    <w:rsid w:val="00C76F61"/>
    <w:rsid w:val="00C8028A"/>
    <w:rsid w:val="00C80623"/>
    <w:rsid w:val="00C806A2"/>
    <w:rsid w:val="00C80BE1"/>
    <w:rsid w:val="00C80C76"/>
    <w:rsid w:val="00C80F45"/>
    <w:rsid w:val="00C80FF5"/>
    <w:rsid w:val="00C81CC9"/>
    <w:rsid w:val="00C8209C"/>
    <w:rsid w:val="00C8267B"/>
    <w:rsid w:val="00C83CDC"/>
    <w:rsid w:val="00C84191"/>
    <w:rsid w:val="00C84601"/>
    <w:rsid w:val="00C849ED"/>
    <w:rsid w:val="00C8508E"/>
    <w:rsid w:val="00C8517A"/>
    <w:rsid w:val="00C852F1"/>
    <w:rsid w:val="00C85772"/>
    <w:rsid w:val="00C85B5E"/>
    <w:rsid w:val="00C86996"/>
    <w:rsid w:val="00C86EA1"/>
    <w:rsid w:val="00C87F90"/>
    <w:rsid w:val="00C907B5"/>
    <w:rsid w:val="00C91B09"/>
    <w:rsid w:val="00C93197"/>
    <w:rsid w:val="00C94897"/>
    <w:rsid w:val="00C95A9E"/>
    <w:rsid w:val="00C95BB9"/>
    <w:rsid w:val="00C96515"/>
    <w:rsid w:val="00C966A2"/>
    <w:rsid w:val="00C967DD"/>
    <w:rsid w:val="00C96A71"/>
    <w:rsid w:val="00C96AAA"/>
    <w:rsid w:val="00C97534"/>
    <w:rsid w:val="00CA03E0"/>
    <w:rsid w:val="00CA0A59"/>
    <w:rsid w:val="00CA11CE"/>
    <w:rsid w:val="00CA14FB"/>
    <w:rsid w:val="00CA18C3"/>
    <w:rsid w:val="00CA19B6"/>
    <w:rsid w:val="00CA1D7C"/>
    <w:rsid w:val="00CA1E36"/>
    <w:rsid w:val="00CA1FB9"/>
    <w:rsid w:val="00CA2B48"/>
    <w:rsid w:val="00CA307B"/>
    <w:rsid w:val="00CA5216"/>
    <w:rsid w:val="00CA528A"/>
    <w:rsid w:val="00CA5489"/>
    <w:rsid w:val="00CA7418"/>
    <w:rsid w:val="00CA7499"/>
    <w:rsid w:val="00CA751A"/>
    <w:rsid w:val="00CA7554"/>
    <w:rsid w:val="00CA77A8"/>
    <w:rsid w:val="00CB00E3"/>
    <w:rsid w:val="00CB0806"/>
    <w:rsid w:val="00CB0E66"/>
    <w:rsid w:val="00CB0F13"/>
    <w:rsid w:val="00CB14D9"/>
    <w:rsid w:val="00CB1812"/>
    <w:rsid w:val="00CB19F2"/>
    <w:rsid w:val="00CB2054"/>
    <w:rsid w:val="00CB23F6"/>
    <w:rsid w:val="00CB270D"/>
    <w:rsid w:val="00CB2D47"/>
    <w:rsid w:val="00CB31C0"/>
    <w:rsid w:val="00CB3471"/>
    <w:rsid w:val="00CB369F"/>
    <w:rsid w:val="00CB3C29"/>
    <w:rsid w:val="00CB4032"/>
    <w:rsid w:val="00CB41C1"/>
    <w:rsid w:val="00CB4797"/>
    <w:rsid w:val="00CB48B3"/>
    <w:rsid w:val="00CB4BE6"/>
    <w:rsid w:val="00CB5817"/>
    <w:rsid w:val="00CB58FD"/>
    <w:rsid w:val="00CB5C1C"/>
    <w:rsid w:val="00CB5C5C"/>
    <w:rsid w:val="00CB6118"/>
    <w:rsid w:val="00CB679B"/>
    <w:rsid w:val="00CB67E3"/>
    <w:rsid w:val="00CB6B2A"/>
    <w:rsid w:val="00CB6DD8"/>
    <w:rsid w:val="00CB6F6A"/>
    <w:rsid w:val="00CC029D"/>
    <w:rsid w:val="00CC1021"/>
    <w:rsid w:val="00CC1BF5"/>
    <w:rsid w:val="00CC1F40"/>
    <w:rsid w:val="00CC21E9"/>
    <w:rsid w:val="00CC2256"/>
    <w:rsid w:val="00CC2563"/>
    <w:rsid w:val="00CC29E3"/>
    <w:rsid w:val="00CC2B9C"/>
    <w:rsid w:val="00CC30C9"/>
    <w:rsid w:val="00CC31CA"/>
    <w:rsid w:val="00CC34E6"/>
    <w:rsid w:val="00CC3AC9"/>
    <w:rsid w:val="00CC4E94"/>
    <w:rsid w:val="00CC5250"/>
    <w:rsid w:val="00CC5939"/>
    <w:rsid w:val="00CC62D7"/>
    <w:rsid w:val="00CC6468"/>
    <w:rsid w:val="00CC69B5"/>
    <w:rsid w:val="00CC6DD3"/>
    <w:rsid w:val="00CC74F5"/>
    <w:rsid w:val="00CC75D9"/>
    <w:rsid w:val="00CC7CE7"/>
    <w:rsid w:val="00CC7E88"/>
    <w:rsid w:val="00CD08ED"/>
    <w:rsid w:val="00CD15B0"/>
    <w:rsid w:val="00CD169B"/>
    <w:rsid w:val="00CD1A63"/>
    <w:rsid w:val="00CD1BC8"/>
    <w:rsid w:val="00CD1E9C"/>
    <w:rsid w:val="00CD1F16"/>
    <w:rsid w:val="00CD2325"/>
    <w:rsid w:val="00CD25FF"/>
    <w:rsid w:val="00CD2D2C"/>
    <w:rsid w:val="00CD2FB3"/>
    <w:rsid w:val="00CD3271"/>
    <w:rsid w:val="00CD3336"/>
    <w:rsid w:val="00CD3F5C"/>
    <w:rsid w:val="00CD4083"/>
    <w:rsid w:val="00CD43C2"/>
    <w:rsid w:val="00CD460A"/>
    <w:rsid w:val="00CD5649"/>
    <w:rsid w:val="00CD5768"/>
    <w:rsid w:val="00CD58AF"/>
    <w:rsid w:val="00CD5A05"/>
    <w:rsid w:val="00CD6DF9"/>
    <w:rsid w:val="00CD76B8"/>
    <w:rsid w:val="00CD7906"/>
    <w:rsid w:val="00CD7A3D"/>
    <w:rsid w:val="00CD7CE6"/>
    <w:rsid w:val="00CE0641"/>
    <w:rsid w:val="00CE0CDF"/>
    <w:rsid w:val="00CE12DC"/>
    <w:rsid w:val="00CE1753"/>
    <w:rsid w:val="00CE18E4"/>
    <w:rsid w:val="00CE1B99"/>
    <w:rsid w:val="00CE21A8"/>
    <w:rsid w:val="00CE2561"/>
    <w:rsid w:val="00CE292A"/>
    <w:rsid w:val="00CE294C"/>
    <w:rsid w:val="00CE303A"/>
    <w:rsid w:val="00CE33E8"/>
    <w:rsid w:val="00CE3CEA"/>
    <w:rsid w:val="00CE4301"/>
    <w:rsid w:val="00CE4DF7"/>
    <w:rsid w:val="00CE5928"/>
    <w:rsid w:val="00CE5C4F"/>
    <w:rsid w:val="00CE5D9A"/>
    <w:rsid w:val="00CE5DD9"/>
    <w:rsid w:val="00CE6875"/>
    <w:rsid w:val="00CE71A0"/>
    <w:rsid w:val="00CE725C"/>
    <w:rsid w:val="00CE74C8"/>
    <w:rsid w:val="00CF00DF"/>
    <w:rsid w:val="00CF0130"/>
    <w:rsid w:val="00CF0B48"/>
    <w:rsid w:val="00CF145E"/>
    <w:rsid w:val="00CF16FA"/>
    <w:rsid w:val="00CF2CC5"/>
    <w:rsid w:val="00CF2EAD"/>
    <w:rsid w:val="00CF33A2"/>
    <w:rsid w:val="00CF3A57"/>
    <w:rsid w:val="00CF423C"/>
    <w:rsid w:val="00CF4469"/>
    <w:rsid w:val="00CF4D53"/>
    <w:rsid w:val="00CF52FC"/>
    <w:rsid w:val="00CF5579"/>
    <w:rsid w:val="00CF587D"/>
    <w:rsid w:val="00CF6040"/>
    <w:rsid w:val="00CF6608"/>
    <w:rsid w:val="00CF6775"/>
    <w:rsid w:val="00CF697F"/>
    <w:rsid w:val="00CF6996"/>
    <w:rsid w:val="00CF72ED"/>
    <w:rsid w:val="00CF780F"/>
    <w:rsid w:val="00CF79C2"/>
    <w:rsid w:val="00CF7A9C"/>
    <w:rsid w:val="00D000B1"/>
    <w:rsid w:val="00D0016B"/>
    <w:rsid w:val="00D00286"/>
    <w:rsid w:val="00D0038E"/>
    <w:rsid w:val="00D009A4"/>
    <w:rsid w:val="00D00BE8"/>
    <w:rsid w:val="00D00D51"/>
    <w:rsid w:val="00D0118C"/>
    <w:rsid w:val="00D01E4B"/>
    <w:rsid w:val="00D0277D"/>
    <w:rsid w:val="00D028FD"/>
    <w:rsid w:val="00D02C66"/>
    <w:rsid w:val="00D02F1B"/>
    <w:rsid w:val="00D02F81"/>
    <w:rsid w:val="00D03051"/>
    <w:rsid w:val="00D03433"/>
    <w:rsid w:val="00D0364F"/>
    <w:rsid w:val="00D03A0F"/>
    <w:rsid w:val="00D04B56"/>
    <w:rsid w:val="00D05102"/>
    <w:rsid w:val="00D053BF"/>
    <w:rsid w:val="00D05773"/>
    <w:rsid w:val="00D057E9"/>
    <w:rsid w:val="00D05994"/>
    <w:rsid w:val="00D06192"/>
    <w:rsid w:val="00D06699"/>
    <w:rsid w:val="00D06B59"/>
    <w:rsid w:val="00D06C9B"/>
    <w:rsid w:val="00D06D25"/>
    <w:rsid w:val="00D0732B"/>
    <w:rsid w:val="00D0778F"/>
    <w:rsid w:val="00D079EB"/>
    <w:rsid w:val="00D07A1C"/>
    <w:rsid w:val="00D07FC5"/>
    <w:rsid w:val="00D10582"/>
    <w:rsid w:val="00D10F47"/>
    <w:rsid w:val="00D111D4"/>
    <w:rsid w:val="00D112E6"/>
    <w:rsid w:val="00D115C2"/>
    <w:rsid w:val="00D11DBE"/>
    <w:rsid w:val="00D123F7"/>
    <w:rsid w:val="00D128C1"/>
    <w:rsid w:val="00D129E6"/>
    <w:rsid w:val="00D12EA3"/>
    <w:rsid w:val="00D1377E"/>
    <w:rsid w:val="00D13841"/>
    <w:rsid w:val="00D1459E"/>
    <w:rsid w:val="00D14C32"/>
    <w:rsid w:val="00D14F6D"/>
    <w:rsid w:val="00D15646"/>
    <w:rsid w:val="00D156A0"/>
    <w:rsid w:val="00D1590D"/>
    <w:rsid w:val="00D15DF5"/>
    <w:rsid w:val="00D1641B"/>
    <w:rsid w:val="00D16472"/>
    <w:rsid w:val="00D16800"/>
    <w:rsid w:val="00D16B65"/>
    <w:rsid w:val="00D16D31"/>
    <w:rsid w:val="00D17037"/>
    <w:rsid w:val="00D172D3"/>
    <w:rsid w:val="00D176DC"/>
    <w:rsid w:val="00D17A82"/>
    <w:rsid w:val="00D17C1C"/>
    <w:rsid w:val="00D17C27"/>
    <w:rsid w:val="00D207EA"/>
    <w:rsid w:val="00D20F48"/>
    <w:rsid w:val="00D2148F"/>
    <w:rsid w:val="00D21E95"/>
    <w:rsid w:val="00D22791"/>
    <w:rsid w:val="00D22C39"/>
    <w:rsid w:val="00D239CC"/>
    <w:rsid w:val="00D24275"/>
    <w:rsid w:val="00D246BC"/>
    <w:rsid w:val="00D24837"/>
    <w:rsid w:val="00D25190"/>
    <w:rsid w:val="00D259E9"/>
    <w:rsid w:val="00D25C1B"/>
    <w:rsid w:val="00D25CA1"/>
    <w:rsid w:val="00D26D46"/>
    <w:rsid w:val="00D27B99"/>
    <w:rsid w:val="00D30A3A"/>
    <w:rsid w:val="00D315C9"/>
    <w:rsid w:val="00D32479"/>
    <w:rsid w:val="00D326BB"/>
    <w:rsid w:val="00D32EC6"/>
    <w:rsid w:val="00D32F2C"/>
    <w:rsid w:val="00D32F54"/>
    <w:rsid w:val="00D35187"/>
    <w:rsid w:val="00D3521C"/>
    <w:rsid w:val="00D358F4"/>
    <w:rsid w:val="00D36552"/>
    <w:rsid w:val="00D36910"/>
    <w:rsid w:val="00D36E2D"/>
    <w:rsid w:val="00D378EE"/>
    <w:rsid w:val="00D40685"/>
    <w:rsid w:val="00D40792"/>
    <w:rsid w:val="00D409D2"/>
    <w:rsid w:val="00D40E84"/>
    <w:rsid w:val="00D41EB9"/>
    <w:rsid w:val="00D420D0"/>
    <w:rsid w:val="00D4233A"/>
    <w:rsid w:val="00D428DB"/>
    <w:rsid w:val="00D4298C"/>
    <w:rsid w:val="00D429FE"/>
    <w:rsid w:val="00D43037"/>
    <w:rsid w:val="00D431FA"/>
    <w:rsid w:val="00D4370B"/>
    <w:rsid w:val="00D43FE4"/>
    <w:rsid w:val="00D44C02"/>
    <w:rsid w:val="00D4509B"/>
    <w:rsid w:val="00D4510B"/>
    <w:rsid w:val="00D4519E"/>
    <w:rsid w:val="00D451B1"/>
    <w:rsid w:val="00D45209"/>
    <w:rsid w:val="00D458A0"/>
    <w:rsid w:val="00D45F50"/>
    <w:rsid w:val="00D46957"/>
    <w:rsid w:val="00D46B3E"/>
    <w:rsid w:val="00D46DC1"/>
    <w:rsid w:val="00D47298"/>
    <w:rsid w:val="00D47357"/>
    <w:rsid w:val="00D475BC"/>
    <w:rsid w:val="00D47A39"/>
    <w:rsid w:val="00D47A93"/>
    <w:rsid w:val="00D50200"/>
    <w:rsid w:val="00D50212"/>
    <w:rsid w:val="00D50AF3"/>
    <w:rsid w:val="00D514A7"/>
    <w:rsid w:val="00D519A7"/>
    <w:rsid w:val="00D51D14"/>
    <w:rsid w:val="00D51ECD"/>
    <w:rsid w:val="00D52E70"/>
    <w:rsid w:val="00D52FC3"/>
    <w:rsid w:val="00D53128"/>
    <w:rsid w:val="00D53F65"/>
    <w:rsid w:val="00D5479A"/>
    <w:rsid w:val="00D549B0"/>
    <w:rsid w:val="00D54ED2"/>
    <w:rsid w:val="00D552E7"/>
    <w:rsid w:val="00D56383"/>
    <w:rsid w:val="00D56E2E"/>
    <w:rsid w:val="00D60E71"/>
    <w:rsid w:val="00D626E9"/>
    <w:rsid w:val="00D626EB"/>
    <w:rsid w:val="00D63315"/>
    <w:rsid w:val="00D642B6"/>
    <w:rsid w:val="00D655AC"/>
    <w:rsid w:val="00D660C0"/>
    <w:rsid w:val="00D66586"/>
    <w:rsid w:val="00D6667C"/>
    <w:rsid w:val="00D66899"/>
    <w:rsid w:val="00D66EF3"/>
    <w:rsid w:val="00D706DC"/>
    <w:rsid w:val="00D70968"/>
    <w:rsid w:val="00D70D72"/>
    <w:rsid w:val="00D71275"/>
    <w:rsid w:val="00D72D63"/>
    <w:rsid w:val="00D72E67"/>
    <w:rsid w:val="00D73566"/>
    <w:rsid w:val="00D73D51"/>
    <w:rsid w:val="00D743D8"/>
    <w:rsid w:val="00D74A55"/>
    <w:rsid w:val="00D74D9F"/>
    <w:rsid w:val="00D753C8"/>
    <w:rsid w:val="00D76DAC"/>
    <w:rsid w:val="00D76E5F"/>
    <w:rsid w:val="00D76ED6"/>
    <w:rsid w:val="00D7741B"/>
    <w:rsid w:val="00D77E1E"/>
    <w:rsid w:val="00D80438"/>
    <w:rsid w:val="00D806AB"/>
    <w:rsid w:val="00D80BCD"/>
    <w:rsid w:val="00D811E7"/>
    <w:rsid w:val="00D8180C"/>
    <w:rsid w:val="00D81C2B"/>
    <w:rsid w:val="00D81D4C"/>
    <w:rsid w:val="00D82638"/>
    <w:rsid w:val="00D83112"/>
    <w:rsid w:val="00D840E9"/>
    <w:rsid w:val="00D8499A"/>
    <w:rsid w:val="00D85257"/>
    <w:rsid w:val="00D853F1"/>
    <w:rsid w:val="00D858E2"/>
    <w:rsid w:val="00D858EA"/>
    <w:rsid w:val="00D85CE9"/>
    <w:rsid w:val="00D85E18"/>
    <w:rsid w:val="00D860F9"/>
    <w:rsid w:val="00D86531"/>
    <w:rsid w:val="00D87111"/>
    <w:rsid w:val="00D9046D"/>
    <w:rsid w:val="00D908E0"/>
    <w:rsid w:val="00D90A4E"/>
    <w:rsid w:val="00D90C8D"/>
    <w:rsid w:val="00D9132A"/>
    <w:rsid w:val="00D91595"/>
    <w:rsid w:val="00D91DE0"/>
    <w:rsid w:val="00D920F6"/>
    <w:rsid w:val="00D92BBF"/>
    <w:rsid w:val="00D92F2E"/>
    <w:rsid w:val="00D932AA"/>
    <w:rsid w:val="00D9366B"/>
    <w:rsid w:val="00D93A42"/>
    <w:rsid w:val="00D93AB1"/>
    <w:rsid w:val="00D94B11"/>
    <w:rsid w:val="00D94C78"/>
    <w:rsid w:val="00D94CE7"/>
    <w:rsid w:val="00D95419"/>
    <w:rsid w:val="00D956EB"/>
    <w:rsid w:val="00D958F2"/>
    <w:rsid w:val="00D95E93"/>
    <w:rsid w:val="00D9620D"/>
    <w:rsid w:val="00D96C62"/>
    <w:rsid w:val="00D96EDD"/>
    <w:rsid w:val="00D9720F"/>
    <w:rsid w:val="00D9726D"/>
    <w:rsid w:val="00D97972"/>
    <w:rsid w:val="00D97A97"/>
    <w:rsid w:val="00D97DC8"/>
    <w:rsid w:val="00DA08F9"/>
    <w:rsid w:val="00DA134C"/>
    <w:rsid w:val="00DA1465"/>
    <w:rsid w:val="00DA1AD1"/>
    <w:rsid w:val="00DA31D0"/>
    <w:rsid w:val="00DA3B40"/>
    <w:rsid w:val="00DA3C24"/>
    <w:rsid w:val="00DA4446"/>
    <w:rsid w:val="00DA49F2"/>
    <w:rsid w:val="00DA5274"/>
    <w:rsid w:val="00DA5285"/>
    <w:rsid w:val="00DA6493"/>
    <w:rsid w:val="00DA68FF"/>
    <w:rsid w:val="00DA76D3"/>
    <w:rsid w:val="00DA79A3"/>
    <w:rsid w:val="00DA7AA2"/>
    <w:rsid w:val="00DB05C6"/>
    <w:rsid w:val="00DB0857"/>
    <w:rsid w:val="00DB0FAA"/>
    <w:rsid w:val="00DB132C"/>
    <w:rsid w:val="00DB1441"/>
    <w:rsid w:val="00DB14EC"/>
    <w:rsid w:val="00DB1513"/>
    <w:rsid w:val="00DB1AF5"/>
    <w:rsid w:val="00DB23F0"/>
    <w:rsid w:val="00DB26C1"/>
    <w:rsid w:val="00DB2ACD"/>
    <w:rsid w:val="00DB41C9"/>
    <w:rsid w:val="00DB4B1F"/>
    <w:rsid w:val="00DB4E4F"/>
    <w:rsid w:val="00DB590F"/>
    <w:rsid w:val="00DB7EAB"/>
    <w:rsid w:val="00DC1D1A"/>
    <w:rsid w:val="00DC2298"/>
    <w:rsid w:val="00DC2522"/>
    <w:rsid w:val="00DC271E"/>
    <w:rsid w:val="00DC29A7"/>
    <w:rsid w:val="00DC349B"/>
    <w:rsid w:val="00DC4191"/>
    <w:rsid w:val="00DC43DF"/>
    <w:rsid w:val="00DC4BFA"/>
    <w:rsid w:val="00DC5A61"/>
    <w:rsid w:val="00DC62BD"/>
    <w:rsid w:val="00DC6379"/>
    <w:rsid w:val="00DC6397"/>
    <w:rsid w:val="00DC65B3"/>
    <w:rsid w:val="00DC6894"/>
    <w:rsid w:val="00DC6FB2"/>
    <w:rsid w:val="00DC7761"/>
    <w:rsid w:val="00DC7873"/>
    <w:rsid w:val="00DD0381"/>
    <w:rsid w:val="00DD0722"/>
    <w:rsid w:val="00DD0BEE"/>
    <w:rsid w:val="00DD1F3B"/>
    <w:rsid w:val="00DD2131"/>
    <w:rsid w:val="00DD24E9"/>
    <w:rsid w:val="00DD2C02"/>
    <w:rsid w:val="00DD2FB1"/>
    <w:rsid w:val="00DD30C3"/>
    <w:rsid w:val="00DD3158"/>
    <w:rsid w:val="00DD3470"/>
    <w:rsid w:val="00DD38F1"/>
    <w:rsid w:val="00DD399F"/>
    <w:rsid w:val="00DD4466"/>
    <w:rsid w:val="00DD450D"/>
    <w:rsid w:val="00DD488D"/>
    <w:rsid w:val="00DD55D7"/>
    <w:rsid w:val="00DD563C"/>
    <w:rsid w:val="00DD5F57"/>
    <w:rsid w:val="00DD6AE6"/>
    <w:rsid w:val="00DD6F8E"/>
    <w:rsid w:val="00DD7354"/>
    <w:rsid w:val="00DD7A01"/>
    <w:rsid w:val="00DE01E7"/>
    <w:rsid w:val="00DE0CD9"/>
    <w:rsid w:val="00DE205F"/>
    <w:rsid w:val="00DE2182"/>
    <w:rsid w:val="00DE24AA"/>
    <w:rsid w:val="00DE28CF"/>
    <w:rsid w:val="00DE298F"/>
    <w:rsid w:val="00DE3A90"/>
    <w:rsid w:val="00DE458B"/>
    <w:rsid w:val="00DE477A"/>
    <w:rsid w:val="00DE49BC"/>
    <w:rsid w:val="00DE4AA0"/>
    <w:rsid w:val="00DE66C7"/>
    <w:rsid w:val="00DE6A60"/>
    <w:rsid w:val="00DE6CAA"/>
    <w:rsid w:val="00DE6DE6"/>
    <w:rsid w:val="00DE6E6C"/>
    <w:rsid w:val="00DE77F2"/>
    <w:rsid w:val="00DE7C16"/>
    <w:rsid w:val="00DE7E3A"/>
    <w:rsid w:val="00DF0385"/>
    <w:rsid w:val="00DF0512"/>
    <w:rsid w:val="00DF1BAA"/>
    <w:rsid w:val="00DF2287"/>
    <w:rsid w:val="00DF22FB"/>
    <w:rsid w:val="00DF26DD"/>
    <w:rsid w:val="00DF2F88"/>
    <w:rsid w:val="00DF3786"/>
    <w:rsid w:val="00DF38C3"/>
    <w:rsid w:val="00DF3A48"/>
    <w:rsid w:val="00DF3E1C"/>
    <w:rsid w:val="00DF3FF5"/>
    <w:rsid w:val="00DF4C7B"/>
    <w:rsid w:val="00DF5562"/>
    <w:rsid w:val="00DF6C60"/>
    <w:rsid w:val="00DF6E59"/>
    <w:rsid w:val="00DF6FAF"/>
    <w:rsid w:val="00DF6FE7"/>
    <w:rsid w:val="00DF7905"/>
    <w:rsid w:val="00DF7990"/>
    <w:rsid w:val="00DF7D5E"/>
    <w:rsid w:val="00E0035B"/>
    <w:rsid w:val="00E00718"/>
    <w:rsid w:val="00E01036"/>
    <w:rsid w:val="00E01236"/>
    <w:rsid w:val="00E01310"/>
    <w:rsid w:val="00E02633"/>
    <w:rsid w:val="00E0301B"/>
    <w:rsid w:val="00E030C3"/>
    <w:rsid w:val="00E033C2"/>
    <w:rsid w:val="00E03434"/>
    <w:rsid w:val="00E03B8C"/>
    <w:rsid w:val="00E03C3C"/>
    <w:rsid w:val="00E04E25"/>
    <w:rsid w:val="00E04FAF"/>
    <w:rsid w:val="00E05399"/>
    <w:rsid w:val="00E05F74"/>
    <w:rsid w:val="00E060BA"/>
    <w:rsid w:val="00E060CC"/>
    <w:rsid w:val="00E06A5A"/>
    <w:rsid w:val="00E06DAB"/>
    <w:rsid w:val="00E104D4"/>
    <w:rsid w:val="00E1072D"/>
    <w:rsid w:val="00E10A59"/>
    <w:rsid w:val="00E1122A"/>
    <w:rsid w:val="00E11680"/>
    <w:rsid w:val="00E11EC4"/>
    <w:rsid w:val="00E120A3"/>
    <w:rsid w:val="00E12930"/>
    <w:rsid w:val="00E13038"/>
    <w:rsid w:val="00E1306E"/>
    <w:rsid w:val="00E134BB"/>
    <w:rsid w:val="00E1377F"/>
    <w:rsid w:val="00E141C8"/>
    <w:rsid w:val="00E14949"/>
    <w:rsid w:val="00E15956"/>
    <w:rsid w:val="00E15B7C"/>
    <w:rsid w:val="00E177F1"/>
    <w:rsid w:val="00E17B4B"/>
    <w:rsid w:val="00E17D07"/>
    <w:rsid w:val="00E17D79"/>
    <w:rsid w:val="00E17DF4"/>
    <w:rsid w:val="00E20FD5"/>
    <w:rsid w:val="00E217B4"/>
    <w:rsid w:val="00E218E4"/>
    <w:rsid w:val="00E21E6D"/>
    <w:rsid w:val="00E22301"/>
    <w:rsid w:val="00E23AC0"/>
    <w:rsid w:val="00E23DD6"/>
    <w:rsid w:val="00E23E5D"/>
    <w:rsid w:val="00E249E1"/>
    <w:rsid w:val="00E24BBF"/>
    <w:rsid w:val="00E250D3"/>
    <w:rsid w:val="00E253D4"/>
    <w:rsid w:val="00E2559B"/>
    <w:rsid w:val="00E257D9"/>
    <w:rsid w:val="00E25D25"/>
    <w:rsid w:val="00E25EBE"/>
    <w:rsid w:val="00E26422"/>
    <w:rsid w:val="00E26AFA"/>
    <w:rsid w:val="00E2741A"/>
    <w:rsid w:val="00E274BA"/>
    <w:rsid w:val="00E300A9"/>
    <w:rsid w:val="00E308B7"/>
    <w:rsid w:val="00E308D9"/>
    <w:rsid w:val="00E30B6C"/>
    <w:rsid w:val="00E30F5E"/>
    <w:rsid w:val="00E3101A"/>
    <w:rsid w:val="00E31088"/>
    <w:rsid w:val="00E31428"/>
    <w:rsid w:val="00E315BB"/>
    <w:rsid w:val="00E31DEE"/>
    <w:rsid w:val="00E32305"/>
    <w:rsid w:val="00E329A5"/>
    <w:rsid w:val="00E329EC"/>
    <w:rsid w:val="00E3571F"/>
    <w:rsid w:val="00E35C21"/>
    <w:rsid w:val="00E368B2"/>
    <w:rsid w:val="00E36FE0"/>
    <w:rsid w:val="00E36FF5"/>
    <w:rsid w:val="00E37105"/>
    <w:rsid w:val="00E3744F"/>
    <w:rsid w:val="00E37CB0"/>
    <w:rsid w:val="00E37FC0"/>
    <w:rsid w:val="00E40AA7"/>
    <w:rsid w:val="00E4101A"/>
    <w:rsid w:val="00E41EF0"/>
    <w:rsid w:val="00E4216C"/>
    <w:rsid w:val="00E421C7"/>
    <w:rsid w:val="00E42770"/>
    <w:rsid w:val="00E43506"/>
    <w:rsid w:val="00E436F7"/>
    <w:rsid w:val="00E44428"/>
    <w:rsid w:val="00E4472D"/>
    <w:rsid w:val="00E44904"/>
    <w:rsid w:val="00E44918"/>
    <w:rsid w:val="00E44FF3"/>
    <w:rsid w:val="00E4500B"/>
    <w:rsid w:val="00E452C1"/>
    <w:rsid w:val="00E4557D"/>
    <w:rsid w:val="00E45813"/>
    <w:rsid w:val="00E462E6"/>
    <w:rsid w:val="00E463C7"/>
    <w:rsid w:val="00E4676C"/>
    <w:rsid w:val="00E46933"/>
    <w:rsid w:val="00E477A0"/>
    <w:rsid w:val="00E50480"/>
    <w:rsid w:val="00E52024"/>
    <w:rsid w:val="00E520B3"/>
    <w:rsid w:val="00E52139"/>
    <w:rsid w:val="00E52217"/>
    <w:rsid w:val="00E52EBF"/>
    <w:rsid w:val="00E52F82"/>
    <w:rsid w:val="00E53142"/>
    <w:rsid w:val="00E5472F"/>
    <w:rsid w:val="00E5475B"/>
    <w:rsid w:val="00E54860"/>
    <w:rsid w:val="00E55168"/>
    <w:rsid w:val="00E556C0"/>
    <w:rsid w:val="00E5595A"/>
    <w:rsid w:val="00E568CF"/>
    <w:rsid w:val="00E56FF4"/>
    <w:rsid w:val="00E578B9"/>
    <w:rsid w:val="00E57E8D"/>
    <w:rsid w:val="00E60499"/>
    <w:rsid w:val="00E605E4"/>
    <w:rsid w:val="00E60722"/>
    <w:rsid w:val="00E60AC7"/>
    <w:rsid w:val="00E60D40"/>
    <w:rsid w:val="00E611D2"/>
    <w:rsid w:val="00E61450"/>
    <w:rsid w:val="00E615C6"/>
    <w:rsid w:val="00E62704"/>
    <w:rsid w:val="00E63571"/>
    <w:rsid w:val="00E63EB6"/>
    <w:rsid w:val="00E644A2"/>
    <w:rsid w:val="00E64698"/>
    <w:rsid w:val="00E64C47"/>
    <w:rsid w:val="00E66237"/>
    <w:rsid w:val="00E6710E"/>
    <w:rsid w:val="00E671BE"/>
    <w:rsid w:val="00E6772A"/>
    <w:rsid w:val="00E67E4B"/>
    <w:rsid w:val="00E702DC"/>
    <w:rsid w:val="00E70FBF"/>
    <w:rsid w:val="00E71336"/>
    <w:rsid w:val="00E71542"/>
    <w:rsid w:val="00E716B2"/>
    <w:rsid w:val="00E71FCD"/>
    <w:rsid w:val="00E72DDB"/>
    <w:rsid w:val="00E72E7D"/>
    <w:rsid w:val="00E731B4"/>
    <w:rsid w:val="00E73785"/>
    <w:rsid w:val="00E739DA"/>
    <w:rsid w:val="00E74135"/>
    <w:rsid w:val="00E7466A"/>
    <w:rsid w:val="00E75404"/>
    <w:rsid w:val="00E7573E"/>
    <w:rsid w:val="00E75934"/>
    <w:rsid w:val="00E75ADA"/>
    <w:rsid w:val="00E760CD"/>
    <w:rsid w:val="00E76D23"/>
    <w:rsid w:val="00E77387"/>
    <w:rsid w:val="00E8032D"/>
    <w:rsid w:val="00E8038F"/>
    <w:rsid w:val="00E804A2"/>
    <w:rsid w:val="00E81B46"/>
    <w:rsid w:val="00E81BC1"/>
    <w:rsid w:val="00E82820"/>
    <w:rsid w:val="00E82B24"/>
    <w:rsid w:val="00E82E27"/>
    <w:rsid w:val="00E8332F"/>
    <w:rsid w:val="00E8398A"/>
    <w:rsid w:val="00E83BF9"/>
    <w:rsid w:val="00E8401A"/>
    <w:rsid w:val="00E8401B"/>
    <w:rsid w:val="00E840A7"/>
    <w:rsid w:val="00E8427F"/>
    <w:rsid w:val="00E849B5"/>
    <w:rsid w:val="00E84A22"/>
    <w:rsid w:val="00E84A7D"/>
    <w:rsid w:val="00E84AC6"/>
    <w:rsid w:val="00E853AE"/>
    <w:rsid w:val="00E857CE"/>
    <w:rsid w:val="00E86530"/>
    <w:rsid w:val="00E86CC4"/>
    <w:rsid w:val="00E86EBF"/>
    <w:rsid w:val="00E90942"/>
    <w:rsid w:val="00E90A99"/>
    <w:rsid w:val="00E91009"/>
    <w:rsid w:val="00E91C12"/>
    <w:rsid w:val="00E922E8"/>
    <w:rsid w:val="00E92502"/>
    <w:rsid w:val="00E92E80"/>
    <w:rsid w:val="00E936AE"/>
    <w:rsid w:val="00E93CBA"/>
    <w:rsid w:val="00E94639"/>
    <w:rsid w:val="00E94C63"/>
    <w:rsid w:val="00E952D2"/>
    <w:rsid w:val="00E95750"/>
    <w:rsid w:val="00E95B32"/>
    <w:rsid w:val="00E95C1B"/>
    <w:rsid w:val="00E96D98"/>
    <w:rsid w:val="00E9732A"/>
    <w:rsid w:val="00EA0245"/>
    <w:rsid w:val="00EA0C24"/>
    <w:rsid w:val="00EA0E66"/>
    <w:rsid w:val="00EA2296"/>
    <w:rsid w:val="00EA273C"/>
    <w:rsid w:val="00EA28A3"/>
    <w:rsid w:val="00EA2F36"/>
    <w:rsid w:val="00EA33AA"/>
    <w:rsid w:val="00EA3E1F"/>
    <w:rsid w:val="00EA4508"/>
    <w:rsid w:val="00EA5239"/>
    <w:rsid w:val="00EA5356"/>
    <w:rsid w:val="00EA54A9"/>
    <w:rsid w:val="00EA5BD3"/>
    <w:rsid w:val="00EA6164"/>
    <w:rsid w:val="00EA63EE"/>
    <w:rsid w:val="00EA665D"/>
    <w:rsid w:val="00EA66C4"/>
    <w:rsid w:val="00EA66E0"/>
    <w:rsid w:val="00EB092F"/>
    <w:rsid w:val="00EB0F95"/>
    <w:rsid w:val="00EB25A6"/>
    <w:rsid w:val="00EB2CD9"/>
    <w:rsid w:val="00EB39E0"/>
    <w:rsid w:val="00EB3F95"/>
    <w:rsid w:val="00EB4400"/>
    <w:rsid w:val="00EB447B"/>
    <w:rsid w:val="00EB4866"/>
    <w:rsid w:val="00EB5025"/>
    <w:rsid w:val="00EB54FC"/>
    <w:rsid w:val="00EB5F0B"/>
    <w:rsid w:val="00EB6020"/>
    <w:rsid w:val="00EB65B4"/>
    <w:rsid w:val="00EB6780"/>
    <w:rsid w:val="00EB6A3F"/>
    <w:rsid w:val="00EB7069"/>
    <w:rsid w:val="00EB7735"/>
    <w:rsid w:val="00EB7EBE"/>
    <w:rsid w:val="00EC157C"/>
    <w:rsid w:val="00EC16E3"/>
    <w:rsid w:val="00EC172F"/>
    <w:rsid w:val="00EC1804"/>
    <w:rsid w:val="00EC1B81"/>
    <w:rsid w:val="00EC1BF6"/>
    <w:rsid w:val="00EC1D67"/>
    <w:rsid w:val="00EC20A4"/>
    <w:rsid w:val="00EC22A2"/>
    <w:rsid w:val="00EC241D"/>
    <w:rsid w:val="00EC25BE"/>
    <w:rsid w:val="00EC2603"/>
    <w:rsid w:val="00EC27C9"/>
    <w:rsid w:val="00EC38AA"/>
    <w:rsid w:val="00EC38CE"/>
    <w:rsid w:val="00EC3ED9"/>
    <w:rsid w:val="00EC4744"/>
    <w:rsid w:val="00EC58D5"/>
    <w:rsid w:val="00EC7449"/>
    <w:rsid w:val="00EC7837"/>
    <w:rsid w:val="00EC7954"/>
    <w:rsid w:val="00EC797B"/>
    <w:rsid w:val="00EC7D6A"/>
    <w:rsid w:val="00EC7F8B"/>
    <w:rsid w:val="00ED042A"/>
    <w:rsid w:val="00ED0702"/>
    <w:rsid w:val="00ED0A72"/>
    <w:rsid w:val="00ED12C6"/>
    <w:rsid w:val="00ED1515"/>
    <w:rsid w:val="00ED19C4"/>
    <w:rsid w:val="00ED298D"/>
    <w:rsid w:val="00ED2B7A"/>
    <w:rsid w:val="00ED2C5D"/>
    <w:rsid w:val="00ED2F29"/>
    <w:rsid w:val="00ED38B3"/>
    <w:rsid w:val="00ED409E"/>
    <w:rsid w:val="00ED4215"/>
    <w:rsid w:val="00ED57A8"/>
    <w:rsid w:val="00ED6245"/>
    <w:rsid w:val="00ED65C6"/>
    <w:rsid w:val="00ED6AE7"/>
    <w:rsid w:val="00ED7AA0"/>
    <w:rsid w:val="00ED7D60"/>
    <w:rsid w:val="00EE0E4B"/>
    <w:rsid w:val="00EE1229"/>
    <w:rsid w:val="00EE136F"/>
    <w:rsid w:val="00EE15A7"/>
    <w:rsid w:val="00EE16ED"/>
    <w:rsid w:val="00EE1721"/>
    <w:rsid w:val="00EE1AE0"/>
    <w:rsid w:val="00EE2041"/>
    <w:rsid w:val="00EE246C"/>
    <w:rsid w:val="00EE26D8"/>
    <w:rsid w:val="00EE2813"/>
    <w:rsid w:val="00EE2921"/>
    <w:rsid w:val="00EE2BD1"/>
    <w:rsid w:val="00EE2C4E"/>
    <w:rsid w:val="00EE2F30"/>
    <w:rsid w:val="00EE2FE4"/>
    <w:rsid w:val="00EE3076"/>
    <w:rsid w:val="00EE318A"/>
    <w:rsid w:val="00EE3566"/>
    <w:rsid w:val="00EE3588"/>
    <w:rsid w:val="00EE3653"/>
    <w:rsid w:val="00EE3D80"/>
    <w:rsid w:val="00EE3E39"/>
    <w:rsid w:val="00EE3E95"/>
    <w:rsid w:val="00EE4605"/>
    <w:rsid w:val="00EE48E7"/>
    <w:rsid w:val="00EE5E33"/>
    <w:rsid w:val="00EE5FE0"/>
    <w:rsid w:val="00EE605E"/>
    <w:rsid w:val="00EE72A5"/>
    <w:rsid w:val="00EE7C42"/>
    <w:rsid w:val="00EF0129"/>
    <w:rsid w:val="00EF0360"/>
    <w:rsid w:val="00EF163F"/>
    <w:rsid w:val="00EF19D9"/>
    <w:rsid w:val="00EF1B42"/>
    <w:rsid w:val="00EF1E6F"/>
    <w:rsid w:val="00EF231D"/>
    <w:rsid w:val="00EF26D2"/>
    <w:rsid w:val="00EF28AD"/>
    <w:rsid w:val="00EF28E2"/>
    <w:rsid w:val="00EF2D2D"/>
    <w:rsid w:val="00EF45F6"/>
    <w:rsid w:val="00EF5745"/>
    <w:rsid w:val="00EF66B7"/>
    <w:rsid w:val="00EF7173"/>
    <w:rsid w:val="00EF7356"/>
    <w:rsid w:val="00EF7629"/>
    <w:rsid w:val="00EF76D2"/>
    <w:rsid w:val="00F00B4B"/>
    <w:rsid w:val="00F015BC"/>
    <w:rsid w:val="00F01783"/>
    <w:rsid w:val="00F01B10"/>
    <w:rsid w:val="00F020A3"/>
    <w:rsid w:val="00F02399"/>
    <w:rsid w:val="00F02743"/>
    <w:rsid w:val="00F02C0B"/>
    <w:rsid w:val="00F031E2"/>
    <w:rsid w:val="00F03D5D"/>
    <w:rsid w:val="00F03FED"/>
    <w:rsid w:val="00F05019"/>
    <w:rsid w:val="00F05B7D"/>
    <w:rsid w:val="00F05C1F"/>
    <w:rsid w:val="00F05F24"/>
    <w:rsid w:val="00F0627E"/>
    <w:rsid w:val="00F0692F"/>
    <w:rsid w:val="00F06F67"/>
    <w:rsid w:val="00F078A6"/>
    <w:rsid w:val="00F07A85"/>
    <w:rsid w:val="00F07B45"/>
    <w:rsid w:val="00F07C36"/>
    <w:rsid w:val="00F07CDC"/>
    <w:rsid w:val="00F10347"/>
    <w:rsid w:val="00F10C8A"/>
    <w:rsid w:val="00F1154E"/>
    <w:rsid w:val="00F11ABC"/>
    <w:rsid w:val="00F127FA"/>
    <w:rsid w:val="00F134A0"/>
    <w:rsid w:val="00F134B3"/>
    <w:rsid w:val="00F136B0"/>
    <w:rsid w:val="00F139A1"/>
    <w:rsid w:val="00F13EBE"/>
    <w:rsid w:val="00F13FC1"/>
    <w:rsid w:val="00F14C2F"/>
    <w:rsid w:val="00F14F19"/>
    <w:rsid w:val="00F16F4B"/>
    <w:rsid w:val="00F17AB6"/>
    <w:rsid w:val="00F2054D"/>
    <w:rsid w:val="00F20FA2"/>
    <w:rsid w:val="00F21A58"/>
    <w:rsid w:val="00F21FE5"/>
    <w:rsid w:val="00F22365"/>
    <w:rsid w:val="00F23348"/>
    <w:rsid w:val="00F24206"/>
    <w:rsid w:val="00F25EF5"/>
    <w:rsid w:val="00F2664E"/>
    <w:rsid w:val="00F267DC"/>
    <w:rsid w:val="00F27141"/>
    <w:rsid w:val="00F27A0A"/>
    <w:rsid w:val="00F27D6F"/>
    <w:rsid w:val="00F324A6"/>
    <w:rsid w:val="00F32FD0"/>
    <w:rsid w:val="00F33038"/>
    <w:rsid w:val="00F3314F"/>
    <w:rsid w:val="00F33974"/>
    <w:rsid w:val="00F34783"/>
    <w:rsid w:val="00F34B8D"/>
    <w:rsid w:val="00F34EA2"/>
    <w:rsid w:val="00F3522E"/>
    <w:rsid w:val="00F35B1B"/>
    <w:rsid w:val="00F3611B"/>
    <w:rsid w:val="00F366E5"/>
    <w:rsid w:val="00F366FA"/>
    <w:rsid w:val="00F37012"/>
    <w:rsid w:val="00F371F9"/>
    <w:rsid w:val="00F372BD"/>
    <w:rsid w:val="00F373E0"/>
    <w:rsid w:val="00F37953"/>
    <w:rsid w:val="00F37DFA"/>
    <w:rsid w:val="00F40006"/>
    <w:rsid w:val="00F40115"/>
    <w:rsid w:val="00F41D46"/>
    <w:rsid w:val="00F42518"/>
    <w:rsid w:val="00F42684"/>
    <w:rsid w:val="00F429D8"/>
    <w:rsid w:val="00F429DE"/>
    <w:rsid w:val="00F42A92"/>
    <w:rsid w:val="00F42B37"/>
    <w:rsid w:val="00F42B50"/>
    <w:rsid w:val="00F42F74"/>
    <w:rsid w:val="00F44499"/>
    <w:rsid w:val="00F448F4"/>
    <w:rsid w:val="00F459C5"/>
    <w:rsid w:val="00F45D92"/>
    <w:rsid w:val="00F45F3E"/>
    <w:rsid w:val="00F460BF"/>
    <w:rsid w:val="00F4664C"/>
    <w:rsid w:val="00F4730E"/>
    <w:rsid w:val="00F47342"/>
    <w:rsid w:val="00F47365"/>
    <w:rsid w:val="00F4768D"/>
    <w:rsid w:val="00F47A25"/>
    <w:rsid w:val="00F501CF"/>
    <w:rsid w:val="00F504C4"/>
    <w:rsid w:val="00F504F7"/>
    <w:rsid w:val="00F510DA"/>
    <w:rsid w:val="00F5265A"/>
    <w:rsid w:val="00F527B2"/>
    <w:rsid w:val="00F52A55"/>
    <w:rsid w:val="00F52BAE"/>
    <w:rsid w:val="00F5312B"/>
    <w:rsid w:val="00F53274"/>
    <w:rsid w:val="00F5399A"/>
    <w:rsid w:val="00F54C35"/>
    <w:rsid w:val="00F55731"/>
    <w:rsid w:val="00F55A67"/>
    <w:rsid w:val="00F55FFF"/>
    <w:rsid w:val="00F56A4B"/>
    <w:rsid w:val="00F56E79"/>
    <w:rsid w:val="00F570F3"/>
    <w:rsid w:val="00F60555"/>
    <w:rsid w:val="00F6094A"/>
    <w:rsid w:val="00F61808"/>
    <w:rsid w:val="00F61845"/>
    <w:rsid w:val="00F61CDA"/>
    <w:rsid w:val="00F61E12"/>
    <w:rsid w:val="00F620D8"/>
    <w:rsid w:val="00F625FC"/>
    <w:rsid w:val="00F62F94"/>
    <w:rsid w:val="00F63F3A"/>
    <w:rsid w:val="00F646DA"/>
    <w:rsid w:val="00F652E4"/>
    <w:rsid w:val="00F65AB5"/>
    <w:rsid w:val="00F66837"/>
    <w:rsid w:val="00F679EC"/>
    <w:rsid w:val="00F705C7"/>
    <w:rsid w:val="00F70AC0"/>
    <w:rsid w:val="00F7164D"/>
    <w:rsid w:val="00F71D83"/>
    <w:rsid w:val="00F71FEB"/>
    <w:rsid w:val="00F7225D"/>
    <w:rsid w:val="00F7267B"/>
    <w:rsid w:val="00F7285C"/>
    <w:rsid w:val="00F72D92"/>
    <w:rsid w:val="00F72EB3"/>
    <w:rsid w:val="00F738DA"/>
    <w:rsid w:val="00F738F8"/>
    <w:rsid w:val="00F73BF9"/>
    <w:rsid w:val="00F73C71"/>
    <w:rsid w:val="00F741C5"/>
    <w:rsid w:val="00F7452D"/>
    <w:rsid w:val="00F74A15"/>
    <w:rsid w:val="00F74A7E"/>
    <w:rsid w:val="00F75277"/>
    <w:rsid w:val="00F757FE"/>
    <w:rsid w:val="00F75C38"/>
    <w:rsid w:val="00F75CF7"/>
    <w:rsid w:val="00F763DE"/>
    <w:rsid w:val="00F763E4"/>
    <w:rsid w:val="00F764EB"/>
    <w:rsid w:val="00F76890"/>
    <w:rsid w:val="00F768CD"/>
    <w:rsid w:val="00F77151"/>
    <w:rsid w:val="00F77353"/>
    <w:rsid w:val="00F77C4F"/>
    <w:rsid w:val="00F80008"/>
    <w:rsid w:val="00F80672"/>
    <w:rsid w:val="00F807C0"/>
    <w:rsid w:val="00F8084F"/>
    <w:rsid w:val="00F8200D"/>
    <w:rsid w:val="00F8379E"/>
    <w:rsid w:val="00F83803"/>
    <w:rsid w:val="00F8525E"/>
    <w:rsid w:val="00F85B3A"/>
    <w:rsid w:val="00F86086"/>
    <w:rsid w:val="00F86629"/>
    <w:rsid w:val="00F86658"/>
    <w:rsid w:val="00F866AE"/>
    <w:rsid w:val="00F86F93"/>
    <w:rsid w:val="00F90314"/>
    <w:rsid w:val="00F905B2"/>
    <w:rsid w:val="00F91156"/>
    <w:rsid w:val="00F91AF4"/>
    <w:rsid w:val="00F922B4"/>
    <w:rsid w:val="00F92682"/>
    <w:rsid w:val="00F92737"/>
    <w:rsid w:val="00F92DF7"/>
    <w:rsid w:val="00F92EE7"/>
    <w:rsid w:val="00F92F5E"/>
    <w:rsid w:val="00F936FF"/>
    <w:rsid w:val="00F9380B"/>
    <w:rsid w:val="00F9382B"/>
    <w:rsid w:val="00F93D1B"/>
    <w:rsid w:val="00F968A7"/>
    <w:rsid w:val="00F968F0"/>
    <w:rsid w:val="00F97129"/>
    <w:rsid w:val="00F9714B"/>
    <w:rsid w:val="00F9755C"/>
    <w:rsid w:val="00F977BA"/>
    <w:rsid w:val="00F97987"/>
    <w:rsid w:val="00F97F63"/>
    <w:rsid w:val="00FA025C"/>
    <w:rsid w:val="00FA026E"/>
    <w:rsid w:val="00FA028E"/>
    <w:rsid w:val="00FA0455"/>
    <w:rsid w:val="00FA063A"/>
    <w:rsid w:val="00FA0835"/>
    <w:rsid w:val="00FA0DC2"/>
    <w:rsid w:val="00FA14EE"/>
    <w:rsid w:val="00FA2125"/>
    <w:rsid w:val="00FA29D7"/>
    <w:rsid w:val="00FA2CDE"/>
    <w:rsid w:val="00FA30C8"/>
    <w:rsid w:val="00FA3BA7"/>
    <w:rsid w:val="00FA3BD1"/>
    <w:rsid w:val="00FA4438"/>
    <w:rsid w:val="00FA488A"/>
    <w:rsid w:val="00FA5417"/>
    <w:rsid w:val="00FA6090"/>
    <w:rsid w:val="00FA61E0"/>
    <w:rsid w:val="00FA6366"/>
    <w:rsid w:val="00FA6713"/>
    <w:rsid w:val="00FA68FB"/>
    <w:rsid w:val="00FA69DA"/>
    <w:rsid w:val="00FA73BC"/>
    <w:rsid w:val="00FA74EE"/>
    <w:rsid w:val="00FA76F5"/>
    <w:rsid w:val="00FB0148"/>
    <w:rsid w:val="00FB07FA"/>
    <w:rsid w:val="00FB0B62"/>
    <w:rsid w:val="00FB0E65"/>
    <w:rsid w:val="00FB1A97"/>
    <w:rsid w:val="00FB2572"/>
    <w:rsid w:val="00FB27AA"/>
    <w:rsid w:val="00FB468E"/>
    <w:rsid w:val="00FB5343"/>
    <w:rsid w:val="00FB548E"/>
    <w:rsid w:val="00FB57DB"/>
    <w:rsid w:val="00FB5A71"/>
    <w:rsid w:val="00FB646B"/>
    <w:rsid w:val="00FB68BF"/>
    <w:rsid w:val="00FB69EF"/>
    <w:rsid w:val="00FB6AFA"/>
    <w:rsid w:val="00FB6CF5"/>
    <w:rsid w:val="00FB78A9"/>
    <w:rsid w:val="00FB7A63"/>
    <w:rsid w:val="00FB7DB0"/>
    <w:rsid w:val="00FC0E8F"/>
    <w:rsid w:val="00FC1858"/>
    <w:rsid w:val="00FC195C"/>
    <w:rsid w:val="00FC2AA3"/>
    <w:rsid w:val="00FC2B4B"/>
    <w:rsid w:val="00FC3918"/>
    <w:rsid w:val="00FC3A59"/>
    <w:rsid w:val="00FC3D90"/>
    <w:rsid w:val="00FC3E9B"/>
    <w:rsid w:val="00FC4674"/>
    <w:rsid w:val="00FC474E"/>
    <w:rsid w:val="00FC4817"/>
    <w:rsid w:val="00FC4A14"/>
    <w:rsid w:val="00FC4A38"/>
    <w:rsid w:val="00FC4CCA"/>
    <w:rsid w:val="00FC54DB"/>
    <w:rsid w:val="00FC615D"/>
    <w:rsid w:val="00FC61D4"/>
    <w:rsid w:val="00FC63AA"/>
    <w:rsid w:val="00FC6672"/>
    <w:rsid w:val="00FC6ECB"/>
    <w:rsid w:val="00FC7146"/>
    <w:rsid w:val="00FC7357"/>
    <w:rsid w:val="00FD00C5"/>
    <w:rsid w:val="00FD0ACD"/>
    <w:rsid w:val="00FD0E06"/>
    <w:rsid w:val="00FD218A"/>
    <w:rsid w:val="00FD2388"/>
    <w:rsid w:val="00FD2BC2"/>
    <w:rsid w:val="00FD2CC1"/>
    <w:rsid w:val="00FD2E9E"/>
    <w:rsid w:val="00FD3083"/>
    <w:rsid w:val="00FD39CD"/>
    <w:rsid w:val="00FD3A86"/>
    <w:rsid w:val="00FD4411"/>
    <w:rsid w:val="00FD47A8"/>
    <w:rsid w:val="00FD4BD9"/>
    <w:rsid w:val="00FD4EBA"/>
    <w:rsid w:val="00FD53E7"/>
    <w:rsid w:val="00FD570F"/>
    <w:rsid w:val="00FD5736"/>
    <w:rsid w:val="00FD5A79"/>
    <w:rsid w:val="00FD6033"/>
    <w:rsid w:val="00FD6334"/>
    <w:rsid w:val="00FD7A1C"/>
    <w:rsid w:val="00FD7EBB"/>
    <w:rsid w:val="00FD7EF3"/>
    <w:rsid w:val="00FE0083"/>
    <w:rsid w:val="00FE0750"/>
    <w:rsid w:val="00FE0DAD"/>
    <w:rsid w:val="00FE17C5"/>
    <w:rsid w:val="00FE1CCF"/>
    <w:rsid w:val="00FE2126"/>
    <w:rsid w:val="00FE2376"/>
    <w:rsid w:val="00FE23C3"/>
    <w:rsid w:val="00FE295B"/>
    <w:rsid w:val="00FE2BA7"/>
    <w:rsid w:val="00FE2D7E"/>
    <w:rsid w:val="00FE431E"/>
    <w:rsid w:val="00FE5353"/>
    <w:rsid w:val="00FE54F1"/>
    <w:rsid w:val="00FE5729"/>
    <w:rsid w:val="00FE5880"/>
    <w:rsid w:val="00FE61CC"/>
    <w:rsid w:val="00FE7A13"/>
    <w:rsid w:val="00FF00C2"/>
    <w:rsid w:val="00FF0A4C"/>
    <w:rsid w:val="00FF12A4"/>
    <w:rsid w:val="00FF1848"/>
    <w:rsid w:val="00FF1BDD"/>
    <w:rsid w:val="00FF1DE5"/>
    <w:rsid w:val="00FF32DF"/>
    <w:rsid w:val="00FF44CE"/>
    <w:rsid w:val="00FF4E24"/>
    <w:rsid w:val="00FF4F56"/>
    <w:rsid w:val="00FF5359"/>
    <w:rsid w:val="00FF548C"/>
    <w:rsid w:val="00FF55FC"/>
    <w:rsid w:val="00FF5861"/>
    <w:rsid w:val="00FF618D"/>
    <w:rsid w:val="00FF693F"/>
    <w:rsid w:val="00FF6E10"/>
    <w:rsid w:val="00FF6ECB"/>
    <w:rsid w:val="00FF6F89"/>
    <w:rsid w:val="02B27061"/>
    <w:rsid w:val="038A5E25"/>
    <w:rsid w:val="065DCCF0"/>
    <w:rsid w:val="0A75DC23"/>
    <w:rsid w:val="0A98F8D5"/>
    <w:rsid w:val="0EDB4FF2"/>
    <w:rsid w:val="10F27BD3"/>
    <w:rsid w:val="1514F5C1"/>
    <w:rsid w:val="15D45FBA"/>
    <w:rsid w:val="1887EEE4"/>
    <w:rsid w:val="1AAD9306"/>
    <w:rsid w:val="1BBB1BB7"/>
    <w:rsid w:val="1E241942"/>
    <w:rsid w:val="1EE455A9"/>
    <w:rsid w:val="20BC0DBA"/>
    <w:rsid w:val="2287B34F"/>
    <w:rsid w:val="2B57AB33"/>
    <w:rsid w:val="2CC244E8"/>
    <w:rsid w:val="2CF8901A"/>
    <w:rsid w:val="30FE8AF6"/>
    <w:rsid w:val="31F34064"/>
    <w:rsid w:val="33A23150"/>
    <w:rsid w:val="33FA62F8"/>
    <w:rsid w:val="35653697"/>
    <w:rsid w:val="3616C579"/>
    <w:rsid w:val="3869D226"/>
    <w:rsid w:val="38BA94AD"/>
    <w:rsid w:val="3979A962"/>
    <w:rsid w:val="39C8AD9C"/>
    <w:rsid w:val="3B7FCCFD"/>
    <w:rsid w:val="3DA27842"/>
    <w:rsid w:val="3E509F97"/>
    <w:rsid w:val="3ED1A98B"/>
    <w:rsid w:val="40156662"/>
    <w:rsid w:val="4486D78B"/>
    <w:rsid w:val="456AEE96"/>
    <w:rsid w:val="485AB9AD"/>
    <w:rsid w:val="491653AD"/>
    <w:rsid w:val="4BA14FBF"/>
    <w:rsid w:val="4C694127"/>
    <w:rsid w:val="4EB91BDA"/>
    <w:rsid w:val="53BB9DD3"/>
    <w:rsid w:val="57ADB3EB"/>
    <w:rsid w:val="5984627E"/>
    <w:rsid w:val="5CA3C0C0"/>
    <w:rsid w:val="5EDDBFDF"/>
    <w:rsid w:val="6282E16B"/>
    <w:rsid w:val="642F99FD"/>
    <w:rsid w:val="691F57EF"/>
    <w:rsid w:val="6A1D5A6C"/>
    <w:rsid w:val="6AFA54D2"/>
    <w:rsid w:val="6BA91EBA"/>
    <w:rsid w:val="6BB91FA5"/>
    <w:rsid w:val="6BED3AB2"/>
    <w:rsid w:val="6CC1772F"/>
    <w:rsid w:val="6DA78C9C"/>
    <w:rsid w:val="6FEF2372"/>
    <w:rsid w:val="725E10E1"/>
    <w:rsid w:val="7442878F"/>
    <w:rsid w:val="74CDF8FC"/>
    <w:rsid w:val="753B5FB5"/>
    <w:rsid w:val="75F4B897"/>
    <w:rsid w:val="777738EC"/>
    <w:rsid w:val="7838C664"/>
    <w:rsid w:val="7AF00DD4"/>
    <w:rsid w:val="7BA761AF"/>
    <w:rsid w:val="7CC5537E"/>
    <w:rsid w:val="7D1534B1"/>
    <w:rsid w:val="7EE8ED79"/>
    <w:rsid w:val="7F9D888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1602B"/>
  <w15:chartTrackingRefBased/>
  <w15:docId w15:val="{B5B8698F-5A32-4699-A862-93BE06C13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iPriority="1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EAB"/>
    <w:pPr>
      <w:jc w:val="both"/>
    </w:pPr>
  </w:style>
  <w:style w:type="paragraph" w:styleId="Heading1">
    <w:name w:val="heading 1"/>
    <w:basedOn w:val="Normal"/>
    <w:next w:val="Normal"/>
    <w:link w:val="Heading1Char"/>
    <w:uiPriority w:val="9"/>
    <w:qFormat/>
    <w:rsid w:val="0016397F"/>
    <w:pPr>
      <w:keepNext/>
      <w:keepLines/>
      <w:numPr>
        <w:numId w:val="1"/>
      </w:numPr>
      <w:spacing w:before="360" w:after="24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E4500B"/>
    <w:pPr>
      <w:keepNext/>
      <w:keepLines/>
      <w:numPr>
        <w:ilvl w:val="1"/>
        <w:numId w:val="1"/>
      </w:numPr>
      <w:spacing w:before="240" w:after="120"/>
      <w:ind w:left="578" w:hanging="578"/>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E4500B"/>
    <w:pPr>
      <w:keepNext/>
      <w:keepLines/>
      <w:numPr>
        <w:ilvl w:val="2"/>
        <w:numId w:val="1"/>
      </w:numPr>
      <w:spacing w:before="240" w:after="12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220BDB"/>
    <w:pPr>
      <w:keepNext/>
      <w:keepLines/>
      <w:numPr>
        <w:ilvl w:val="3"/>
        <w:numId w:val="1"/>
      </w:numPr>
      <w:spacing w:before="240" w:after="120"/>
      <w:ind w:left="862" w:hanging="862"/>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16397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6397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6397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6397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397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61D5"/>
    <w:pPr>
      <w:spacing w:after="360" w:line="240" w:lineRule="auto"/>
      <w:contextualSpacing/>
      <w:jc w:val="center"/>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6061D5"/>
    <w:rPr>
      <w:rFonts w:asciiTheme="majorHAnsi" w:eastAsiaTheme="majorEastAsia" w:hAnsiTheme="majorHAnsi" w:cstheme="majorBidi"/>
      <w:b/>
      <w:spacing w:val="-10"/>
      <w:kern w:val="28"/>
      <w:sz w:val="32"/>
      <w:szCs w:val="56"/>
    </w:rPr>
  </w:style>
  <w:style w:type="table" w:styleId="TableGrid">
    <w:name w:val="Table Grid"/>
    <w:basedOn w:val="TableNormal"/>
    <w:uiPriority w:val="39"/>
    <w:rsid w:val="00606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2466E"/>
    <w:pPr>
      <w:spacing w:after="0" w:line="240" w:lineRule="auto"/>
    </w:pPr>
    <w:rPr>
      <w:sz w:val="20"/>
      <w:szCs w:val="20"/>
    </w:rPr>
  </w:style>
  <w:style w:type="character" w:customStyle="1" w:styleId="FootnoteTextChar">
    <w:name w:val="Footnote Text Char"/>
    <w:basedOn w:val="DefaultParagraphFont"/>
    <w:link w:val="FootnoteText"/>
    <w:uiPriority w:val="99"/>
    <w:rsid w:val="0052466E"/>
    <w:rPr>
      <w:sz w:val="20"/>
      <w:szCs w:val="20"/>
    </w:rPr>
  </w:style>
  <w:style w:type="character" w:styleId="FootnoteReference">
    <w:name w:val="footnote reference"/>
    <w:basedOn w:val="DefaultParagraphFont"/>
    <w:uiPriority w:val="99"/>
    <w:unhideWhenUsed/>
    <w:rsid w:val="0052466E"/>
    <w:rPr>
      <w:vertAlign w:val="superscript"/>
    </w:rPr>
  </w:style>
  <w:style w:type="character" w:customStyle="1" w:styleId="Heading1Char">
    <w:name w:val="Heading 1 Char"/>
    <w:basedOn w:val="DefaultParagraphFont"/>
    <w:link w:val="Heading1"/>
    <w:uiPriority w:val="9"/>
    <w:rsid w:val="0016397F"/>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E4500B"/>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E4500B"/>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16397F"/>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16397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6397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6397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639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397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2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836"/>
  </w:style>
  <w:style w:type="paragraph" w:styleId="Footer">
    <w:name w:val="footer"/>
    <w:basedOn w:val="Normal"/>
    <w:link w:val="FooterChar"/>
    <w:uiPriority w:val="99"/>
    <w:unhideWhenUsed/>
    <w:rsid w:val="00B2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836"/>
  </w:style>
  <w:style w:type="character" w:styleId="Hyperlink">
    <w:name w:val="Hyperlink"/>
    <w:basedOn w:val="DefaultParagraphFont"/>
    <w:uiPriority w:val="99"/>
    <w:unhideWhenUsed/>
    <w:rsid w:val="001E2974"/>
    <w:rPr>
      <w:color w:val="0563C1" w:themeColor="hyperlink"/>
      <w:u w:val="single"/>
    </w:rPr>
  </w:style>
  <w:style w:type="character" w:styleId="UnresolvedMention">
    <w:name w:val="Unresolved Mention"/>
    <w:basedOn w:val="DefaultParagraphFont"/>
    <w:uiPriority w:val="99"/>
    <w:semiHidden/>
    <w:unhideWhenUsed/>
    <w:rsid w:val="001E2974"/>
    <w:rPr>
      <w:color w:val="605E5C"/>
      <w:shd w:val="clear" w:color="auto" w:fill="E1DFDD"/>
    </w:rPr>
  </w:style>
  <w:style w:type="paragraph" w:customStyle="1" w:styleId="TableText">
    <w:name w:val="Table Text"/>
    <w:basedOn w:val="Normal"/>
    <w:uiPriority w:val="10"/>
    <w:qFormat/>
    <w:rsid w:val="00942CB3"/>
    <w:pPr>
      <w:spacing w:after="200" w:line="240" w:lineRule="atLeast"/>
      <w:jc w:val="left"/>
    </w:pPr>
    <w:rPr>
      <w:rFonts w:eastAsiaTheme="minorHAnsi" w:cs="System"/>
      <w:kern w:val="0"/>
      <w:lang w:eastAsia="en-US"/>
      <w14:ligatures w14:val="none"/>
    </w:rPr>
  </w:style>
  <w:style w:type="table" w:customStyle="1" w:styleId="DataTable">
    <w:name w:val="Data Table"/>
    <w:basedOn w:val="TableNormal"/>
    <w:uiPriority w:val="99"/>
    <w:rsid w:val="00942CB3"/>
    <w:pPr>
      <w:spacing w:before="60" w:after="60" w:line="240" w:lineRule="auto"/>
      <w:ind w:left="57" w:right="57"/>
      <w:jc w:val="right"/>
    </w:pPr>
    <w:rPr>
      <w:rFonts w:eastAsiaTheme="minorHAnsi"/>
      <w:kern w:val="0"/>
      <w:sz w:val="20"/>
      <w:lang w:eastAsia="en-US"/>
      <w14:ligatures w14:val="none"/>
    </w:rPr>
    <w:tblPr>
      <w:tblStyleRowBandSize w:val="1"/>
      <w:tblBorders>
        <w:top w:val="single" w:sz="4" w:space="0" w:color="FFC000" w:themeColor="accent4"/>
        <w:bottom w:val="single" w:sz="12" w:space="0" w:color="FFC000" w:themeColor="accent4"/>
        <w:insideH w:val="single" w:sz="4" w:space="0" w:color="FFC000" w:themeColor="accent4"/>
      </w:tblBorders>
      <w:tblCellMar>
        <w:left w:w="0" w:type="dxa"/>
        <w:right w:w="0" w:type="dxa"/>
      </w:tblCellMar>
    </w:tblPr>
    <w:tblStylePr w:type="firstRow">
      <w:rPr>
        <w:b/>
        <w:color w:val="E7E6E6" w:themeColor="background2"/>
      </w:rPr>
      <w:tblPr/>
      <w:tcPr>
        <w:tcBorders>
          <w:top w:val="nil"/>
          <w:left w:val="nil"/>
          <w:bottom w:val="nil"/>
          <w:right w:val="nil"/>
          <w:insideH w:val="nil"/>
          <w:insideV w:val="nil"/>
          <w:tl2br w:val="nil"/>
          <w:tr2bl w:val="nil"/>
        </w:tcBorders>
        <w:shd w:val="clear" w:color="auto" w:fill="FFC000" w:themeFill="accent4"/>
      </w:tcPr>
    </w:tblStylePr>
    <w:tblStylePr w:type="lastRow">
      <w:rPr>
        <w:b/>
        <w:color w:val="E7E6E6" w:themeColor="background2"/>
      </w:rPr>
      <w:tblPr/>
      <w:tcPr>
        <w:tcBorders>
          <w:top w:val="nil"/>
          <w:left w:val="nil"/>
          <w:bottom w:val="nil"/>
          <w:right w:val="nil"/>
          <w:insideH w:val="nil"/>
          <w:insideV w:val="nil"/>
          <w:tl2br w:val="nil"/>
          <w:tr2bl w:val="nil"/>
        </w:tcBorders>
        <w:shd w:val="clear" w:color="auto" w:fill="44546A" w:themeFill="text2"/>
      </w:tcPr>
    </w:tblStylePr>
    <w:tblStylePr w:type="firstCol">
      <w:pPr>
        <w:jc w:val="left"/>
      </w:pPr>
    </w:tblStylePr>
    <w:tblStylePr w:type="band2Horz">
      <w:tblPr/>
      <w:tcPr>
        <w:shd w:val="clear" w:color="auto" w:fill="FFF2CC" w:themeFill="accent4" w:themeFillTint="33"/>
      </w:tcPr>
    </w:tblStylePr>
  </w:style>
  <w:style w:type="table" w:customStyle="1" w:styleId="Placeholder">
    <w:name w:val="Placeholder"/>
    <w:basedOn w:val="TableNormal"/>
    <w:uiPriority w:val="99"/>
    <w:rsid w:val="00942CB3"/>
    <w:pPr>
      <w:spacing w:after="0" w:line="240" w:lineRule="auto"/>
    </w:pPr>
    <w:rPr>
      <w:rFonts w:eastAsiaTheme="minorHAnsi"/>
      <w:kern w:val="0"/>
      <w:sz w:val="20"/>
      <w:lang w:eastAsia="en-US"/>
      <w14:ligatures w14:val="none"/>
    </w:rPr>
    <w:tblPr>
      <w:tblStyleColBandSize w:val="1"/>
      <w:tblCellMar>
        <w:top w:w="57" w:type="dxa"/>
        <w:left w:w="0" w:type="dxa"/>
        <w:bottom w:w="57" w:type="dxa"/>
        <w:right w:w="0" w:type="dxa"/>
      </w:tblCellMar>
    </w:tblPr>
    <w:tblStylePr w:type="firstRow">
      <w:rPr>
        <w:b/>
        <w:color w:val="ED7D31" w:themeColor="accent2"/>
      </w:rPr>
    </w:tblStylePr>
    <w:tblStylePr w:type="lastRow">
      <w:pPr>
        <w:wordWrap/>
        <w:spacing w:afterLines="0" w:after="240" w:afterAutospacing="0" w:line="288" w:lineRule="auto"/>
        <w:contextualSpacing/>
        <w:jc w:val="both"/>
      </w:pPr>
      <w:rPr>
        <w:sz w:val="14"/>
      </w:rPr>
    </w:tblStylePr>
    <w:tblStylePr w:type="firstCol">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character" w:styleId="CommentReference">
    <w:name w:val="annotation reference"/>
    <w:basedOn w:val="DefaultParagraphFont"/>
    <w:uiPriority w:val="99"/>
    <w:semiHidden/>
    <w:unhideWhenUsed/>
    <w:rsid w:val="00BB1DDB"/>
    <w:rPr>
      <w:sz w:val="16"/>
      <w:szCs w:val="16"/>
    </w:rPr>
  </w:style>
  <w:style w:type="paragraph" w:styleId="CommentText">
    <w:name w:val="annotation text"/>
    <w:basedOn w:val="Normal"/>
    <w:link w:val="CommentTextChar"/>
    <w:uiPriority w:val="99"/>
    <w:unhideWhenUsed/>
    <w:rsid w:val="00BB1DDB"/>
    <w:pPr>
      <w:spacing w:line="240" w:lineRule="auto"/>
    </w:pPr>
    <w:rPr>
      <w:sz w:val="20"/>
      <w:szCs w:val="20"/>
    </w:rPr>
  </w:style>
  <w:style w:type="character" w:customStyle="1" w:styleId="CommentTextChar">
    <w:name w:val="Comment Text Char"/>
    <w:basedOn w:val="DefaultParagraphFont"/>
    <w:link w:val="CommentText"/>
    <w:uiPriority w:val="99"/>
    <w:rsid w:val="00BB1DDB"/>
    <w:rPr>
      <w:sz w:val="20"/>
      <w:szCs w:val="20"/>
    </w:rPr>
  </w:style>
  <w:style w:type="paragraph" w:styleId="CommentSubject">
    <w:name w:val="annotation subject"/>
    <w:basedOn w:val="CommentText"/>
    <w:next w:val="CommentText"/>
    <w:link w:val="CommentSubjectChar"/>
    <w:uiPriority w:val="99"/>
    <w:semiHidden/>
    <w:unhideWhenUsed/>
    <w:rsid w:val="00BB1DDB"/>
    <w:rPr>
      <w:b/>
      <w:bCs/>
    </w:rPr>
  </w:style>
  <w:style w:type="character" w:customStyle="1" w:styleId="CommentSubjectChar">
    <w:name w:val="Comment Subject Char"/>
    <w:basedOn w:val="CommentTextChar"/>
    <w:link w:val="CommentSubject"/>
    <w:uiPriority w:val="99"/>
    <w:semiHidden/>
    <w:rsid w:val="00BB1DDB"/>
    <w:rPr>
      <w:b/>
      <w:bCs/>
      <w:sz w:val="20"/>
      <w:szCs w:val="20"/>
    </w:rPr>
  </w:style>
  <w:style w:type="paragraph" w:styleId="ListParagraph">
    <w:name w:val="List Paragraph"/>
    <w:basedOn w:val="Normal"/>
    <w:uiPriority w:val="34"/>
    <w:qFormat/>
    <w:rsid w:val="00CB2D47"/>
    <w:pPr>
      <w:ind w:left="720"/>
      <w:contextualSpacing/>
    </w:pPr>
  </w:style>
  <w:style w:type="paragraph" w:styleId="Caption">
    <w:name w:val="caption"/>
    <w:basedOn w:val="Normal"/>
    <w:next w:val="Normal"/>
    <w:uiPriority w:val="35"/>
    <w:unhideWhenUsed/>
    <w:qFormat/>
    <w:rsid w:val="00CE33E8"/>
    <w:pPr>
      <w:spacing w:after="200" w:line="240" w:lineRule="auto"/>
    </w:pPr>
    <w:rPr>
      <w:i/>
      <w:iCs/>
      <w:color w:val="44546A" w:themeColor="text2"/>
      <w:sz w:val="18"/>
      <w:szCs w:val="18"/>
    </w:rPr>
  </w:style>
  <w:style w:type="paragraph" w:styleId="BodyText">
    <w:name w:val="Body Text"/>
    <w:basedOn w:val="Normal"/>
    <w:link w:val="BodyTextChar"/>
    <w:uiPriority w:val="14"/>
    <w:qFormat/>
    <w:rsid w:val="00D0364F"/>
    <w:pPr>
      <w:spacing w:after="180" w:line="276" w:lineRule="auto"/>
      <w:ind w:hanging="964"/>
    </w:pPr>
    <w:rPr>
      <w:rFonts w:eastAsiaTheme="minorHAnsi" w:cs="System"/>
      <w:color w:val="000000" w:themeColor="text1"/>
      <w:kern w:val="0"/>
      <w:sz w:val="20"/>
      <w:lang w:eastAsia="en-US"/>
      <w14:ligatures w14:val="none"/>
    </w:rPr>
  </w:style>
  <w:style w:type="character" w:customStyle="1" w:styleId="BodyTextChar">
    <w:name w:val="Body Text Char"/>
    <w:basedOn w:val="DefaultParagraphFont"/>
    <w:link w:val="BodyText"/>
    <w:uiPriority w:val="14"/>
    <w:rsid w:val="00D0364F"/>
    <w:rPr>
      <w:rFonts w:eastAsiaTheme="minorHAnsi" w:cs="System"/>
      <w:color w:val="000000" w:themeColor="text1"/>
      <w:kern w:val="0"/>
      <w:sz w:val="20"/>
      <w:lang w:eastAsia="en-US"/>
      <w14:ligatures w14:val="none"/>
    </w:rPr>
  </w:style>
  <w:style w:type="paragraph" w:styleId="ListBullet">
    <w:name w:val="List Bullet"/>
    <w:basedOn w:val="Normal"/>
    <w:uiPriority w:val="15"/>
    <w:qFormat/>
    <w:rsid w:val="00D0364F"/>
    <w:pPr>
      <w:numPr>
        <w:numId w:val="3"/>
      </w:numPr>
      <w:spacing w:after="180" w:line="276" w:lineRule="auto"/>
    </w:pPr>
    <w:rPr>
      <w:rFonts w:eastAsiaTheme="minorHAnsi" w:cs="System"/>
      <w:color w:val="000000" w:themeColor="text1"/>
      <w:kern w:val="0"/>
      <w:sz w:val="20"/>
      <w:lang w:eastAsia="en-US"/>
      <w14:ligatures w14:val="none"/>
    </w:rPr>
  </w:style>
  <w:style w:type="numbering" w:customStyle="1" w:styleId="ListBullets">
    <w:name w:val="__List Bullets"/>
    <w:rsid w:val="00D0364F"/>
    <w:pPr>
      <w:numPr>
        <w:numId w:val="3"/>
      </w:numPr>
    </w:pPr>
  </w:style>
  <w:style w:type="paragraph" w:styleId="ListNumber">
    <w:name w:val="List Number"/>
    <w:basedOn w:val="Normal"/>
    <w:uiPriority w:val="15"/>
    <w:qFormat/>
    <w:rsid w:val="00D0364F"/>
    <w:pPr>
      <w:spacing w:after="180" w:line="276" w:lineRule="auto"/>
      <w:ind w:left="283" w:hanging="283"/>
    </w:pPr>
    <w:rPr>
      <w:rFonts w:eastAsiaTheme="minorHAnsi" w:cs="System"/>
      <w:color w:val="000000" w:themeColor="text1"/>
      <w:kern w:val="0"/>
      <w:sz w:val="20"/>
      <w:lang w:eastAsia="en-US"/>
      <w14:ligatures w14:val="none"/>
    </w:rPr>
  </w:style>
  <w:style w:type="numbering" w:customStyle="1" w:styleId="ListHeadings">
    <w:name w:val="__List Headings"/>
    <w:rsid w:val="00D0364F"/>
    <w:pPr>
      <w:numPr>
        <w:numId w:val="4"/>
      </w:numPr>
    </w:pPr>
  </w:style>
  <w:style w:type="paragraph" w:styleId="Revision">
    <w:name w:val="Revision"/>
    <w:hidden/>
    <w:uiPriority w:val="99"/>
    <w:semiHidden/>
    <w:rsid w:val="00080DD1"/>
    <w:pPr>
      <w:spacing w:after="0" w:line="240" w:lineRule="auto"/>
    </w:pPr>
  </w:style>
  <w:style w:type="character" w:styleId="PlaceholderText">
    <w:name w:val="Placeholder Text"/>
    <w:basedOn w:val="DefaultParagraphFont"/>
    <w:uiPriority w:val="99"/>
    <w:semiHidden/>
    <w:rsid w:val="00946610"/>
    <w:rPr>
      <w:color w:val="666666"/>
    </w:rPr>
  </w:style>
  <w:style w:type="character" w:styleId="Mention">
    <w:name w:val="Mention"/>
    <w:basedOn w:val="DefaultParagraphFont"/>
    <w:uiPriority w:val="99"/>
    <w:unhideWhenUsed/>
    <w:rsid w:val="00946610"/>
    <w:rPr>
      <w:color w:val="2B579A"/>
      <w:shd w:val="clear" w:color="auto" w:fill="E1DFDD"/>
    </w:rPr>
  </w:style>
  <w:style w:type="paragraph" w:styleId="NormalWeb">
    <w:name w:val="Normal (Web)"/>
    <w:basedOn w:val="Normal"/>
    <w:uiPriority w:val="99"/>
    <w:semiHidden/>
    <w:unhideWhenUsed/>
    <w:rsid w:val="00050961"/>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55980">
      <w:bodyDiv w:val="1"/>
      <w:marLeft w:val="0"/>
      <w:marRight w:val="0"/>
      <w:marTop w:val="0"/>
      <w:marBottom w:val="0"/>
      <w:divBdr>
        <w:top w:val="none" w:sz="0" w:space="0" w:color="auto"/>
        <w:left w:val="none" w:sz="0" w:space="0" w:color="auto"/>
        <w:bottom w:val="none" w:sz="0" w:space="0" w:color="auto"/>
        <w:right w:val="none" w:sz="0" w:space="0" w:color="auto"/>
      </w:divBdr>
    </w:div>
    <w:div w:id="366032982">
      <w:bodyDiv w:val="1"/>
      <w:marLeft w:val="0"/>
      <w:marRight w:val="0"/>
      <w:marTop w:val="0"/>
      <w:marBottom w:val="0"/>
      <w:divBdr>
        <w:top w:val="none" w:sz="0" w:space="0" w:color="auto"/>
        <w:left w:val="none" w:sz="0" w:space="0" w:color="auto"/>
        <w:bottom w:val="none" w:sz="0" w:space="0" w:color="auto"/>
        <w:right w:val="none" w:sz="0" w:space="0" w:color="auto"/>
      </w:divBdr>
    </w:div>
    <w:div w:id="386035441">
      <w:bodyDiv w:val="1"/>
      <w:marLeft w:val="0"/>
      <w:marRight w:val="0"/>
      <w:marTop w:val="0"/>
      <w:marBottom w:val="0"/>
      <w:divBdr>
        <w:top w:val="none" w:sz="0" w:space="0" w:color="auto"/>
        <w:left w:val="none" w:sz="0" w:space="0" w:color="auto"/>
        <w:bottom w:val="none" w:sz="0" w:space="0" w:color="auto"/>
        <w:right w:val="none" w:sz="0" w:space="0" w:color="auto"/>
      </w:divBdr>
    </w:div>
    <w:div w:id="489753441">
      <w:bodyDiv w:val="1"/>
      <w:marLeft w:val="0"/>
      <w:marRight w:val="0"/>
      <w:marTop w:val="0"/>
      <w:marBottom w:val="0"/>
      <w:divBdr>
        <w:top w:val="none" w:sz="0" w:space="0" w:color="auto"/>
        <w:left w:val="none" w:sz="0" w:space="0" w:color="auto"/>
        <w:bottom w:val="none" w:sz="0" w:space="0" w:color="auto"/>
        <w:right w:val="none" w:sz="0" w:space="0" w:color="auto"/>
      </w:divBdr>
    </w:div>
    <w:div w:id="520556499">
      <w:bodyDiv w:val="1"/>
      <w:marLeft w:val="0"/>
      <w:marRight w:val="0"/>
      <w:marTop w:val="0"/>
      <w:marBottom w:val="0"/>
      <w:divBdr>
        <w:top w:val="none" w:sz="0" w:space="0" w:color="auto"/>
        <w:left w:val="none" w:sz="0" w:space="0" w:color="auto"/>
        <w:bottom w:val="none" w:sz="0" w:space="0" w:color="auto"/>
        <w:right w:val="none" w:sz="0" w:space="0" w:color="auto"/>
      </w:divBdr>
    </w:div>
    <w:div w:id="1097825648">
      <w:bodyDiv w:val="1"/>
      <w:marLeft w:val="0"/>
      <w:marRight w:val="0"/>
      <w:marTop w:val="0"/>
      <w:marBottom w:val="0"/>
      <w:divBdr>
        <w:top w:val="none" w:sz="0" w:space="0" w:color="auto"/>
        <w:left w:val="none" w:sz="0" w:space="0" w:color="auto"/>
        <w:bottom w:val="none" w:sz="0" w:space="0" w:color="auto"/>
        <w:right w:val="none" w:sz="0" w:space="0" w:color="auto"/>
      </w:divBdr>
    </w:div>
    <w:div w:id="1116607581">
      <w:bodyDiv w:val="1"/>
      <w:marLeft w:val="0"/>
      <w:marRight w:val="0"/>
      <w:marTop w:val="0"/>
      <w:marBottom w:val="0"/>
      <w:divBdr>
        <w:top w:val="none" w:sz="0" w:space="0" w:color="auto"/>
        <w:left w:val="none" w:sz="0" w:space="0" w:color="auto"/>
        <w:bottom w:val="none" w:sz="0" w:space="0" w:color="auto"/>
        <w:right w:val="none" w:sz="0" w:space="0" w:color="auto"/>
      </w:divBdr>
    </w:div>
    <w:div w:id="1312293386">
      <w:bodyDiv w:val="1"/>
      <w:marLeft w:val="0"/>
      <w:marRight w:val="0"/>
      <w:marTop w:val="0"/>
      <w:marBottom w:val="0"/>
      <w:divBdr>
        <w:top w:val="none" w:sz="0" w:space="0" w:color="auto"/>
        <w:left w:val="none" w:sz="0" w:space="0" w:color="auto"/>
        <w:bottom w:val="none" w:sz="0" w:space="0" w:color="auto"/>
        <w:right w:val="none" w:sz="0" w:space="0" w:color="auto"/>
      </w:divBdr>
    </w:div>
    <w:div w:id="1330793060">
      <w:bodyDiv w:val="1"/>
      <w:marLeft w:val="0"/>
      <w:marRight w:val="0"/>
      <w:marTop w:val="0"/>
      <w:marBottom w:val="0"/>
      <w:divBdr>
        <w:top w:val="none" w:sz="0" w:space="0" w:color="auto"/>
        <w:left w:val="none" w:sz="0" w:space="0" w:color="auto"/>
        <w:bottom w:val="none" w:sz="0" w:space="0" w:color="auto"/>
        <w:right w:val="none" w:sz="0" w:space="0" w:color="auto"/>
      </w:divBdr>
    </w:div>
    <w:div w:id="1418593323">
      <w:bodyDiv w:val="1"/>
      <w:marLeft w:val="0"/>
      <w:marRight w:val="0"/>
      <w:marTop w:val="0"/>
      <w:marBottom w:val="0"/>
      <w:divBdr>
        <w:top w:val="none" w:sz="0" w:space="0" w:color="auto"/>
        <w:left w:val="none" w:sz="0" w:space="0" w:color="auto"/>
        <w:bottom w:val="none" w:sz="0" w:space="0" w:color="auto"/>
        <w:right w:val="none" w:sz="0" w:space="0" w:color="auto"/>
      </w:divBdr>
    </w:div>
    <w:div w:id="1461342979">
      <w:bodyDiv w:val="1"/>
      <w:marLeft w:val="0"/>
      <w:marRight w:val="0"/>
      <w:marTop w:val="0"/>
      <w:marBottom w:val="0"/>
      <w:divBdr>
        <w:top w:val="none" w:sz="0" w:space="0" w:color="auto"/>
        <w:left w:val="none" w:sz="0" w:space="0" w:color="auto"/>
        <w:bottom w:val="none" w:sz="0" w:space="0" w:color="auto"/>
        <w:right w:val="none" w:sz="0" w:space="0" w:color="auto"/>
      </w:divBdr>
    </w:div>
    <w:div w:id="1604457156">
      <w:bodyDiv w:val="1"/>
      <w:marLeft w:val="0"/>
      <w:marRight w:val="0"/>
      <w:marTop w:val="0"/>
      <w:marBottom w:val="0"/>
      <w:divBdr>
        <w:top w:val="none" w:sz="0" w:space="0" w:color="auto"/>
        <w:left w:val="none" w:sz="0" w:space="0" w:color="auto"/>
        <w:bottom w:val="none" w:sz="0" w:space="0" w:color="auto"/>
        <w:right w:val="none" w:sz="0" w:space="0" w:color="auto"/>
      </w:divBdr>
    </w:div>
    <w:div w:id="17494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promarket.org/2024/02/28/what-have-the-consultants-ever-done-f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900A4-C7E6-4417-94A5-907E1078A643}">
  <ds:schemaRefs>
    <ds:schemaRef ds:uri="http://schemas.openxmlformats.org/officeDocument/2006/bibliography"/>
  </ds:schemaRefs>
</ds:datastoreItem>
</file>

<file path=docMetadata/LabelInfo.xml><?xml version="1.0" encoding="utf-8"?>
<clbl:labelList xmlns:clbl="http://schemas.microsoft.com/office/2020/mipLabelMetadata">
  <clbl:label id="{9fe8e0a5-234e-414e-9e26-a63cbcb4ac41}" enabled="0" method="" siteId="{9fe8e0a5-234e-414e-9e26-a63cbcb4ac41}"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41</Pages>
  <Words>11284</Words>
  <Characters>64325</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Ormosi, Peter</dc:creator>
  <cp:keywords/>
  <dc:description/>
  <cp:lastModifiedBy>Compass Lexecon</cp:lastModifiedBy>
  <cp:revision>3</cp:revision>
  <cp:lastPrinted>2025-05-28T10:32:00Z</cp:lastPrinted>
  <dcterms:created xsi:type="dcterms:W3CDTF">2026-06-25T10:06:00Z</dcterms:created>
  <dcterms:modified xsi:type="dcterms:W3CDTF">2026-06-25T10:07:00Z</dcterms:modified>
</cp:coreProperties>
</file>